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2F8064" w14:textId="77777777" w:rsidR="00443346" w:rsidRDefault="000230E8" w:rsidP="000230E8">
      <w:pPr>
        <w:pStyle w:val="Title"/>
      </w:pPr>
      <w:bookmarkStart w:id="0" w:name="_Toc316982915"/>
      <w:bookmarkStart w:id="1" w:name="_Toc316983849"/>
      <w:bookmarkStart w:id="2" w:name="_Toc316993025"/>
      <w:bookmarkStart w:id="3" w:name="_Toc318185223"/>
      <w:bookmarkStart w:id="4" w:name="_Toc319412947"/>
      <w:bookmarkStart w:id="5" w:name="_Toc321233116"/>
      <w:bookmarkStart w:id="6" w:name="_Toc322694846"/>
      <w:bookmarkStart w:id="7" w:name="_Toc335828895"/>
      <w:r w:rsidRPr="00C74D90">
        <w:t>Annual Report 2011</w:t>
      </w:r>
      <w:bookmarkEnd w:id="0"/>
      <w:bookmarkEnd w:id="1"/>
      <w:bookmarkEnd w:id="2"/>
      <w:bookmarkEnd w:id="3"/>
      <w:bookmarkEnd w:id="4"/>
      <w:bookmarkEnd w:id="5"/>
      <w:bookmarkEnd w:id="6"/>
      <w:bookmarkEnd w:id="7"/>
    </w:p>
    <w:p w14:paraId="425D489B" w14:textId="0EC0FCDA" w:rsidR="000230E8" w:rsidRDefault="00B64EED" w:rsidP="00443346">
      <w:pPr>
        <w:pStyle w:val="Title"/>
      </w:pPr>
      <w:bookmarkStart w:id="8" w:name="_Toc316982916"/>
      <w:bookmarkStart w:id="9" w:name="_Toc316983850"/>
      <w:bookmarkStart w:id="10" w:name="_Toc316993026"/>
      <w:bookmarkStart w:id="11" w:name="_Toc318185224"/>
      <w:bookmarkStart w:id="12" w:name="_Toc319412948"/>
      <w:bookmarkStart w:id="13" w:name="_Toc321233117"/>
      <w:bookmarkStart w:id="14" w:name="_Toc322694847"/>
      <w:bookmarkStart w:id="15" w:name="_Toc335828896"/>
      <w:r>
        <w:rPr>
          <w:noProof/>
          <w:lang w:val="en-GB" w:eastAsia="en-GB"/>
        </w:rPr>
        <w:drawing>
          <wp:anchor distT="0" distB="0" distL="114300" distR="114300" simplePos="0" relativeHeight="251657728" behindDoc="0" locked="0" layoutInCell="1" allowOverlap="1" wp14:anchorId="6F701F44" wp14:editId="3AA954ED">
            <wp:simplePos x="0" y="0"/>
            <wp:positionH relativeFrom="column">
              <wp:posOffset>-173355</wp:posOffset>
            </wp:positionH>
            <wp:positionV relativeFrom="paragraph">
              <wp:posOffset>5643880</wp:posOffset>
            </wp:positionV>
            <wp:extent cx="2844165" cy="2033270"/>
            <wp:effectExtent l="0" t="0" r="0" b="0"/>
            <wp:wrapNone/>
            <wp:docPr id="3" name="Picture 3"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D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4165" cy="2033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bookmarkEnd w:id="10"/>
      <w:bookmarkEnd w:id="11"/>
      <w:bookmarkEnd w:id="12"/>
      <w:bookmarkEnd w:id="13"/>
      <w:bookmarkEnd w:id="14"/>
      <w:bookmarkEnd w:id="15"/>
      <w:r w:rsidR="00443346">
        <w:br w:type="page"/>
      </w:r>
    </w:p>
    <w:p w14:paraId="0FB738B4" w14:textId="77777777" w:rsidR="000230E8" w:rsidRDefault="000230E8" w:rsidP="000230E8">
      <w:pPr>
        <w:pStyle w:val="Heading1"/>
      </w:pPr>
      <w:r>
        <w:lastRenderedPageBreak/>
        <w:br w:type="page"/>
      </w:r>
      <w:bookmarkStart w:id="16" w:name="_Toc316982917"/>
      <w:bookmarkStart w:id="17" w:name="_Toc316983851"/>
      <w:bookmarkStart w:id="18" w:name="_Toc316993027"/>
      <w:bookmarkStart w:id="19" w:name="_Toc318185225"/>
      <w:bookmarkStart w:id="20" w:name="_Toc319412949"/>
      <w:bookmarkStart w:id="21" w:name="_Toc321233118"/>
      <w:bookmarkStart w:id="22" w:name="_Toc322694848"/>
      <w:bookmarkStart w:id="23" w:name="_Toc335828897"/>
      <w:bookmarkStart w:id="24" w:name="_Toc335829635"/>
      <w:bookmarkStart w:id="25" w:name="_Toc335836292"/>
      <w:bookmarkStart w:id="26" w:name="_Toc335983420"/>
      <w:bookmarkStart w:id="27" w:name="_Toc335986589"/>
      <w:r>
        <w:lastRenderedPageBreak/>
        <w:t>Contents</w:t>
      </w:r>
      <w:bookmarkEnd w:id="16"/>
      <w:bookmarkEnd w:id="17"/>
      <w:bookmarkEnd w:id="18"/>
      <w:bookmarkEnd w:id="19"/>
      <w:bookmarkEnd w:id="20"/>
      <w:bookmarkEnd w:id="21"/>
      <w:bookmarkEnd w:id="22"/>
      <w:bookmarkEnd w:id="23"/>
      <w:bookmarkEnd w:id="24"/>
      <w:bookmarkEnd w:id="25"/>
      <w:bookmarkEnd w:id="26"/>
      <w:bookmarkEnd w:id="27"/>
    </w:p>
    <w:p w14:paraId="0307156E" w14:textId="77777777" w:rsidR="000230E8" w:rsidRPr="0010446A" w:rsidRDefault="000230E8">
      <w:pPr>
        <w:pStyle w:val="TOC1"/>
        <w:tabs>
          <w:tab w:val="right" w:leader="dot" w:pos="8630"/>
        </w:tabs>
        <w:rPr>
          <w:rFonts w:ascii="Times New Roman" w:hAnsi="Times New Roman"/>
          <w:b w:val="0"/>
          <w:noProof/>
          <w:sz w:val="24"/>
          <w:lang w:val="en-GB" w:eastAsia="en-GB"/>
        </w:rPr>
      </w:pPr>
      <w:r w:rsidRPr="0010446A">
        <w:rPr>
          <w:b w:val="0"/>
        </w:rPr>
        <w:fldChar w:fldCharType="begin"/>
      </w:r>
      <w:r w:rsidRPr="0010446A">
        <w:rPr>
          <w:b w:val="0"/>
        </w:rPr>
        <w:instrText xml:space="preserve"> TOC \o "1-1" \h \z \u </w:instrText>
      </w:r>
      <w:r w:rsidRPr="0010446A">
        <w:rPr>
          <w:b w:val="0"/>
        </w:rPr>
        <w:fldChar w:fldCharType="separate"/>
      </w:r>
      <w:hyperlink w:anchor="_Toc335829636" w:history="1">
        <w:r w:rsidRPr="0010446A">
          <w:rPr>
            <w:rStyle w:val="Hyperlink"/>
            <w:b w:val="0"/>
            <w:noProof/>
          </w:rPr>
          <w:t>Chairperson’s Statement</w:t>
        </w:r>
        <w:r w:rsidRPr="0010446A">
          <w:rPr>
            <w:b w:val="0"/>
            <w:noProof/>
            <w:webHidden/>
          </w:rPr>
          <w:tab/>
        </w:r>
        <w:r w:rsidRPr="0010446A">
          <w:rPr>
            <w:b w:val="0"/>
            <w:noProof/>
            <w:webHidden/>
          </w:rPr>
          <w:fldChar w:fldCharType="begin"/>
        </w:r>
        <w:r w:rsidRPr="0010446A">
          <w:rPr>
            <w:b w:val="0"/>
            <w:noProof/>
            <w:webHidden/>
          </w:rPr>
          <w:instrText xml:space="preserve"> PAGEREF _Toc335829636 \h </w:instrText>
        </w:r>
        <w:r w:rsidRPr="0010446A">
          <w:rPr>
            <w:b w:val="0"/>
            <w:noProof/>
          </w:rPr>
        </w:r>
        <w:r w:rsidRPr="0010446A">
          <w:rPr>
            <w:b w:val="0"/>
            <w:noProof/>
            <w:webHidden/>
          </w:rPr>
          <w:fldChar w:fldCharType="separate"/>
        </w:r>
        <w:r w:rsidR="0010446A">
          <w:rPr>
            <w:b w:val="0"/>
            <w:noProof/>
            <w:webHidden/>
          </w:rPr>
          <w:t>4</w:t>
        </w:r>
        <w:r w:rsidRPr="0010446A">
          <w:rPr>
            <w:b w:val="0"/>
            <w:noProof/>
            <w:webHidden/>
          </w:rPr>
          <w:fldChar w:fldCharType="end"/>
        </w:r>
      </w:hyperlink>
    </w:p>
    <w:p w14:paraId="41CDCDBD"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37" w:history="1">
        <w:r w:rsidRPr="0010446A">
          <w:rPr>
            <w:rStyle w:val="Hyperlink"/>
            <w:b w:val="0"/>
            <w:noProof/>
          </w:rPr>
          <w:t>Director’s Statement</w:t>
        </w:r>
        <w:r w:rsidRPr="0010446A">
          <w:rPr>
            <w:b w:val="0"/>
            <w:noProof/>
            <w:webHidden/>
          </w:rPr>
          <w:tab/>
        </w:r>
        <w:r w:rsidRPr="0010446A">
          <w:rPr>
            <w:b w:val="0"/>
            <w:noProof/>
            <w:webHidden/>
          </w:rPr>
          <w:fldChar w:fldCharType="begin"/>
        </w:r>
        <w:r w:rsidRPr="0010446A">
          <w:rPr>
            <w:b w:val="0"/>
            <w:noProof/>
            <w:webHidden/>
          </w:rPr>
          <w:instrText xml:space="preserve"> PAGEREF _Toc335829637 \h </w:instrText>
        </w:r>
        <w:r w:rsidRPr="0010446A">
          <w:rPr>
            <w:b w:val="0"/>
            <w:noProof/>
          </w:rPr>
        </w:r>
        <w:r w:rsidRPr="0010446A">
          <w:rPr>
            <w:b w:val="0"/>
            <w:noProof/>
            <w:webHidden/>
          </w:rPr>
          <w:fldChar w:fldCharType="separate"/>
        </w:r>
        <w:r w:rsidR="0010446A">
          <w:rPr>
            <w:b w:val="0"/>
            <w:noProof/>
            <w:webHidden/>
          </w:rPr>
          <w:t>6</w:t>
        </w:r>
        <w:r w:rsidRPr="0010446A">
          <w:rPr>
            <w:b w:val="0"/>
            <w:noProof/>
            <w:webHidden/>
          </w:rPr>
          <w:fldChar w:fldCharType="end"/>
        </w:r>
      </w:hyperlink>
    </w:p>
    <w:p w14:paraId="0F5AAF05"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38" w:history="1">
        <w:r w:rsidRPr="0010446A">
          <w:rPr>
            <w:rStyle w:val="Hyperlink"/>
            <w:b w:val="0"/>
            <w:noProof/>
          </w:rPr>
          <w:t>Overview of 2011</w:t>
        </w:r>
        <w:r w:rsidRPr="0010446A">
          <w:rPr>
            <w:b w:val="0"/>
            <w:noProof/>
            <w:webHidden/>
          </w:rPr>
          <w:tab/>
        </w:r>
        <w:r w:rsidRPr="0010446A">
          <w:rPr>
            <w:b w:val="0"/>
            <w:noProof/>
            <w:webHidden/>
          </w:rPr>
          <w:fldChar w:fldCharType="begin"/>
        </w:r>
        <w:r w:rsidRPr="0010446A">
          <w:rPr>
            <w:b w:val="0"/>
            <w:noProof/>
            <w:webHidden/>
          </w:rPr>
          <w:instrText xml:space="preserve"> PAGEREF _Toc335829638 \h </w:instrText>
        </w:r>
        <w:r w:rsidRPr="0010446A">
          <w:rPr>
            <w:b w:val="0"/>
            <w:noProof/>
          </w:rPr>
        </w:r>
        <w:r w:rsidRPr="0010446A">
          <w:rPr>
            <w:b w:val="0"/>
            <w:noProof/>
            <w:webHidden/>
          </w:rPr>
          <w:fldChar w:fldCharType="separate"/>
        </w:r>
        <w:r w:rsidR="0010446A">
          <w:rPr>
            <w:b w:val="0"/>
            <w:noProof/>
            <w:webHidden/>
          </w:rPr>
          <w:t>8</w:t>
        </w:r>
        <w:r w:rsidRPr="0010446A">
          <w:rPr>
            <w:b w:val="0"/>
            <w:noProof/>
            <w:webHidden/>
          </w:rPr>
          <w:fldChar w:fldCharType="end"/>
        </w:r>
      </w:hyperlink>
    </w:p>
    <w:p w14:paraId="24F917C1"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39" w:history="1">
        <w:r w:rsidRPr="0010446A">
          <w:rPr>
            <w:rStyle w:val="Hyperlink"/>
            <w:b w:val="0"/>
            <w:noProof/>
          </w:rPr>
          <w:t>Strategic Priority 1:  To provide support and evidence-based advice to Government Departments and Public Bodies</w:t>
        </w:r>
        <w:r w:rsidRPr="0010446A">
          <w:rPr>
            <w:b w:val="0"/>
            <w:noProof/>
            <w:webHidden/>
          </w:rPr>
          <w:tab/>
        </w:r>
        <w:r w:rsidRPr="0010446A">
          <w:rPr>
            <w:b w:val="0"/>
            <w:noProof/>
            <w:webHidden/>
          </w:rPr>
          <w:fldChar w:fldCharType="begin"/>
        </w:r>
        <w:r w:rsidRPr="0010446A">
          <w:rPr>
            <w:b w:val="0"/>
            <w:noProof/>
            <w:webHidden/>
          </w:rPr>
          <w:instrText xml:space="preserve"> PAGEREF _Toc335829639 \h </w:instrText>
        </w:r>
        <w:r w:rsidRPr="0010446A">
          <w:rPr>
            <w:b w:val="0"/>
            <w:noProof/>
          </w:rPr>
        </w:r>
        <w:r w:rsidRPr="0010446A">
          <w:rPr>
            <w:b w:val="0"/>
            <w:noProof/>
            <w:webHidden/>
          </w:rPr>
          <w:fldChar w:fldCharType="separate"/>
        </w:r>
        <w:r w:rsidR="0010446A">
          <w:rPr>
            <w:b w:val="0"/>
            <w:noProof/>
            <w:webHidden/>
          </w:rPr>
          <w:t>11</w:t>
        </w:r>
        <w:r w:rsidRPr="0010446A">
          <w:rPr>
            <w:b w:val="0"/>
            <w:noProof/>
            <w:webHidden/>
          </w:rPr>
          <w:fldChar w:fldCharType="end"/>
        </w:r>
      </w:hyperlink>
    </w:p>
    <w:p w14:paraId="0310FECA"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40" w:history="1">
        <w:r w:rsidRPr="0010446A">
          <w:rPr>
            <w:rStyle w:val="Hyperlink"/>
            <w:b w:val="0"/>
            <w:noProof/>
          </w:rPr>
          <w:t>Strategic Priority 2:  To provide evidence-based policy advice to promote independence and the quality of daily life for people with disabilities across the lifecycle</w:t>
        </w:r>
        <w:r w:rsidRPr="0010446A">
          <w:rPr>
            <w:b w:val="0"/>
            <w:noProof/>
            <w:webHidden/>
          </w:rPr>
          <w:tab/>
        </w:r>
        <w:r w:rsidRPr="0010446A">
          <w:rPr>
            <w:b w:val="0"/>
            <w:noProof/>
            <w:webHidden/>
          </w:rPr>
          <w:fldChar w:fldCharType="begin"/>
        </w:r>
        <w:r w:rsidRPr="0010446A">
          <w:rPr>
            <w:b w:val="0"/>
            <w:noProof/>
            <w:webHidden/>
          </w:rPr>
          <w:instrText xml:space="preserve"> PAGEREF _Toc335829640 \h </w:instrText>
        </w:r>
        <w:r w:rsidRPr="0010446A">
          <w:rPr>
            <w:b w:val="0"/>
            <w:noProof/>
          </w:rPr>
        </w:r>
        <w:r w:rsidRPr="0010446A">
          <w:rPr>
            <w:b w:val="0"/>
            <w:noProof/>
            <w:webHidden/>
          </w:rPr>
          <w:fldChar w:fldCharType="separate"/>
        </w:r>
        <w:r w:rsidR="0010446A">
          <w:rPr>
            <w:b w:val="0"/>
            <w:noProof/>
            <w:webHidden/>
          </w:rPr>
          <w:t>20</w:t>
        </w:r>
        <w:r w:rsidRPr="0010446A">
          <w:rPr>
            <w:b w:val="0"/>
            <w:noProof/>
            <w:webHidden/>
          </w:rPr>
          <w:fldChar w:fldCharType="end"/>
        </w:r>
      </w:hyperlink>
    </w:p>
    <w:p w14:paraId="3E0B3D49"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41" w:history="1">
        <w:r w:rsidRPr="0010446A">
          <w:rPr>
            <w:rStyle w:val="Hyperlink"/>
            <w:b w:val="0"/>
            <w:noProof/>
          </w:rPr>
          <w:t>Strategic Priority 3:  To promote inclusion through accessibility and universal design</w:t>
        </w:r>
        <w:r w:rsidRPr="0010446A">
          <w:rPr>
            <w:b w:val="0"/>
            <w:noProof/>
            <w:webHidden/>
          </w:rPr>
          <w:tab/>
        </w:r>
        <w:r w:rsidRPr="0010446A">
          <w:rPr>
            <w:b w:val="0"/>
            <w:noProof/>
            <w:webHidden/>
          </w:rPr>
          <w:fldChar w:fldCharType="begin"/>
        </w:r>
        <w:r w:rsidRPr="0010446A">
          <w:rPr>
            <w:b w:val="0"/>
            <w:noProof/>
            <w:webHidden/>
          </w:rPr>
          <w:instrText xml:space="preserve"> PAGEREF _Toc335829641 \h </w:instrText>
        </w:r>
        <w:r w:rsidRPr="0010446A">
          <w:rPr>
            <w:b w:val="0"/>
            <w:noProof/>
          </w:rPr>
        </w:r>
        <w:r w:rsidRPr="0010446A">
          <w:rPr>
            <w:b w:val="0"/>
            <w:noProof/>
            <w:webHidden/>
          </w:rPr>
          <w:fldChar w:fldCharType="separate"/>
        </w:r>
        <w:r w:rsidR="0010446A">
          <w:rPr>
            <w:b w:val="0"/>
            <w:noProof/>
            <w:webHidden/>
          </w:rPr>
          <w:t>25</w:t>
        </w:r>
        <w:r w:rsidRPr="0010446A">
          <w:rPr>
            <w:b w:val="0"/>
            <w:noProof/>
            <w:webHidden/>
          </w:rPr>
          <w:fldChar w:fldCharType="end"/>
        </w:r>
      </w:hyperlink>
    </w:p>
    <w:p w14:paraId="503AF250"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42" w:history="1">
        <w:r w:rsidRPr="0010446A">
          <w:rPr>
            <w:rStyle w:val="Hyperlink"/>
            <w:b w:val="0"/>
            <w:noProof/>
          </w:rPr>
          <w:t>Strategic Priority 4:  To build the National Disability Authority’s capacity to deliver on its strategic goals</w:t>
        </w:r>
        <w:r w:rsidRPr="0010446A">
          <w:rPr>
            <w:b w:val="0"/>
            <w:noProof/>
            <w:webHidden/>
          </w:rPr>
          <w:tab/>
        </w:r>
        <w:r w:rsidRPr="0010446A">
          <w:rPr>
            <w:b w:val="0"/>
            <w:noProof/>
            <w:webHidden/>
          </w:rPr>
          <w:fldChar w:fldCharType="begin"/>
        </w:r>
        <w:r w:rsidRPr="0010446A">
          <w:rPr>
            <w:b w:val="0"/>
            <w:noProof/>
            <w:webHidden/>
          </w:rPr>
          <w:instrText xml:space="preserve"> PAGEREF _Toc335829642 \h </w:instrText>
        </w:r>
        <w:r w:rsidRPr="0010446A">
          <w:rPr>
            <w:b w:val="0"/>
            <w:noProof/>
          </w:rPr>
        </w:r>
        <w:r w:rsidRPr="0010446A">
          <w:rPr>
            <w:b w:val="0"/>
            <w:noProof/>
            <w:webHidden/>
          </w:rPr>
          <w:fldChar w:fldCharType="separate"/>
        </w:r>
        <w:r w:rsidR="0010446A">
          <w:rPr>
            <w:b w:val="0"/>
            <w:noProof/>
            <w:webHidden/>
          </w:rPr>
          <w:t>30</w:t>
        </w:r>
        <w:r w:rsidRPr="0010446A">
          <w:rPr>
            <w:b w:val="0"/>
            <w:noProof/>
            <w:webHidden/>
          </w:rPr>
          <w:fldChar w:fldCharType="end"/>
        </w:r>
      </w:hyperlink>
    </w:p>
    <w:p w14:paraId="006EBAE9"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43" w:history="1">
        <w:r w:rsidRPr="0010446A">
          <w:rPr>
            <w:rStyle w:val="Hyperlink"/>
            <w:b w:val="0"/>
            <w:noProof/>
          </w:rPr>
          <w:t>Financial State</w:t>
        </w:r>
        <w:r w:rsidRPr="0010446A">
          <w:rPr>
            <w:rStyle w:val="Hyperlink"/>
            <w:b w:val="0"/>
            <w:noProof/>
          </w:rPr>
          <w:t>m</w:t>
        </w:r>
        <w:r w:rsidRPr="0010446A">
          <w:rPr>
            <w:rStyle w:val="Hyperlink"/>
            <w:b w:val="0"/>
            <w:noProof/>
          </w:rPr>
          <w:t>ents 31 December 2011</w:t>
        </w:r>
        <w:r w:rsidRPr="0010446A">
          <w:rPr>
            <w:b w:val="0"/>
            <w:noProof/>
            <w:webHidden/>
          </w:rPr>
          <w:tab/>
        </w:r>
        <w:r w:rsidRPr="0010446A">
          <w:rPr>
            <w:b w:val="0"/>
            <w:noProof/>
            <w:webHidden/>
          </w:rPr>
          <w:fldChar w:fldCharType="begin"/>
        </w:r>
        <w:r w:rsidRPr="0010446A">
          <w:rPr>
            <w:b w:val="0"/>
            <w:noProof/>
            <w:webHidden/>
          </w:rPr>
          <w:instrText xml:space="preserve"> PAGEREF _Toc335829643 \h </w:instrText>
        </w:r>
        <w:r w:rsidRPr="0010446A">
          <w:rPr>
            <w:b w:val="0"/>
            <w:noProof/>
          </w:rPr>
        </w:r>
        <w:r w:rsidRPr="0010446A">
          <w:rPr>
            <w:b w:val="0"/>
            <w:noProof/>
            <w:webHidden/>
          </w:rPr>
          <w:fldChar w:fldCharType="separate"/>
        </w:r>
        <w:r w:rsidR="0010446A">
          <w:rPr>
            <w:b w:val="0"/>
            <w:noProof/>
            <w:webHidden/>
          </w:rPr>
          <w:t>33</w:t>
        </w:r>
        <w:r w:rsidRPr="0010446A">
          <w:rPr>
            <w:b w:val="0"/>
            <w:noProof/>
            <w:webHidden/>
          </w:rPr>
          <w:fldChar w:fldCharType="end"/>
        </w:r>
      </w:hyperlink>
    </w:p>
    <w:p w14:paraId="330539F0"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51" w:history="1">
        <w:r w:rsidRPr="0010446A">
          <w:rPr>
            <w:rStyle w:val="Hyperlink"/>
            <w:b w:val="0"/>
            <w:noProof/>
          </w:rPr>
          <w:t>Appendices</w:t>
        </w:r>
        <w:r w:rsidRPr="0010446A">
          <w:rPr>
            <w:b w:val="0"/>
            <w:noProof/>
            <w:webHidden/>
          </w:rPr>
          <w:tab/>
        </w:r>
        <w:r w:rsidRPr="0010446A">
          <w:rPr>
            <w:b w:val="0"/>
            <w:noProof/>
            <w:webHidden/>
          </w:rPr>
          <w:fldChar w:fldCharType="begin"/>
        </w:r>
        <w:r w:rsidRPr="0010446A">
          <w:rPr>
            <w:b w:val="0"/>
            <w:noProof/>
            <w:webHidden/>
          </w:rPr>
          <w:instrText xml:space="preserve"> PAGEREF _Toc335829651 \h </w:instrText>
        </w:r>
        <w:r w:rsidRPr="0010446A">
          <w:rPr>
            <w:b w:val="0"/>
            <w:noProof/>
          </w:rPr>
        </w:r>
        <w:r w:rsidRPr="0010446A">
          <w:rPr>
            <w:b w:val="0"/>
            <w:noProof/>
            <w:webHidden/>
          </w:rPr>
          <w:fldChar w:fldCharType="separate"/>
        </w:r>
        <w:r w:rsidR="0010446A">
          <w:rPr>
            <w:b w:val="0"/>
            <w:noProof/>
            <w:webHidden/>
          </w:rPr>
          <w:t>61</w:t>
        </w:r>
        <w:r w:rsidRPr="0010446A">
          <w:rPr>
            <w:b w:val="0"/>
            <w:noProof/>
            <w:webHidden/>
          </w:rPr>
          <w:fldChar w:fldCharType="end"/>
        </w:r>
      </w:hyperlink>
    </w:p>
    <w:p w14:paraId="6A8C75FE"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52" w:history="1">
        <w:r w:rsidRPr="0010446A">
          <w:rPr>
            <w:rStyle w:val="Hyperlink"/>
            <w:b w:val="0"/>
            <w:noProof/>
          </w:rPr>
          <w:t>Appendix 1: Authority and other Committees in 2011</w:t>
        </w:r>
        <w:r w:rsidRPr="0010446A">
          <w:rPr>
            <w:b w:val="0"/>
            <w:noProof/>
            <w:webHidden/>
          </w:rPr>
          <w:tab/>
        </w:r>
        <w:r w:rsidRPr="0010446A">
          <w:rPr>
            <w:b w:val="0"/>
            <w:noProof/>
            <w:webHidden/>
          </w:rPr>
          <w:fldChar w:fldCharType="begin"/>
        </w:r>
        <w:r w:rsidRPr="0010446A">
          <w:rPr>
            <w:b w:val="0"/>
            <w:noProof/>
            <w:webHidden/>
          </w:rPr>
          <w:instrText xml:space="preserve"> PAGEREF _Toc335829652 \h </w:instrText>
        </w:r>
        <w:r w:rsidRPr="0010446A">
          <w:rPr>
            <w:b w:val="0"/>
            <w:noProof/>
          </w:rPr>
        </w:r>
        <w:r w:rsidRPr="0010446A">
          <w:rPr>
            <w:b w:val="0"/>
            <w:noProof/>
            <w:webHidden/>
          </w:rPr>
          <w:fldChar w:fldCharType="separate"/>
        </w:r>
        <w:r w:rsidR="0010446A">
          <w:rPr>
            <w:b w:val="0"/>
            <w:noProof/>
            <w:webHidden/>
          </w:rPr>
          <w:t>62</w:t>
        </w:r>
        <w:r w:rsidRPr="0010446A">
          <w:rPr>
            <w:b w:val="0"/>
            <w:noProof/>
            <w:webHidden/>
          </w:rPr>
          <w:fldChar w:fldCharType="end"/>
        </w:r>
      </w:hyperlink>
    </w:p>
    <w:p w14:paraId="29977365"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53" w:history="1">
        <w:r w:rsidRPr="0010446A">
          <w:rPr>
            <w:rStyle w:val="Hyperlink"/>
            <w:b w:val="0"/>
            <w:noProof/>
          </w:rPr>
          <w:t>Appendix 2: Representation on external bodies in 2011</w:t>
        </w:r>
        <w:r w:rsidRPr="0010446A">
          <w:rPr>
            <w:b w:val="0"/>
            <w:noProof/>
            <w:webHidden/>
          </w:rPr>
          <w:tab/>
        </w:r>
        <w:r w:rsidRPr="0010446A">
          <w:rPr>
            <w:b w:val="0"/>
            <w:noProof/>
            <w:webHidden/>
          </w:rPr>
          <w:fldChar w:fldCharType="begin"/>
        </w:r>
        <w:r w:rsidRPr="0010446A">
          <w:rPr>
            <w:b w:val="0"/>
            <w:noProof/>
            <w:webHidden/>
          </w:rPr>
          <w:instrText xml:space="preserve"> PAGEREF _Toc335829653 \h </w:instrText>
        </w:r>
        <w:r w:rsidRPr="0010446A">
          <w:rPr>
            <w:b w:val="0"/>
            <w:noProof/>
          </w:rPr>
        </w:r>
        <w:r w:rsidRPr="0010446A">
          <w:rPr>
            <w:b w:val="0"/>
            <w:noProof/>
            <w:webHidden/>
          </w:rPr>
          <w:fldChar w:fldCharType="separate"/>
        </w:r>
        <w:r w:rsidR="0010446A">
          <w:rPr>
            <w:b w:val="0"/>
            <w:noProof/>
            <w:webHidden/>
          </w:rPr>
          <w:t>63</w:t>
        </w:r>
        <w:r w:rsidRPr="0010446A">
          <w:rPr>
            <w:b w:val="0"/>
            <w:noProof/>
            <w:webHidden/>
          </w:rPr>
          <w:fldChar w:fldCharType="end"/>
        </w:r>
      </w:hyperlink>
    </w:p>
    <w:p w14:paraId="3232AAE1" w14:textId="77777777" w:rsidR="000230E8" w:rsidRPr="0010446A" w:rsidRDefault="000230E8">
      <w:pPr>
        <w:pStyle w:val="TOC1"/>
        <w:tabs>
          <w:tab w:val="right" w:leader="dot" w:pos="8630"/>
        </w:tabs>
        <w:rPr>
          <w:rFonts w:ascii="Times New Roman" w:hAnsi="Times New Roman"/>
          <w:b w:val="0"/>
          <w:noProof/>
          <w:sz w:val="24"/>
          <w:lang w:val="en-GB" w:eastAsia="en-GB"/>
        </w:rPr>
      </w:pPr>
      <w:hyperlink w:anchor="_Toc335829654" w:history="1">
        <w:r w:rsidRPr="0010446A">
          <w:rPr>
            <w:rStyle w:val="Hyperlink"/>
            <w:b w:val="0"/>
            <w:noProof/>
          </w:rPr>
          <w:t>Appendix 3: Publications in 2011</w:t>
        </w:r>
        <w:r w:rsidRPr="0010446A">
          <w:rPr>
            <w:b w:val="0"/>
            <w:noProof/>
            <w:webHidden/>
          </w:rPr>
          <w:tab/>
        </w:r>
        <w:r w:rsidRPr="0010446A">
          <w:rPr>
            <w:b w:val="0"/>
            <w:noProof/>
            <w:webHidden/>
          </w:rPr>
          <w:fldChar w:fldCharType="begin"/>
        </w:r>
        <w:r w:rsidRPr="0010446A">
          <w:rPr>
            <w:b w:val="0"/>
            <w:noProof/>
            <w:webHidden/>
          </w:rPr>
          <w:instrText xml:space="preserve"> PAGEREF _Toc335829654 \h </w:instrText>
        </w:r>
        <w:r w:rsidRPr="0010446A">
          <w:rPr>
            <w:b w:val="0"/>
            <w:noProof/>
          </w:rPr>
        </w:r>
        <w:r w:rsidRPr="0010446A">
          <w:rPr>
            <w:b w:val="0"/>
            <w:noProof/>
            <w:webHidden/>
          </w:rPr>
          <w:fldChar w:fldCharType="separate"/>
        </w:r>
        <w:r w:rsidR="0010446A">
          <w:rPr>
            <w:b w:val="0"/>
            <w:noProof/>
            <w:webHidden/>
          </w:rPr>
          <w:t>65</w:t>
        </w:r>
        <w:r w:rsidRPr="0010446A">
          <w:rPr>
            <w:b w:val="0"/>
            <w:noProof/>
            <w:webHidden/>
          </w:rPr>
          <w:fldChar w:fldCharType="end"/>
        </w:r>
      </w:hyperlink>
    </w:p>
    <w:p w14:paraId="5CD254A0" w14:textId="77777777" w:rsidR="00443346" w:rsidRPr="0010446A" w:rsidRDefault="000230E8" w:rsidP="00443346">
      <w:pPr>
        <w:pStyle w:val="TOC1"/>
        <w:tabs>
          <w:tab w:val="right" w:leader="dot" w:pos="8630"/>
        </w:tabs>
        <w:rPr>
          <w:rStyle w:val="Hyperlink"/>
          <w:b w:val="0"/>
          <w:noProof/>
        </w:rPr>
      </w:pPr>
      <w:hyperlink w:anchor="_Toc335829655" w:history="1">
        <w:r w:rsidRPr="0010446A">
          <w:rPr>
            <w:rStyle w:val="Hyperlink"/>
            <w:b w:val="0"/>
            <w:noProof/>
          </w:rPr>
          <w:t>Appendix 4: Policy advice papers in 2011</w:t>
        </w:r>
        <w:r w:rsidRPr="0010446A">
          <w:rPr>
            <w:b w:val="0"/>
            <w:noProof/>
            <w:webHidden/>
          </w:rPr>
          <w:tab/>
        </w:r>
        <w:r w:rsidRPr="0010446A">
          <w:rPr>
            <w:b w:val="0"/>
            <w:noProof/>
            <w:webHidden/>
          </w:rPr>
          <w:fldChar w:fldCharType="begin"/>
        </w:r>
        <w:r w:rsidRPr="0010446A">
          <w:rPr>
            <w:b w:val="0"/>
            <w:noProof/>
            <w:webHidden/>
          </w:rPr>
          <w:instrText xml:space="preserve"> PAGEREF _Toc335829655 \h </w:instrText>
        </w:r>
        <w:r w:rsidRPr="0010446A">
          <w:rPr>
            <w:b w:val="0"/>
            <w:noProof/>
          </w:rPr>
        </w:r>
        <w:r w:rsidRPr="0010446A">
          <w:rPr>
            <w:b w:val="0"/>
            <w:noProof/>
            <w:webHidden/>
          </w:rPr>
          <w:fldChar w:fldCharType="separate"/>
        </w:r>
        <w:r w:rsidR="0010446A">
          <w:rPr>
            <w:b w:val="0"/>
            <w:noProof/>
            <w:webHidden/>
          </w:rPr>
          <w:t>66</w:t>
        </w:r>
        <w:r w:rsidRPr="0010446A">
          <w:rPr>
            <w:b w:val="0"/>
            <w:noProof/>
            <w:webHidden/>
          </w:rPr>
          <w:fldChar w:fldCharType="end"/>
        </w:r>
      </w:hyperlink>
    </w:p>
    <w:p w14:paraId="0C0564A1" w14:textId="77777777" w:rsidR="000230E8" w:rsidRDefault="00443346" w:rsidP="00443346">
      <w:pPr>
        <w:pStyle w:val="Heading1"/>
      </w:pPr>
      <w:r w:rsidRPr="0010446A">
        <w:rPr>
          <w:rStyle w:val="Hyperlink"/>
          <w:b w:val="0"/>
          <w:noProof/>
        </w:rPr>
        <w:br w:type="page"/>
      </w:r>
      <w:r w:rsidR="000230E8" w:rsidRPr="0010446A">
        <w:rPr>
          <w:b w:val="0"/>
        </w:rPr>
        <w:lastRenderedPageBreak/>
        <w:fldChar w:fldCharType="end"/>
      </w:r>
      <w:bookmarkStart w:id="28" w:name="_Toc316983852"/>
      <w:bookmarkStart w:id="29" w:name="_Toc335829636"/>
      <w:bookmarkStart w:id="30" w:name="_Toc335836293"/>
      <w:bookmarkStart w:id="31" w:name="_Toc335983421"/>
      <w:bookmarkStart w:id="32" w:name="_Toc335986590"/>
      <w:r w:rsidR="000230E8">
        <w:t>Chairperson’s Statement</w:t>
      </w:r>
      <w:bookmarkEnd w:id="28"/>
      <w:bookmarkEnd w:id="29"/>
      <w:bookmarkEnd w:id="30"/>
      <w:bookmarkEnd w:id="31"/>
      <w:bookmarkEnd w:id="32"/>
    </w:p>
    <w:p w14:paraId="45F23A8C" w14:textId="77777777" w:rsidR="000230E8" w:rsidRDefault="000230E8" w:rsidP="000230E8">
      <w:r>
        <w:t xml:space="preserve">I am pleased to present the Annual Report of the National Disability Authority for 2011 to the Minister for Justice and Equality. The National Disability Authority is the independent, national advisory body to the Minister on disability issues and universal design and this report outlines its activities. </w:t>
      </w:r>
    </w:p>
    <w:p w14:paraId="78BCE054" w14:textId="77777777" w:rsidR="000230E8" w:rsidRDefault="000230E8" w:rsidP="000230E8">
      <w:pPr>
        <w:spacing w:after="120"/>
      </w:pPr>
      <w:r>
        <w:t>Economic difficulties continue to have an impact on the lives of people with disabilities. However, such difficulties can also provide the impetus for a new way of doing things, and the National Disability Authority is participating in various initiatives that seek to improve the delivery of services to people with disabilities and further enhance their inclusion in society. In 2011, the work of the National Disability Authority included:</w:t>
      </w:r>
    </w:p>
    <w:p w14:paraId="00F6DDB2" w14:textId="77777777" w:rsidR="000230E8" w:rsidRDefault="000230E8" w:rsidP="000230E8">
      <w:pPr>
        <w:pStyle w:val="ListBullet"/>
        <w:suppressAutoHyphens w:val="0"/>
      </w:pPr>
      <w:r>
        <w:t>the publication of the National Disability Authority’s third National Survey of Public Attitudes to Disability in Ireland</w:t>
      </w:r>
    </w:p>
    <w:p w14:paraId="19A3ADCA" w14:textId="77777777" w:rsidR="000230E8" w:rsidRDefault="000230E8" w:rsidP="000230E8">
      <w:pPr>
        <w:pStyle w:val="ListBullet"/>
        <w:suppressAutoHyphens w:val="0"/>
      </w:pPr>
      <w:r>
        <w:t>the development of the world’s first universal design standard for customer service in public energy suppliers</w:t>
      </w:r>
    </w:p>
    <w:p w14:paraId="374ED3BC" w14:textId="77777777" w:rsidR="000230E8" w:rsidRDefault="000230E8" w:rsidP="000230E8">
      <w:pPr>
        <w:pStyle w:val="ListBullet"/>
        <w:suppressAutoHyphens w:val="0"/>
      </w:pPr>
      <w:r>
        <w:t>the publication of a guide for employers on how to retain employees who acquire a disability</w:t>
      </w:r>
    </w:p>
    <w:p w14:paraId="661D9EDC" w14:textId="77777777" w:rsidR="000230E8" w:rsidRDefault="000230E8" w:rsidP="000230E8">
      <w:pPr>
        <w:pStyle w:val="ListBullet"/>
        <w:suppressAutoHyphens w:val="0"/>
      </w:pPr>
      <w:r>
        <w:t>the publication of a statutory code of practice covering accessible heritage sites</w:t>
      </w:r>
    </w:p>
    <w:p w14:paraId="19645210" w14:textId="77777777" w:rsidR="000230E8" w:rsidRDefault="000230E8" w:rsidP="000230E8">
      <w:pPr>
        <w:pStyle w:val="ListBullet"/>
        <w:suppressAutoHyphens w:val="0"/>
      </w:pPr>
      <w:r>
        <w:t>conduct of a review of the operation of the statutory assessment of need process, under Part 2 of the Disability Act 2005</w:t>
      </w:r>
    </w:p>
    <w:p w14:paraId="38ACF81E" w14:textId="77777777" w:rsidR="000230E8" w:rsidRDefault="000230E8" w:rsidP="000230E8">
      <w:pPr>
        <w:pStyle w:val="ListBullet"/>
        <w:suppressAutoHyphens w:val="0"/>
        <w:spacing w:after="240"/>
      </w:pPr>
      <w:r>
        <w:t>the launch of a free eLearning module to train public sector staff to provide quality services to people with disabilities</w:t>
      </w:r>
    </w:p>
    <w:p w14:paraId="5EB77B9A" w14:textId="77777777" w:rsidR="000230E8" w:rsidRDefault="000230E8" w:rsidP="000230E8">
      <w:r>
        <w:t xml:space="preserve">As for many others in the public service, 2011 was another challenging year with further reductions in staff. To this end, much of the focus during the year was placed on ensuring flexibility of resources and on the appropriate deployment of skills, across the organisation, to </w:t>
      </w:r>
      <w:proofErr w:type="gramStart"/>
      <w:r>
        <w:t>effectively and efficiently deliver the remit of the National Disability Authority</w:t>
      </w:r>
      <w:proofErr w:type="gramEnd"/>
      <w:r>
        <w:t>. Emphasis was also placed on achieving further efficiencies and value for money throughout all operations.</w:t>
      </w:r>
    </w:p>
    <w:p w14:paraId="400DA194" w14:textId="77777777" w:rsidR="000230E8" w:rsidRDefault="000230E8" w:rsidP="000230E8">
      <w:r>
        <w:t xml:space="preserve">I would like to thank the staff of the Disability Policy section in the Department of Justice and Equality, as well as the staff of the Financial Shared Services unit and the shared IT services. They assisted the National Disability Authority in its transfer back to the newly constituted Department from the former Department of Community, Equality and Gaeltacht Affairs. I would also like to thank those groups which provided advice and oversight on individual projects. </w:t>
      </w:r>
    </w:p>
    <w:p w14:paraId="65FC946A" w14:textId="77777777" w:rsidR="000230E8" w:rsidRDefault="000230E8" w:rsidP="000230E8">
      <w:r>
        <w:lastRenderedPageBreak/>
        <w:t xml:space="preserve">This year marks the halfway point in the four-year term of the current Authority. I take this opportunity to thank the members for their work during this time, </w:t>
      </w:r>
      <w:proofErr w:type="gramStart"/>
      <w:r>
        <w:t>and also</w:t>
      </w:r>
      <w:proofErr w:type="gramEnd"/>
      <w:r>
        <w:t xml:space="preserve"> the members of the Finance and Audit committees. The consistent level of attendance and the high standard of contributions across the board have demonstrated a strong commitment to making a difference.</w:t>
      </w:r>
    </w:p>
    <w:p w14:paraId="25D684B2" w14:textId="77777777" w:rsidR="000230E8" w:rsidRDefault="000230E8" w:rsidP="000230E8">
      <w:r>
        <w:t xml:space="preserve">I would like to recognise the continued dedication, </w:t>
      </w:r>
      <w:proofErr w:type="gramStart"/>
      <w:r>
        <w:t>enthusiasm</w:t>
      </w:r>
      <w:proofErr w:type="gramEnd"/>
      <w:r>
        <w:t xml:space="preserve"> and expertise of the National Disability Authority staff. I have no doubt that they will continue to work committedly to provide quality information and advice to government to guide policy and practice for people with disabilities. </w:t>
      </w:r>
    </w:p>
    <w:p w14:paraId="31AD6081" w14:textId="77777777" w:rsidR="000230E8" w:rsidRDefault="000230E8" w:rsidP="000230E8">
      <w:r>
        <w:t xml:space="preserve">Peter </w:t>
      </w:r>
      <w:proofErr w:type="spellStart"/>
      <w:r>
        <w:t>McKevitt</w:t>
      </w:r>
      <w:proofErr w:type="spellEnd"/>
    </w:p>
    <w:p w14:paraId="635C0569" w14:textId="77777777" w:rsidR="000230E8" w:rsidRDefault="000230E8" w:rsidP="000230E8">
      <w:r>
        <w:t>Chairperson</w:t>
      </w:r>
    </w:p>
    <w:p w14:paraId="5C487119" w14:textId="77777777" w:rsidR="000230E8" w:rsidRDefault="000230E8" w:rsidP="000230E8">
      <w:pPr>
        <w:pStyle w:val="Heading1"/>
      </w:pPr>
      <w:r>
        <w:br w:type="page"/>
      </w:r>
      <w:bookmarkStart w:id="33" w:name="_Toc316983853"/>
      <w:bookmarkStart w:id="34" w:name="_Toc335829637"/>
      <w:bookmarkStart w:id="35" w:name="_Toc335836294"/>
      <w:bookmarkStart w:id="36" w:name="_Toc335983422"/>
      <w:bookmarkStart w:id="37" w:name="_Toc335986591"/>
      <w:r>
        <w:lastRenderedPageBreak/>
        <w:t>Director’s Statement</w:t>
      </w:r>
      <w:bookmarkEnd w:id="33"/>
      <w:bookmarkEnd w:id="34"/>
      <w:bookmarkEnd w:id="35"/>
      <w:bookmarkEnd w:id="36"/>
      <w:bookmarkEnd w:id="37"/>
    </w:p>
    <w:p w14:paraId="6227B1C2" w14:textId="77777777" w:rsidR="000230E8" w:rsidRDefault="000230E8" w:rsidP="000230E8">
      <w:r>
        <w:t xml:space="preserve">The National Disability Authority delivered a full work programme in 2011 under the second year of our current Strategic Plan 2010-2012. The focus of our work has been on supporting continued implementation of the National Disability Strategy; guiding policy to ensure effective supports for independent living in the community; and promoting the universal design and accessibility of goods, </w:t>
      </w:r>
      <w:proofErr w:type="gramStart"/>
      <w:r>
        <w:t>services</w:t>
      </w:r>
      <w:proofErr w:type="gramEnd"/>
      <w:r>
        <w:t xml:space="preserve"> and places. </w:t>
      </w:r>
    </w:p>
    <w:p w14:paraId="27DB4BF9" w14:textId="77777777" w:rsidR="000230E8" w:rsidRDefault="000230E8" w:rsidP="000230E8">
      <w:r>
        <w:t xml:space="preserve">The National Disability Authority has continued to advise Departments on their individual programmes which form the National Disability Strategy. With changes in Departmental responsibilities, and a focus on what </w:t>
      </w:r>
      <w:proofErr w:type="gramStart"/>
      <w:r>
        <w:t>has to</w:t>
      </w:r>
      <w:proofErr w:type="gramEnd"/>
      <w:r>
        <w:t xml:space="preserve"> be done towards ratifying the UN Convention on the Rights of Persons with Disabilities, the scope will expand to bring in new areas under the umbrella of the National Disability Strategy, such as mental capacity legislation, and the areas of culture, tourism and sport. </w:t>
      </w:r>
    </w:p>
    <w:p w14:paraId="22FE69E6" w14:textId="77777777" w:rsidR="000230E8" w:rsidRDefault="000230E8" w:rsidP="000230E8">
      <w:r>
        <w:t xml:space="preserve">There have been many important developments during 2011 including publication of the </w:t>
      </w:r>
      <w:r w:rsidRPr="006C7BA1">
        <w:t xml:space="preserve">Policy Review of Disability Services produced by the Expert Group chaired by </w:t>
      </w:r>
      <w:r>
        <w:t xml:space="preserve">the </w:t>
      </w:r>
      <w:r w:rsidRPr="006C7BA1">
        <w:t>Department of Health</w:t>
      </w:r>
      <w:r>
        <w:t>,</w:t>
      </w:r>
      <w:r>
        <w:rPr>
          <w:b/>
        </w:rPr>
        <w:t xml:space="preserve"> </w:t>
      </w:r>
      <w:r w:rsidRPr="006C7BA1">
        <w:t xml:space="preserve">and </w:t>
      </w:r>
      <w:r>
        <w:t xml:space="preserve">of </w:t>
      </w:r>
      <w:r w:rsidRPr="006C7BA1">
        <w:t>the Housing Strategy for People with Disabilities.</w:t>
      </w:r>
      <w:r>
        <w:rPr>
          <w:b/>
        </w:rPr>
        <w:t xml:space="preserve"> </w:t>
      </w:r>
      <w:r>
        <w:t xml:space="preserve">As the next phase entails the implementation of new policy directions as they are adopted, the National Disability Authority has been working to guide on the systems and practices that can enable the delivery of effective supports for people with disabilities including research </w:t>
      </w:r>
      <w:proofErr w:type="gramStart"/>
      <w:r>
        <w:t>in the area of</w:t>
      </w:r>
      <w:proofErr w:type="gramEnd"/>
      <w:r>
        <w:t xml:space="preserve"> individualised budgets and natural community supports.  </w:t>
      </w:r>
    </w:p>
    <w:p w14:paraId="15315940" w14:textId="77777777" w:rsidR="000230E8" w:rsidRDefault="000230E8" w:rsidP="000230E8">
      <w:r>
        <w:t xml:space="preserve">The National Disability Authority’s Centre for Excellence in Universal Design continued to lead the way in promoting universal design which is relevant for the wider population. This work is especially relevant to an ageing society, and the issues being discussed in the European Year of Active Ageing 2012. A key focus of work in 2012 will be how technology can support people in their own homes through Telecare and Telehealth. </w:t>
      </w:r>
    </w:p>
    <w:p w14:paraId="2139A4AC" w14:textId="77777777" w:rsidR="000230E8" w:rsidRDefault="000230E8" w:rsidP="000230E8">
      <w:r>
        <w:t xml:space="preserve">I had the opportunity to represent the National Disability Authority on the Steering Group for the Taxi Regulation Review and the associated Working Group on Licensing and Administration. This was important to guide on the issues relevant to customers with disabilities including accessibility, </w:t>
      </w:r>
      <w:proofErr w:type="gramStart"/>
      <w:r>
        <w:t>availability</w:t>
      </w:r>
      <w:proofErr w:type="gramEnd"/>
      <w:r>
        <w:t xml:space="preserve"> and affordability. The report of the Steering Group is expected in early 2012.  </w:t>
      </w:r>
    </w:p>
    <w:p w14:paraId="3B6F2BB5" w14:textId="77777777" w:rsidR="000230E8" w:rsidRDefault="000230E8" w:rsidP="000230E8">
      <w:r>
        <w:t xml:space="preserve">There was a very smooth transition back to the Department of Justice and Equality from the Department of Community, Equality and Gaeltacht Affairs. We are grateful for the support from all those involved and to those who administer </w:t>
      </w:r>
      <w:r>
        <w:lastRenderedPageBreak/>
        <w:t>the shared services facilities in Finance and Information Technology which support the work of the National Disability Authority.</w:t>
      </w:r>
    </w:p>
    <w:p w14:paraId="32EC94B3" w14:textId="77777777" w:rsidR="000230E8" w:rsidRDefault="000230E8" w:rsidP="000230E8">
      <w:r>
        <w:t xml:space="preserve">The National Disability Authority continued to work to achieve efficiencies in operations as committed in our action plan under the Public Service (Croke Park) Agreement, and while we lost </w:t>
      </w:r>
      <w:proofErr w:type="gramStart"/>
      <w:r>
        <w:t>a number of</w:t>
      </w:r>
      <w:proofErr w:type="gramEnd"/>
      <w:r>
        <w:t xml:space="preserve"> staff during the year, we worked to deploy remaining resources to best effect. Staff delivered an ambitious work programme demonstrating flexibility, commitment, high levels of performance and initiative, in the shared goal to help shape policy and practice that can make a difference in the lives of people with disabilities. I thank them for this.</w:t>
      </w:r>
    </w:p>
    <w:p w14:paraId="3911579E" w14:textId="77777777" w:rsidR="000230E8" w:rsidRDefault="000230E8" w:rsidP="000230E8">
      <w:r>
        <w:t xml:space="preserve">I would also like to thank the Chairman and the members of the Authority for their strategic guidance, </w:t>
      </w:r>
      <w:proofErr w:type="gramStart"/>
      <w:r>
        <w:t>vision</w:t>
      </w:r>
      <w:proofErr w:type="gramEnd"/>
      <w:r>
        <w:t xml:space="preserve"> and support to the executive in delivering on this programme in line with the National Disability Authority’s strategic objectives. </w:t>
      </w:r>
    </w:p>
    <w:p w14:paraId="695B11E7" w14:textId="77777777" w:rsidR="000230E8" w:rsidRDefault="000230E8" w:rsidP="000230E8">
      <w:r>
        <w:t>Siobhan Barron</w:t>
      </w:r>
    </w:p>
    <w:p w14:paraId="65CAAC06" w14:textId="77777777" w:rsidR="000230E8" w:rsidRDefault="000230E8" w:rsidP="000230E8">
      <w:r>
        <w:t>Director</w:t>
      </w:r>
    </w:p>
    <w:p w14:paraId="2B364B9B" w14:textId="77777777" w:rsidR="000230E8" w:rsidRDefault="000230E8" w:rsidP="000230E8">
      <w:pPr>
        <w:pStyle w:val="Heading1"/>
      </w:pPr>
      <w:r>
        <w:br w:type="page"/>
      </w:r>
      <w:bookmarkStart w:id="38" w:name="_Toc335829638"/>
      <w:bookmarkStart w:id="39" w:name="_Toc335836295"/>
      <w:bookmarkStart w:id="40" w:name="_Toc335983423"/>
      <w:bookmarkStart w:id="41" w:name="_Toc335986592"/>
      <w:r>
        <w:lastRenderedPageBreak/>
        <w:t>Overview of 2011</w:t>
      </w:r>
      <w:bookmarkEnd w:id="38"/>
      <w:bookmarkEnd w:id="39"/>
      <w:bookmarkEnd w:id="40"/>
      <w:bookmarkEnd w:id="41"/>
    </w:p>
    <w:p w14:paraId="5CFF4296" w14:textId="77777777" w:rsidR="000230E8" w:rsidRDefault="000230E8" w:rsidP="000230E8">
      <w:r>
        <w:t xml:space="preserve">The National Disability Authority continued to fulfil its remit by offering advice and guidance towards advancing the inclusion of people with disabilities. The continued recession and its negative affect on the public finances meant that this work was carried out with less available resources than in previous years. </w:t>
      </w:r>
    </w:p>
    <w:p w14:paraId="47AA670F" w14:textId="77777777" w:rsidR="000230E8" w:rsidRDefault="000230E8" w:rsidP="000230E8">
      <w:r>
        <w:t xml:space="preserve">2011 was a year in which a new Government was appointed leading to a change in functions of individual Government Departments. The programme for Government set out commitments to publish an implementation plan for the National Disability Strategy and to move towards personalised budgets for people with disabilities. Aligned with this, the Minister for Disability, Equality, Mental </w:t>
      </w:r>
      <w:proofErr w:type="gramStart"/>
      <w:r>
        <w:t>Health</w:t>
      </w:r>
      <w:proofErr w:type="gramEnd"/>
      <w:r>
        <w:t xml:space="preserve"> and Older Persons established new structures to support the development of the Implementation Plan and to support its implementation on the ground. The National Disability Authority advised on the framework for the Plan and continued in its role as independent advisory body within the new structures. </w:t>
      </w:r>
    </w:p>
    <w:p w14:paraId="6F4079DF" w14:textId="77777777" w:rsidR="000230E8" w:rsidRDefault="000230E8" w:rsidP="000230E8">
      <w:proofErr w:type="gramStart"/>
      <w:r>
        <w:t>A number of</w:t>
      </w:r>
      <w:proofErr w:type="gramEnd"/>
      <w:r>
        <w:t xml:space="preserve"> major reports have been published on the future of Health Service Executive-funded disability support services. These include the </w:t>
      </w:r>
      <w:r w:rsidRPr="0009055C">
        <w:rPr>
          <w:b/>
        </w:rPr>
        <w:t>Report of the Disability Policy Review</w:t>
      </w:r>
      <w:r>
        <w:t xml:space="preserve"> and the report </w:t>
      </w:r>
      <w:r w:rsidRPr="0009055C">
        <w:rPr>
          <w:b/>
        </w:rPr>
        <w:t>Time to Move on from Congregated Settings</w:t>
      </w:r>
      <w:r>
        <w:t xml:space="preserve">, as well as a review of the future of adult day services. In addition, the Government has committed to move a share of disability funding to a personalised budget model. These will mean significant changes for how disability services are organised and funded. To support the work of policy development and implementation, the National Disability Authority continued to undertake relevant research and provide policy advice and information, to guide new systems of funding and supporting people with disabilities. The National Disability Authority has also hosted conferences, </w:t>
      </w:r>
      <w:proofErr w:type="gramStart"/>
      <w:r>
        <w:t>seminars</w:t>
      </w:r>
      <w:proofErr w:type="gramEnd"/>
      <w:r>
        <w:t xml:space="preserve"> and workshops, providing an opportunity for practitioners and policymakers to learn from research findings and from good practice in other jurisdictions. </w:t>
      </w:r>
    </w:p>
    <w:p w14:paraId="17904E89" w14:textId="77777777" w:rsidR="000230E8" w:rsidRDefault="000230E8" w:rsidP="000230E8">
      <w:r>
        <w:t>In line with the Strategic Plan, the National Disability Authority continued to work on disability issues across the lifecycle. During the year, t</w:t>
      </w:r>
      <w:r w:rsidRPr="003653A6">
        <w:t>he N</w:t>
      </w:r>
      <w:r>
        <w:t>ational Disability Authority</w:t>
      </w:r>
      <w:r w:rsidRPr="003653A6">
        <w:t xml:space="preserve"> </w:t>
      </w:r>
      <w:proofErr w:type="gramStart"/>
      <w:r>
        <w:t>undertook</w:t>
      </w:r>
      <w:r w:rsidRPr="003653A6">
        <w:t xml:space="preserve"> a study of</w:t>
      </w:r>
      <w:proofErr w:type="gramEnd"/>
      <w:r w:rsidRPr="003653A6">
        <w:t xml:space="preserve"> </w:t>
      </w:r>
      <w:r>
        <w:t xml:space="preserve">policy and practice in other jurisdictions in relation to Early Childhood Care and Education. The National Disability Authority also undertook a study on how the statutory </w:t>
      </w:r>
      <w:r w:rsidRPr="003653A6">
        <w:t>assessment of need of young children</w:t>
      </w:r>
      <w:r>
        <w:t xml:space="preserve"> was being delivered on the ground in Ireland. </w:t>
      </w:r>
    </w:p>
    <w:p w14:paraId="16218E40" w14:textId="77777777" w:rsidR="000230E8" w:rsidRDefault="000230E8" w:rsidP="000230E8">
      <w:r>
        <w:t xml:space="preserve">In recognition that most people acquire disabilities during working age, we also published guidelines to support the retention of staff with disabilities in employment. A series of workshops on employment were conducted, looking separately at integrated support systems to promote and sustain employment of </w:t>
      </w:r>
      <w:r>
        <w:lastRenderedPageBreak/>
        <w:t xml:space="preserve">those with intellectual disability, those with mental health difficulties, and those with physical or sensory disabilities. </w:t>
      </w:r>
    </w:p>
    <w:p w14:paraId="205AF4BC" w14:textId="77777777" w:rsidR="000230E8" w:rsidRDefault="000230E8" w:rsidP="000230E8">
      <w:r w:rsidRPr="003653A6">
        <w:t>The N</w:t>
      </w:r>
      <w:r>
        <w:t xml:space="preserve">ational Disability Authority published research which reviewed the literature </w:t>
      </w:r>
      <w:r w:rsidRPr="003653A6">
        <w:t>on resource allocation models, drawing on systems of assessment and resource allocation for adults in other jurisdictions. Such models can match resour</w:t>
      </w:r>
      <w:r>
        <w:t>ces to need in an equitable way</w:t>
      </w:r>
      <w:r w:rsidRPr="003653A6">
        <w:t xml:space="preserve"> and are </w:t>
      </w:r>
      <w:r>
        <w:t xml:space="preserve">also </w:t>
      </w:r>
      <w:r w:rsidRPr="003653A6">
        <w:t>the foundation for systems of personalised budgets</w:t>
      </w:r>
      <w:r>
        <w:t xml:space="preserve">. To inform the practical choice of resource allocation model for Ireland, the National Disability Authority began a field trial of two of the most </w:t>
      </w:r>
      <w:proofErr w:type="gramStart"/>
      <w:r>
        <w:t>widely-used</w:t>
      </w:r>
      <w:proofErr w:type="gramEnd"/>
      <w:r>
        <w:t xml:space="preserve"> needs assessment tools. </w:t>
      </w:r>
    </w:p>
    <w:p w14:paraId="5C6B8EB6" w14:textId="77777777" w:rsidR="000230E8" w:rsidRDefault="000230E8" w:rsidP="000230E8">
      <w:r>
        <w:t xml:space="preserve">It is recognised that greater participation in the local community is enabled by a variety of supports, including the family, mainstream organisations and services accessed by the wider community. </w:t>
      </w:r>
      <w:proofErr w:type="gramStart"/>
      <w:r>
        <w:t>With this in mind the</w:t>
      </w:r>
      <w:proofErr w:type="gramEnd"/>
      <w:r>
        <w:t xml:space="preserve"> National Disability Authority conducted research on the role of natural community supports, and how people with disabilities can be supported to engage in mainstream community activities. </w:t>
      </w:r>
    </w:p>
    <w:p w14:paraId="254EC1B9" w14:textId="77777777" w:rsidR="000230E8" w:rsidRDefault="000230E8" w:rsidP="000230E8">
      <w:r>
        <w:t xml:space="preserve">The </w:t>
      </w:r>
      <w:r w:rsidRPr="00162506">
        <w:rPr>
          <w:b/>
        </w:rPr>
        <w:t>National Survey of Public Attitudes to Disability in Ireland</w:t>
      </w:r>
      <w:r>
        <w:t xml:space="preserve"> was published towards the end of the year. T</w:t>
      </w:r>
      <w:r w:rsidRPr="00E7237D">
        <w:t>he findings of our study</w:t>
      </w:r>
      <w:r>
        <w:t xml:space="preserve"> indicated </w:t>
      </w:r>
      <w:r w:rsidRPr="00E7237D">
        <w:t xml:space="preserve">a hardening of attitudes </w:t>
      </w:r>
      <w:r>
        <w:t xml:space="preserve">across all types of impairments and areas of daily living, relative to the previous such survey in 2006. As attitudes are one of the key barriers to the inclusion of people with disabilities in mainstream society, the findings will be relevant to many sectors and those who can influence positive change. </w:t>
      </w:r>
    </w:p>
    <w:p w14:paraId="596A955F" w14:textId="77777777" w:rsidR="000230E8" w:rsidRDefault="000230E8" w:rsidP="000230E8">
      <w:r>
        <w:t xml:space="preserve">The statutory </w:t>
      </w:r>
      <w:r w:rsidRPr="0061574C">
        <w:rPr>
          <w:b/>
        </w:rPr>
        <w:t>Code of Practice on Accessible Heritage Sites</w:t>
      </w:r>
      <w:r>
        <w:rPr>
          <w:b/>
        </w:rPr>
        <w:t>,</w:t>
      </w:r>
      <w:r>
        <w:t xml:space="preserve"> developed by the National Disability Authority, was published, providing practical advice on making a heritage site accessible without compromising its heritage value. </w:t>
      </w:r>
    </w:p>
    <w:p w14:paraId="68F13C12" w14:textId="77777777" w:rsidR="000230E8" w:rsidRDefault="000230E8" w:rsidP="000230E8">
      <w:r>
        <w:t>The National Disability Authority also piloted and formally launched an eLearning disability awareness training module for public sector staff. This is available to download, free of charge, and takes about 90 minutes to complete. This training is a cost-effective way, in line with the public sector transformation agenda, to provide public service staff and others with the information and skills to improve services to people with disabilities. It is a tool that can assist in changing attitudes.</w:t>
      </w:r>
    </w:p>
    <w:p w14:paraId="099A6139" w14:textId="77777777" w:rsidR="000230E8" w:rsidRDefault="000230E8" w:rsidP="000230E8">
      <w:pPr>
        <w:rPr>
          <w:kern w:val="28"/>
          <w:lang w:val="en-GB"/>
        </w:rPr>
      </w:pPr>
      <w:r>
        <w:t xml:space="preserve">The National Disability Authority’s Centre for Excellence in Universal Design was centrally involved in the drafting of the world’s first national standard on universal design in customer services provided by public energy companies. It also published guidelines </w:t>
      </w:r>
      <w:r>
        <w:rPr>
          <w:kern w:val="28"/>
          <w:lang w:val="en-GB"/>
        </w:rPr>
        <w:t>for d</w:t>
      </w:r>
      <w:r w:rsidRPr="00A57030">
        <w:rPr>
          <w:kern w:val="28"/>
          <w:lang w:val="en-GB"/>
        </w:rPr>
        <w:t xml:space="preserve">igital </w:t>
      </w:r>
      <w:r>
        <w:rPr>
          <w:kern w:val="28"/>
          <w:lang w:val="en-GB"/>
        </w:rPr>
        <w:t>television</w:t>
      </w:r>
      <w:r w:rsidRPr="00A57030">
        <w:rPr>
          <w:kern w:val="28"/>
          <w:lang w:val="en-GB"/>
        </w:rPr>
        <w:t xml:space="preserve"> equipment and services</w:t>
      </w:r>
      <w:r>
        <w:rPr>
          <w:kern w:val="28"/>
          <w:lang w:val="en-GB"/>
        </w:rPr>
        <w:t xml:space="preserve"> in advance of the national digital switch over in October 2012. Society </w:t>
      </w:r>
      <w:proofErr w:type="gramStart"/>
      <w:r>
        <w:rPr>
          <w:kern w:val="28"/>
          <w:lang w:val="en-GB"/>
        </w:rPr>
        <w:t>as a whole can</w:t>
      </w:r>
      <w:proofErr w:type="gramEnd"/>
      <w:r>
        <w:rPr>
          <w:kern w:val="28"/>
          <w:lang w:val="en-GB"/>
        </w:rPr>
        <w:t xml:space="preserve"> benefit from the continued adoption of a universal design approach – getting it right from the start and saving on retrofits and specialised solutions.  Promoting awareness was </w:t>
      </w:r>
      <w:r>
        <w:rPr>
          <w:kern w:val="28"/>
          <w:lang w:val="en-GB"/>
        </w:rPr>
        <w:lastRenderedPageBreak/>
        <w:t xml:space="preserve">supported through the Universal Design Challenge where students in the areas of design come to understand the diverse needs and preferences in our society by working with partners representing the areas of age, size, </w:t>
      </w:r>
      <w:proofErr w:type="gramStart"/>
      <w:r>
        <w:rPr>
          <w:kern w:val="28"/>
          <w:lang w:val="en-GB"/>
        </w:rPr>
        <w:t>ability</w:t>
      </w:r>
      <w:proofErr w:type="gramEnd"/>
      <w:r>
        <w:rPr>
          <w:kern w:val="28"/>
          <w:lang w:val="en-GB"/>
        </w:rPr>
        <w:t xml:space="preserve"> or disability.</w:t>
      </w:r>
    </w:p>
    <w:p w14:paraId="029083A7" w14:textId="77777777" w:rsidR="000230E8" w:rsidRDefault="000230E8" w:rsidP="00C27E0C">
      <w:pPr>
        <w:pStyle w:val="Heading1"/>
      </w:pPr>
      <w:r>
        <w:rPr>
          <w:kern w:val="28"/>
          <w:lang w:val="en-GB"/>
        </w:rPr>
        <w:br w:type="page"/>
      </w:r>
      <w:bookmarkStart w:id="42" w:name="_Toc335829639"/>
      <w:bookmarkStart w:id="43" w:name="_Toc335836296"/>
      <w:bookmarkStart w:id="44" w:name="_Toc335983424"/>
      <w:bookmarkStart w:id="45" w:name="_Toc335986593"/>
      <w:r>
        <w:lastRenderedPageBreak/>
        <w:t xml:space="preserve">Strategic Priority 1:  </w:t>
      </w:r>
      <w:r w:rsidR="00C27E0C">
        <w:t xml:space="preserve">To provide support and </w:t>
      </w:r>
      <w:proofErr w:type="gramStart"/>
      <w:r w:rsidR="00C27E0C">
        <w:t xml:space="preserve">evidence </w:t>
      </w:r>
      <w:r>
        <w:t>based</w:t>
      </w:r>
      <w:proofErr w:type="gramEnd"/>
      <w:r>
        <w:t xml:space="preserve"> advice to Government Departments and Public Bodies</w:t>
      </w:r>
      <w:bookmarkEnd w:id="42"/>
      <w:bookmarkEnd w:id="43"/>
      <w:bookmarkEnd w:id="44"/>
      <w:bookmarkEnd w:id="45"/>
    </w:p>
    <w:p w14:paraId="7D175D21" w14:textId="77777777" w:rsidR="000230E8" w:rsidRPr="000D5B3B" w:rsidRDefault="000230E8" w:rsidP="000230E8">
      <w:pPr>
        <w:pStyle w:val="ListBullet"/>
        <w:suppressAutoHyphens w:val="0"/>
        <w:rPr>
          <w:b/>
        </w:rPr>
      </w:pPr>
      <w:r w:rsidRPr="000D5B3B">
        <w:rPr>
          <w:b/>
        </w:rPr>
        <w:t>supporting the effective implementation of the National Disability Strategy</w:t>
      </w:r>
    </w:p>
    <w:p w14:paraId="045CB56D" w14:textId="77777777" w:rsidR="000230E8" w:rsidRPr="000D5B3B" w:rsidRDefault="000230E8" w:rsidP="000230E8">
      <w:pPr>
        <w:pStyle w:val="ListBullet"/>
        <w:suppressAutoHyphens w:val="0"/>
        <w:spacing w:after="360"/>
        <w:rPr>
          <w:b/>
        </w:rPr>
      </w:pPr>
      <w:r w:rsidRPr="000D5B3B">
        <w:rPr>
          <w:b/>
        </w:rPr>
        <w:t>monitoring the impact of the National Disability Strategy</w:t>
      </w:r>
    </w:p>
    <w:p w14:paraId="73A8D981" w14:textId="77777777" w:rsidR="000230E8" w:rsidRDefault="000230E8" w:rsidP="000230E8">
      <w:pPr>
        <w:pStyle w:val="Heading2"/>
      </w:pPr>
      <w:bookmarkStart w:id="46" w:name="_Toc335836297"/>
      <w:r>
        <w:t>National Disability Strategy</w:t>
      </w:r>
      <w:bookmarkEnd w:id="46"/>
    </w:p>
    <w:p w14:paraId="2FAD31EF" w14:textId="77777777" w:rsidR="000230E8" w:rsidRDefault="000230E8" w:rsidP="000230E8">
      <w:r>
        <w:t xml:space="preserve">The National Disability Strategy continued to be progressed as a whole-of-government approach to working to achieve the enhanced participation and inclusion of people with disabilities in the mainstream of Irish society. The National Disability Authority provided ongoing advice on the implementation of the National Disability Strategy to the Minister of State with special responsibility for </w:t>
      </w:r>
      <w:r w:rsidRPr="00426FA8">
        <w:t xml:space="preserve">Disability, Equality, Mental </w:t>
      </w:r>
      <w:proofErr w:type="gramStart"/>
      <w:r w:rsidRPr="00426FA8">
        <w:t>Health</w:t>
      </w:r>
      <w:proofErr w:type="gramEnd"/>
      <w:r w:rsidRPr="00426FA8">
        <w:t xml:space="preserve"> and Older People</w:t>
      </w:r>
      <w:r>
        <w:t>, to relevant Government Departments and to relevant public bodies such as the Health Service Executive, local authorities, state transport companies and the communications and energy sectors.</w:t>
      </w:r>
    </w:p>
    <w:p w14:paraId="22617245" w14:textId="77777777" w:rsidR="000230E8" w:rsidRDefault="000230E8" w:rsidP="000230E8">
      <w:r>
        <w:t xml:space="preserve">The </w:t>
      </w:r>
      <w:r w:rsidRPr="00121F3B">
        <w:t>Programme for Government</w:t>
      </w:r>
      <w:r>
        <w:rPr>
          <w:rStyle w:val="FootnoteReference0"/>
        </w:rPr>
        <w:footnoteReference w:id="1"/>
      </w:r>
      <w:r>
        <w:t xml:space="preserve"> pledged to publish a: “realistic implementation plan for the National Disability Strategy”. One of the early changes in approach was the reconstitution of the national committee to oversee this work by the appointment of members to the National Disability Strategy Stakeholder Implementation Group. This new Group consists of senior officials from 10 Government Departments, the National Disability Authority, the </w:t>
      </w:r>
      <w:r w:rsidRPr="00121F3B">
        <w:t>County and City Managers' Association</w:t>
      </w:r>
      <w:r>
        <w:t xml:space="preserve"> and includes the Disability Stakeholder Group which is representative of persons with disabilities.  </w:t>
      </w:r>
    </w:p>
    <w:p w14:paraId="0F698FBF" w14:textId="77777777" w:rsidR="000230E8" w:rsidRDefault="000230E8" w:rsidP="000230E8">
      <w:pPr>
        <w:spacing w:after="120"/>
      </w:pPr>
      <w:r>
        <w:t>The purpose of the National Disability Strategy Stakeholder Implementation Group is:</w:t>
      </w:r>
    </w:p>
    <w:p w14:paraId="5FBC3B39" w14:textId="77777777" w:rsidR="000230E8" w:rsidRDefault="000230E8" w:rsidP="000230E8">
      <w:pPr>
        <w:pStyle w:val="ListBullet"/>
        <w:suppressAutoHyphens w:val="0"/>
      </w:pPr>
      <w:r>
        <w:t>To provide a forum under the leadership of the Minister of State, within which government officials and disability stakeholders can work together, to guide the development of a National Disability Strategy Implementation Plan and to collaborate on its implementation, including advising on resolution of implementation difficulties</w:t>
      </w:r>
    </w:p>
    <w:p w14:paraId="5338D352" w14:textId="77777777" w:rsidR="000230E8" w:rsidRDefault="000230E8" w:rsidP="000230E8">
      <w:pPr>
        <w:pStyle w:val="ListBullet"/>
        <w:suppressAutoHyphens w:val="0"/>
      </w:pPr>
      <w:r>
        <w:t>To bring the lived experience of people with disabilities to bear on strategic and cross-sectoral implementation issues</w:t>
      </w:r>
    </w:p>
    <w:p w14:paraId="460FD3EB" w14:textId="77777777" w:rsidR="000230E8" w:rsidRDefault="000230E8" w:rsidP="000230E8">
      <w:pPr>
        <w:pStyle w:val="ListBullet"/>
        <w:suppressAutoHyphens w:val="0"/>
      </w:pPr>
      <w:r>
        <w:lastRenderedPageBreak/>
        <w:t>To promote positive change in attitudes towards disability</w:t>
      </w:r>
    </w:p>
    <w:p w14:paraId="6841C41F" w14:textId="77777777" w:rsidR="000230E8" w:rsidRDefault="000230E8" w:rsidP="000230E8">
      <w:pPr>
        <w:pStyle w:val="ListBullet"/>
        <w:suppressAutoHyphens w:val="0"/>
        <w:spacing w:after="240"/>
      </w:pPr>
      <w:r>
        <w:t>To support the Minister of State in reporting on the Implementation Plan as required to the Cabinet Committee on Social Policy</w:t>
      </w:r>
    </w:p>
    <w:p w14:paraId="3E0DCCBA" w14:textId="77777777" w:rsidR="000230E8" w:rsidRDefault="000230E8" w:rsidP="000230E8">
      <w:r w:rsidRPr="00D54182">
        <w:t>The N</w:t>
      </w:r>
      <w:r>
        <w:t>ational Disability Authority</w:t>
      </w:r>
      <w:r w:rsidRPr="00D54182">
        <w:t xml:space="preserve"> </w:t>
      </w:r>
      <w:r>
        <w:t>provided written</w:t>
      </w:r>
      <w:r w:rsidRPr="00D54182">
        <w:t xml:space="preserve"> advice to the </w:t>
      </w:r>
      <w:r>
        <w:t>National Disability Strategy Stakeholder Implementation Group</w:t>
      </w:r>
      <w:r w:rsidRPr="00D54182">
        <w:t xml:space="preserve"> in an independent capacity</w:t>
      </w:r>
      <w:r>
        <w:t xml:space="preserve"> and attended its first meeting in November 2011.  The Minister appointed members to the Disability Stakeholder Group which was tasked to work with Departments to support the development and implementation of a </w:t>
      </w:r>
      <w:proofErr w:type="gramStart"/>
      <w:r>
        <w:t>3 year</w:t>
      </w:r>
      <w:proofErr w:type="gramEnd"/>
      <w:r>
        <w:t xml:space="preserve"> action programme for the Strategy.  The Minister appointed the Director of the National Disability Authority as independent chairperson of the Disability Stakeholder Group to facilitate a co-ordinated input to the National Disability Strategy Implementation Group, and the National Disability Authority provides its secretariat.</w:t>
      </w:r>
    </w:p>
    <w:p w14:paraId="3273D1E4" w14:textId="77777777" w:rsidR="000230E8" w:rsidRDefault="000230E8" w:rsidP="000230E8">
      <w:pPr>
        <w:pStyle w:val="Heading2"/>
      </w:pPr>
      <w:bookmarkStart w:id="47" w:name="_Toc335836298"/>
      <w:r>
        <w:t>Departmental Strategy Statements</w:t>
      </w:r>
      <w:bookmarkEnd w:id="47"/>
      <w:r>
        <w:t xml:space="preserve"> </w:t>
      </w:r>
    </w:p>
    <w:p w14:paraId="2047D4E6" w14:textId="77777777" w:rsidR="000230E8" w:rsidRDefault="000230E8" w:rsidP="000230E8">
      <w:r>
        <w:t xml:space="preserve">The National Disability Authority contributed policy advice to government departments in relation to new Strategy Statements legally required following a change of Government. These policy advice papers contained </w:t>
      </w:r>
      <w:proofErr w:type="gramStart"/>
      <w:r>
        <w:t>particular recommendations</w:t>
      </w:r>
      <w:proofErr w:type="gramEnd"/>
      <w:r>
        <w:t xml:space="preserve"> on disability matters for inclusion in the strategy statements. In particular, the reorganisation of Departments in March 2011 widened the remit of a number of those Departments obliged under the Disability Act to have sectoral plans on disability, creating the opportunity to bring a stronger disability focus to the wider work of these Departments. The National Disability Authority also advised on measures needed to comply with the obligation to deliver accessible public services and to promote and support the employment of people with disabilities.</w:t>
      </w:r>
    </w:p>
    <w:p w14:paraId="7EBF3073" w14:textId="77777777" w:rsidR="000230E8" w:rsidRPr="002128B0" w:rsidRDefault="000230E8" w:rsidP="000230E8">
      <w:pPr>
        <w:pStyle w:val="Heading2"/>
      </w:pPr>
      <w:bookmarkStart w:id="48" w:name="_Toc335836299"/>
      <w:r>
        <w:t>Disability Impact A</w:t>
      </w:r>
      <w:r w:rsidRPr="002128B0">
        <w:t>ssessment</w:t>
      </w:r>
      <w:bookmarkEnd w:id="48"/>
    </w:p>
    <w:p w14:paraId="07B2B520" w14:textId="77777777" w:rsidR="000230E8" w:rsidRDefault="000230E8" w:rsidP="000230E8">
      <w:r w:rsidRPr="002128B0">
        <w:t>The National Disability Authority has worked in partnership with the Department of Justice and Equality</w:t>
      </w:r>
      <w:r>
        <w:t>,</w:t>
      </w:r>
      <w:r w:rsidRPr="002128B0">
        <w:t xml:space="preserve"> and the Equality Authority</w:t>
      </w:r>
      <w:r>
        <w:t>,</w:t>
      </w:r>
      <w:r w:rsidRPr="002128B0">
        <w:t xml:space="preserve"> in the</w:t>
      </w:r>
      <w:r>
        <w:t xml:space="preserve"> development of guidelines for government d</w:t>
      </w:r>
      <w:r w:rsidRPr="002128B0">
        <w:t>epartments on how to conduct a Disability Impact Assessment. A Disability Impact Assessment look</w:t>
      </w:r>
      <w:r>
        <w:t>s at the likely impacts, identifies key issues and applies</w:t>
      </w:r>
      <w:r w:rsidRPr="002128B0">
        <w:t xml:space="preserve"> reasonable actions</w:t>
      </w:r>
      <w:r>
        <w:t>,</w:t>
      </w:r>
      <w:r w:rsidRPr="002128B0">
        <w:t xml:space="preserve"> in relation to any proposed policy or legislation. The Cabinet Handbook requires that all s</w:t>
      </w:r>
      <w:r>
        <w:t>ubstantive memoranda coming to g</w:t>
      </w:r>
      <w:r w:rsidRPr="002128B0">
        <w:t>overnment must have had a Disability Impact Assessment done. These guidelines are aimed at helping this process. The draft guidelin</w:t>
      </w:r>
      <w:r>
        <w:t xml:space="preserve">es were piloted in </w:t>
      </w:r>
      <w:proofErr w:type="gramStart"/>
      <w:r>
        <w:t>a number of</w:t>
      </w:r>
      <w:proofErr w:type="gramEnd"/>
      <w:r>
        <w:t xml:space="preserve"> d</w:t>
      </w:r>
      <w:r w:rsidRPr="002128B0">
        <w:t>epartments during 2011. The guidelines will be published in 2012.</w:t>
      </w:r>
    </w:p>
    <w:p w14:paraId="6DDB3E26" w14:textId="77777777" w:rsidR="000230E8" w:rsidRDefault="000230E8" w:rsidP="000230E8">
      <w:pPr>
        <w:pStyle w:val="Heading2"/>
      </w:pPr>
      <w:bookmarkStart w:id="49" w:name="_Toc335836300"/>
      <w:r>
        <w:lastRenderedPageBreak/>
        <w:t>Health and disability support services</w:t>
      </w:r>
      <w:bookmarkEnd w:id="49"/>
    </w:p>
    <w:p w14:paraId="0EEC3A7C" w14:textId="77777777" w:rsidR="000230E8" w:rsidRDefault="000230E8" w:rsidP="000230E8">
      <w:pPr>
        <w:pStyle w:val="Heading3"/>
      </w:pPr>
      <w:bookmarkStart w:id="50" w:name="_Toc335836301"/>
      <w:r>
        <w:t>Assessment of Need</w:t>
      </w:r>
      <w:bookmarkEnd w:id="50"/>
    </w:p>
    <w:p w14:paraId="178C5222" w14:textId="77777777" w:rsidR="000230E8" w:rsidRDefault="000230E8" w:rsidP="000230E8">
      <w:r>
        <w:t xml:space="preserve">The National Disability Authority undertook a project to look at </w:t>
      </w:r>
      <w:r w:rsidRPr="00062934">
        <w:t>the</w:t>
      </w:r>
      <w:r>
        <w:t xml:space="preserve"> operation of the </w:t>
      </w:r>
      <w:r w:rsidRPr="00062934">
        <w:t xml:space="preserve">statutory assessment of need process </w:t>
      </w:r>
      <w:r>
        <w:t>under the Disability Act 2005. This work was done in</w:t>
      </w:r>
      <w:r w:rsidRPr="00821725">
        <w:t xml:space="preserve"> partnership </w:t>
      </w:r>
      <w:r>
        <w:t>with</w:t>
      </w:r>
      <w:r w:rsidRPr="00821725">
        <w:t xml:space="preserve"> </w:t>
      </w:r>
      <w:r>
        <w:t xml:space="preserve">the </w:t>
      </w:r>
      <w:r w:rsidRPr="00821725">
        <w:t>Department of Health (Office of</w:t>
      </w:r>
      <w:r>
        <w:t xml:space="preserve"> Disability and Mental Health) and </w:t>
      </w:r>
      <w:r w:rsidRPr="00821725">
        <w:t>the Health Service Executive (National Disability Unit)</w:t>
      </w:r>
      <w:r>
        <w:t>.</w:t>
      </w:r>
      <w:r w:rsidRPr="00D478B5">
        <w:t xml:space="preserve"> </w:t>
      </w:r>
    </w:p>
    <w:p w14:paraId="7D37A6D5" w14:textId="77777777" w:rsidR="000230E8" w:rsidRPr="00062934" w:rsidRDefault="000230E8" w:rsidP="000230E8">
      <w:pPr>
        <w:pStyle w:val="NormalBeforeList"/>
      </w:pPr>
      <w:r>
        <w:t xml:space="preserve">The </w:t>
      </w:r>
      <w:r w:rsidRPr="00062934">
        <w:t>overall aim</w:t>
      </w:r>
      <w:r>
        <w:t>s</w:t>
      </w:r>
      <w:r w:rsidRPr="00062934">
        <w:t xml:space="preserve"> w</w:t>
      </w:r>
      <w:r>
        <w:t>ere</w:t>
      </w:r>
      <w:r w:rsidRPr="00062934">
        <w:t>:</w:t>
      </w:r>
    </w:p>
    <w:p w14:paraId="5B083A54" w14:textId="77777777" w:rsidR="000230E8" w:rsidRPr="00062934" w:rsidRDefault="000230E8" w:rsidP="00C27E0C">
      <w:pPr>
        <w:pStyle w:val="ListBullet"/>
      </w:pPr>
      <w:r w:rsidRPr="00062934">
        <w:t xml:space="preserve">to describe practice and understandings of various </w:t>
      </w:r>
      <w:r>
        <w:t xml:space="preserve">personnel </w:t>
      </w:r>
      <w:r w:rsidRPr="00062934">
        <w:t xml:space="preserve">involved in the statutory assessment of need </w:t>
      </w:r>
    </w:p>
    <w:p w14:paraId="65B29995" w14:textId="77777777" w:rsidR="000230E8" w:rsidRDefault="000230E8" w:rsidP="00C27E0C">
      <w:pPr>
        <w:pStyle w:val="ListBullet"/>
      </w:pPr>
      <w:r w:rsidRPr="00062934">
        <w:t xml:space="preserve">to understand parents’ understandings, </w:t>
      </w:r>
      <w:proofErr w:type="gramStart"/>
      <w:r w:rsidRPr="00062934">
        <w:t>motivations</w:t>
      </w:r>
      <w:proofErr w:type="gramEnd"/>
      <w:r w:rsidRPr="00062934">
        <w:t xml:space="preserve"> and experiences of the statutory assessment of need process</w:t>
      </w:r>
      <w:r>
        <w:t xml:space="preserve"> </w:t>
      </w:r>
    </w:p>
    <w:p w14:paraId="0FBAC6A5" w14:textId="77777777" w:rsidR="000230E8" w:rsidRDefault="000230E8" w:rsidP="000230E8">
      <w:r>
        <w:t xml:space="preserve">The work undertaken involved face to face interviews with a range of professionals drawn from eight Local Health Office areas across the country and interviews with parents who had been through the statutory assessment of need process. </w:t>
      </w:r>
    </w:p>
    <w:p w14:paraId="0B634F6F" w14:textId="77777777" w:rsidR="000230E8" w:rsidRDefault="000230E8" w:rsidP="000230E8">
      <w:r w:rsidRPr="00062934">
        <w:t>T</w:t>
      </w:r>
      <w:r>
        <w:t xml:space="preserve">he findings </w:t>
      </w:r>
      <w:r w:rsidRPr="00062934">
        <w:t>highlight</w:t>
      </w:r>
      <w:r>
        <w:t xml:space="preserve"> challenges that have emerged in operating the statutory assessment of need process. They also highlight some </w:t>
      </w:r>
      <w:r w:rsidRPr="00062934">
        <w:t xml:space="preserve">good practice and innovations that have been developed to meet the needs of young children and families </w:t>
      </w:r>
      <w:r>
        <w:t>which</w:t>
      </w:r>
      <w:r w:rsidRPr="00062934">
        <w:t xml:space="preserve"> are in keeping with the legal requirements of the Disability Act</w:t>
      </w:r>
      <w:r>
        <w:t xml:space="preserve"> 2005</w:t>
      </w:r>
      <w:r w:rsidRPr="00062934">
        <w:t xml:space="preserve">. </w:t>
      </w:r>
      <w:r>
        <w:t>The full report will be published in 2012.</w:t>
      </w:r>
    </w:p>
    <w:p w14:paraId="7BEAFE3B" w14:textId="77777777" w:rsidR="000230E8" w:rsidRDefault="000230E8" w:rsidP="000230E8">
      <w:pPr>
        <w:pStyle w:val="Heading3"/>
      </w:pPr>
      <w:bookmarkStart w:id="51" w:name="_Toc335836302"/>
      <w:r>
        <w:t>Mainstream early childhood care and education</w:t>
      </w:r>
      <w:bookmarkEnd w:id="51"/>
    </w:p>
    <w:p w14:paraId="01282462" w14:textId="77777777" w:rsidR="000230E8" w:rsidRDefault="000230E8" w:rsidP="000230E8">
      <w:r>
        <w:t>At the request of the Office for Disability and Mental Health in the Department of Health, the National Disability Authority produced a briefing paper on the inclusion of children with disabilities in the Early Childhood Care and Education scheme. The briefing paper was based on evidence from the research literature and evidence of practice of how similar schemes are administered in other countries.</w:t>
      </w:r>
    </w:p>
    <w:p w14:paraId="7C087C52" w14:textId="77777777" w:rsidR="000230E8" w:rsidRDefault="000230E8" w:rsidP="000230E8">
      <w:pPr>
        <w:pStyle w:val="Heading3"/>
      </w:pPr>
      <w:bookmarkStart w:id="52" w:name="_Toc335836303"/>
      <w:r>
        <w:t>Consultation on a Commissioning Framework for Disability Services</w:t>
      </w:r>
      <w:bookmarkEnd w:id="52"/>
      <w:r>
        <w:t xml:space="preserve"> </w:t>
      </w:r>
    </w:p>
    <w:p w14:paraId="6C9642E2" w14:textId="77777777" w:rsidR="000230E8" w:rsidRDefault="000230E8" w:rsidP="000230E8">
      <w:r>
        <w:t xml:space="preserve">Commissioning is a means by which social support services can be planned for and funded. The National Disability Authority review of contemporary disability service systems, completed in 2010, identified commissioning as one of the ways in which other jurisdictions fund disability services. </w:t>
      </w:r>
    </w:p>
    <w:p w14:paraId="5B90CF76" w14:textId="77777777" w:rsidR="000230E8" w:rsidRDefault="000230E8" w:rsidP="00443346">
      <w:pPr>
        <w:pStyle w:val="NormalBeforeList"/>
      </w:pPr>
      <w:r>
        <w:t>In 2011, the National Disability Authority undertook a consultation process on the commissioning of disability support services. The consultation process included:</w:t>
      </w:r>
    </w:p>
    <w:p w14:paraId="5D73C957" w14:textId="77777777" w:rsidR="000230E8" w:rsidRDefault="000230E8" w:rsidP="00C27E0C">
      <w:pPr>
        <w:pStyle w:val="ListBullet"/>
      </w:pPr>
      <w:r>
        <w:lastRenderedPageBreak/>
        <w:t>developing a preliminary discussion paper on commissioning disability services and circulating it to stakeholders for comments</w:t>
      </w:r>
    </w:p>
    <w:p w14:paraId="3E0008E4" w14:textId="77777777" w:rsidR="000230E8" w:rsidRDefault="000230E8" w:rsidP="00C27E0C">
      <w:pPr>
        <w:pStyle w:val="ListBullet"/>
      </w:pPr>
      <w:r>
        <w:t xml:space="preserve">collating an analysis of responses by service user groups and service providers to the National Disability Authority’s “preliminary view” paper on commissioning disability services </w:t>
      </w:r>
    </w:p>
    <w:p w14:paraId="2261D717" w14:textId="77777777" w:rsidR="000230E8" w:rsidRDefault="000230E8" w:rsidP="00C27E0C">
      <w:pPr>
        <w:pStyle w:val="ListBullet"/>
      </w:pPr>
      <w:r>
        <w:t>organising an expert seminar on commissioning of disability services</w:t>
      </w:r>
    </w:p>
    <w:p w14:paraId="1E85530B" w14:textId="77777777" w:rsidR="000230E8" w:rsidRDefault="000230E8" w:rsidP="000230E8">
      <w:pPr>
        <w:pStyle w:val="Heading3"/>
      </w:pPr>
      <w:bookmarkStart w:id="53" w:name="_Toc335836304"/>
      <w:r>
        <w:t>Review of the Mental Health Act 2001</w:t>
      </w:r>
      <w:bookmarkEnd w:id="53"/>
    </w:p>
    <w:p w14:paraId="7BCF7D9F" w14:textId="77777777" w:rsidR="000230E8" w:rsidRDefault="000230E8" w:rsidP="000230E8">
      <w:pPr>
        <w:rPr>
          <w:lang w:val="en-GB"/>
        </w:rPr>
      </w:pPr>
      <w:r>
        <w:t>The National Disability Authority made a submission to the Department of Health in October 2011, in relation to the Review of the Mental Health Act 2001. As part of the process of informing this submission, t</w:t>
      </w:r>
      <w:r w:rsidRPr="00302360">
        <w:t xml:space="preserve">he National Disability Authority engaged with </w:t>
      </w:r>
      <w:proofErr w:type="gramStart"/>
      <w:r w:rsidRPr="00302360">
        <w:t>a number of</w:t>
      </w:r>
      <w:proofErr w:type="gramEnd"/>
      <w:r w:rsidRPr="00302360">
        <w:t xml:space="preserve"> stakeholders who are involve</w:t>
      </w:r>
      <w:r>
        <w:t xml:space="preserve">d in the area of mental health - </w:t>
      </w:r>
      <w:r w:rsidRPr="00302360">
        <w:t xml:space="preserve">including service users, </w:t>
      </w:r>
      <w:r>
        <w:t xml:space="preserve">service </w:t>
      </w:r>
      <w:r w:rsidRPr="00302360">
        <w:t>provide</w:t>
      </w:r>
      <w:r>
        <w:t xml:space="preserve">rs, advocates and organisations - </w:t>
      </w:r>
      <w:r w:rsidRPr="00302360">
        <w:rPr>
          <w:lang w:val="en-GB"/>
        </w:rPr>
        <w:t xml:space="preserve">to listen to their views </w:t>
      </w:r>
      <w:r>
        <w:rPr>
          <w:lang w:val="en-GB"/>
        </w:rPr>
        <w:t xml:space="preserve">regarding the operation of the Mental Health Act 2001.   </w:t>
      </w:r>
    </w:p>
    <w:p w14:paraId="6213388B" w14:textId="77777777" w:rsidR="000230E8" w:rsidRPr="00302360" w:rsidRDefault="000230E8" w:rsidP="000230E8">
      <w:pPr>
        <w:pStyle w:val="NormalBeforeList"/>
        <w:rPr>
          <w:lang w:val="en-GB"/>
        </w:rPr>
      </w:pPr>
      <w:r w:rsidRPr="00302360">
        <w:rPr>
          <w:lang w:val="en-GB"/>
        </w:rPr>
        <w:t>Some of the key issues highlighted in the submission include</w:t>
      </w:r>
      <w:r>
        <w:rPr>
          <w:lang w:val="en-GB"/>
        </w:rPr>
        <w:t>d</w:t>
      </w:r>
      <w:r w:rsidRPr="00302360">
        <w:rPr>
          <w:lang w:val="en-GB"/>
        </w:rPr>
        <w:t>:</w:t>
      </w:r>
    </w:p>
    <w:p w14:paraId="166D0909" w14:textId="77777777" w:rsidR="000230E8" w:rsidRPr="00302360" w:rsidRDefault="000230E8" w:rsidP="00C27E0C">
      <w:pPr>
        <w:pStyle w:val="ListBullet"/>
        <w:rPr>
          <w:lang w:val="en-GB"/>
        </w:rPr>
      </w:pPr>
      <w:r w:rsidRPr="00302360">
        <w:rPr>
          <w:lang w:val="en-GB"/>
        </w:rPr>
        <w:t xml:space="preserve">The need to </w:t>
      </w:r>
      <w:r>
        <w:rPr>
          <w:lang w:val="en-GB"/>
        </w:rPr>
        <w:t>make</w:t>
      </w:r>
      <w:r w:rsidRPr="00302360">
        <w:rPr>
          <w:lang w:val="en-GB"/>
        </w:rPr>
        <w:t xml:space="preserve"> the Mental Health Act </w:t>
      </w:r>
      <w:r>
        <w:rPr>
          <w:lang w:val="en-GB"/>
        </w:rPr>
        <w:t>2001</w:t>
      </w:r>
      <w:r w:rsidRPr="00302360">
        <w:rPr>
          <w:lang w:val="en-GB"/>
        </w:rPr>
        <w:t xml:space="preserve">consistent with the proposed </w:t>
      </w:r>
      <w:r>
        <w:rPr>
          <w:lang w:val="en-GB"/>
        </w:rPr>
        <w:t>mental capacity legislation</w:t>
      </w:r>
    </w:p>
    <w:p w14:paraId="70005E41" w14:textId="77777777" w:rsidR="000230E8" w:rsidRPr="00302360" w:rsidRDefault="000230E8" w:rsidP="00C27E0C">
      <w:pPr>
        <w:pStyle w:val="ListBullet"/>
        <w:rPr>
          <w:lang w:val="en-GB"/>
        </w:rPr>
      </w:pPr>
      <w:r w:rsidRPr="00302360">
        <w:rPr>
          <w:lang w:val="en-GB"/>
        </w:rPr>
        <w:t xml:space="preserve">The </w:t>
      </w:r>
      <w:r>
        <w:rPr>
          <w:lang w:val="en-GB"/>
        </w:rPr>
        <w:t xml:space="preserve">position </w:t>
      </w:r>
      <w:r w:rsidRPr="00302360">
        <w:rPr>
          <w:lang w:val="en-GB"/>
        </w:rPr>
        <w:t>of children and young people who require mental health services</w:t>
      </w:r>
      <w:r>
        <w:rPr>
          <w:lang w:val="en-GB"/>
        </w:rPr>
        <w:t xml:space="preserve"> </w:t>
      </w:r>
    </w:p>
    <w:p w14:paraId="592CE876" w14:textId="77777777" w:rsidR="000230E8" w:rsidRPr="00302360" w:rsidRDefault="000230E8" w:rsidP="00C27E0C">
      <w:pPr>
        <w:pStyle w:val="ListBullet"/>
        <w:rPr>
          <w:lang w:val="en-GB"/>
        </w:rPr>
      </w:pPr>
      <w:r w:rsidRPr="00302360">
        <w:rPr>
          <w:lang w:val="en-GB"/>
        </w:rPr>
        <w:t xml:space="preserve">Safeguards for people with mental health difficulties in relation to detention, </w:t>
      </w:r>
      <w:proofErr w:type="gramStart"/>
      <w:r w:rsidRPr="00302360">
        <w:rPr>
          <w:lang w:val="en-GB"/>
        </w:rPr>
        <w:t>treatment</w:t>
      </w:r>
      <w:proofErr w:type="gramEnd"/>
      <w:r w:rsidRPr="00302360">
        <w:rPr>
          <w:lang w:val="en-GB"/>
        </w:rPr>
        <w:t xml:space="preserve"> and restraint in line with best international practice</w:t>
      </w:r>
    </w:p>
    <w:p w14:paraId="2ADED2A8" w14:textId="77777777" w:rsidR="000230E8" w:rsidRPr="00302360" w:rsidRDefault="000230E8" w:rsidP="00C27E0C">
      <w:pPr>
        <w:pStyle w:val="ListBullet"/>
        <w:rPr>
          <w:lang w:val="en-GB"/>
        </w:rPr>
      </w:pPr>
      <w:r w:rsidRPr="00302360">
        <w:rPr>
          <w:lang w:val="en-GB"/>
        </w:rPr>
        <w:t>The extension of the remit of the Mental Health Commission and the Mental Health Inspectorate and the licensing of all mental health services</w:t>
      </w:r>
    </w:p>
    <w:p w14:paraId="41443E10" w14:textId="77777777" w:rsidR="000230E8" w:rsidRDefault="000230E8" w:rsidP="000230E8">
      <w:pPr>
        <w:pStyle w:val="Heading3"/>
      </w:pPr>
      <w:bookmarkStart w:id="54" w:name="_Toc335836305"/>
      <w:r>
        <w:t>Value for Money Review of disability support services</w:t>
      </w:r>
      <w:bookmarkEnd w:id="54"/>
    </w:p>
    <w:p w14:paraId="720DCD24" w14:textId="77777777" w:rsidR="000230E8" w:rsidRDefault="000230E8" w:rsidP="000230E8">
      <w:pPr>
        <w:rPr>
          <w:rFonts w:ascii="Helv" w:hAnsi="Helv" w:cs="Helv"/>
          <w:b/>
          <w:bCs/>
          <w:color w:val="000000"/>
          <w:sz w:val="20"/>
          <w:szCs w:val="20"/>
          <w:lang w:eastAsia="en-IE"/>
        </w:rPr>
      </w:pPr>
      <w:r>
        <w:t xml:space="preserve">The </w:t>
      </w:r>
      <w:r w:rsidRPr="004A48B8">
        <w:t xml:space="preserve">National Disability Authority </w:t>
      </w:r>
      <w:r>
        <w:t xml:space="preserve">has provided significant input, over the last two years, to guide the review of disability service policy as part of the Department of Health’s wider Value for Money and Policy Review of Disability Services. Following publication of proposals from the expert working group on policy, the National Disability Authority </w:t>
      </w:r>
      <w:r w:rsidRPr="004A48B8">
        <w:t xml:space="preserve">submitted a </w:t>
      </w:r>
      <w:r>
        <w:t xml:space="preserve">further </w:t>
      </w:r>
      <w:r w:rsidRPr="004A48B8">
        <w:t>policy advice in November 2011</w:t>
      </w:r>
      <w:r>
        <w:t xml:space="preserve"> </w:t>
      </w:r>
      <w:r w:rsidRPr="004A48B8">
        <w:t xml:space="preserve">paper in response to the Department of Health's </w:t>
      </w:r>
      <w:r>
        <w:t>consultation on those proposals</w:t>
      </w:r>
      <w:r>
        <w:rPr>
          <w:rFonts w:ascii="Helv" w:hAnsi="Helv" w:cs="Helv"/>
          <w:b/>
          <w:bCs/>
          <w:color w:val="000000"/>
          <w:sz w:val="20"/>
          <w:szCs w:val="20"/>
          <w:lang w:eastAsia="en-IE"/>
        </w:rPr>
        <w:t>.</w:t>
      </w:r>
    </w:p>
    <w:p w14:paraId="1683DC69" w14:textId="77777777" w:rsidR="000230E8" w:rsidRDefault="000230E8" w:rsidP="000230E8">
      <w:pPr>
        <w:rPr>
          <w:rFonts w:ascii="Helv" w:hAnsi="Helv" w:cs="Helv"/>
          <w:b/>
          <w:bCs/>
          <w:color w:val="000000"/>
          <w:sz w:val="20"/>
          <w:szCs w:val="20"/>
          <w:lang w:eastAsia="en-IE"/>
        </w:rPr>
      </w:pPr>
      <w:r w:rsidRPr="00230DDC">
        <w:rPr>
          <w:bCs/>
          <w:lang w:eastAsia="en-IE"/>
        </w:rPr>
        <w:t xml:space="preserve">The </w:t>
      </w:r>
      <w:r>
        <w:rPr>
          <w:b/>
          <w:bCs/>
          <w:lang w:eastAsia="en-IE"/>
        </w:rPr>
        <w:t xml:space="preserve">Report of Disability Policy Review </w:t>
      </w:r>
      <w:r>
        <w:rPr>
          <w:lang w:eastAsia="en-IE"/>
        </w:rPr>
        <w:t>substantially reflects the strategic direction proposed in the advice paper which the Authority submitted in 2010. The National Disability Authority also welcomed the suggestion in the policy paper about working with the National Disability Authority’s Centre for Excellence in Universal Design on telehealth and telecare.</w:t>
      </w:r>
    </w:p>
    <w:p w14:paraId="5BAB6536" w14:textId="77777777" w:rsidR="000230E8" w:rsidRDefault="000230E8" w:rsidP="000230E8">
      <w:pPr>
        <w:pStyle w:val="NormalBeforeList"/>
        <w:rPr>
          <w:lang w:eastAsia="en-IE"/>
        </w:rPr>
      </w:pPr>
      <w:r>
        <w:rPr>
          <w:lang w:eastAsia="en-IE"/>
        </w:rPr>
        <w:t>The National Disability Authority’s advice focused on key areas, including:</w:t>
      </w:r>
    </w:p>
    <w:p w14:paraId="5956A3E1" w14:textId="77777777" w:rsidR="000230E8" w:rsidRDefault="000230E8" w:rsidP="00C27E0C">
      <w:pPr>
        <w:pStyle w:val="ListBullet"/>
        <w:rPr>
          <w:lang w:eastAsia="en-IE"/>
        </w:rPr>
      </w:pPr>
      <w:r>
        <w:rPr>
          <w:lang w:eastAsia="en-IE"/>
        </w:rPr>
        <w:lastRenderedPageBreak/>
        <w:t>Tailoring supports to individuals rather than slotting individuals into existing services can deliver a better and more fulfilled life for people with disabilities</w:t>
      </w:r>
    </w:p>
    <w:p w14:paraId="6BD9D1B7" w14:textId="77777777" w:rsidR="000230E8" w:rsidRDefault="000230E8" w:rsidP="00C27E0C">
      <w:pPr>
        <w:pStyle w:val="ListBullet"/>
        <w:rPr>
          <w:lang w:eastAsia="en-IE"/>
        </w:rPr>
      </w:pPr>
      <w:r>
        <w:rPr>
          <w:lang w:eastAsia="en-IE"/>
        </w:rPr>
        <w:t>Resource allocation would be based on an assessment of the individual’s needs, taking account of the supports available to them</w:t>
      </w:r>
    </w:p>
    <w:p w14:paraId="1E4F57A9" w14:textId="77777777" w:rsidR="000230E8" w:rsidRDefault="000230E8" w:rsidP="00C27E0C">
      <w:pPr>
        <w:pStyle w:val="ListBullet"/>
        <w:rPr>
          <w:lang w:eastAsia="en-IE"/>
        </w:rPr>
      </w:pPr>
      <w:r>
        <w:rPr>
          <w:lang w:eastAsia="en-IE"/>
        </w:rPr>
        <w:t>Assistance towards making choices and shaping the supply of services</w:t>
      </w:r>
    </w:p>
    <w:p w14:paraId="64E2C3BC" w14:textId="77777777" w:rsidR="000230E8" w:rsidRDefault="000230E8" w:rsidP="00C27E0C">
      <w:pPr>
        <w:pStyle w:val="ListBullet"/>
        <w:rPr>
          <w:lang w:eastAsia="en-IE"/>
        </w:rPr>
      </w:pPr>
      <w:r>
        <w:rPr>
          <w:lang w:eastAsia="en-IE"/>
        </w:rPr>
        <w:t>Role of commissioning</w:t>
      </w:r>
    </w:p>
    <w:p w14:paraId="6A7BFF3A" w14:textId="77777777" w:rsidR="000230E8" w:rsidRPr="00B44ED6" w:rsidRDefault="000230E8" w:rsidP="00C27E0C">
      <w:pPr>
        <w:pStyle w:val="ListBullet"/>
        <w:rPr>
          <w:lang w:eastAsia="en-IE"/>
        </w:rPr>
      </w:pPr>
      <w:r>
        <w:rPr>
          <w:lang w:eastAsia="en-IE"/>
        </w:rPr>
        <w:t>Consideration of t</w:t>
      </w:r>
      <w:r w:rsidRPr="00B44ED6">
        <w:rPr>
          <w:lang w:eastAsia="en-IE"/>
        </w:rPr>
        <w:t>he impact on service users with more complex needs and older people with disabilities</w:t>
      </w:r>
    </w:p>
    <w:p w14:paraId="31FB3E8B" w14:textId="77777777" w:rsidR="000230E8" w:rsidRPr="00A94AC5" w:rsidRDefault="000230E8" w:rsidP="000230E8">
      <w:pPr>
        <w:pStyle w:val="Heading3"/>
      </w:pPr>
      <w:bookmarkStart w:id="55" w:name="_Toc335836306"/>
      <w:r>
        <w:t>Promotion of public health policy</w:t>
      </w:r>
      <w:bookmarkEnd w:id="55"/>
    </w:p>
    <w:p w14:paraId="0E9B389C" w14:textId="77777777" w:rsidR="000230E8" w:rsidRDefault="000230E8" w:rsidP="000230E8">
      <w:r>
        <w:t xml:space="preserve">The National Disability Authority made a submission to the Department of Health in September 2011. This submission was in response to the public consultation on: </w:t>
      </w:r>
      <w:r w:rsidRPr="00C8486A">
        <w:rPr>
          <w:b/>
        </w:rPr>
        <w:t>Your Health is Your Wealth</w:t>
      </w:r>
      <w:r>
        <w:t xml:space="preserve"> </w:t>
      </w:r>
      <w:r w:rsidRPr="00E71CFC">
        <w:rPr>
          <w:b/>
        </w:rPr>
        <w:t>–</w:t>
      </w:r>
      <w:r>
        <w:t xml:space="preserve"> </w:t>
      </w:r>
      <w:r w:rsidRPr="00E71CFC">
        <w:rPr>
          <w:b/>
        </w:rPr>
        <w:t>a public health policy framework for a healthier Ireland 2012-2020</w:t>
      </w:r>
      <w:r>
        <w:t>.</w:t>
      </w:r>
    </w:p>
    <w:p w14:paraId="73D7718A" w14:textId="77777777" w:rsidR="000230E8" w:rsidRPr="00D45031" w:rsidRDefault="000230E8" w:rsidP="00443346">
      <w:pPr>
        <w:pStyle w:val="NormalBeforeList"/>
        <w:rPr>
          <w:lang w:val="en-GB"/>
        </w:rPr>
      </w:pPr>
      <w:r>
        <w:rPr>
          <w:lang w:val="en-GB"/>
        </w:rPr>
        <w:t>The submission considered</w:t>
      </w:r>
      <w:r w:rsidRPr="00D45031">
        <w:rPr>
          <w:lang w:val="en-GB"/>
        </w:rPr>
        <w:t xml:space="preserve"> that health is of fundamental importance to the inclusion of people with dis</w:t>
      </w:r>
      <w:r>
        <w:rPr>
          <w:lang w:val="en-GB"/>
        </w:rPr>
        <w:t>abilities in Irish society. The</w:t>
      </w:r>
      <w:r w:rsidRPr="00D45031">
        <w:rPr>
          <w:lang w:val="en-GB"/>
        </w:rPr>
        <w:t xml:space="preserve"> potential participation and contribution </w:t>
      </w:r>
      <w:r>
        <w:rPr>
          <w:lang w:val="en-GB"/>
        </w:rPr>
        <w:t xml:space="preserve">of people with disabilities </w:t>
      </w:r>
      <w:r w:rsidRPr="00D45031">
        <w:rPr>
          <w:lang w:val="en-GB"/>
        </w:rPr>
        <w:t>is compromised by:</w:t>
      </w:r>
    </w:p>
    <w:p w14:paraId="2B2BB62B" w14:textId="77777777" w:rsidR="000230E8" w:rsidRPr="00D45031" w:rsidRDefault="000230E8" w:rsidP="00C27E0C">
      <w:pPr>
        <w:pStyle w:val="ListBullet"/>
        <w:rPr>
          <w:lang w:val="en-GB"/>
        </w:rPr>
      </w:pPr>
      <w:r w:rsidRPr="00D45031">
        <w:rPr>
          <w:lang w:val="en-GB"/>
        </w:rPr>
        <w:t>negative experiences of a range of social determinants of health</w:t>
      </w:r>
    </w:p>
    <w:p w14:paraId="46F84CFD" w14:textId="77777777" w:rsidR="000230E8" w:rsidRPr="00D45031" w:rsidRDefault="000230E8" w:rsidP="00C27E0C">
      <w:pPr>
        <w:pStyle w:val="ListBullet"/>
        <w:rPr>
          <w:lang w:val="en-GB"/>
        </w:rPr>
      </w:pPr>
      <w:r w:rsidRPr="00D45031">
        <w:rPr>
          <w:lang w:val="en-GB"/>
        </w:rPr>
        <w:t xml:space="preserve">the health impacts of disability </w:t>
      </w:r>
    </w:p>
    <w:p w14:paraId="3EAE56AF" w14:textId="77777777" w:rsidR="000230E8" w:rsidRPr="00D45031" w:rsidRDefault="000230E8" w:rsidP="00C27E0C">
      <w:pPr>
        <w:pStyle w:val="ListBullet"/>
        <w:rPr>
          <w:lang w:val="en-GB"/>
        </w:rPr>
      </w:pPr>
      <w:r w:rsidRPr="00D45031">
        <w:rPr>
          <w:lang w:val="en-GB"/>
        </w:rPr>
        <w:t>inequalities in access to general health services</w:t>
      </w:r>
    </w:p>
    <w:p w14:paraId="41404A12" w14:textId="77777777" w:rsidR="000230E8" w:rsidRPr="006E4964" w:rsidRDefault="000230E8" w:rsidP="00C27E0C">
      <w:pPr>
        <w:pStyle w:val="ListBullet"/>
        <w:rPr>
          <w:lang w:val="en-GB"/>
        </w:rPr>
      </w:pPr>
      <w:r w:rsidRPr="00D45031">
        <w:t>poor access to health-promoting activities such as physical activity</w:t>
      </w:r>
    </w:p>
    <w:p w14:paraId="5A666DDA" w14:textId="77777777" w:rsidR="000230E8" w:rsidRDefault="000230E8" w:rsidP="000230E8">
      <w:pPr>
        <w:pStyle w:val="Heading2"/>
        <w:rPr>
          <w:lang w:val="en-GB"/>
        </w:rPr>
      </w:pPr>
      <w:bookmarkStart w:id="56" w:name="_Toc335836307"/>
      <w:r>
        <w:rPr>
          <w:lang w:val="en-GB"/>
        </w:rPr>
        <w:t>Social Protection</w:t>
      </w:r>
      <w:bookmarkEnd w:id="56"/>
    </w:p>
    <w:p w14:paraId="269131D1" w14:textId="77777777" w:rsidR="000230E8" w:rsidRDefault="000230E8" w:rsidP="000230E8">
      <w:pPr>
        <w:pStyle w:val="Heading3"/>
        <w:rPr>
          <w:lang w:val="en-GB"/>
        </w:rPr>
      </w:pPr>
      <w:bookmarkStart w:id="57" w:name="_Toc335836308"/>
      <w:r>
        <w:rPr>
          <w:lang w:val="en-GB"/>
        </w:rPr>
        <w:t>Value for Money Review of the Disability Allowance Scheme</w:t>
      </w:r>
      <w:bookmarkEnd w:id="57"/>
    </w:p>
    <w:p w14:paraId="2B30EECD" w14:textId="77777777" w:rsidR="000230E8" w:rsidRPr="006E4964" w:rsidRDefault="000230E8" w:rsidP="000230E8">
      <w:pPr>
        <w:rPr>
          <w:lang w:val="en-GB"/>
        </w:rPr>
      </w:pPr>
      <w:r w:rsidRPr="006E4964">
        <w:rPr>
          <w:lang w:val="en-GB"/>
        </w:rPr>
        <w:t>The National Disability Authority made a submission to the Dep</w:t>
      </w:r>
      <w:r>
        <w:rPr>
          <w:lang w:val="en-GB"/>
        </w:rPr>
        <w:t xml:space="preserve">artment of Social Protection's </w:t>
      </w:r>
      <w:r w:rsidRPr="006E4964">
        <w:rPr>
          <w:lang w:val="en-GB"/>
        </w:rPr>
        <w:t>Value for Money Review of the Di</w:t>
      </w:r>
      <w:r>
        <w:rPr>
          <w:lang w:val="en-GB"/>
        </w:rPr>
        <w:t xml:space="preserve">sability Allowance Scheme in July 2011. This submission was informed by our own analysis and learning from a </w:t>
      </w:r>
      <w:r w:rsidRPr="006E4964">
        <w:rPr>
          <w:lang w:val="en-GB"/>
        </w:rPr>
        <w:t>seminar on the Review held in April 2011</w:t>
      </w:r>
      <w:r>
        <w:rPr>
          <w:lang w:val="en-GB"/>
        </w:rPr>
        <w:t xml:space="preserve"> for representatives from government departments and public bodies</w:t>
      </w:r>
      <w:r w:rsidRPr="006E4964">
        <w:rPr>
          <w:lang w:val="en-GB"/>
        </w:rPr>
        <w:t>, people with disabilities and service providers.</w:t>
      </w:r>
    </w:p>
    <w:p w14:paraId="0F45FA14" w14:textId="77777777" w:rsidR="000230E8" w:rsidRPr="006E4964" w:rsidRDefault="000230E8" w:rsidP="00443346">
      <w:pPr>
        <w:pStyle w:val="NormalBeforeList"/>
        <w:rPr>
          <w:lang w:val="en-GB"/>
        </w:rPr>
      </w:pPr>
      <w:r>
        <w:rPr>
          <w:lang w:val="en-GB"/>
        </w:rPr>
        <w:t>Key points in the National Disability Authority paper included</w:t>
      </w:r>
      <w:r w:rsidRPr="006E4964">
        <w:rPr>
          <w:lang w:val="en-GB"/>
        </w:rPr>
        <w:t>:</w:t>
      </w:r>
    </w:p>
    <w:p w14:paraId="0A978F4F" w14:textId="77777777" w:rsidR="000230E8" w:rsidRPr="006E4964" w:rsidRDefault="000230E8" w:rsidP="000230E8">
      <w:pPr>
        <w:pStyle w:val="ListBullet"/>
        <w:suppressAutoHyphens w:val="0"/>
        <w:rPr>
          <w:lang w:val="en-GB"/>
        </w:rPr>
      </w:pPr>
      <w:r>
        <w:rPr>
          <w:lang w:val="en-GB"/>
        </w:rPr>
        <w:t>P</w:t>
      </w:r>
      <w:r w:rsidRPr="006E4964">
        <w:rPr>
          <w:lang w:val="en-GB"/>
        </w:rPr>
        <w:t>rofiling and activation should be based on functional capacity rather than medical diagnosis</w:t>
      </w:r>
    </w:p>
    <w:p w14:paraId="73618C75" w14:textId="77777777" w:rsidR="000230E8" w:rsidRPr="006E4964" w:rsidRDefault="000230E8" w:rsidP="000230E8">
      <w:pPr>
        <w:pStyle w:val="ListBullet"/>
        <w:suppressAutoHyphens w:val="0"/>
        <w:rPr>
          <w:lang w:val="en-GB"/>
        </w:rPr>
      </w:pPr>
      <w:r w:rsidRPr="006E4964">
        <w:rPr>
          <w:lang w:val="en-GB"/>
        </w:rPr>
        <w:t>The s</w:t>
      </w:r>
      <w:r>
        <w:rPr>
          <w:lang w:val="en-GB"/>
        </w:rPr>
        <w:t xml:space="preserve">tarting age for the Disability </w:t>
      </w:r>
      <w:r w:rsidRPr="006E4964">
        <w:rPr>
          <w:lang w:val="en-GB"/>
        </w:rPr>
        <w:t>Allowance should be 18. Transitional measures need to be in place to prepare and support people with disabilities and their families for this change</w:t>
      </w:r>
    </w:p>
    <w:p w14:paraId="00565EA4" w14:textId="77777777" w:rsidR="000230E8" w:rsidRPr="006E4964" w:rsidRDefault="000230E8" w:rsidP="000230E8">
      <w:pPr>
        <w:pStyle w:val="ListBullet"/>
        <w:suppressAutoHyphens w:val="0"/>
        <w:rPr>
          <w:lang w:val="en-GB"/>
        </w:rPr>
      </w:pPr>
      <w:r w:rsidRPr="006E4964">
        <w:rPr>
          <w:lang w:val="en-GB"/>
        </w:rPr>
        <w:t xml:space="preserve">The income and entitlements someone on Disability Allowance can get when in work should be publicised </w:t>
      </w:r>
    </w:p>
    <w:p w14:paraId="0C79700E" w14:textId="77777777" w:rsidR="000230E8" w:rsidRDefault="000230E8" w:rsidP="000230E8">
      <w:pPr>
        <w:pStyle w:val="ListBullet"/>
        <w:suppressAutoHyphens w:val="0"/>
        <w:spacing w:after="240"/>
        <w:rPr>
          <w:lang w:val="en-GB"/>
        </w:rPr>
      </w:pPr>
      <w:r w:rsidRPr="006E4964">
        <w:rPr>
          <w:lang w:val="en-GB"/>
        </w:rPr>
        <w:lastRenderedPageBreak/>
        <w:t>The presumption of legal capacity</w:t>
      </w:r>
      <w:r>
        <w:rPr>
          <w:lang w:val="en-GB"/>
        </w:rPr>
        <w:t>, to be set out in forthcoming mental c</w:t>
      </w:r>
      <w:r w:rsidRPr="006E4964">
        <w:rPr>
          <w:lang w:val="en-GB"/>
        </w:rPr>
        <w:t xml:space="preserve">apacity legislation, should be the framework for guidelines on payment to an </w:t>
      </w:r>
      <w:r>
        <w:rPr>
          <w:lang w:val="en-GB"/>
        </w:rPr>
        <w:t>agent</w:t>
      </w:r>
    </w:p>
    <w:p w14:paraId="29CC7E96" w14:textId="77777777" w:rsidR="000230E8" w:rsidRPr="0092746D" w:rsidRDefault="000230E8" w:rsidP="000230E8">
      <w:pPr>
        <w:pStyle w:val="Heading2"/>
      </w:pPr>
      <w:bookmarkStart w:id="58" w:name="_Toc299362519"/>
      <w:bookmarkStart w:id="59" w:name="_Toc300742125"/>
      <w:bookmarkStart w:id="60" w:name="_Toc300742874"/>
      <w:bookmarkStart w:id="61" w:name="_Toc300744226"/>
      <w:bookmarkStart w:id="62" w:name="_Toc335836309"/>
      <w:r w:rsidRPr="0092746D">
        <w:t>Employment</w:t>
      </w:r>
      <w:bookmarkEnd w:id="58"/>
      <w:bookmarkEnd w:id="59"/>
      <w:bookmarkEnd w:id="60"/>
      <w:bookmarkEnd w:id="61"/>
      <w:bookmarkEnd w:id="62"/>
    </w:p>
    <w:p w14:paraId="25211CDF" w14:textId="77777777" w:rsidR="000230E8" w:rsidRPr="0092746D" w:rsidRDefault="000230E8" w:rsidP="000230E8">
      <w:pPr>
        <w:pStyle w:val="Heading3"/>
      </w:pPr>
      <w:bookmarkStart w:id="63" w:name="_Toc335836310"/>
      <w:r w:rsidRPr="0092746D">
        <w:t>Supports to employment for people with high-support needs</w:t>
      </w:r>
      <w:bookmarkEnd w:id="63"/>
    </w:p>
    <w:p w14:paraId="025D602F" w14:textId="77777777" w:rsidR="000230E8" w:rsidRPr="0092746D" w:rsidRDefault="000230E8" w:rsidP="000230E8">
      <w:r w:rsidRPr="0092746D">
        <w:t xml:space="preserve">The National Disability Authority held three seminars on disability and employment. Themes included intellectual disability, mental </w:t>
      </w:r>
      <w:proofErr w:type="gramStart"/>
      <w:r w:rsidRPr="0092746D">
        <w:t>health</w:t>
      </w:r>
      <w:proofErr w:type="gramEnd"/>
      <w:r w:rsidRPr="0092746D">
        <w:t xml:space="preserve"> and physical and sensory disabilities. Each seminar focused on strategic approaches to supporting people w</w:t>
      </w:r>
      <w:bookmarkStart w:id="64" w:name="_Toc299362524"/>
      <w:bookmarkStart w:id="65" w:name="_Toc300742130"/>
      <w:bookmarkStart w:id="66" w:name="_Toc300742879"/>
      <w:bookmarkStart w:id="67" w:name="_Toc300744231"/>
      <w:r>
        <w:t>ith disabilities to find work as a means of sharing learning and generating discussion towards guiding a comprehensive employment strategy for persons with disabilities.</w:t>
      </w:r>
    </w:p>
    <w:p w14:paraId="533F99A4" w14:textId="77777777" w:rsidR="000230E8" w:rsidRDefault="000230E8" w:rsidP="000230E8">
      <w:pPr>
        <w:pStyle w:val="Heading3"/>
        <w:rPr>
          <w:lang w:val="en-GB"/>
        </w:rPr>
      </w:pPr>
      <w:bookmarkStart w:id="68" w:name="_Toc335836311"/>
      <w:r>
        <w:rPr>
          <w:lang w:val="en-GB"/>
        </w:rPr>
        <w:t>Employee retention</w:t>
      </w:r>
      <w:bookmarkEnd w:id="68"/>
    </w:p>
    <w:p w14:paraId="49F6115E" w14:textId="77777777" w:rsidR="000230E8" w:rsidRPr="0092746D" w:rsidRDefault="000230E8" w:rsidP="000230E8">
      <w:r>
        <w:rPr>
          <w:lang w:val="en-GB"/>
        </w:rPr>
        <w:t>The</w:t>
      </w:r>
      <w:r w:rsidRPr="0092746D">
        <w:rPr>
          <w:lang w:val="en-GB"/>
        </w:rPr>
        <w:t xml:space="preserve"> National Disability Authority produced a </w:t>
      </w:r>
      <w:r>
        <w:rPr>
          <w:lang w:val="en-GB"/>
        </w:rPr>
        <w:t>document</w:t>
      </w:r>
      <w:r w:rsidRPr="0092746D">
        <w:rPr>
          <w:lang w:val="en-GB"/>
        </w:rPr>
        <w:t xml:space="preserve"> </w:t>
      </w:r>
      <w:r>
        <w:rPr>
          <w:lang w:val="en-GB"/>
        </w:rPr>
        <w:t xml:space="preserve">called </w:t>
      </w:r>
      <w:r w:rsidRPr="007D7146">
        <w:rPr>
          <w:b/>
          <w:lang w:val="en-GB"/>
        </w:rPr>
        <w:t>Retaining employees who acquire a disability - a guide for employers</w:t>
      </w:r>
      <w:r w:rsidRPr="00AB2446">
        <w:rPr>
          <w:lang w:val="en-GB"/>
        </w:rPr>
        <w:t>,</w:t>
      </w:r>
      <w:r w:rsidRPr="007D7146">
        <w:rPr>
          <w:lang w:val="en-GB"/>
        </w:rPr>
        <w:t xml:space="preserve"> </w:t>
      </w:r>
      <w:r>
        <w:rPr>
          <w:lang w:val="en-GB"/>
        </w:rPr>
        <w:t>to assist employers</w:t>
      </w:r>
      <w:r w:rsidRPr="0092746D">
        <w:rPr>
          <w:lang w:val="en-GB"/>
        </w:rPr>
        <w:t xml:space="preserve"> to support and retain emp</w:t>
      </w:r>
      <w:r>
        <w:rPr>
          <w:lang w:val="en-GB"/>
        </w:rPr>
        <w:t>loyees who acquire a disability</w:t>
      </w:r>
      <w:r w:rsidRPr="0092746D">
        <w:rPr>
          <w:lang w:val="en-GB"/>
        </w:rPr>
        <w:t xml:space="preserve"> and enable such workers to remain in employment. The guidelines </w:t>
      </w:r>
      <w:r>
        <w:rPr>
          <w:lang w:val="en-GB"/>
        </w:rPr>
        <w:t xml:space="preserve">are based on a review of research evidence and best practice guidance, already published by the NDA. They include </w:t>
      </w:r>
      <w:r w:rsidRPr="0092746D">
        <w:rPr>
          <w:lang w:val="en-GB"/>
        </w:rPr>
        <w:t>practical information for employers</w:t>
      </w:r>
      <w:r>
        <w:rPr>
          <w:lang w:val="en-GB"/>
        </w:rPr>
        <w:t xml:space="preserve"> around the supports available</w:t>
      </w:r>
      <w:r w:rsidRPr="0092746D">
        <w:rPr>
          <w:lang w:val="en-GB"/>
        </w:rPr>
        <w:t>.</w:t>
      </w:r>
    </w:p>
    <w:p w14:paraId="000521B6" w14:textId="77777777" w:rsidR="000230E8" w:rsidRPr="0092746D" w:rsidRDefault="000230E8" w:rsidP="000230E8">
      <w:pPr>
        <w:pStyle w:val="Heading3"/>
      </w:pPr>
      <w:bookmarkStart w:id="69" w:name="_Toc335836312"/>
      <w:r w:rsidRPr="0092746D">
        <w:t>Employment of people with disabilities in the public service</w:t>
      </w:r>
      <w:bookmarkEnd w:id="64"/>
      <w:bookmarkEnd w:id="65"/>
      <w:bookmarkEnd w:id="66"/>
      <w:bookmarkEnd w:id="67"/>
      <w:bookmarkEnd w:id="69"/>
    </w:p>
    <w:p w14:paraId="5FEAFF6F" w14:textId="77777777" w:rsidR="000230E8" w:rsidRPr="0092746D" w:rsidRDefault="000230E8" w:rsidP="000230E8">
      <w:r w:rsidRPr="0092746D">
        <w:t xml:space="preserve">Public bodies are </w:t>
      </w:r>
      <w:r>
        <w:t xml:space="preserve">legally </w:t>
      </w:r>
      <w:r w:rsidRPr="0092746D">
        <w:t>required to promote and support the employment of people with disabilities in the public service, with a target of having people with dis</w:t>
      </w:r>
      <w:r>
        <w:t>abilities comprising 3% of this</w:t>
      </w:r>
      <w:r w:rsidRPr="0092746D">
        <w:t xml:space="preserve"> workforce. The National Disability Authority has the statutory function to monitor compliance with these provisions. </w:t>
      </w:r>
    </w:p>
    <w:p w14:paraId="555627A1" w14:textId="77777777" w:rsidR="000230E8" w:rsidRPr="0092746D" w:rsidRDefault="000230E8" w:rsidP="000230E8">
      <w:r w:rsidRPr="0092746D">
        <w:t>The National Disability Authority's Report on compliance in 2010</w:t>
      </w:r>
      <w:r>
        <w:t xml:space="preserve"> was published in December 2011. It</w:t>
      </w:r>
      <w:r w:rsidRPr="0092746D">
        <w:t xml:space="preserve"> show</w:t>
      </w:r>
      <w:r>
        <w:t>ed that t</w:t>
      </w:r>
      <w:r w:rsidRPr="0092746D">
        <w:t xml:space="preserve">he proportion of staff with disabilities reported across the public service </w:t>
      </w:r>
      <w:r>
        <w:t>had decreased slightly</w:t>
      </w:r>
      <w:r w:rsidRPr="0092746D">
        <w:t xml:space="preserve">, from 2.9% in 2009 to 2.7% in 2010 (Table 1). This </w:t>
      </w:r>
      <w:r>
        <w:t>shows a break in</w:t>
      </w:r>
      <w:r w:rsidRPr="0092746D">
        <w:t xml:space="preserve"> the pattern of annual</w:t>
      </w:r>
      <w:r>
        <w:t>,</w:t>
      </w:r>
      <w:r w:rsidRPr="0092746D">
        <w:t xml:space="preserve"> incremental increases</w:t>
      </w:r>
      <w:r>
        <w:t>,</w:t>
      </w:r>
      <w:r w:rsidRPr="0092746D">
        <w:t xml:space="preserve"> that had been achieved since the target became a statutory obligation on 31 December 2005. </w:t>
      </w:r>
    </w:p>
    <w:p w14:paraId="653B3F2D" w14:textId="77777777" w:rsidR="000230E8" w:rsidRPr="0092746D" w:rsidRDefault="000230E8" w:rsidP="000230E8">
      <w:r w:rsidRPr="0092746D">
        <w:t>The total num</w:t>
      </w:r>
      <w:r>
        <w:t xml:space="preserve">ber of public service employees, </w:t>
      </w:r>
      <w:r w:rsidRPr="0092746D">
        <w:t>with a disability, for 2010</w:t>
      </w:r>
      <w:r>
        <w:t>,</w:t>
      </w:r>
      <w:r w:rsidRPr="0092746D">
        <w:t xml:space="preserve"> as defined in the </w:t>
      </w:r>
      <w:r>
        <w:t xml:space="preserve">Disability </w:t>
      </w:r>
      <w:r w:rsidRPr="0092746D">
        <w:t xml:space="preserve">Act </w:t>
      </w:r>
      <w:r>
        <w:t>2005 was</w:t>
      </w:r>
      <w:r w:rsidRPr="0092746D">
        <w:t xml:space="preserve"> 5,748, a decrease of 632 on the 2009 figure. This decrease occurred against a backdrop of a fall in the total number of employees in the public bodies reporting under the </w:t>
      </w:r>
      <w:r>
        <w:t xml:space="preserve">Disability </w:t>
      </w:r>
      <w:r w:rsidRPr="0092746D">
        <w:t xml:space="preserve">Act </w:t>
      </w:r>
      <w:r>
        <w:t xml:space="preserve">2005 </w:t>
      </w:r>
      <w:r w:rsidRPr="0092746D">
        <w:t xml:space="preserve">from 219,653 in 2009 to 210,267 in 2010 (Table 1). </w:t>
      </w:r>
      <w:proofErr w:type="gramStart"/>
      <w:r>
        <w:t>Overall</w:t>
      </w:r>
      <w:proofErr w:type="gramEnd"/>
      <w:r>
        <w:t xml:space="preserve"> 6,308</w:t>
      </w:r>
      <w:r w:rsidRPr="0092746D">
        <w:t xml:space="preserve"> employees with disabilities would have been required in order to reach the 3% target.</w:t>
      </w:r>
    </w:p>
    <w:p w14:paraId="2CF38C92" w14:textId="77777777" w:rsidR="000230E8" w:rsidRPr="0092746D" w:rsidRDefault="000230E8" w:rsidP="000230E8">
      <w:pPr>
        <w:pStyle w:val="TableTitle"/>
      </w:pPr>
      <w:r w:rsidRPr="0092746D">
        <w:lastRenderedPageBreak/>
        <w:t>Table 1:  P</w:t>
      </w:r>
      <w:r>
        <w:t>rogress towards 3% Target, 2009-</w:t>
      </w:r>
      <w:r w:rsidRPr="0092746D">
        <w:t>2010</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321"/>
        <w:gridCol w:w="2321"/>
        <w:gridCol w:w="2322"/>
        <w:gridCol w:w="2322"/>
      </w:tblGrid>
      <w:tr w:rsidR="000230E8" w:rsidRPr="0092746D" w14:paraId="5088E2BC" w14:textId="77777777" w:rsidTr="000230E8">
        <w:tblPrEx>
          <w:tblCellMar>
            <w:top w:w="0" w:type="dxa"/>
            <w:bottom w:w="0" w:type="dxa"/>
          </w:tblCellMar>
        </w:tblPrEx>
        <w:trPr>
          <w:tblHeader/>
        </w:trPr>
        <w:tc>
          <w:tcPr>
            <w:tcW w:w="2321" w:type="dxa"/>
            <w:tcBorders>
              <w:bottom w:val="single" w:sz="12" w:space="0" w:color="000000"/>
            </w:tcBorders>
            <w:shd w:val="clear" w:color="auto" w:fill="auto"/>
          </w:tcPr>
          <w:p w14:paraId="1664941C" w14:textId="77777777" w:rsidR="000230E8" w:rsidRPr="0092746D" w:rsidRDefault="000230E8" w:rsidP="000230E8">
            <w:pPr>
              <w:pStyle w:val="TableHeadRight"/>
            </w:pPr>
          </w:p>
        </w:tc>
        <w:tc>
          <w:tcPr>
            <w:tcW w:w="2321" w:type="dxa"/>
            <w:tcBorders>
              <w:bottom w:val="single" w:sz="12" w:space="0" w:color="000000"/>
            </w:tcBorders>
            <w:shd w:val="clear" w:color="auto" w:fill="auto"/>
          </w:tcPr>
          <w:p w14:paraId="2B92AC32" w14:textId="77777777" w:rsidR="000230E8" w:rsidRPr="0092746D" w:rsidRDefault="000230E8" w:rsidP="000230E8">
            <w:pPr>
              <w:pStyle w:val="TableHeadRight"/>
            </w:pPr>
            <w:r w:rsidRPr="0092746D">
              <w:t>Total staff</w:t>
            </w:r>
          </w:p>
        </w:tc>
        <w:tc>
          <w:tcPr>
            <w:tcW w:w="2322" w:type="dxa"/>
            <w:tcBorders>
              <w:bottom w:val="single" w:sz="12" w:space="0" w:color="000000"/>
            </w:tcBorders>
            <w:shd w:val="clear" w:color="auto" w:fill="auto"/>
          </w:tcPr>
          <w:p w14:paraId="34E4D295" w14:textId="77777777" w:rsidR="000230E8" w:rsidRPr="0092746D" w:rsidRDefault="000230E8" w:rsidP="000230E8">
            <w:pPr>
              <w:pStyle w:val="TableHeadRight"/>
            </w:pPr>
            <w:r w:rsidRPr="0092746D">
              <w:t>Staff with disabilities</w:t>
            </w:r>
          </w:p>
        </w:tc>
        <w:tc>
          <w:tcPr>
            <w:tcW w:w="2322" w:type="dxa"/>
            <w:tcBorders>
              <w:bottom w:val="single" w:sz="12" w:space="0" w:color="000000"/>
            </w:tcBorders>
            <w:shd w:val="clear" w:color="auto" w:fill="auto"/>
          </w:tcPr>
          <w:p w14:paraId="496F5E7E" w14:textId="77777777" w:rsidR="000230E8" w:rsidRPr="0092746D" w:rsidRDefault="000230E8" w:rsidP="000230E8">
            <w:pPr>
              <w:pStyle w:val="TableHeadRight"/>
            </w:pPr>
            <w:r w:rsidRPr="0092746D">
              <w:t xml:space="preserve">% </w:t>
            </w:r>
            <w:proofErr w:type="gramStart"/>
            <w:r w:rsidRPr="0092746D">
              <w:t>staff</w:t>
            </w:r>
            <w:proofErr w:type="gramEnd"/>
            <w:r w:rsidRPr="0092746D">
              <w:t xml:space="preserve"> with disabilities</w:t>
            </w:r>
          </w:p>
        </w:tc>
      </w:tr>
      <w:tr w:rsidR="000230E8" w:rsidRPr="0092746D" w14:paraId="657AEAD1" w14:textId="77777777" w:rsidTr="000230E8">
        <w:tblPrEx>
          <w:tblCellMar>
            <w:top w:w="0" w:type="dxa"/>
            <w:bottom w:w="0" w:type="dxa"/>
          </w:tblCellMar>
        </w:tblPrEx>
        <w:tc>
          <w:tcPr>
            <w:tcW w:w="2321" w:type="dxa"/>
            <w:tcBorders>
              <w:top w:val="single" w:sz="12" w:space="0" w:color="000000"/>
            </w:tcBorders>
            <w:shd w:val="clear" w:color="auto" w:fill="auto"/>
          </w:tcPr>
          <w:p w14:paraId="2E6F33C5" w14:textId="77777777" w:rsidR="000230E8" w:rsidRPr="002F1200" w:rsidRDefault="000230E8" w:rsidP="000230E8">
            <w:pPr>
              <w:pStyle w:val="TableRowHead"/>
              <w:rPr>
                <w:rFonts w:ascii="Gill Sans" w:hAnsi="Gill Sans"/>
              </w:rPr>
            </w:pPr>
            <w:r w:rsidRPr="002F1200">
              <w:rPr>
                <w:rFonts w:ascii="Gill Sans" w:hAnsi="Gill Sans"/>
              </w:rPr>
              <w:t>2009</w:t>
            </w:r>
          </w:p>
        </w:tc>
        <w:tc>
          <w:tcPr>
            <w:tcW w:w="2321" w:type="dxa"/>
            <w:tcBorders>
              <w:top w:val="single" w:sz="12" w:space="0" w:color="000000"/>
            </w:tcBorders>
            <w:shd w:val="clear" w:color="auto" w:fill="auto"/>
          </w:tcPr>
          <w:p w14:paraId="7B21CE80" w14:textId="77777777" w:rsidR="000230E8" w:rsidRPr="0092746D" w:rsidRDefault="000230E8" w:rsidP="000230E8">
            <w:pPr>
              <w:pStyle w:val="TableCell"/>
            </w:pPr>
            <w:r w:rsidRPr="0092746D">
              <w:t>219,653</w:t>
            </w:r>
          </w:p>
        </w:tc>
        <w:tc>
          <w:tcPr>
            <w:tcW w:w="2322" w:type="dxa"/>
            <w:tcBorders>
              <w:top w:val="single" w:sz="12" w:space="0" w:color="000000"/>
            </w:tcBorders>
            <w:shd w:val="clear" w:color="auto" w:fill="auto"/>
          </w:tcPr>
          <w:p w14:paraId="5AFBFEB5" w14:textId="77777777" w:rsidR="000230E8" w:rsidRPr="0092746D" w:rsidRDefault="000230E8" w:rsidP="000230E8">
            <w:pPr>
              <w:pStyle w:val="TableCell"/>
            </w:pPr>
            <w:r w:rsidRPr="0092746D">
              <w:t>6,380</w:t>
            </w:r>
          </w:p>
        </w:tc>
        <w:tc>
          <w:tcPr>
            <w:tcW w:w="2322" w:type="dxa"/>
            <w:tcBorders>
              <w:top w:val="single" w:sz="12" w:space="0" w:color="000000"/>
            </w:tcBorders>
            <w:shd w:val="clear" w:color="auto" w:fill="auto"/>
          </w:tcPr>
          <w:p w14:paraId="1067497D" w14:textId="77777777" w:rsidR="000230E8" w:rsidRPr="0092746D" w:rsidRDefault="000230E8" w:rsidP="000230E8">
            <w:pPr>
              <w:pStyle w:val="TableCell"/>
            </w:pPr>
            <w:r w:rsidRPr="0092746D">
              <w:t>2.9%</w:t>
            </w:r>
          </w:p>
        </w:tc>
      </w:tr>
      <w:tr w:rsidR="000230E8" w:rsidRPr="0092746D" w14:paraId="4A3ED2A1" w14:textId="77777777" w:rsidTr="000230E8">
        <w:tblPrEx>
          <w:tblCellMar>
            <w:top w:w="0" w:type="dxa"/>
            <w:bottom w:w="0" w:type="dxa"/>
          </w:tblCellMar>
        </w:tblPrEx>
        <w:tc>
          <w:tcPr>
            <w:tcW w:w="2321" w:type="dxa"/>
            <w:shd w:val="clear" w:color="auto" w:fill="auto"/>
          </w:tcPr>
          <w:p w14:paraId="378F4CC9" w14:textId="77777777" w:rsidR="000230E8" w:rsidRPr="002F1200" w:rsidRDefault="000230E8" w:rsidP="000230E8">
            <w:pPr>
              <w:pStyle w:val="TableRowHead"/>
              <w:rPr>
                <w:rFonts w:ascii="Gill Sans" w:hAnsi="Gill Sans"/>
              </w:rPr>
            </w:pPr>
            <w:r w:rsidRPr="002F1200">
              <w:rPr>
                <w:rFonts w:ascii="Gill Sans" w:hAnsi="Gill Sans"/>
              </w:rPr>
              <w:t>2010</w:t>
            </w:r>
          </w:p>
        </w:tc>
        <w:tc>
          <w:tcPr>
            <w:tcW w:w="2321" w:type="dxa"/>
            <w:shd w:val="clear" w:color="auto" w:fill="auto"/>
          </w:tcPr>
          <w:p w14:paraId="0F819456" w14:textId="77777777" w:rsidR="000230E8" w:rsidRPr="0092746D" w:rsidRDefault="000230E8" w:rsidP="000230E8">
            <w:pPr>
              <w:pStyle w:val="TableCell"/>
            </w:pPr>
            <w:r w:rsidRPr="0092746D">
              <w:t>210,267</w:t>
            </w:r>
          </w:p>
        </w:tc>
        <w:tc>
          <w:tcPr>
            <w:tcW w:w="2322" w:type="dxa"/>
            <w:shd w:val="clear" w:color="auto" w:fill="auto"/>
          </w:tcPr>
          <w:p w14:paraId="79246E7F" w14:textId="77777777" w:rsidR="000230E8" w:rsidRPr="0092746D" w:rsidRDefault="000230E8" w:rsidP="000230E8">
            <w:pPr>
              <w:pStyle w:val="TableCell"/>
            </w:pPr>
            <w:r w:rsidRPr="0092746D">
              <w:t>5,748</w:t>
            </w:r>
          </w:p>
        </w:tc>
        <w:tc>
          <w:tcPr>
            <w:tcW w:w="2322" w:type="dxa"/>
            <w:shd w:val="clear" w:color="auto" w:fill="auto"/>
          </w:tcPr>
          <w:p w14:paraId="05AFF461" w14:textId="77777777" w:rsidR="000230E8" w:rsidRPr="0092746D" w:rsidRDefault="000230E8" w:rsidP="000230E8">
            <w:pPr>
              <w:pStyle w:val="TableCell"/>
            </w:pPr>
            <w:r w:rsidRPr="0092746D">
              <w:t>2.7%</w:t>
            </w:r>
          </w:p>
        </w:tc>
      </w:tr>
      <w:tr w:rsidR="000230E8" w:rsidRPr="0092746D" w14:paraId="4EE14003" w14:textId="77777777" w:rsidTr="000230E8">
        <w:tblPrEx>
          <w:tblCellMar>
            <w:top w:w="0" w:type="dxa"/>
            <w:bottom w:w="0" w:type="dxa"/>
          </w:tblCellMar>
        </w:tblPrEx>
        <w:tc>
          <w:tcPr>
            <w:tcW w:w="2321" w:type="dxa"/>
            <w:shd w:val="clear" w:color="auto" w:fill="auto"/>
          </w:tcPr>
          <w:p w14:paraId="67233677" w14:textId="77777777" w:rsidR="000230E8" w:rsidRPr="002F1200" w:rsidRDefault="000230E8" w:rsidP="000230E8">
            <w:pPr>
              <w:pStyle w:val="TableRowHead"/>
              <w:rPr>
                <w:rFonts w:ascii="Gill Sans" w:hAnsi="Gill Sans"/>
              </w:rPr>
            </w:pPr>
            <w:r w:rsidRPr="002F1200">
              <w:rPr>
                <w:rFonts w:ascii="Gill Sans" w:hAnsi="Gill Sans"/>
              </w:rPr>
              <w:t>Change 2009-10</w:t>
            </w:r>
          </w:p>
        </w:tc>
        <w:tc>
          <w:tcPr>
            <w:tcW w:w="2321" w:type="dxa"/>
            <w:shd w:val="clear" w:color="auto" w:fill="auto"/>
          </w:tcPr>
          <w:p w14:paraId="4CED541D" w14:textId="77777777" w:rsidR="000230E8" w:rsidRPr="0092746D" w:rsidRDefault="000230E8" w:rsidP="000230E8">
            <w:pPr>
              <w:pStyle w:val="TableCell"/>
            </w:pPr>
            <w:r w:rsidRPr="0092746D">
              <w:t>-9,386</w:t>
            </w:r>
          </w:p>
        </w:tc>
        <w:tc>
          <w:tcPr>
            <w:tcW w:w="2322" w:type="dxa"/>
            <w:shd w:val="clear" w:color="auto" w:fill="auto"/>
          </w:tcPr>
          <w:p w14:paraId="47C0B10E" w14:textId="77777777" w:rsidR="000230E8" w:rsidRPr="0092746D" w:rsidRDefault="000230E8" w:rsidP="000230E8">
            <w:pPr>
              <w:pStyle w:val="TableCell"/>
            </w:pPr>
            <w:r w:rsidRPr="0092746D">
              <w:t>-632</w:t>
            </w:r>
          </w:p>
        </w:tc>
        <w:tc>
          <w:tcPr>
            <w:tcW w:w="2322" w:type="dxa"/>
            <w:shd w:val="clear" w:color="auto" w:fill="auto"/>
          </w:tcPr>
          <w:p w14:paraId="46553BBB" w14:textId="77777777" w:rsidR="000230E8" w:rsidRPr="0092746D" w:rsidRDefault="000230E8" w:rsidP="000230E8">
            <w:pPr>
              <w:pStyle w:val="TableCell"/>
            </w:pPr>
            <w:r w:rsidRPr="0092746D">
              <w:t>-0.2%</w:t>
            </w:r>
          </w:p>
        </w:tc>
      </w:tr>
    </w:tbl>
    <w:p w14:paraId="32618D14" w14:textId="77777777" w:rsidR="000230E8" w:rsidRDefault="000230E8" w:rsidP="000230E8">
      <w:pPr>
        <w:spacing w:before="240"/>
      </w:pPr>
      <w:r>
        <w:t>P</w:t>
      </w:r>
      <w:r w:rsidRPr="0092746D">
        <w:t xml:space="preserve">eople with disabilities were affected disproportionately by the decline in public sector employment since the introduction of the moratorium on recruitment into the public sector in </w:t>
      </w:r>
      <w:r>
        <w:t xml:space="preserve">March </w:t>
      </w:r>
      <w:r w:rsidRPr="0092746D">
        <w:t xml:space="preserve">2009. The absolute number of people with disabilities employed in the public sector declined by 9.9% (632) compared to a 4% decline in overall employment (9,386). </w:t>
      </w:r>
    </w:p>
    <w:p w14:paraId="636E17DF" w14:textId="77777777" w:rsidR="000230E8" w:rsidRDefault="000230E8" w:rsidP="000230E8">
      <w:pPr>
        <w:pStyle w:val="Heading2"/>
      </w:pPr>
      <w:bookmarkStart w:id="70" w:name="_Toc335836313"/>
      <w:r>
        <w:t>Transport, Tourism and Sport</w:t>
      </w:r>
      <w:bookmarkEnd w:id="70"/>
    </w:p>
    <w:p w14:paraId="1196BD87" w14:textId="77777777" w:rsidR="000230E8" w:rsidRPr="00B30361" w:rsidRDefault="000230E8" w:rsidP="000230E8">
      <w:r>
        <w:t xml:space="preserve">The National Disability Authority submitted a policy advice paper to the Department in October, in response to its public consultation on the review of its sectoral plan </w:t>
      </w:r>
      <w:r w:rsidRPr="00B30361">
        <w:rPr>
          <w:b/>
        </w:rPr>
        <w:t xml:space="preserve">Transport </w:t>
      </w:r>
      <w:r>
        <w:rPr>
          <w:b/>
        </w:rPr>
        <w:t xml:space="preserve">Access </w:t>
      </w:r>
      <w:r w:rsidRPr="00B30361">
        <w:rPr>
          <w:b/>
        </w:rPr>
        <w:t>for All</w:t>
      </w:r>
      <w:r>
        <w:t xml:space="preserve">. The paper emphasised the importance of an integrated, accessible, </w:t>
      </w:r>
      <w:proofErr w:type="gramStart"/>
      <w:r>
        <w:t>available</w:t>
      </w:r>
      <w:proofErr w:type="gramEnd"/>
      <w:r>
        <w:t xml:space="preserve"> and affordable public transport system, and of providing information to enable people with disabilities plan linked journeys. It promoted the more efficient use of vehicles currently used by of the Health Service Executive, the School Transport </w:t>
      </w:r>
      <w:proofErr w:type="gramStart"/>
      <w:r>
        <w:t>Scheme</w:t>
      </w:r>
      <w:proofErr w:type="gramEnd"/>
      <w:r>
        <w:t xml:space="preserve"> and the Rural Transport Programme. It also suggested bringing community door-to-door transport services under the same regulatory framework as taxis.</w:t>
      </w:r>
    </w:p>
    <w:p w14:paraId="5EF18CA7" w14:textId="77777777" w:rsidR="000230E8" w:rsidRDefault="000230E8" w:rsidP="000230E8">
      <w:pPr>
        <w:pStyle w:val="Heading3"/>
      </w:pPr>
      <w:bookmarkStart w:id="71" w:name="_Toc335836314"/>
      <w:r>
        <w:t>National Transport Authority</w:t>
      </w:r>
      <w:bookmarkEnd w:id="71"/>
    </w:p>
    <w:p w14:paraId="73ADCDBD" w14:textId="77777777" w:rsidR="000230E8" w:rsidRDefault="000230E8" w:rsidP="000230E8">
      <w:r>
        <w:t xml:space="preserve">A submission was made to the National Transport Authority’s public consultation in April on its </w:t>
      </w:r>
      <w:r w:rsidRPr="00AB2446">
        <w:rPr>
          <w:b/>
        </w:rPr>
        <w:t>Greater Dublin Area Draft Transport Strategy 2011-2030 (2030 Vision)</w:t>
      </w:r>
      <w:r>
        <w:t>.</w:t>
      </w:r>
    </w:p>
    <w:p w14:paraId="6DBABB27" w14:textId="77777777" w:rsidR="000230E8" w:rsidRDefault="000230E8" w:rsidP="000230E8">
      <w:pPr>
        <w:pStyle w:val="Heading3"/>
      </w:pPr>
      <w:bookmarkStart w:id="72" w:name="_Toc335836315"/>
      <w:r>
        <w:t>Taxis</w:t>
      </w:r>
      <w:bookmarkEnd w:id="72"/>
    </w:p>
    <w:p w14:paraId="2FAAABCC" w14:textId="77777777" w:rsidR="000230E8" w:rsidRDefault="000230E8" w:rsidP="000230E8">
      <w:r>
        <w:t xml:space="preserve">The National Disability Authority’s Director was appointed a member of </w:t>
      </w:r>
      <w:r w:rsidRPr="00B30361">
        <w:t>Taxi Regulation Review Steering Group</w:t>
      </w:r>
      <w:r>
        <w:t xml:space="preserve"> which was established under the Programme for Government with a view to examining standards and practices in the taxi sector. In August, the National Disability Authority submitted a wide-ranging submission based on the themes of availability, </w:t>
      </w:r>
      <w:proofErr w:type="gramStart"/>
      <w:r>
        <w:t>accessibility</w:t>
      </w:r>
      <w:proofErr w:type="gramEnd"/>
      <w:r>
        <w:t xml:space="preserve"> and affordability. </w:t>
      </w:r>
    </w:p>
    <w:p w14:paraId="418D88DA" w14:textId="77777777" w:rsidR="000230E8" w:rsidRDefault="000230E8" w:rsidP="000230E8">
      <w:r>
        <w:t xml:space="preserve">In parallel with that Review the National Transport Authority ran a consultation entitled: </w:t>
      </w:r>
      <w:r w:rsidRPr="00AB2446">
        <w:rPr>
          <w:b/>
        </w:rPr>
        <w:t xml:space="preserve">Vehicle Standards – Consultation paper for the taxi, </w:t>
      </w:r>
      <w:proofErr w:type="gramStart"/>
      <w:r w:rsidRPr="00AB2446">
        <w:rPr>
          <w:b/>
        </w:rPr>
        <w:t>hackney</w:t>
      </w:r>
      <w:proofErr w:type="gramEnd"/>
      <w:r w:rsidRPr="00AB2446">
        <w:rPr>
          <w:b/>
        </w:rPr>
        <w:t xml:space="preserve"> and limousine fleet</w:t>
      </w:r>
      <w:r>
        <w:t>, which took place following the revoking of the rule that renewal of standard hackney and taxi vehicle licences would only be for vehicles less than nine years old.  The National Disability Authority responded to this consultation.</w:t>
      </w:r>
    </w:p>
    <w:p w14:paraId="6DC7E191" w14:textId="77777777" w:rsidR="000230E8" w:rsidRDefault="000230E8" w:rsidP="000230E8">
      <w:pPr>
        <w:pStyle w:val="Heading3"/>
      </w:pPr>
      <w:bookmarkStart w:id="73" w:name="_Toc335836316"/>
      <w:r>
        <w:lastRenderedPageBreak/>
        <w:t>Tourism</w:t>
      </w:r>
      <w:bookmarkEnd w:id="73"/>
    </w:p>
    <w:p w14:paraId="282577BB" w14:textId="77777777" w:rsidR="000230E8" w:rsidRDefault="000230E8" w:rsidP="000230E8">
      <w:r>
        <w:t xml:space="preserve">The Car Rental Council of Ireland - on foot of National Disability Authority enquiries in this area - stated that they are committed to ensuring that customer referrals for visitors with disabilities are handled more efficiently. </w:t>
      </w:r>
    </w:p>
    <w:p w14:paraId="406F04BE" w14:textId="77777777" w:rsidR="000230E8" w:rsidRDefault="000230E8" w:rsidP="000230E8">
      <w:pPr>
        <w:pStyle w:val="Heading2"/>
      </w:pPr>
      <w:bookmarkStart w:id="74" w:name="_Toc335836317"/>
      <w:r>
        <w:t>Communications and Energy</w:t>
      </w:r>
      <w:bookmarkEnd w:id="74"/>
    </w:p>
    <w:p w14:paraId="7E15D59F" w14:textId="77777777" w:rsidR="000230E8" w:rsidRDefault="000230E8" w:rsidP="000230E8">
      <w:pPr>
        <w:pStyle w:val="Heading3"/>
      </w:pPr>
      <w:bookmarkStart w:id="75" w:name="_Toc335836318"/>
      <w:r>
        <w:t>Broadcasting Authority of Ireland</w:t>
      </w:r>
      <w:bookmarkEnd w:id="75"/>
      <w:r>
        <w:t xml:space="preserve"> </w:t>
      </w:r>
    </w:p>
    <w:p w14:paraId="26B1247B" w14:textId="77777777" w:rsidR="000230E8" w:rsidRDefault="000230E8" w:rsidP="000230E8">
      <w:r>
        <w:t xml:space="preserve">In 2009, the former Broadcasting Commission of Ireland and the National Disability Authority published research on the </w:t>
      </w:r>
      <w:r w:rsidRPr="0079353B">
        <w:rPr>
          <w:b/>
        </w:rPr>
        <w:t>Representation and Portrayal of People with Disabilities in Irish Broadcasting</w:t>
      </w:r>
      <w:r>
        <w:t xml:space="preserve">. The aim of this collaboration was to carry out research that would inform broadcasters, policy makers and the public (including people with disabilities) and would be used in the development of voluntary guidelines on the fair and accurate representation of people with disabilities in broadcast media. </w:t>
      </w:r>
    </w:p>
    <w:p w14:paraId="74D155ED" w14:textId="77777777" w:rsidR="000230E8" w:rsidRDefault="000230E8" w:rsidP="000230E8">
      <w:r>
        <w:t xml:space="preserve">In 2011 the project was moved </w:t>
      </w:r>
      <w:proofErr w:type="gramStart"/>
      <w:r>
        <w:t>forward</w:t>
      </w:r>
      <w:proofErr w:type="gramEnd"/>
      <w:r>
        <w:t xml:space="preserve"> and agreement was reached that the newly constituted Broadcasting Authority of Ireland will progress the development of these voluntary guidelines in 2012, with the assistance of the National Disability Authority. </w:t>
      </w:r>
    </w:p>
    <w:p w14:paraId="1DDA5DBC" w14:textId="77777777" w:rsidR="000230E8" w:rsidRDefault="000230E8" w:rsidP="000230E8">
      <w:r>
        <w:t xml:space="preserve">The National Disability Authority also submitted policy advice papers to the Broadcasting Authority of Ireland, in relation to their consultations on its </w:t>
      </w:r>
      <w:r w:rsidRPr="00D7499D">
        <w:rPr>
          <w:b/>
        </w:rPr>
        <w:t>Draft Broadcasting Code on Referenda and Election Coverage</w:t>
      </w:r>
      <w:r>
        <w:t xml:space="preserve">, in August and to its </w:t>
      </w:r>
      <w:r w:rsidRPr="00D7499D">
        <w:rPr>
          <w:b/>
        </w:rPr>
        <w:t>Draft Broadcasting Services Strategy</w:t>
      </w:r>
      <w:r>
        <w:t xml:space="preserve"> in September.</w:t>
      </w:r>
    </w:p>
    <w:p w14:paraId="5D4AB9DB" w14:textId="77777777" w:rsidR="000230E8" w:rsidRDefault="000230E8" w:rsidP="000230E8">
      <w:r>
        <w:t xml:space="preserve">The former paper asked, that people with disabilities and older persons be accommodated by broadcasters </w:t>
      </w:r>
      <w:proofErr w:type="gramStart"/>
      <w:r>
        <w:t>in order to</w:t>
      </w:r>
      <w:proofErr w:type="gramEnd"/>
      <w:r>
        <w:t xml:space="preserve"> support their participation in civic society. The latter paper emphasised the importance of the future ratification of the United Nations Convention on the Rights of Persons with Disabilities on the work of the Broadcasting Authority of Ireland; </w:t>
      </w:r>
      <w:proofErr w:type="gramStart"/>
      <w:r>
        <w:t>in particular the</w:t>
      </w:r>
      <w:proofErr w:type="gramEnd"/>
      <w:r>
        <w:t xml:space="preserve"> portrayal of people with disabilities in the media under Article 8.</w:t>
      </w:r>
    </w:p>
    <w:p w14:paraId="16C8E81E" w14:textId="77777777" w:rsidR="000230E8" w:rsidRDefault="000230E8" w:rsidP="000230E8">
      <w:pPr>
        <w:pStyle w:val="Heading3"/>
      </w:pPr>
      <w:bookmarkStart w:id="76" w:name="_Toc335836319"/>
      <w:r>
        <w:t>Commission for Communications Regulation</w:t>
      </w:r>
      <w:bookmarkEnd w:id="76"/>
      <w:r>
        <w:t xml:space="preserve"> </w:t>
      </w:r>
    </w:p>
    <w:p w14:paraId="347D8D68" w14:textId="77777777" w:rsidR="000230E8" w:rsidRDefault="000230E8" w:rsidP="000230E8">
      <w:pPr>
        <w:rPr>
          <w:lang w:val="en-GB"/>
        </w:rPr>
      </w:pPr>
      <w:r>
        <w:rPr>
          <w:lang w:val="en-GB"/>
        </w:rPr>
        <w:t xml:space="preserve">The National Disability Authority hosted four meetings of the Forum on Electronic Services for People with Disabilities. Discussions concentrated on developing guidance for the telecommunications companies on how best they can implement Regulation 17 of S.I. No. 337 of 2011: </w:t>
      </w:r>
      <w:r w:rsidRPr="00D7499D">
        <w:rPr>
          <w:b/>
          <w:lang w:val="en-GB"/>
        </w:rPr>
        <w:t>European Communities (Electronic Communications Networks and Services) (Universal Service and Users’ Rights) Regulations 2011</w:t>
      </w:r>
      <w:r>
        <w:rPr>
          <w:lang w:val="en-GB"/>
        </w:rPr>
        <w:t>.</w:t>
      </w:r>
    </w:p>
    <w:p w14:paraId="4FA6A5B3" w14:textId="77777777" w:rsidR="000230E8" w:rsidRDefault="000230E8" w:rsidP="000230E8">
      <w:pPr>
        <w:rPr>
          <w:lang w:val="en-GB"/>
        </w:rPr>
      </w:pPr>
      <w:r w:rsidRPr="0032403E">
        <w:rPr>
          <w:lang w:val="en-GB"/>
        </w:rPr>
        <w:t xml:space="preserve">The purpose of these Regulations is to give effect to </w:t>
      </w:r>
      <w:r>
        <w:rPr>
          <w:lang w:val="en-GB"/>
        </w:rPr>
        <w:t xml:space="preserve">a European Union </w:t>
      </w:r>
      <w:r w:rsidRPr="0032403E">
        <w:rPr>
          <w:lang w:val="en-GB"/>
        </w:rPr>
        <w:t>Directive on universal</w:t>
      </w:r>
      <w:r>
        <w:rPr>
          <w:lang w:val="en-GB"/>
        </w:rPr>
        <w:t xml:space="preserve"> </w:t>
      </w:r>
      <w:r w:rsidRPr="0032403E">
        <w:rPr>
          <w:lang w:val="en-GB"/>
        </w:rPr>
        <w:t>service and users’ rights</w:t>
      </w:r>
      <w:r>
        <w:rPr>
          <w:lang w:val="en-GB"/>
        </w:rPr>
        <w:t>,</w:t>
      </w:r>
      <w:r w:rsidRPr="0032403E">
        <w:rPr>
          <w:lang w:val="en-GB"/>
        </w:rPr>
        <w:t xml:space="preserve"> relating to electronic communications networks and</w:t>
      </w:r>
      <w:r>
        <w:rPr>
          <w:lang w:val="en-GB"/>
        </w:rPr>
        <w:t xml:space="preserve"> </w:t>
      </w:r>
      <w:r w:rsidRPr="0032403E">
        <w:rPr>
          <w:lang w:val="en-GB"/>
        </w:rPr>
        <w:t>services (</w:t>
      </w:r>
      <w:r w:rsidRPr="00D7499D">
        <w:rPr>
          <w:b/>
          <w:lang w:val="en-GB"/>
        </w:rPr>
        <w:t>Universal Service Directive</w:t>
      </w:r>
      <w:r>
        <w:rPr>
          <w:lang w:val="en-GB"/>
        </w:rPr>
        <w:t>)</w:t>
      </w:r>
      <w:r w:rsidRPr="0032403E">
        <w:rPr>
          <w:lang w:val="en-GB"/>
        </w:rPr>
        <w:t>.</w:t>
      </w:r>
      <w:r>
        <w:rPr>
          <w:lang w:val="en-GB"/>
        </w:rPr>
        <w:t xml:space="preserve"> </w:t>
      </w:r>
    </w:p>
    <w:p w14:paraId="472F927A" w14:textId="77777777" w:rsidR="000230E8" w:rsidRPr="00F9771B" w:rsidRDefault="000230E8" w:rsidP="000230E8">
      <w:r>
        <w:lastRenderedPageBreak/>
        <w:t>The National Disability Authority also submitted a policy advice paper to the Commission’s consultation on p</w:t>
      </w:r>
      <w:r w:rsidRPr="00F9771B">
        <w:t>roposed consumer protection measures</w:t>
      </w:r>
      <w:r>
        <w:t>,</w:t>
      </w:r>
      <w:r w:rsidRPr="00F9771B">
        <w:t xml:space="preserve"> in respect of consumer bills and billing mediums</w:t>
      </w:r>
      <w:r>
        <w:t>, supporting the Commissions’ proposals to provide greater protection and choice for vulnerable customers, along with emphasising the benefits of incorporating universal design when planning for the billing process.</w:t>
      </w:r>
    </w:p>
    <w:p w14:paraId="071332FB" w14:textId="77777777" w:rsidR="000230E8" w:rsidRPr="002C401E" w:rsidRDefault="000230E8" w:rsidP="000230E8">
      <w:pPr>
        <w:pStyle w:val="Heading3"/>
      </w:pPr>
      <w:bookmarkStart w:id="77" w:name="_Toc335836320"/>
      <w:r>
        <w:t>Commission for Energy Regulation</w:t>
      </w:r>
      <w:bookmarkEnd w:id="77"/>
    </w:p>
    <w:p w14:paraId="069786CD" w14:textId="77777777" w:rsidR="000230E8" w:rsidRPr="008F5F16" w:rsidRDefault="000230E8" w:rsidP="000230E8">
      <w:r>
        <w:t xml:space="preserve">The National Disability Authority responded to the Commission’s consultation on the proposed national roll out of electricity and gas smart metering emphasising the benefits of a universal design approach in the provision of </w:t>
      </w:r>
      <w:r w:rsidRPr="008F5F16">
        <w:t xml:space="preserve">an inclusive, understandable, </w:t>
      </w:r>
      <w:proofErr w:type="gramStart"/>
      <w:r w:rsidRPr="008F5F16">
        <w:t>accessible</w:t>
      </w:r>
      <w:proofErr w:type="gramEnd"/>
      <w:r>
        <w:t xml:space="preserve"> and </w:t>
      </w:r>
      <w:r w:rsidRPr="008F5F16">
        <w:t>usable public infrastructure project</w:t>
      </w:r>
      <w:r>
        <w:t>.</w:t>
      </w:r>
    </w:p>
    <w:p w14:paraId="7E1B221D" w14:textId="77777777" w:rsidR="000230E8" w:rsidRDefault="000230E8" w:rsidP="00C27E0C">
      <w:pPr>
        <w:pStyle w:val="Heading1"/>
      </w:pPr>
      <w:r>
        <w:br w:type="page"/>
      </w:r>
      <w:bookmarkStart w:id="78" w:name="_Toc335829640"/>
      <w:bookmarkStart w:id="79" w:name="_Toc335836321"/>
      <w:bookmarkStart w:id="80" w:name="_Toc335983425"/>
      <w:bookmarkStart w:id="81" w:name="_Toc335986594"/>
      <w:r w:rsidRPr="00036C68">
        <w:lastRenderedPageBreak/>
        <w:t xml:space="preserve">Strategic Priority 2: </w:t>
      </w:r>
      <w:r>
        <w:t xml:space="preserve"> </w:t>
      </w:r>
      <w:r w:rsidRPr="00036C68">
        <w:t>To provide evidence-based policy advice to promote independence and the quality of daily life for people with disabilities across the lifecycle</w:t>
      </w:r>
      <w:bookmarkEnd w:id="78"/>
      <w:bookmarkEnd w:id="79"/>
      <w:bookmarkEnd w:id="80"/>
      <w:bookmarkEnd w:id="81"/>
    </w:p>
    <w:p w14:paraId="71F8A2DA" w14:textId="77777777" w:rsidR="000230E8" w:rsidRDefault="000230E8" w:rsidP="000230E8">
      <w:pPr>
        <w:pStyle w:val="Heading2"/>
      </w:pPr>
      <w:bookmarkStart w:id="82" w:name="_Toc335836322"/>
      <w:r>
        <w:t>National Survey of Public Attitudes to Disability in Ireland</w:t>
      </w:r>
      <w:bookmarkEnd w:id="82"/>
    </w:p>
    <w:p w14:paraId="6A8C69D2" w14:textId="77777777" w:rsidR="000230E8" w:rsidRDefault="000230E8" w:rsidP="000230E8">
      <w:r>
        <w:t xml:space="preserve">As part of the National Disability Authority’s strategic commitment to raising awareness and promoting positive attitudes to disability, the National Disability Authority commissioned a national survey of public attitudes to disability in Ireland, in July and August 2011. This survey builds upon previous surveys conducted by the National Disability Authority in 2001 and 2006. </w:t>
      </w:r>
    </w:p>
    <w:p w14:paraId="27C49B65" w14:textId="77777777" w:rsidR="000230E8" w:rsidRDefault="000230E8" w:rsidP="000230E8">
      <w:r>
        <w:t xml:space="preserve">The research was based on a nationally representative sample of 1,039 adults aged over 18 years, plus an additional 265 adults, also aged over 18 years, with disabilities to bring the total disability sub-sample to 400 people. Overall, the survey included 1,304 </w:t>
      </w:r>
      <w:proofErr w:type="gramStart"/>
      <w:r>
        <w:t>face</w:t>
      </w:r>
      <w:proofErr w:type="gramEnd"/>
      <w:r>
        <w:t xml:space="preserve"> to face interviews.</w:t>
      </w:r>
    </w:p>
    <w:p w14:paraId="3C8A4011" w14:textId="77777777" w:rsidR="000230E8" w:rsidRDefault="000230E8" w:rsidP="000230E8">
      <w:r>
        <w:t xml:space="preserve">In general, the survey found a hardening of attitudes towards people with all types of disabilities, across a range of settings including the workplace, schools and in the community. This trend follows a period of improved attitudes and knowledge regarding disability. There is some evidence that attitudes towards people with mental health difficulties have sustained some of the improvements that were achieved between 2001 and 2006.  </w:t>
      </w:r>
    </w:p>
    <w:p w14:paraId="1EC8A5DE" w14:textId="77777777" w:rsidR="000230E8" w:rsidRDefault="000230E8" w:rsidP="000230E8">
      <w:pPr>
        <w:pStyle w:val="Heading2"/>
      </w:pPr>
      <w:bookmarkStart w:id="83" w:name="_Toc335836323"/>
      <w:r>
        <w:t>National Disability Authority Annual Conference</w:t>
      </w:r>
      <w:bookmarkEnd w:id="83"/>
      <w:r>
        <w:t xml:space="preserve"> </w:t>
      </w:r>
    </w:p>
    <w:p w14:paraId="128FF963" w14:textId="77777777" w:rsidR="000230E8" w:rsidRDefault="000230E8" w:rsidP="000230E8">
      <w:r>
        <w:t>The aim of the annual conference 2011 wa</w:t>
      </w:r>
      <w:r w:rsidRPr="003E4BAA">
        <w:t>s to showcase national and international policies, practices, and initiatives that promote participation, independence, and safety, for people with disabilities living in the community</w:t>
      </w:r>
      <w:r>
        <w:t>. Leading, international experts presented on good practice initiatives and policy developments. In addition to the plenary sessions, there were other presentations on: u</w:t>
      </w:r>
      <w:r w:rsidRPr="00970693">
        <w:t>sing assistive technology to participate fully in the community</w:t>
      </w:r>
      <w:r>
        <w:t>; sexuality, parenting and family r</w:t>
      </w:r>
      <w:r w:rsidRPr="00970693">
        <w:t>elationships</w:t>
      </w:r>
      <w:r>
        <w:t>; person-centred b</w:t>
      </w:r>
      <w:r w:rsidRPr="00970693">
        <w:t>udgets</w:t>
      </w:r>
      <w:r>
        <w:t>; b</w:t>
      </w:r>
      <w:r w:rsidRPr="00970693">
        <w:t>uilding safe communities</w:t>
      </w:r>
      <w:r>
        <w:t xml:space="preserve">. </w:t>
      </w:r>
    </w:p>
    <w:p w14:paraId="385F063C" w14:textId="77777777" w:rsidR="000230E8" w:rsidRDefault="000230E8" w:rsidP="000230E8">
      <w:pPr>
        <w:pStyle w:val="Heading2"/>
      </w:pPr>
      <w:bookmarkStart w:id="84" w:name="_Toc335836324"/>
      <w:r>
        <w:t>Resource allocation models</w:t>
      </w:r>
      <w:bookmarkEnd w:id="84"/>
    </w:p>
    <w:p w14:paraId="307EF946" w14:textId="77777777" w:rsidR="000230E8" w:rsidRDefault="000230E8" w:rsidP="000230E8">
      <w:pPr>
        <w:pStyle w:val="Heading3"/>
      </w:pPr>
      <w:bookmarkStart w:id="85" w:name="_Toc335836325"/>
      <w:r>
        <w:t>Literature review</w:t>
      </w:r>
      <w:bookmarkEnd w:id="85"/>
    </w:p>
    <w:p w14:paraId="122DC53B" w14:textId="77777777" w:rsidR="000230E8" w:rsidRDefault="000230E8" w:rsidP="000230E8">
      <w:r>
        <w:t xml:space="preserve">The National Disability Authority conducted an extensive review of the research literature on models used internationally to allocate resources for disability services, concentrating </w:t>
      </w:r>
      <w:proofErr w:type="gramStart"/>
      <w:r>
        <w:t>in particular on</w:t>
      </w:r>
      <w:proofErr w:type="gramEnd"/>
      <w:r>
        <w:t xml:space="preserve"> findings in relation to the US Supports Intensity Scale, the UK resource allocation model developed by In Control, and the Australian I-Can system. This review of the literature is published on the National Disability Authority website.  </w:t>
      </w:r>
    </w:p>
    <w:p w14:paraId="00F410E6" w14:textId="77777777" w:rsidR="000230E8" w:rsidRDefault="000230E8" w:rsidP="000230E8">
      <w:pPr>
        <w:pStyle w:val="Heading3"/>
      </w:pPr>
      <w:bookmarkStart w:id="86" w:name="_Toc335836326"/>
      <w:r>
        <w:lastRenderedPageBreak/>
        <w:t>Field trial</w:t>
      </w:r>
      <w:bookmarkEnd w:id="86"/>
    </w:p>
    <w:p w14:paraId="2E38FE54" w14:textId="77777777" w:rsidR="000230E8" w:rsidRDefault="000230E8" w:rsidP="000230E8">
      <w:r>
        <w:t xml:space="preserve">To inform the practical choice of resource allocation model for Ireland, the National Disability Authority began a field trial of two of the most </w:t>
      </w:r>
      <w:proofErr w:type="gramStart"/>
      <w:r>
        <w:t>widely-used</w:t>
      </w:r>
      <w:proofErr w:type="gramEnd"/>
      <w:r>
        <w:t xml:space="preserve"> needs assessment tools, the Supports Intensity Scale developed in the US, and the Resource Allocation System (RAS5) used in allocating personal budgets in England, to compare the relative merits in an Irish context and to explore any issues arising. The target is to administer each of these questionnaires to 120 participants with disabilities, and collect information to inform their usability, </w:t>
      </w:r>
      <w:proofErr w:type="gramStart"/>
      <w:r>
        <w:t>acceptability</w:t>
      </w:r>
      <w:proofErr w:type="gramEnd"/>
      <w:r>
        <w:t xml:space="preserve"> and value in an Irish context. Interviewers are experienced professionals working in disability services, who will interview people with disabilities in a different (or no) service. Training for interviewers was provided in 2011 in each of these questionnaires, in advance of fieldwork scheduled for 2012.</w:t>
      </w:r>
    </w:p>
    <w:p w14:paraId="5B81ADE3" w14:textId="77777777" w:rsidR="000230E8" w:rsidRDefault="000230E8" w:rsidP="000230E8">
      <w:pPr>
        <w:pStyle w:val="Heading2"/>
      </w:pPr>
      <w:bookmarkStart w:id="87" w:name="_Toc335836327"/>
      <w:r>
        <w:t>Natural Community Supports</w:t>
      </w:r>
      <w:bookmarkEnd w:id="87"/>
    </w:p>
    <w:p w14:paraId="18F8CCD9" w14:textId="77777777" w:rsidR="000230E8" w:rsidRDefault="000230E8" w:rsidP="000230E8">
      <w:r>
        <w:t>Three pieces of work were undertaken to examine the role of natural community supports in supporting and enabling people with disabilities to live independent lives in the community.</w:t>
      </w:r>
    </w:p>
    <w:p w14:paraId="1BD767DE" w14:textId="77777777" w:rsidR="000230E8" w:rsidRDefault="000230E8" w:rsidP="000230E8">
      <w:pPr>
        <w:pStyle w:val="Heading3"/>
      </w:pPr>
      <w:bookmarkStart w:id="88" w:name="_Toc335836328"/>
      <w:r>
        <w:t>Review of literature</w:t>
      </w:r>
      <w:bookmarkEnd w:id="88"/>
    </w:p>
    <w:p w14:paraId="31B86A9E" w14:textId="77777777" w:rsidR="000230E8" w:rsidRDefault="000230E8" w:rsidP="000230E8">
      <w:r w:rsidRPr="002420BD">
        <w:t>The first piece of work, commissioned from the Work Research Centre, summarises</w:t>
      </w:r>
      <w:r>
        <w:t xml:space="preserve"> the findings of the research literature, and has been published on </w:t>
      </w:r>
      <w:hyperlink r:id="rId8" w:history="1">
        <w:r w:rsidRPr="00B04BE6">
          <w:rPr>
            <w:rStyle w:val="Hyperlink"/>
          </w:rPr>
          <w:t>www.nda.ie</w:t>
        </w:r>
      </w:hyperlink>
      <w:r>
        <w:t xml:space="preserve">. The findings show that lack of amenities, poor public transport, lack of finance and stigma can be barriers to the formation of social networks (and therefore social support). Individuals with severe disabilities or who lack social skills find it harder to form social networks that provide informal support. </w:t>
      </w:r>
    </w:p>
    <w:p w14:paraId="0ADF075E" w14:textId="77777777" w:rsidR="000230E8" w:rsidRDefault="000230E8" w:rsidP="000230E8">
      <w:r>
        <w:t xml:space="preserve">Where people are in disability services, staff practices, such as a priority given to care over community participation were a factor. Risk management emerged as a key barrier to the promotion by service provider staff of greater independence and social inclusion. </w:t>
      </w:r>
    </w:p>
    <w:p w14:paraId="292A5E11" w14:textId="77777777" w:rsidR="000230E8" w:rsidRPr="00FE0B06" w:rsidRDefault="000230E8" w:rsidP="000230E8">
      <w:pPr>
        <w:rPr>
          <w:rFonts w:ascii="Verdana" w:hAnsi="Verdana"/>
          <w:sz w:val="20"/>
          <w:szCs w:val="20"/>
        </w:rPr>
      </w:pPr>
      <w:r>
        <w:t xml:space="preserve">The review highlighted that clear policies that are subject to monitoring and a cultural change in how services were delivered, facilitated greater community engagement and growth of natural support. Staff training is a key issue, as well as roles dedicated to working with </w:t>
      </w:r>
      <w:r w:rsidRPr="00FE0B06">
        <w:t>people with disabilities</w:t>
      </w:r>
      <w:r>
        <w:t xml:space="preserve"> in building links to their local communities.</w:t>
      </w:r>
      <w:r w:rsidRPr="00FE0B06">
        <w:t xml:space="preserve"> The need to support those who provide natural support is also acknowledged.</w:t>
      </w:r>
    </w:p>
    <w:p w14:paraId="59677F80" w14:textId="77777777" w:rsidR="000230E8" w:rsidRDefault="000230E8" w:rsidP="000230E8">
      <w:pPr>
        <w:pStyle w:val="Heading3"/>
      </w:pPr>
      <w:bookmarkStart w:id="89" w:name="_Toc335836329"/>
      <w:r>
        <w:t>Research in progress</w:t>
      </w:r>
      <w:bookmarkEnd w:id="89"/>
    </w:p>
    <w:p w14:paraId="72933CB8" w14:textId="77777777" w:rsidR="000230E8" w:rsidRDefault="000230E8" w:rsidP="000230E8">
      <w:pPr>
        <w:pStyle w:val="ListBullet"/>
        <w:numPr>
          <w:ilvl w:val="0"/>
          <w:numId w:val="0"/>
        </w:numPr>
        <w:spacing w:after="240"/>
      </w:pPr>
      <w:r>
        <w:t xml:space="preserve">A second piece of work documents projects around promoting networks and natural supports that were submitted by a sample of service providers. A third piece surveyed people with disabilities living independently to ascertain what </w:t>
      </w:r>
      <w:r>
        <w:lastRenderedPageBreak/>
        <w:t>natural community supports sustained them in their independence. These reports will be completed in 2012.</w:t>
      </w:r>
    </w:p>
    <w:p w14:paraId="158D5C47" w14:textId="77777777" w:rsidR="000230E8" w:rsidRDefault="000230E8" w:rsidP="000230E8">
      <w:pPr>
        <w:pStyle w:val="Heading2"/>
      </w:pPr>
      <w:bookmarkStart w:id="90" w:name="_Toc335836330"/>
      <w:r>
        <w:t>Commissioned papers to summarise current evidence</w:t>
      </w:r>
      <w:bookmarkEnd w:id="90"/>
    </w:p>
    <w:p w14:paraId="6B19C5F7" w14:textId="77777777" w:rsidR="000230E8" w:rsidRDefault="000230E8" w:rsidP="000230E8">
      <w:r>
        <w:t>In June 2011, the National Disability Authority commissioned Queens University, Belfast, to develop three discussion papers on key policy concerns, summarising the current evidence in these areas relating to disability. The three topics were:</w:t>
      </w:r>
    </w:p>
    <w:p w14:paraId="56CC7B15" w14:textId="77777777" w:rsidR="000230E8" w:rsidRDefault="000230E8" w:rsidP="000230E8">
      <w:pPr>
        <w:pStyle w:val="ListBullet"/>
        <w:suppressAutoHyphens w:val="0"/>
      </w:pPr>
      <w:r>
        <w:t xml:space="preserve">Review of social health insurance systems and provision of health services for people with disabilities in specified jurisdictions </w:t>
      </w:r>
    </w:p>
    <w:p w14:paraId="7D9AB343" w14:textId="77777777" w:rsidR="000230E8" w:rsidRDefault="000230E8" w:rsidP="000230E8">
      <w:pPr>
        <w:pStyle w:val="ListBullet"/>
        <w:suppressAutoHyphens w:val="0"/>
      </w:pPr>
      <w:r>
        <w:t>Good practice in supported decision-making under modern mental capacity legislation</w:t>
      </w:r>
    </w:p>
    <w:p w14:paraId="32DBFAFD" w14:textId="77777777" w:rsidR="000230E8" w:rsidRDefault="000230E8" w:rsidP="000230E8">
      <w:pPr>
        <w:pStyle w:val="ListBullet"/>
        <w:suppressAutoHyphens w:val="0"/>
        <w:spacing w:after="240"/>
      </w:pPr>
      <w:r>
        <w:t>The transition to personal budgets for people with disabilities: a review of practice in specified jurisdictions</w:t>
      </w:r>
    </w:p>
    <w:p w14:paraId="3C389A3F" w14:textId="77777777" w:rsidR="000230E8" w:rsidRDefault="000230E8" w:rsidP="000230E8">
      <w:r>
        <w:t>The discussion papers appraise and summarise international evidence; consider and discuss the implications of the research for Irish policy makers and practitioners; and identify gaps/limitations in the research. The discussion papers will form the basis for further consultation with key stakeholders and informing future policy advice to the Minister.</w:t>
      </w:r>
    </w:p>
    <w:p w14:paraId="628230A9" w14:textId="77777777" w:rsidR="000230E8" w:rsidRDefault="000230E8" w:rsidP="000230E8">
      <w:pPr>
        <w:pStyle w:val="Heading2"/>
      </w:pPr>
      <w:bookmarkStart w:id="91" w:name="_Toc335836331"/>
      <w:r>
        <w:t>Research Promotion Scheme 2011</w:t>
      </w:r>
      <w:bookmarkEnd w:id="91"/>
    </w:p>
    <w:p w14:paraId="3791B211" w14:textId="77777777" w:rsidR="000230E8" w:rsidRDefault="000230E8" w:rsidP="000230E8">
      <w:r>
        <w:t>The Research Promotion Scheme is a funding mechanism that aims to enhance the National Disability Authority's knowledge base, with specific proposals identified and developed by independent researchers. The focus of research topics for the Research Promotion Scheme was: Promoting Safety and Freedom from Abuse for People with Disabilities.</w:t>
      </w:r>
    </w:p>
    <w:p w14:paraId="6B68F484" w14:textId="77777777" w:rsidR="000230E8" w:rsidRDefault="000230E8" w:rsidP="000230E8">
      <w:pPr>
        <w:spacing w:after="120"/>
      </w:pPr>
      <w:r>
        <w:t>Contracts were awarded to the following bodies</w:t>
      </w:r>
    </w:p>
    <w:p w14:paraId="34794A97" w14:textId="77777777" w:rsidR="000230E8" w:rsidRDefault="000230E8" w:rsidP="000230E8">
      <w:pPr>
        <w:pStyle w:val="ListBullet"/>
        <w:suppressAutoHyphens w:val="0"/>
      </w:pPr>
      <w:r>
        <w:t xml:space="preserve">University College Cork, for the report – </w:t>
      </w:r>
      <w:r w:rsidRPr="00D7499D">
        <w:rPr>
          <w:b/>
        </w:rPr>
        <w:t>Access to Justice for People with Disabilities as Victims of Crime in Ireland</w:t>
      </w:r>
    </w:p>
    <w:p w14:paraId="2C2F4638" w14:textId="77777777" w:rsidR="000230E8" w:rsidRDefault="000230E8" w:rsidP="000230E8">
      <w:pPr>
        <w:pStyle w:val="ListBullet"/>
        <w:suppressAutoHyphens w:val="0"/>
      </w:pPr>
      <w:r>
        <w:t xml:space="preserve">Rape Crisis Network Ireland, for the report – </w:t>
      </w:r>
      <w:r w:rsidRPr="00D7499D">
        <w:rPr>
          <w:b/>
        </w:rPr>
        <w:t>Sexual Violence against People with Disabilities: Data collection and barriers to disclosure</w:t>
      </w:r>
    </w:p>
    <w:p w14:paraId="2CA59123" w14:textId="77777777" w:rsidR="000230E8" w:rsidRDefault="000230E8" w:rsidP="000230E8">
      <w:pPr>
        <w:pStyle w:val="ListBullet"/>
        <w:suppressAutoHyphens w:val="0"/>
        <w:spacing w:after="240"/>
      </w:pPr>
      <w:r>
        <w:t xml:space="preserve">National Institute for Intellectual Disability, for an easy-to-read </w:t>
      </w:r>
      <w:r w:rsidRPr="00D7499D">
        <w:rPr>
          <w:b/>
        </w:rPr>
        <w:t>Stop Bullying: Bullying Information Guide</w:t>
      </w:r>
      <w:r>
        <w:t xml:space="preserve"> and a report on the nature, </w:t>
      </w:r>
      <w:proofErr w:type="gramStart"/>
      <w:r>
        <w:t>extent</w:t>
      </w:r>
      <w:proofErr w:type="gramEnd"/>
      <w:r>
        <w:t xml:space="preserve"> and experience of bullying of people with intellectual disabilities as concluded from both a literature review and focus-group research.</w:t>
      </w:r>
    </w:p>
    <w:p w14:paraId="66BDA76E" w14:textId="77777777" w:rsidR="000230E8" w:rsidRDefault="000230E8" w:rsidP="000230E8">
      <w:pPr>
        <w:pStyle w:val="Heading2"/>
      </w:pPr>
      <w:bookmarkStart w:id="92" w:name="_Toc335836332"/>
      <w:r>
        <w:t>Expert seminars on disability</w:t>
      </w:r>
      <w:bookmarkEnd w:id="92"/>
    </w:p>
    <w:p w14:paraId="14CD1E40" w14:textId="77777777" w:rsidR="000230E8" w:rsidRPr="00874448" w:rsidRDefault="000230E8" w:rsidP="000230E8">
      <w:r>
        <w:t xml:space="preserve">The National Disability Authority hosted expert seminars with Carl Dunst, a US expert on family-centred models of supports for children with disabilities, and </w:t>
      </w:r>
      <w:r>
        <w:lastRenderedPageBreak/>
        <w:t xml:space="preserve">with John O’Brien, a US expert on independent living and on transformation of disability services. </w:t>
      </w:r>
    </w:p>
    <w:p w14:paraId="1C0E3752" w14:textId="77777777" w:rsidR="000230E8" w:rsidRDefault="000230E8" w:rsidP="000230E8">
      <w:pPr>
        <w:pStyle w:val="Heading2"/>
      </w:pPr>
      <w:bookmarkStart w:id="93" w:name="_Toc335836333"/>
      <w:r>
        <w:t>Disability training eLearning module</w:t>
      </w:r>
      <w:bookmarkEnd w:id="93"/>
    </w:p>
    <w:p w14:paraId="686D15DC" w14:textId="77777777" w:rsidR="000230E8" w:rsidRDefault="000230E8" w:rsidP="000230E8">
      <w:r>
        <w:t xml:space="preserve">The National Disability Authority completed and launched its new eLearning module, in December 2011, to train public sector staff to provide quality services to people with disabilities. The eLearning module is available free of charge to public bodies. It allows public bodies to train large numbers of staff without paying for trainers or training venues and allows trainees to spend as much or as little time on the training as they require. The module was piloted in 2011in </w:t>
      </w:r>
      <w:proofErr w:type="gramStart"/>
      <w:r>
        <w:t>a number of</w:t>
      </w:r>
      <w:proofErr w:type="gramEnd"/>
      <w:r>
        <w:t xml:space="preserve"> Departments and was formally launched by the Secretary-General of the Department of Public Expenditure and Reform in December. </w:t>
      </w:r>
    </w:p>
    <w:p w14:paraId="3BEC874B" w14:textId="77777777" w:rsidR="000230E8" w:rsidRDefault="000230E8" w:rsidP="000230E8">
      <w:r>
        <w:t xml:space="preserve">The module can be used anywhere a computer with audio output is available, and there is also a written version. The course offers practical advice on dealing with customers with different types of disabilities. Assessment questions are spread throughout the training course, to help trainees to manage their own learning. The National Disability Authority is currently working with </w:t>
      </w:r>
      <w:proofErr w:type="gramStart"/>
      <w:r>
        <w:t>a number of</w:t>
      </w:r>
      <w:proofErr w:type="gramEnd"/>
      <w:r>
        <w:t xml:space="preserve"> public bodies to roll out this training across the public sector. </w:t>
      </w:r>
    </w:p>
    <w:p w14:paraId="7C0F1113" w14:textId="77777777" w:rsidR="000230E8" w:rsidRPr="007962A3" w:rsidRDefault="000230E8" w:rsidP="000230E8">
      <w:pPr>
        <w:pStyle w:val="Heading2"/>
        <w:rPr>
          <w:b w:val="0"/>
          <w:i/>
        </w:rPr>
      </w:pPr>
      <w:bookmarkStart w:id="94" w:name="_Toc335836334"/>
      <w:r>
        <w:t>Accessibility of Heritage Sites</w:t>
      </w:r>
      <w:bookmarkEnd w:id="94"/>
      <w:r>
        <w:t xml:space="preserve"> </w:t>
      </w:r>
    </w:p>
    <w:p w14:paraId="690EF505" w14:textId="77777777" w:rsidR="000230E8" w:rsidRDefault="000230E8" w:rsidP="000230E8">
      <w:r>
        <w:t xml:space="preserve">The National Disability Authority launched the statutory </w:t>
      </w:r>
      <w:r w:rsidRPr="00BB3333">
        <w:rPr>
          <w:b/>
        </w:rPr>
        <w:t>Code</w:t>
      </w:r>
      <w:r>
        <w:t xml:space="preserve"> </w:t>
      </w:r>
      <w:r w:rsidRPr="00BB3333">
        <w:rPr>
          <w:b/>
        </w:rPr>
        <w:t>of Practice on Accessible Heritage Sites</w:t>
      </w:r>
      <w:r>
        <w:t xml:space="preserve"> in December 2011. The practical advice in this Code of Practice will help public bodies to meet their obligations under section 29 of the Disability Act 2005, to ensure that heritage sites are accessible for people with disabilities.</w:t>
      </w:r>
    </w:p>
    <w:p w14:paraId="7DDAA90A" w14:textId="77777777" w:rsidR="000230E8" w:rsidRDefault="000230E8" w:rsidP="000230E8">
      <w:r>
        <w:t xml:space="preserve">The </w:t>
      </w:r>
      <w:r w:rsidRPr="00BB3333">
        <w:rPr>
          <w:b/>
        </w:rPr>
        <w:t>Code of Practice on Accessible Heritage Sites</w:t>
      </w:r>
      <w:r>
        <w:t xml:space="preserve"> was developed in consultation with government departments, public bodies, heritage groups and disability organisations. </w:t>
      </w:r>
    </w:p>
    <w:p w14:paraId="4893D7DF" w14:textId="77777777" w:rsidR="000230E8" w:rsidRDefault="000230E8" w:rsidP="000230E8">
      <w:r>
        <w:t xml:space="preserve">The National Disability Authority also worked closely with the Architectural Heritage Unit of the Department of Arts, Heritage and the Gaeltacht on a complementary publication titled: </w:t>
      </w:r>
      <w:r w:rsidRPr="00BB3333">
        <w:rPr>
          <w:b/>
        </w:rPr>
        <w:t>Access: Improving the Accessibility of Historic Buildings and Places</w:t>
      </w:r>
      <w:r>
        <w:t xml:space="preserve"> for owners and managers of heritage sites. This publication provides many examples of good practice and guidance on achieving a high standard of accessibility, while protecting the integrity of the heritage site. </w:t>
      </w:r>
    </w:p>
    <w:p w14:paraId="6ACD6DEF" w14:textId="77777777" w:rsidR="000230E8" w:rsidRDefault="000230E8" w:rsidP="000230E8">
      <w:pPr>
        <w:pStyle w:val="Heading2"/>
      </w:pPr>
      <w:bookmarkStart w:id="95" w:name="_Toc335836335"/>
      <w:r>
        <w:t>Procurement</w:t>
      </w:r>
      <w:bookmarkEnd w:id="95"/>
    </w:p>
    <w:p w14:paraId="65FF678D" w14:textId="77777777" w:rsidR="000230E8" w:rsidRPr="008F5F16" w:rsidRDefault="000230E8" w:rsidP="000230E8">
      <w:r w:rsidRPr="008F5F16">
        <w:t>The National Disability Authority is currently developing guidance for procurement professiona</w:t>
      </w:r>
      <w:r>
        <w:t>ls, to help them to comply with s</w:t>
      </w:r>
      <w:r w:rsidRPr="008F5F16">
        <w:t xml:space="preserve">ection 27 of the Disability Act 2005. The Act requires the head of a public body to ensure that goods and services supplied to that body are accessible to people with disabilities. </w:t>
      </w:r>
      <w:r w:rsidRPr="008F5F16">
        <w:lastRenderedPageBreak/>
        <w:t xml:space="preserve">The guidance will help anyone involved with preparing or evaluating tenders to make sure that the needs of people with disabilities are considered throughout the process. </w:t>
      </w:r>
      <w:r>
        <w:t>The National Disability Authority</w:t>
      </w:r>
      <w:r w:rsidRPr="008F5F16">
        <w:t xml:space="preserve"> carried out a consultation exercise with procurement officers from a range of public bodies to ensure that the guidance publication will meet their needs. This guidance is expected to be published in 2012.</w:t>
      </w:r>
    </w:p>
    <w:p w14:paraId="123484A3" w14:textId="77777777" w:rsidR="000230E8" w:rsidRDefault="000230E8" w:rsidP="00C27E0C">
      <w:pPr>
        <w:pStyle w:val="Heading1"/>
      </w:pPr>
      <w:r>
        <w:br w:type="page"/>
      </w:r>
      <w:bookmarkStart w:id="96" w:name="_Toc335829641"/>
      <w:bookmarkStart w:id="97" w:name="_Toc335836336"/>
      <w:bookmarkStart w:id="98" w:name="_Toc335983426"/>
      <w:bookmarkStart w:id="99" w:name="_Toc335986595"/>
      <w:r>
        <w:lastRenderedPageBreak/>
        <w:t xml:space="preserve">Strategic Priority 3:  </w:t>
      </w:r>
      <w:r w:rsidRPr="00E40514">
        <w:t xml:space="preserve">To </w:t>
      </w:r>
      <w:r>
        <w:t>promote inclusion through accessibility and universal design</w:t>
      </w:r>
      <w:bookmarkEnd w:id="96"/>
      <w:bookmarkEnd w:id="97"/>
      <w:bookmarkEnd w:id="98"/>
      <w:bookmarkEnd w:id="99"/>
    </w:p>
    <w:p w14:paraId="03D110B9" w14:textId="77777777" w:rsidR="000230E8" w:rsidRDefault="000230E8" w:rsidP="000230E8">
      <w:pPr>
        <w:pStyle w:val="Heading2"/>
      </w:pPr>
      <w:bookmarkStart w:id="100" w:name="_Toc335836337"/>
      <w:r>
        <w:t>Guidance and standards</w:t>
      </w:r>
      <w:bookmarkEnd w:id="100"/>
    </w:p>
    <w:p w14:paraId="067B42D5" w14:textId="77777777" w:rsidR="000230E8" w:rsidRDefault="000230E8" w:rsidP="000230E8">
      <w:pPr>
        <w:pStyle w:val="Heading3"/>
      </w:pPr>
      <w:bookmarkStart w:id="101" w:name="_Toc335836338"/>
      <w:r w:rsidRPr="00AE7A4D">
        <w:t>Building fo</w:t>
      </w:r>
      <w:r>
        <w:t>r Everyone: A Universal design a</w:t>
      </w:r>
      <w:r w:rsidRPr="00AE7A4D">
        <w:t>pproach</w:t>
      </w:r>
      <w:bookmarkEnd w:id="101"/>
    </w:p>
    <w:p w14:paraId="41BF8CA4" w14:textId="77777777" w:rsidR="000230E8" w:rsidRDefault="000230E8" w:rsidP="000230E8">
      <w:r>
        <w:t xml:space="preserve">Work continued in producing a suite of booklets to promote a universal design approach to the built environment, updating the National Disability Authority’s original </w:t>
      </w:r>
      <w:r w:rsidRPr="0044578E">
        <w:rPr>
          <w:b/>
        </w:rPr>
        <w:t>Building for Everyone</w:t>
      </w:r>
      <w:r>
        <w:t xml:space="preserve"> guidance from 2002, in line with new standards and a universal design approach. </w:t>
      </w:r>
    </w:p>
    <w:p w14:paraId="6C83504F" w14:textId="77777777" w:rsidR="000230E8" w:rsidRDefault="000230E8" w:rsidP="000230E8">
      <w:pPr>
        <w:spacing w:after="0"/>
        <w:rPr>
          <w:rFonts w:cs="Arial"/>
        </w:rPr>
      </w:pPr>
      <w:r>
        <w:rPr>
          <w:rFonts w:cs="Arial"/>
        </w:rPr>
        <w:t xml:space="preserve">The new version comprises a series of 10 booklets covering different aspects of building design including external space, vertical and horizontal circulation, and the planning process. There is detailed practical guidance, along with diagrams, </w:t>
      </w:r>
      <w:proofErr w:type="gramStart"/>
      <w:r>
        <w:rPr>
          <w:rFonts w:cs="Arial"/>
        </w:rPr>
        <w:t>photographs</w:t>
      </w:r>
      <w:proofErr w:type="gramEnd"/>
      <w:r>
        <w:rPr>
          <w:rFonts w:cs="Arial"/>
        </w:rPr>
        <w:t xml:space="preserve"> and checklists, to </w:t>
      </w:r>
      <w:r w:rsidRPr="00D047D7">
        <w:rPr>
          <w:rFonts w:cs="Arial"/>
        </w:rPr>
        <w:t>encourag</w:t>
      </w:r>
      <w:r>
        <w:rPr>
          <w:rFonts w:cs="Arial"/>
        </w:rPr>
        <w:t>e</w:t>
      </w:r>
      <w:r w:rsidRPr="00D047D7">
        <w:rPr>
          <w:rFonts w:cs="Arial"/>
        </w:rPr>
        <w:t xml:space="preserve"> developers, </w:t>
      </w:r>
      <w:r>
        <w:rPr>
          <w:rFonts w:cs="Arial"/>
        </w:rPr>
        <w:t xml:space="preserve">architects, </w:t>
      </w:r>
      <w:r w:rsidRPr="00D047D7">
        <w:rPr>
          <w:rFonts w:cs="Arial"/>
        </w:rPr>
        <w:t>designers, builders and building managers to be innovative and think creatively about solutions that meet the needs of all</w:t>
      </w:r>
      <w:r>
        <w:rPr>
          <w:rFonts w:cs="Arial"/>
        </w:rPr>
        <w:t>,</w:t>
      </w:r>
      <w:r w:rsidRPr="00D047D7">
        <w:rPr>
          <w:rFonts w:cs="Arial"/>
        </w:rPr>
        <w:t xml:space="preserve"> regardless of their a</w:t>
      </w:r>
      <w:r>
        <w:rPr>
          <w:rFonts w:cs="Arial"/>
        </w:rPr>
        <w:t>ge, size, ability or disability. The series embodies in a practical way the concepts and philosophy of universal design. The series is to be launched in early 2012.</w:t>
      </w:r>
    </w:p>
    <w:p w14:paraId="04ACD3A6" w14:textId="77777777" w:rsidR="000230E8" w:rsidRDefault="000230E8" w:rsidP="000230E8">
      <w:pPr>
        <w:spacing w:after="0"/>
        <w:rPr>
          <w:rFonts w:cs="Arial"/>
        </w:rPr>
      </w:pPr>
    </w:p>
    <w:p w14:paraId="75403EF9" w14:textId="77777777" w:rsidR="000230E8" w:rsidRPr="002E3B8D" w:rsidRDefault="000230E8" w:rsidP="000230E8">
      <w:pPr>
        <w:pStyle w:val="Heading3"/>
      </w:pPr>
      <w:bookmarkStart w:id="102" w:name="_Toc335836339"/>
      <w:r>
        <w:t>Universal d</w:t>
      </w:r>
      <w:r w:rsidRPr="002E3B8D">
        <w:t>esign for Energy Suppliers</w:t>
      </w:r>
      <w:bookmarkEnd w:id="102"/>
    </w:p>
    <w:p w14:paraId="3CBCD516" w14:textId="77777777" w:rsidR="000230E8" w:rsidRDefault="000230E8" w:rsidP="000230E8">
      <w:r>
        <w:t xml:space="preserve">As a result of </w:t>
      </w:r>
      <w:r w:rsidRPr="004D2442">
        <w:t>S.I. No. 463 of 2011</w:t>
      </w:r>
      <w:r>
        <w:t>:</w:t>
      </w:r>
      <w:r w:rsidRPr="004D2442">
        <w:t xml:space="preserve"> </w:t>
      </w:r>
      <w:r w:rsidRPr="000246D7">
        <w:rPr>
          <w:b/>
        </w:rPr>
        <w:t>European Communities (Internal Market in Electricity and Gas) (Consumer Protection) Regulations 2011</w:t>
      </w:r>
      <w:r w:rsidRPr="000246D7">
        <w:t>,</w:t>
      </w:r>
      <w:r>
        <w:t xml:space="preserve"> the Commission for Energy Regulation had to implement</w:t>
      </w:r>
      <w:r w:rsidRPr="002C401E">
        <w:t xml:space="preserve"> a requireme</w:t>
      </w:r>
      <w:r>
        <w:t>nt for energy suppliers to incorporate universal s</w:t>
      </w:r>
      <w:r w:rsidRPr="002C401E">
        <w:t>e</w:t>
      </w:r>
      <w:r>
        <w:t>rvice design when planning their</w:t>
      </w:r>
      <w:r w:rsidRPr="002C401E">
        <w:t xml:space="preserve"> </w:t>
      </w:r>
      <w:r>
        <w:t xml:space="preserve">delivery of customer </w:t>
      </w:r>
      <w:r w:rsidRPr="002C401E">
        <w:t>services</w:t>
      </w:r>
      <w:r>
        <w:t>.</w:t>
      </w:r>
      <w:r w:rsidRPr="002C401E">
        <w:t xml:space="preserve"> </w:t>
      </w:r>
    </w:p>
    <w:p w14:paraId="334785EF" w14:textId="77777777" w:rsidR="000230E8" w:rsidRDefault="000230E8" w:rsidP="000230E8">
      <w:pPr>
        <w:rPr>
          <w:lang w:val="en-GB"/>
        </w:rPr>
      </w:pPr>
      <w:r w:rsidRPr="002C401E">
        <w:rPr>
          <w:lang w:val="en-GB"/>
        </w:rPr>
        <w:t xml:space="preserve">The </w:t>
      </w:r>
      <w:r>
        <w:rPr>
          <w:lang w:val="en-GB"/>
        </w:rPr>
        <w:t xml:space="preserve">National Disability Authority collaborated with the </w:t>
      </w:r>
      <w:r w:rsidRPr="002C401E">
        <w:rPr>
          <w:lang w:val="en-GB"/>
        </w:rPr>
        <w:t>Commission and the National Standards Authority of Ireland in the prod</w:t>
      </w:r>
      <w:r>
        <w:rPr>
          <w:lang w:val="en-GB"/>
        </w:rPr>
        <w:t xml:space="preserve">uction of a </w:t>
      </w:r>
      <w:proofErr w:type="spellStart"/>
      <w:r>
        <w:rPr>
          <w:lang w:val="en-GB"/>
        </w:rPr>
        <w:t>SWi</w:t>
      </w:r>
      <w:r w:rsidRPr="002C401E">
        <w:rPr>
          <w:lang w:val="en-GB"/>
        </w:rPr>
        <w:t>FT</w:t>
      </w:r>
      <w:proofErr w:type="spellEnd"/>
      <w:r>
        <w:rPr>
          <w:lang w:val="en-GB"/>
        </w:rPr>
        <w:t xml:space="preserve"> (Standard Written in Fast Track)</w:t>
      </w:r>
      <w:r w:rsidRPr="002C401E">
        <w:rPr>
          <w:lang w:val="en-GB"/>
        </w:rPr>
        <w:t xml:space="preserve"> </w:t>
      </w:r>
      <w:r>
        <w:rPr>
          <w:lang w:val="en-GB"/>
        </w:rPr>
        <w:t>s</w:t>
      </w:r>
      <w:r w:rsidRPr="002C401E">
        <w:rPr>
          <w:lang w:val="en-GB"/>
        </w:rPr>
        <w:t xml:space="preserve">tandard for universal design </w:t>
      </w:r>
      <w:r>
        <w:rPr>
          <w:lang w:val="en-GB"/>
        </w:rPr>
        <w:t>for energy suppliers; the first of its kind in the world.</w:t>
      </w:r>
    </w:p>
    <w:p w14:paraId="59E9EC9A" w14:textId="77777777" w:rsidR="000230E8" w:rsidRPr="000F7C91" w:rsidRDefault="000230E8" w:rsidP="000230E8">
      <w:pPr>
        <w:rPr>
          <w:b/>
        </w:rPr>
      </w:pPr>
      <w:r>
        <w:t xml:space="preserve">The standard will provide tools for use by energy suppliers to apply around 100 design requirements that will ensure that their written, verbal and </w:t>
      </w:r>
      <w:proofErr w:type="gramStart"/>
      <w:r>
        <w:t>web based</w:t>
      </w:r>
      <w:proofErr w:type="gramEnd"/>
      <w:r>
        <w:t xml:space="preserve"> customer communications are universally designed. This standard will be completed and launched in early 2012.</w:t>
      </w:r>
    </w:p>
    <w:p w14:paraId="7E26B46C" w14:textId="77777777" w:rsidR="000230E8" w:rsidRPr="00A72717" w:rsidRDefault="000230E8" w:rsidP="000230E8">
      <w:pPr>
        <w:pStyle w:val="Heading3"/>
      </w:pPr>
      <w:bookmarkStart w:id="103" w:name="_Toc335836340"/>
      <w:r>
        <w:t>Universal design g</w:t>
      </w:r>
      <w:r w:rsidRPr="00A72717">
        <w:t xml:space="preserve">uidelines for </w:t>
      </w:r>
      <w:r>
        <w:t>digital television equipment and s</w:t>
      </w:r>
      <w:r w:rsidRPr="00A72717">
        <w:t>ervices</w:t>
      </w:r>
      <w:bookmarkEnd w:id="103"/>
    </w:p>
    <w:p w14:paraId="2DE48354" w14:textId="77777777" w:rsidR="000230E8" w:rsidRPr="00B4218C" w:rsidRDefault="000230E8" w:rsidP="000230E8">
      <w:r w:rsidRPr="00A57030">
        <w:rPr>
          <w:kern w:val="28"/>
          <w:lang w:val="en-GB"/>
        </w:rPr>
        <w:t>Currently</w:t>
      </w:r>
      <w:r>
        <w:rPr>
          <w:kern w:val="28"/>
          <w:lang w:val="en-GB"/>
        </w:rPr>
        <w:t>,</w:t>
      </w:r>
      <w:r w:rsidRPr="00A57030">
        <w:rPr>
          <w:kern w:val="28"/>
          <w:lang w:val="en-GB"/>
        </w:rPr>
        <w:t xml:space="preserve"> </w:t>
      </w:r>
      <w:r>
        <w:rPr>
          <w:kern w:val="28"/>
          <w:lang w:val="en-GB"/>
        </w:rPr>
        <w:t xml:space="preserve">many </w:t>
      </w:r>
      <w:r w:rsidRPr="00A57030">
        <w:rPr>
          <w:kern w:val="28"/>
          <w:lang w:val="en-GB"/>
        </w:rPr>
        <w:t xml:space="preserve">aspects of </w:t>
      </w:r>
      <w:r>
        <w:rPr>
          <w:kern w:val="28"/>
          <w:lang w:val="en-GB"/>
        </w:rPr>
        <w:t>digital television</w:t>
      </w:r>
      <w:r w:rsidRPr="00A57030">
        <w:rPr>
          <w:kern w:val="28"/>
          <w:lang w:val="en-GB"/>
        </w:rPr>
        <w:t xml:space="preserve"> services a</w:t>
      </w:r>
      <w:r>
        <w:rPr>
          <w:kern w:val="28"/>
          <w:lang w:val="en-GB"/>
        </w:rPr>
        <w:t xml:space="preserve">nd equipment are overly complex and inaccessible for large numbers of people to use independently and with comfort.  The </w:t>
      </w:r>
      <w:r>
        <w:t>National Disability Authority’s</w:t>
      </w:r>
      <w:r>
        <w:rPr>
          <w:kern w:val="28"/>
          <w:lang w:val="en-GB"/>
        </w:rPr>
        <w:t xml:space="preserve"> Centre for Excellence in Universal Design commissioned research to inform guidelines for achieving </w:t>
      </w:r>
      <w:r>
        <w:rPr>
          <w:kern w:val="28"/>
          <w:lang w:val="en-GB"/>
        </w:rPr>
        <w:lastRenderedPageBreak/>
        <w:t>universal design in digital television</w:t>
      </w:r>
      <w:r w:rsidRPr="00A57030">
        <w:rPr>
          <w:kern w:val="28"/>
          <w:lang w:val="en-GB"/>
        </w:rPr>
        <w:t xml:space="preserve"> equipment and services</w:t>
      </w:r>
      <w:r>
        <w:rPr>
          <w:kern w:val="28"/>
          <w:lang w:val="en-GB"/>
        </w:rPr>
        <w:t>. This research will guide</w:t>
      </w:r>
      <w:r w:rsidRPr="00A57030">
        <w:rPr>
          <w:kern w:val="28"/>
          <w:lang w:val="en-GB"/>
        </w:rPr>
        <w:t xml:space="preserve"> </w:t>
      </w:r>
      <w:r>
        <w:rPr>
          <w:kern w:val="28"/>
          <w:lang w:val="en-GB"/>
        </w:rPr>
        <w:t xml:space="preserve">manufacturers, </w:t>
      </w:r>
      <w:r w:rsidRPr="00A57030">
        <w:rPr>
          <w:kern w:val="28"/>
          <w:lang w:val="en-GB"/>
        </w:rPr>
        <w:t xml:space="preserve">designers, </w:t>
      </w:r>
      <w:proofErr w:type="gramStart"/>
      <w:r>
        <w:rPr>
          <w:kern w:val="28"/>
          <w:lang w:val="en-GB"/>
        </w:rPr>
        <w:t>broadcasters</w:t>
      </w:r>
      <w:proofErr w:type="gramEnd"/>
      <w:r>
        <w:rPr>
          <w:kern w:val="28"/>
          <w:lang w:val="en-GB"/>
        </w:rPr>
        <w:t xml:space="preserve"> </w:t>
      </w:r>
      <w:r w:rsidRPr="00A57030">
        <w:rPr>
          <w:kern w:val="28"/>
          <w:lang w:val="en-GB"/>
        </w:rPr>
        <w:t xml:space="preserve">and </w:t>
      </w:r>
      <w:r>
        <w:rPr>
          <w:kern w:val="28"/>
          <w:lang w:val="en-GB"/>
        </w:rPr>
        <w:t xml:space="preserve">television service providers on </w:t>
      </w:r>
      <w:r w:rsidRPr="00A57030">
        <w:rPr>
          <w:kern w:val="28"/>
          <w:lang w:val="en-GB"/>
        </w:rPr>
        <w:t xml:space="preserve">the </w:t>
      </w:r>
      <w:r>
        <w:rPr>
          <w:kern w:val="28"/>
          <w:lang w:val="en-GB"/>
        </w:rPr>
        <w:t xml:space="preserve">universal </w:t>
      </w:r>
      <w:r w:rsidRPr="00A57030">
        <w:rPr>
          <w:kern w:val="28"/>
          <w:lang w:val="en-GB"/>
        </w:rPr>
        <w:t xml:space="preserve">design </w:t>
      </w:r>
      <w:r>
        <w:rPr>
          <w:kern w:val="28"/>
          <w:lang w:val="en-GB"/>
        </w:rPr>
        <w:t>features</w:t>
      </w:r>
      <w:r w:rsidRPr="00A57030">
        <w:rPr>
          <w:kern w:val="28"/>
          <w:lang w:val="en-GB"/>
        </w:rPr>
        <w:t xml:space="preserve"> necessary to ensure that the needs of the widest possible range of </w:t>
      </w:r>
      <w:r>
        <w:rPr>
          <w:kern w:val="28"/>
          <w:lang w:val="en-GB"/>
        </w:rPr>
        <w:t>digital television</w:t>
      </w:r>
      <w:r w:rsidRPr="00A57030">
        <w:rPr>
          <w:kern w:val="28"/>
          <w:lang w:val="en-GB"/>
        </w:rPr>
        <w:t xml:space="preserve"> users are taken into account</w:t>
      </w:r>
      <w:r w:rsidRPr="00B4218C">
        <w:t xml:space="preserve">. The guidelines are due to be published in </w:t>
      </w:r>
      <w:r>
        <w:t>early 2012.</w:t>
      </w:r>
    </w:p>
    <w:p w14:paraId="328EFD2A" w14:textId="77777777" w:rsidR="000230E8" w:rsidRDefault="000230E8" w:rsidP="000230E8">
      <w:pPr>
        <w:pStyle w:val="Heading3"/>
      </w:pPr>
      <w:bookmarkStart w:id="104" w:name="_Toc335836341"/>
      <w:r>
        <w:t>Mandate 376: European Procurement Toolkit for Accessible ICT</w:t>
      </w:r>
      <w:bookmarkEnd w:id="104"/>
    </w:p>
    <w:p w14:paraId="32931152" w14:textId="77777777" w:rsidR="000230E8" w:rsidRPr="00B4218C" w:rsidRDefault="000230E8" w:rsidP="000230E8">
      <w:r>
        <w:t xml:space="preserve">The National Disability Authority is contributing to the standardisation effort Mandate 376, by the European </w:t>
      </w:r>
      <w:r w:rsidRPr="00B4218C">
        <w:t>Commission and two European standardisation bodies, CEN and ETSI, to develop a European standard and accompanying toolkit to enable the public procurement of information and communication technologies that are accessible. Work in 2011 comprised of gathering requirements from stakeholders including industry, public procurement officials and pe</w:t>
      </w:r>
      <w:r>
        <w:t>ople</w:t>
      </w:r>
      <w:r w:rsidRPr="00B4218C">
        <w:t xml:space="preserve"> with disabilities. Research was also conducted into the accessibility advice needed for the various stages of procurement and to </w:t>
      </w:r>
      <w:proofErr w:type="gramStart"/>
      <w:r w:rsidRPr="00B4218C">
        <w:t>insure</w:t>
      </w:r>
      <w:proofErr w:type="gramEnd"/>
      <w:r w:rsidRPr="00B4218C">
        <w:t xml:space="preserve"> that the toolkit aligns with standards and procurement guidelines from other regions of the world.  The work on the toolkit is to be completed by </w:t>
      </w:r>
      <w:r>
        <w:t xml:space="preserve">the </w:t>
      </w:r>
      <w:r w:rsidRPr="00B4218C">
        <w:t>end of 2012.</w:t>
      </w:r>
    </w:p>
    <w:p w14:paraId="4F0C4131" w14:textId="77777777" w:rsidR="000230E8" w:rsidRPr="002F4038" w:rsidRDefault="000230E8" w:rsidP="000230E8">
      <w:pPr>
        <w:pStyle w:val="Heading3"/>
        <w:rPr>
          <w:lang w:eastAsia="en-GB"/>
        </w:rPr>
      </w:pPr>
      <w:bookmarkStart w:id="105" w:name="_Toc335836342"/>
      <w:r>
        <w:rPr>
          <w:lang w:eastAsia="en-GB"/>
        </w:rPr>
        <w:t>Universal design h</w:t>
      </w:r>
      <w:r w:rsidRPr="002F4038">
        <w:rPr>
          <w:lang w:eastAsia="en-GB"/>
        </w:rPr>
        <w:t>omes guidelines</w:t>
      </w:r>
      <w:bookmarkEnd w:id="105"/>
    </w:p>
    <w:p w14:paraId="242DDCCE" w14:textId="77777777" w:rsidR="000230E8" w:rsidRPr="00463A1A" w:rsidRDefault="000230E8" w:rsidP="000230E8">
      <w:pPr>
        <w:rPr>
          <w:rFonts w:cs="Helv"/>
          <w:bCs/>
          <w:color w:val="000000"/>
          <w:lang w:eastAsia="en-GB"/>
        </w:rPr>
      </w:pPr>
      <w:r w:rsidRPr="00D934E9">
        <w:rPr>
          <w:rFonts w:cs="Helv"/>
          <w:bCs/>
          <w:color w:val="000000"/>
          <w:lang w:eastAsia="en-GB"/>
        </w:rPr>
        <w:t xml:space="preserve">The </w:t>
      </w:r>
      <w:r>
        <w:t>National Disability Authority</w:t>
      </w:r>
      <w:r>
        <w:rPr>
          <w:rFonts w:cs="Helv"/>
          <w:bCs/>
          <w:color w:val="000000"/>
          <w:lang w:eastAsia="en-GB"/>
        </w:rPr>
        <w:t xml:space="preserve"> is working to develop </w:t>
      </w:r>
      <w:r>
        <w:t>guidelines for u</w:t>
      </w:r>
      <w:r w:rsidRPr="00D934E9">
        <w:t xml:space="preserve">niversal </w:t>
      </w:r>
      <w:r>
        <w:t xml:space="preserve">design homes; </w:t>
      </w:r>
      <w:r w:rsidRPr="00D934E9">
        <w:t>homes that are suited to people of different age, size</w:t>
      </w:r>
      <w:r>
        <w:t xml:space="preserve">, </w:t>
      </w:r>
      <w:proofErr w:type="gramStart"/>
      <w:r>
        <w:t>ability</w:t>
      </w:r>
      <w:proofErr w:type="gramEnd"/>
      <w:r>
        <w:t xml:space="preserve"> or disability</w:t>
      </w:r>
      <w:r w:rsidRPr="00D934E9">
        <w:t xml:space="preserve"> and are readily adaptable to the different life stages</w:t>
      </w:r>
      <w:r w:rsidRPr="00D934E9">
        <w:rPr>
          <w:bCs/>
          <w:iCs/>
          <w:color w:val="000000"/>
          <w:lang w:eastAsia="en-GB"/>
        </w:rPr>
        <w:t>.</w:t>
      </w:r>
      <w:r w:rsidRPr="00D934E9">
        <w:rPr>
          <w:iCs/>
          <w:color w:val="000000"/>
          <w:lang w:eastAsia="en-GB"/>
        </w:rPr>
        <w:t xml:space="preserve"> It is intended that these guidelines would be </w:t>
      </w:r>
      <w:r>
        <w:rPr>
          <w:iCs/>
          <w:color w:val="000000"/>
          <w:lang w:eastAsia="en-GB"/>
        </w:rPr>
        <w:t>appropriate for all houses and apartments. T</w:t>
      </w:r>
      <w:r>
        <w:t>he guidelines are</w:t>
      </w:r>
      <w:r>
        <w:rPr>
          <w:rFonts w:cs="Helv"/>
          <w:bCs/>
          <w:color w:val="000000"/>
          <w:lang w:eastAsia="en-GB"/>
        </w:rPr>
        <w:t xml:space="preserve"> to be completed in early 2012.</w:t>
      </w:r>
    </w:p>
    <w:p w14:paraId="0E7C82D0" w14:textId="77777777" w:rsidR="000230E8" w:rsidRDefault="000230E8" w:rsidP="000230E8">
      <w:pPr>
        <w:pStyle w:val="Heading3"/>
      </w:pPr>
      <w:bookmarkStart w:id="106" w:name="_Toc335836343"/>
      <w:r>
        <w:t>Accessibility for All Standards Consultative Committee</w:t>
      </w:r>
      <w:bookmarkEnd w:id="106"/>
      <w:r>
        <w:t xml:space="preserve"> </w:t>
      </w:r>
    </w:p>
    <w:p w14:paraId="59B30CF9" w14:textId="77777777" w:rsidR="000230E8" w:rsidRPr="00164554" w:rsidRDefault="000230E8" w:rsidP="000230E8">
      <w:pPr>
        <w:rPr>
          <w:b/>
          <w:i/>
        </w:rPr>
      </w:pPr>
      <w:r>
        <w:t xml:space="preserve">The National Disability Authority collaborates with the National Standards Authority of Ireland, through work of the Accessibility for All Standards Consultative Committee and the seven working groups that it supports focusing on universal design of products, services, information and communication technology and the built environment. The working groups have made submissions on </w:t>
      </w:r>
      <w:proofErr w:type="gramStart"/>
      <w:r>
        <w:t>a number of</w:t>
      </w:r>
      <w:proofErr w:type="gramEnd"/>
      <w:r>
        <w:t xml:space="preserve"> European and international standards, which were specific to accessibility and usability of products, services, information and communication technology and the built environment. The highlight of the year was working on developing the first national guidance standard on universal design in energy services. The detail of this work is covered above.</w:t>
      </w:r>
    </w:p>
    <w:p w14:paraId="45059B20" w14:textId="77777777" w:rsidR="000230E8" w:rsidRDefault="000230E8" w:rsidP="000230E8">
      <w:pPr>
        <w:pStyle w:val="Heading2"/>
      </w:pPr>
      <w:bookmarkStart w:id="107" w:name="_Toc335836344"/>
      <w:r>
        <w:t>Award schemes</w:t>
      </w:r>
      <w:bookmarkEnd w:id="107"/>
    </w:p>
    <w:p w14:paraId="031CFF55" w14:textId="77777777" w:rsidR="000230E8" w:rsidRDefault="000230E8" w:rsidP="000230E8">
      <w:pPr>
        <w:pStyle w:val="Heading3"/>
      </w:pPr>
      <w:bookmarkStart w:id="108" w:name="_Toc335836345"/>
      <w:r>
        <w:t>Universal Design Challenge 2011</w:t>
      </w:r>
      <w:bookmarkEnd w:id="108"/>
    </w:p>
    <w:p w14:paraId="0A7C1827" w14:textId="77777777" w:rsidR="000230E8" w:rsidRPr="00164554" w:rsidRDefault="000230E8" w:rsidP="000230E8">
      <w:pPr>
        <w:rPr>
          <w:b/>
          <w:i/>
        </w:rPr>
      </w:pPr>
      <w:r>
        <w:t xml:space="preserve">The National Disability Authority’s Centre for Excellence in Universal Design organised the third annual Universal Design Challenge event. The Universal Design Challenge is a </w:t>
      </w:r>
      <w:proofErr w:type="gramStart"/>
      <w:r>
        <w:t>24 hour</w:t>
      </w:r>
      <w:proofErr w:type="gramEnd"/>
      <w:r>
        <w:t xml:space="preserve"> design competition that organises design teams in a user-centred design process. The design teams present new design concepts that </w:t>
      </w:r>
      <w:r>
        <w:lastRenderedPageBreak/>
        <w:t xml:space="preserve">are judged for accessibility and usability according to the universal design principles. The theme for 2011 was: </w:t>
      </w:r>
      <w:r w:rsidRPr="000050F6">
        <w:rPr>
          <w:b/>
        </w:rPr>
        <w:t>Everyday Consumer Products</w:t>
      </w:r>
      <w:r>
        <w:t>. The winning design recognised</w:t>
      </w:r>
      <w:r w:rsidRPr="00E82C3A">
        <w:t xml:space="preserve"> the universal difficulty experienced by all people when accessing lamp fittings or smoke detectors mounted high on walls or on ceilings</w:t>
      </w:r>
      <w:r>
        <w:t xml:space="preserve">.  The participants in the 2011 challenge were final year undergraduate and first year postgraduate design students. </w:t>
      </w:r>
    </w:p>
    <w:p w14:paraId="55B75374" w14:textId="77777777" w:rsidR="000230E8" w:rsidRDefault="000230E8" w:rsidP="000230E8">
      <w:pPr>
        <w:pStyle w:val="Heading2"/>
      </w:pPr>
      <w:bookmarkStart w:id="109" w:name="_Toc335836346"/>
      <w:r>
        <w:t>Awareness</w:t>
      </w:r>
      <w:bookmarkEnd w:id="109"/>
    </w:p>
    <w:p w14:paraId="75097E51" w14:textId="77777777" w:rsidR="000230E8" w:rsidRDefault="000230E8" w:rsidP="000230E8">
      <w:pPr>
        <w:spacing w:after="120"/>
      </w:pPr>
      <w:r>
        <w:t>The National Disability Authority’s Centre for Excellence in Universal Design hosted a series of seminars to create awareness and understanding of universal design and promote its adoption by stakeholders including:</w:t>
      </w:r>
    </w:p>
    <w:p w14:paraId="083FDDA5" w14:textId="77777777" w:rsidR="000230E8" w:rsidRDefault="000230E8" w:rsidP="000230E8">
      <w:pPr>
        <w:pStyle w:val="ListBullet"/>
        <w:suppressAutoHyphens w:val="0"/>
      </w:pPr>
      <w:r>
        <w:t xml:space="preserve">Integrating universal design and assistive technology - a half day seminar for government officials, health services practitioners and academics to hear about universal design research from the USA. There were presentations on integrating universal design into assistive technologies </w:t>
      </w:r>
    </w:p>
    <w:p w14:paraId="1526ABEE" w14:textId="77777777" w:rsidR="000230E8" w:rsidRDefault="000230E8" w:rsidP="000230E8">
      <w:pPr>
        <w:pStyle w:val="ListBullet"/>
        <w:suppressAutoHyphens w:val="0"/>
      </w:pPr>
      <w:r>
        <w:t xml:space="preserve">The “Need to Knowledge” product development model - a seminar for government officials, health services practitioners and academics on the “Need to Knowledge” model. This is a model for product and service development that has become the required best practice method in the USA </w:t>
      </w:r>
    </w:p>
    <w:p w14:paraId="079E8AA7" w14:textId="77777777" w:rsidR="000230E8" w:rsidRDefault="000230E8" w:rsidP="000230E8">
      <w:pPr>
        <w:pStyle w:val="ListBullet"/>
        <w:suppressAutoHyphens w:val="0"/>
        <w:spacing w:after="240"/>
      </w:pPr>
      <w:r>
        <w:t>A seminar with Enterprise Ireland, for technology transfer experts on how universal design is an important factor to ensure cost effectiveness in the “Need to Knowledge” model</w:t>
      </w:r>
    </w:p>
    <w:p w14:paraId="6839DD31" w14:textId="77777777" w:rsidR="000230E8" w:rsidRDefault="000230E8" w:rsidP="000230E8">
      <w:pPr>
        <w:pStyle w:val="Heading2"/>
      </w:pPr>
      <w:bookmarkStart w:id="110" w:name="_Toc335836347"/>
      <w:r>
        <w:t>Research and information</w:t>
      </w:r>
      <w:bookmarkEnd w:id="110"/>
    </w:p>
    <w:p w14:paraId="0EE7874E" w14:textId="77777777" w:rsidR="000230E8" w:rsidRDefault="000230E8" w:rsidP="000230E8">
      <w:pPr>
        <w:pStyle w:val="Heading3"/>
      </w:pPr>
      <w:bookmarkStart w:id="111" w:name="_Toc335836348"/>
      <w:r>
        <w:t>Size for universal design</w:t>
      </w:r>
      <w:bookmarkEnd w:id="111"/>
    </w:p>
    <w:p w14:paraId="633E8164" w14:textId="77777777" w:rsidR="000230E8" w:rsidRDefault="000230E8" w:rsidP="000230E8">
      <w:r>
        <w:t>The National Disability Authority commissioned research to determine how human body size impacts on the development of universal design, as this is a core element of universal design as defined in the Disability Act 2005. The three-part project includes an international review of the literature, a national survey of designers, design students and procurement specialists and reports for guidance on future best practice. The findings will inform guidance to designers, educators and procurement specialists and will be published in 2012.</w:t>
      </w:r>
    </w:p>
    <w:p w14:paraId="6FF6D329" w14:textId="77777777" w:rsidR="000230E8" w:rsidRDefault="000230E8" w:rsidP="000230E8">
      <w:pPr>
        <w:pStyle w:val="Heading3"/>
      </w:pPr>
      <w:bookmarkStart w:id="112" w:name="_Toc335836349"/>
      <w:r>
        <w:t>P</w:t>
      </w:r>
      <w:r w:rsidRPr="00F61661">
        <w:t>ublic sector websites</w:t>
      </w:r>
      <w:bookmarkEnd w:id="112"/>
    </w:p>
    <w:p w14:paraId="6B0FB312" w14:textId="77777777" w:rsidR="000230E8" w:rsidRDefault="000230E8" w:rsidP="000230E8">
      <w:r>
        <w:t xml:space="preserve">The National Disability Authority is conducting research into how the design of online public information and services can be improved to enable a better online experience for users and to improve efficiencies for government and public bodies. Interviews and surveys with a wide range of stakeholders, as well as an analysis of key public sector websites, will inform the development of design guidelines to be published in 2012. </w:t>
      </w:r>
    </w:p>
    <w:p w14:paraId="54559806" w14:textId="77777777" w:rsidR="000230E8" w:rsidRPr="000F630D" w:rsidRDefault="000230E8" w:rsidP="000230E8">
      <w:pPr>
        <w:pStyle w:val="Heading3"/>
        <w:rPr>
          <w:lang w:eastAsia="en-GB"/>
        </w:rPr>
      </w:pPr>
      <w:bookmarkStart w:id="113" w:name="_Toc335836350"/>
      <w:r w:rsidRPr="002F4038">
        <w:rPr>
          <w:lang w:eastAsia="en-GB"/>
        </w:rPr>
        <w:lastRenderedPageBreak/>
        <w:t>Researc</w:t>
      </w:r>
      <w:r>
        <w:rPr>
          <w:lang w:eastAsia="en-GB"/>
        </w:rPr>
        <w:t>h of shared spaces and surfaces</w:t>
      </w:r>
      <w:bookmarkEnd w:id="113"/>
    </w:p>
    <w:p w14:paraId="72B5F9F7" w14:textId="77777777" w:rsidR="000230E8" w:rsidRPr="002E3B8D" w:rsidRDefault="000230E8" w:rsidP="000230E8">
      <w:pPr>
        <w:rPr>
          <w:rFonts w:cs="Helv"/>
          <w:lang w:eastAsia="en-GB"/>
        </w:rPr>
      </w:pPr>
      <w:r w:rsidRPr="00730793">
        <w:rPr>
          <w:rFonts w:cs="Helv"/>
          <w:lang w:eastAsia="en-GB"/>
        </w:rPr>
        <w:t xml:space="preserve">The purpose of this project was to research </w:t>
      </w:r>
      <w:r w:rsidRPr="00730793">
        <w:rPr>
          <w:lang w:eastAsia="en-GB"/>
        </w:rPr>
        <w:t xml:space="preserve">contemporary national and international </w:t>
      </w:r>
      <w:r w:rsidRPr="00730793">
        <w:rPr>
          <w:rFonts w:cs="Helv"/>
          <w:lang w:eastAsia="en-GB"/>
        </w:rPr>
        <w:t>practices</w:t>
      </w:r>
      <w:r w:rsidRPr="00730793">
        <w:rPr>
          <w:lang w:eastAsia="en-GB"/>
        </w:rPr>
        <w:t xml:space="preserve"> and thinking</w:t>
      </w:r>
      <w:r>
        <w:rPr>
          <w:rFonts w:cs="Helv"/>
          <w:lang w:eastAsia="en-GB"/>
        </w:rPr>
        <w:t xml:space="preserve"> on shared spaces, shared surfaces and “home zones”</w:t>
      </w:r>
      <w:r w:rsidRPr="00730793">
        <w:rPr>
          <w:rFonts w:cs="Helv"/>
          <w:lang w:eastAsia="en-GB"/>
        </w:rPr>
        <w:t xml:space="preserve"> </w:t>
      </w:r>
      <w:r w:rsidRPr="00730793">
        <w:rPr>
          <w:lang w:eastAsia="en-GB"/>
        </w:rPr>
        <w:t xml:space="preserve">with key recommendations on the direction that the </w:t>
      </w:r>
      <w:r>
        <w:rPr>
          <w:lang w:eastAsia="en-GB"/>
        </w:rPr>
        <w:t>National Disability Authority</w:t>
      </w:r>
      <w:r w:rsidRPr="00730793">
        <w:rPr>
          <w:lang w:eastAsia="en-GB"/>
        </w:rPr>
        <w:t xml:space="preserve"> should take on this issue. </w:t>
      </w:r>
      <w:r>
        <w:rPr>
          <w:rFonts w:cs="Helv"/>
          <w:lang w:eastAsia="en-GB"/>
        </w:rPr>
        <w:t>This research is to be published in early 2012.</w:t>
      </w:r>
    </w:p>
    <w:p w14:paraId="4A436620" w14:textId="77777777" w:rsidR="000230E8" w:rsidRDefault="000230E8" w:rsidP="000230E8">
      <w:pPr>
        <w:pStyle w:val="Heading3"/>
      </w:pPr>
      <w:bookmarkStart w:id="114" w:name="_Toc335836351"/>
      <w:r>
        <w:t>Universal design research projects</w:t>
      </w:r>
      <w:bookmarkEnd w:id="114"/>
    </w:p>
    <w:p w14:paraId="16B1BAF6" w14:textId="77777777" w:rsidR="000230E8" w:rsidRDefault="000230E8" w:rsidP="009345A3">
      <w:pPr>
        <w:pStyle w:val="NormalBeforeList"/>
      </w:pPr>
      <w:r>
        <w:t xml:space="preserve">The National Disability Authority is supervising and supporting, post-doctoral research projects that study how universal design impacts product design and development. </w:t>
      </w:r>
    </w:p>
    <w:p w14:paraId="3B5E20F8" w14:textId="77777777" w:rsidR="000230E8" w:rsidRDefault="000230E8" w:rsidP="000230E8">
      <w:pPr>
        <w:pStyle w:val="ListBullet"/>
        <w:suppressAutoHyphens w:val="0"/>
      </w:pPr>
      <w:r>
        <w:t xml:space="preserve">A Trinity College Dublin bio-medical engineering researcher, is integrating universal design into a new product design that is informing related engineering curriculum development </w:t>
      </w:r>
    </w:p>
    <w:p w14:paraId="2523AD60" w14:textId="77777777" w:rsidR="000230E8" w:rsidRDefault="000230E8" w:rsidP="000230E8">
      <w:pPr>
        <w:pStyle w:val="ListBullet"/>
        <w:suppressAutoHyphens w:val="0"/>
      </w:pPr>
      <w:r>
        <w:t xml:space="preserve">A Dublin Institute of Technology researcher is integrating user-centred design tools and techniques into the “Need to Knowledge” model to improve the potential for universal design outcomes </w:t>
      </w:r>
    </w:p>
    <w:p w14:paraId="64BF0933" w14:textId="77777777" w:rsidR="000230E8" w:rsidRDefault="000230E8" w:rsidP="000230E8">
      <w:pPr>
        <w:pStyle w:val="ListBullet"/>
        <w:suppressAutoHyphens w:val="0"/>
        <w:spacing w:after="240"/>
      </w:pPr>
      <w:r>
        <w:t xml:space="preserve">Doctoral research on defining a universal design rating system for buildings. A Trinity College Dublin architectural researcher is investigating this area </w:t>
      </w:r>
      <w:proofErr w:type="gramStart"/>
      <w:r>
        <w:t>and in particular, how</w:t>
      </w:r>
      <w:proofErr w:type="gramEnd"/>
      <w:r>
        <w:t xml:space="preserve"> it may work with the Building Energy Rating system already in place in Ireland.</w:t>
      </w:r>
    </w:p>
    <w:p w14:paraId="0FD0D4C1" w14:textId="77777777" w:rsidR="000230E8" w:rsidRDefault="000230E8" w:rsidP="000230E8">
      <w:r>
        <w:t xml:space="preserve">Universal design is starting to appear as academic content in the host universities </w:t>
      </w:r>
      <w:proofErr w:type="gramStart"/>
      <w:r>
        <w:t>as a result of</w:t>
      </w:r>
      <w:proofErr w:type="gramEnd"/>
      <w:r>
        <w:t xml:space="preserve"> these research projects. </w:t>
      </w:r>
    </w:p>
    <w:p w14:paraId="597EA0D1" w14:textId="77777777" w:rsidR="000230E8" w:rsidRDefault="000230E8" w:rsidP="000230E8">
      <w:pPr>
        <w:pStyle w:val="Heading2"/>
      </w:pPr>
      <w:bookmarkStart w:id="115" w:name="_Toc335836352"/>
      <w:r>
        <w:t>Education</w:t>
      </w:r>
      <w:bookmarkEnd w:id="115"/>
    </w:p>
    <w:p w14:paraId="69EC4E4F" w14:textId="77777777" w:rsidR="000230E8" w:rsidRDefault="000230E8" w:rsidP="000230E8">
      <w:pPr>
        <w:pStyle w:val="Heading3"/>
      </w:pPr>
      <w:bookmarkStart w:id="116" w:name="_Toc335836353"/>
      <w:r>
        <w:t>Third-level universal d</w:t>
      </w:r>
      <w:r w:rsidRPr="00CC5074">
        <w:t>esign module</w:t>
      </w:r>
      <w:bookmarkEnd w:id="116"/>
    </w:p>
    <w:p w14:paraId="29852B7B" w14:textId="77777777" w:rsidR="000230E8" w:rsidRPr="00D72F05" w:rsidRDefault="000230E8" w:rsidP="000230E8">
      <w:r>
        <w:t xml:space="preserve">The National Disability Authority’s Centre for Excellence in Universal Design commenced a project to develop a module on universal design that is suitable for use in all </w:t>
      </w:r>
      <w:proofErr w:type="gramStart"/>
      <w:r>
        <w:t>first year</w:t>
      </w:r>
      <w:proofErr w:type="gramEnd"/>
      <w:r>
        <w:t xml:space="preserve"> engineering, architecture, technology and design courses. A consortium of third-level educational institutions was engaged in the development of the curriculum and its content materials in 2011, which will be tested in 2012 in various third-level colleges and will be completed in late 2012.</w:t>
      </w:r>
    </w:p>
    <w:p w14:paraId="74E1CE0B" w14:textId="77777777" w:rsidR="000230E8" w:rsidRDefault="000230E8" w:rsidP="000230E8">
      <w:pPr>
        <w:pStyle w:val="Heading3"/>
      </w:pPr>
      <w:bookmarkStart w:id="117" w:name="_Toc335836354"/>
      <w:r>
        <w:t>Second-level universal design pilot</w:t>
      </w:r>
      <w:bookmarkEnd w:id="117"/>
    </w:p>
    <w:p w14:paraId="15AA7D53" w14:textId="77777777" w:rsidR="000230E8" w:rsidRDefault="000230E8" w:rsidP="000230E8">
      <w:r>
        <w:t xml:space="preserve">The National Disability Authority’s Centre for Excellence in Universal Design commenced a project in collaboration with Cambridge University which involves operating pilot trials of a universal design curriculum module at </w:t>
      </w:r>
      <w:proofErr w:type="gramStart"/>
      <w:r>
        <w:t>second-level</w:t>
      </w:r>
      <w:proofErr w:type="gramEnd"/>
      <w:r>
        <w:t xml:space="preserve"> in technology-focused transition year programmes. The curriculum introduces design problem-solving based on user-centred design practices that create universal design solutions. The results and curriculum module will be published and launched in 2012.</w:t>
      </w:r>
    </w:p>
    <w:p w14:paraId="4896A069" w14:textId="77777777" w:rsidR="000230E8" w:rsidRDefault="000230E8" w:rsidP="000230E8">
      <w:pPr>
        <w:pStyle w:val="Heading3"/>
      </w:pPr>
      <w:bookmarkStart w:id="118" w:name="_Toc335836355"/>
      <w:r>
        <w:lastRenderedPageBreak/>
        <w:t>Curriculum for t</w:t>
      </w:r>
      <w:r w:rsidRPr="00F61661">
        <w:t xml:space="preserve">raining </w:t>
      </w:r>
      <w:r>
        <w:t>information and communications technology professionals in universal d</w:t>
      </w:r>
      <w:r w:rsidRPr="00F61661">
        <w:t>esign</w:t>
      </w:r>
      <w:bookmarkEnd w:id="118"/>
    </w:p>
    <w:p w14:paraId="5594AC04" w14:textId="77777777" w:rsidR="000230E8" w:rsidRDefault="000230E8" w:rsidP="000230E8">
      <w:r>
        <w:t>The National Disability Authority’s Senior Advisor on Universal Design in information and communications technology chaired the development of a European CEN Workshop Agreement, which describes the curriculum needed in training information and communications technology professionals, to adopt a universal design approach in the design, development and delivery of information and communications technology goods and services that are usable and accessible to the widest possible range of users. This European standard was published in early 2012 and will be the first European accessible standard of its kind.</w:t>
      </w:r>
    </w:p>
    <w:p w14:paraId="4398076B" w14:textId="77777777" w:rsidR="000230E8" w:rsidRDefault="000230E8" w:rsidP="00C27E0C">
      <w:pPr>
        <w:pStyle w:val="Heading1"/>
      </w:pPr>
      <w:r>
        <w:br w:type="page"/>
      </w:r>
      <w:bookmarkStart w:id="119" w:name="_Toc299360696"/>
      <w:bookmarkStart w:id="120" w:name="_Toc299362478"/>
      <w:bookmarkStart w:id="121" w:name="_Toc299362544"/>
      <w:bookmarkStart w:id="122" w:name="_Toc300742152"/>
      <w:bookmarkStart w:id="123" w:name="_Toc300742901"/>
      <w:bookmarkStart w:id="124" w:name="_Toc300744253"/>
      <w:bookmarkStart w:id="125" w:name="_Toc304371202"/>
      <w:bookmarkStart w:id="126" w:name="_Toc304381922"/>
      <w:bookmarkStart w:id="127" w:name="_Toc335829642"/>
      <w:bookmarkStart w:id="128" w:name="_Toc335836356"/>
      <w:bookmarkStart w:id="129" w:name="_Toc335983427"/>
      <w:bookmarkStart w:id="130" w:name="_Toc335986596"/>
      <w:r>
        <w:lastRenderedPageBreak/>
        <w:t xml:space="preserve">Strategic Priority </w:t>
      </w:r>
      <w:bookmarkEnd w:id="122"/>
      <w:bookmarkEnd w:id="123"/>
      <w:bookmarkEnd w:id="124"/>
      <w:bookmarkEnd w:id="125"/>
      <w:r>
        <w:t xml:space="preserve">4: </w:t>
      </w:r>
      <w:bookmarkStart w:id="131" w:name="_Toc300742153"/>
      <w:bookmarkStart w:id="132" w:name="_Toc300742902"/>
      <w:bookmarkStart w:id="133" w:name="_Toc300744254"/>
      <w:bookmarkStart w:id="134" w:name="_Toc304371203"/>
      <w:r>
        <w:t xml:space="preserve"> </w:t>
      </w:r>
      <w:r w:rsidRPr="002C6872">
        <w:t>To build the National Disability Authority’s capacity to deliver on its strategic goals</w:t>
      </w:r>
      <w:bookmarkEnd w:id="119"/>
      <w:bookmarkEnd w:id="120"/>
      <w:bookmarkEnd w:id="121"/>
      <w:bookmarkEnd w:id="126"/>
      <w:bookmarkEnd w:id="127"/>
      <w:bookmarkEnd w:id="128"/>
      <w:bookmarkEnd w:id="129"/>
      <w:bookmarkEnd w:id="130"/>
      <w:bookmarkEnd w:id="131"/>
      <w:bookmarkEnd w:id="132"/>
      <w:bookmarkEnd w:id="133"/>
      <w:bookmarkEnd w:id="134"/>
    </w:p>
    <w:p w14:paraId="3A617847" w14:textId="77777777" w:rsidR="000230E8" w:rsidRPr="002056F5" w:rsidRDefault="000230E8" w:rsidP="000230E8">
      <w:pPr>
        <w:pStyle w:val="Heading2"/>
      </w:pPr>
      <w:bookmarkStart w:id="135" w:name="_Toc299362545"/>
      <w:bookmarkStart w:id="136" w:name="_Toc300742154"/>
      <w:bookmarkStart w:id="137" w:name="_Toc300742903"/>
      <w:bookmarkStart w:id="138" w:name="_Toc300744255"/>
      <w:bookmarkStart w:id="139" w:name="_Toc335836357"/>
      <w:r>
        <w:t>Training and d</w:t>
      </w:r>
      <w:r w:rsidRPr="002056F5">
        <w:t>evelopment</w:t>
      </w:r>
      <w:bookmarkEnd w:id="135"/>
      <w:bookmarkEnd w:id="136"/>
      <w:bookmarkEnd w:id="137"/>
      <w:bookmarkEnd w:id="138"/>
      <w:r w:rsidRPr="002056F5">
        <w:t xml:space="preserve"> 2011</w:t>
      </w:r>
      <w:bookmarkEnd w:id="139"/>
    </w:p>
    <w:p w14:paraId="484FFE8E" w14:textId="77777777" w:rsidR="000230E8" w:rsidRPr="002056F5" w:rsidRDefault="000230E8" w:rsidP="000230E8">
      <w:pPr>
        <w:rPr>
          <w:rFonts w:eastAsia="BiauKai"/>
          <w:lang w:eastAsia="zh-TW"/>
        </w:rPr>
      </w:pPr>
      <w:proofErr w:type="gramStart"/>
      <w:r>
        <w:rPr>
          <w:rFonts w:eastAsia="BiauKai"/>
          <w:lang w:eastAsia="zh-TW"/>
        </w:rPr>
        <w:t xml:space="preserve">In order </w:t>
      </w:r>
      <w:r w:rsidRPr="002056F5">
        <w:rPr>
          <w:rFonts w:eastAsia="BiauKai"/>
          <w:lang w:eastAsia="zh-TW"/>
        </w:rPr>
        <w:t>to</w:t>
      </w:r>
      <w:proofErr w:type="gramEnd"/>
      <w:r w:rsidRPr="002056F5">
        <w:rPr>
          <w:rFonts w:eastAsia="BiauKai"/>
          <w:lang w:eastAsia="zh-TW"/>
        </w:rPr>
        <w:t xml:space="preserve"> support the on-going implementation of </w:t>
      </w:r>
      <w:r>
        <w:rPr>
          <w:rFonts w:eastAsia="BiauKai"/>
          <w:lang w:eastAsia="zh-TW"/>
        </w:rPr>
        <w:t>an effective</w:t>
      </w:r>
      <w:r w:rsidRPr="002056F5">
        <w:rPr>
          <w:rFonts w:eastAsia="BiauKai"/>
          <w:lang w:eastAsia="zh-TW"/>
        </w:rPr>
        <w:t xml:space="preserve"> </w:t>
      </w:r>
      <w:r>
        <w:rPr>
          <w:rFonts w:eastAsia="BiauKai"/>
          <w:lang w:eastAsia="zh-TW"/>
        </w:rPr>
        <w:t>Performance Management and Development S</w:t>
      </w:r>
      <w:r w:rsidRPr="002056F5">
        <w:rPr>
          <w:rFonts w:eastAsia="BiauKai"/>
          <w:lang w:eastAsia="zh-TW"/>
        </w:rPr>
        <w:t xml:space="preserve">ystem in </w:t>
      </w:r>
      <w:r>
        <w:rPr>
          <w:rFonts w:eastAsia="BiauKai"/>
          <w:lang w:eastAsia="zh-TW"/>
        </w:rPr>
        <w:t>the National Disability Authority, all staff received refresher training on implementing this system. The</w:t>
      </w:r>
      <w:r w:rsidRPr="002056F5">
        <w:rPr>
          <w:rFonts w:eastAsia="BiauKai"/>
          <w:lang w:eastAsia="zh-TW"/>
        </w:rPr>
        <w:t xml:space="preserve"> </w:t>
      </w:r>
      <w:r>
        <w:rPr>
          <w:rFonts w:eastAsia="BiauKai"/>
          <w:lang w:eastAsia="zh-TW"/>
        </w:rPr>
        <w:t>Performance Management and Development S</w:t>
      </w:r>
      <w:r w:rsidRPr="002056F5">
        <w:rPr>
          <w:rFonts w:eastAsia="BiauKai"/>
          <w:lang w:eastAsia="zh-TW"/>
        </w:rPr>
        <w:t>ystem</w:t>
      </w:r>
      <w:r>
        <w:rPr>
          <w:rFonts w:eastAsia="BiauKai"/>
          <w:lang w:eastAsia="zh-TW"/>
        </w:rPr>
        <w:t xml:space="preserve"> </w:t>
      </w:r>
      <w:r w:rsidRPr="002056F5">
        <w:rPr>
          <w:rFonts w:eastAsia="BiauKai"/>
          <w:lang w:eastAsia="zh-TW"/>
        </w:rPr>
        <w:t xml:space="preserve">is the mechanism used to assess, </w:t>
      </w:r>
      <w:proofErr w:type="gramStart"/>
      <w:r w:rsidRPr="002056F5">
        <w:rPr>
          <w:rFonts w:eastAsia="BiauKai"/>
          <w:lang w:eastAsia="zh-TW"/>
        </w:rPr>
        <w:t>manage</w:t>
      </w:r>
      <w:proofErr w:type="gramEnd"/>
      <w:r w:rsidRPr="002056F5">
        <w:rPr>
          <w:rFonts w:eastAsia="BiauKai"/>
          <w:lang w:eastAsia="zh-TW"/>
        </w:rPr>
        <w:t xml:space="preserve"> and support </w:t>
      </w:r>
      <w:r>
        <w:rPr>
          <w:rFonts w:eastAsia="BiauKai"/>
          <w:lang w:eastAsia="zh-TW"/>
        </w:rPr>
        <w:t xml:space="preserve">staff </w:t>
      </w:r>
      <w:r w:rsidRPr="002056F5">
        <w:rPr>
          <w:rFonts w:eastAsia="BiauKai"/>
          <w:lang w:eastAsia="zh-TW"/>
        </w:rPr>
        <w:t>perfor</w:t>
      </w:r>
      <w:r>
        <w:rPr>
          <w:rFonts w:eastAsia="BiauKai"/>
          <w:lang w:eastAsia="zh-TW"/>
        </w:rPr>
        <w:t>mance in line with current practice in the public service</w:t>
      </w:r>
      <w:r w:rsidRPr="002056F5">
        <w:rPr>
          <w:rFonts w:eastAsia="BiauKai"/>
          <w:lang w:eastAsia="zh-TW"/>
        </w:rPr>
        <w:t>.</w:t>
      </w:r>
    </w:p>
    <w:p w14:paraId="3FE5615B" w14:textId="77777777" w:rsidR="000230E8" w:rsidRPr="002056F5" w:rsidRDefault="000230E8" w:rsidP="000230E8">
      <w:r w:rsidRPr="002056F5">
        <w:t xml:space="preserve">In line with the </w:t>
      </w:r>
      <w:r w:rsidRPr="00A2797C">
        <w:rPr>
          <w:rFonts w:eastAsia="BiauKai"/>
          <w:b/>
          <w:lang w:eastAsia="zh-TW"/>
        </w:rPr>
        <w:t>National Disability Authority’s</w:t>
      </w:r>
      <w:r w:rsidRPr="00A2797C">
        <w:rPr>
          <w:b/>
        </w:rPr>
        <w:t xml:space="preserve"> Communications Strategy 2010-2012</w:t>
      </w:r>
      <w:r w:rsidRPr="00A2797C">
        <w:t>,</w:t>
      </w:r>
      <w:r>
        <w:t xml:space="preserve"> effective writing w</w:t>
      </w:r>
      <w:r w:rsidRPr="002056F5">
        <w:t xml:space="preserve">orkshops were held </w:t>
      </w:r>
      <w:r>
        <w:t xml:space="preserve">for staff </w:t>
      </w:r>
      <w:r w:rsidRPr="002056F5">
        <w:t>in August and September 2011,</w:t>
      </w:r>
      <w:r>
        <w:t xml:space="preserve"> followed by advanced writing c</w:t>
      </w:r>
      <w:r w:rsidRPr="002056F5">
        <w:t xml:space="preserve">oaching for </w:t>
      </w:r>
      <w:r>
        <w:t xml:space="preserve">selected staff. </w:t>
      </w:r>
    </w:p>
    <w:p w14:paraId="5DD4BCBE" w14:textId="77777777" w:rsidR="000230E8" w:rsidRPr="003561FD" w:rsidRDefault="000230E8" w:rsidP="000230E8">
      <w:r>
        <w:t xml:space="preserve">A range of individual training and development opportunities were delivered, in line with, and informed by, the </w:t>
      </w:r>
      <w:r>
        <w:rPr>
          <w:rFonts w:eastAsia="BiauKai"/>
          <w:lang w:eastAsia="zh-TW"/>
        </w:rPr>
        <w:t>Performance Management and Development S</w:t>
      </w:r>
      <w:r w:rsidRPr="002056F5">
        <w:rPr>
          <w:rFonts w:eastAsia="BiauKai"/>
          <w:lang w:eastAsia="zh-TW"/>
        </w:rPr>
        <w:t>ystem</w:t>
      </w:r>
      <w:r>
        <w:t xml:space="preserve">.   </w:t>
      </w:r>
    </w:p>
    <w:p w14:paraId="4559B950" w14:textId="77777777" w:rsidR="000230E8" w:rsidRPr="002056F5" w:rsidRDefault="000230E8" w:rsidP="000230E8">
      <w:pPr>
        <w:pStyle w:val="Heading2"/>
      </w:pPr>
      <w:bookmarkStart w:id="140" w:name="_Toc299362546"/>
      <w:bookmarkStart w:id="141" w:name="_Toc300742155"/>
      <w:bookmarkStart w:id="142" w:name="_Toc300742904"/>
      <w:bookmarkStart w:id="143" w:name="_Toc300744256"/>
      <w:bookmarkStart w:id="144" w:name="_Toc335836358"/>
      <w:r w:rsidRPr="002056F5">
        <w:t>Fina</w:t>
      </w:r>
      <w:r>
        <w:t>nce and g</w:t>
      </w:r>
      <w:r w:rsidRPr="002056F5">
        <w:t>overnance</w:t>
      </w:r>
      <w:bookmarkEnd w:id="140"/>
      <w:bookmarkEnd w:id="141"/>
      <w:bookmarkEnd w:id="142"/>
      <w:bookmarkEnd w:id="143"/>
      <w:bookmarkEnd w:id="144"/>
    </w:p>
    <w:p w14:paraId="1E27084F" w14:textId="77777777" w:rsidR="000230E8" w:rsidRPr="002056F5" w:rsidRDefault="000230E8" w:rsidP="000230E8">
      <w:r w:rsidRPr="002056F5">
        <w:t>In April 2011</w:t>
      </w:r>
      <w:r>
        <w:t>,</w:t>
      </w:r>
      <w:r w:rsidRPr="002056F5">
        <w:t xml:space="preserve"> the National Disability Authority </w:t>
      </w:r>
      <w:proofErr w:type="gramStart"/>
      <w:r w:rsidRPr="002056F5">
        <w:t>reverted back</w:t>
      </w:r>
      <w:proofErr w:type="gramEnd"/>
      <w:r w:rsidRPr="002056F5">
        <w:t xml:space="preserve"> to the </w:t>
      </w:r>
      <w:r>
        <w:t xml:space="preserve">reorganised </w:t>
      </w:r>
      <w:r w:rsidRPr="002056F5">
        <w:t xml:space="preserve">Department of Justice and Equality from the </w:t>
      </w:r>
      <w:r>
        <w:t xml:space="preserve">former </w:t>
      </w:r>
      <w:r w:rsidRPr="002056F5">
        <w:t>Department of Community, Equality and Gaeltacht Affairs. As a result, the National Disability Authority’s payments processing migrated</w:t>
      </w:r>
      <w:r>
        <w:t>,</w:t>
      </w:r>
      <w:r w:rsidRPr="00666E39">
        <w:t xml:space="preserve"> </w:t>
      </w:r>
      <w:r w:rsidRPr="002056F5">
        <w:t>in May 2011</w:t>
      </w:r>
      <w:r>
        <w:t>,</w:t>
      </w:r>
      <w:r w:rsidRPr="002056F5">
        <w:t xml:space="preserve"> to the </w:t>
      </w:r>
      <w:r>
        <w:t xml:space="preserve">Department of Justice and Equality’s Financial Shared Services, from the </w:t>
      </w:r>
      <w:r w:rsidRPr="002056F5">
        <w:t xml:space="preserve">shared service facility of </w:t>
      </w:r>
      <w:r>
        <w:t xml:space="preserve">the Department of Finance that </w:t>
      </w:r>
      <w:r w:rsidRPr="002056F5">
        <w:t>the Department of Community, Equality and Gaeltacht Affairs</w:t>
      </w:r>
      <w:r>
        <w:t xml:space="preserve"> had been using</w:t>
      </w:r>
      <w:r w:rsidRPr="002056F5">
        <w:t xml:space="preserve">. </w:t>
      </w:r>
    </w:p>
    <w:p w14:paraId="5A7674CC" w14:textId="77777777" w:rsidR="000230E8" w:rsidRDefault="000230E8" w:rsidP="000230E8">
      <w:pPr>
        <w:rPr>
          <w:rFonts w:cs="Arial"/>
        </w:rPr>
      </w:pPr>
      <w:r w:rsidRPr="002056F5">
        <w:rPr>
          <w:rFonts w:cs="Arial"/>
        </w:rPr>
        <w:t xml:space="preserve">In line with good governance, the </w:t>
      </w:r>
      <w:r w:rsidRPr="002056F5">
        <w:t>National Disability Authority</w:t>
      </w:r>
      <w:r w:rsidRPr="002056F5">
        <w:rPr>
          <w:rFonts w:cs="Arial"/>
        </w:rPr>
        <w:t xml:space="preserve"> conducted a review of internal financial controls in April 2011. Following comprehensive work</w:t>
      </w:r>
      <w:r>
        <w:rPr>
          <w:rFonts w:cs="Arial"/>
        </w:rPr>
        <w:t>,</w:t>
      </w:r>
      <w:r w:rsidRPr="002056F5">
        <w:rPr>
          <w:rFonts w:cs="Arial"/>
        </w:rPr>
        <w:t xml:space="preserve"> </w:t>
      </w:r>
      <w:r>
        <w:rPr>
          <w:rFonts w:cs="Arial"/>
        </w:rPr>
        <w:t xml:space="preserve">the </w:t>
      </w:r>
      <w:r w:rsidRPr="002056F5">
        <w:t>National Disability Authority’s</w:t>
      </w:r>
      <w:r w:rsidRPr="002056F5">
        <w:rPr>
          <w:rFonts w:cs="Arial"/>
        </w:rPr>
        <w:t xml:space="preserve"> </w:t>
      </w:r>
      <w:r w:rsidRPr="002056F5">
        <w:rPr>
          <w:rFonts w:cs="Arial"/>
          <w:b/>
        </w:rPr>
        <w:t>Corporate Governance Manual</w:t>
      </w:r>
      <w:r>
        <w:rPr>
          <w:rFonts w:cs="Arial"/>
          <w:b/>
        </w:rPr>
        <w:t xml:space="preserve"> </w:t>
      </w:r>
      <w:r w:rsidRPr="002056F5">
        <w:rPr>
          <w:rFonts w:cs="Arial"/>
        </w:rPr>
        <w:t xml:space="preserve">was approved by the Authority in November. The revised manual reflects current best practice; the legal and governance structure of </w:t>
      </w:r>
      <w:r w:rsidRPr="002056F5">
        <w:t>National Disability Authority</w:t>
      </w:r>
      <w:r>
        <w:rPr>
          <w:rFonts w:cs="Arial"/>
        </w:rPr>
        <w:t>; and</w:t>
      </w:r>
      <w:proofErr w:type="gramStart"/>
      <w:r>
        <w:rPr>
          <w:rFonts w:cs="Arial"/>
        </w:rPr>
        <w:t>, in particular,</w:t>
      </w:r>
      <w:r w:rsidRPr="002056F5">
        <w:rPr>
          <w:rFonts w:cs="Arial"/>
        </w:rPr>
        <w:t xml:space="preserve"> incorporate</w:t>
      </w:r>
      <w:r>
        <w:rPr>
          <w:rFonts w:cs="Arial"/>
        </w:rPr>
        <w:t>s</w:t>
      </w:r>
      <w:proofErr w:type="gramEnd"/>
      <w:r w:rsidRPr="002056F5">
        <w:rPr>
          <w:rFonts w:cs="Arial"/>
        </w:rPr>
        <w:t xml:space="preserve"> the requirements of the revised </w:t>
      </w:r>
      <w:r w:rsidRPr="002056F5">
        <w:rPr>
          <w:rFonts w:cs="Arial"/>
          <w:b/>
        </w:rPr>
        <w:t>Code of Practice for the Governance of State Bodies 2009</w:t>
      </w:r>
      <w:r w:rsidRPr="002056F5">
        <w:rPr>
          <w:rFonts w:cs="Arial"/>
        </w:rPr>
        <w:t xml:space="preserve">. </w:t>
      </w:r>
    </w:p>
    <w:p w14:paraId="0D6B957F" w14:textId="77777777" w:rsidR="000230E8" w:rsidRDefault="000230E8" w:rsidP="000230E8">
      <w:pPr>
        <w:rPr>
          <w:rFonts w:cs="Arial"/>
        </w:rPr>
      </w:pPr>
      <w:r>
        <w:rPr>
          <w:rFonts w:cs="Arial"/>
        </w:rPr>
        <w:t xml:space="preserve">The National Disability Authority developed a set of Quality Criteria to be applied to both internal and </w:t>
      </w:r>
      <w:proofErr w:type="gramStart"/>
      <w:r>
        <w:rPr>
          <w:rFonts w:cs="Arial"/>
        </w:rPr>
        <w:t>externally-commissioned</w:t>
      </w:r>
      <w:proofErr w:type="gramEnd"/>
      <w:r>
        <w:rPr>
          <w:rFonts w:cs="Arial"/>
        </w:rPr>
        <w:t xml:space="preserve"> work. These quality criteria cover policy advice; standards and guidelines; and research, and update and build on the previously developed quality standards for </w:t>
      </w:r>
      <w:proofErr w:type="gramStart"/>
      <w:r>
        <w:rPr>
          <w:rFonts w:cs="Arial"/>
        </w:rPr>
        <w:t>externally-commissioned</w:t>
      </w:r>
      <w:proofErr w:type="gramEnd"/>
      <w:r>
        <w:rPr>
          <w:rFonts w:cs="Arial"/>
        </w:rPr>
        <w:t xml:space="preserve"> research.</w:t>
      </w:r>
    </w:p>
    <w:p w14:paraId="7352E560" w14:textId="77777777" w:rsidR="000230E8" w:rsidRPr="002056F5" w:rsidRDefault="000230E8" w:rsidP="000230E8">
      <w:pPr>
        <w:pStyle w:val="Heading2"/>
      </w:pPr>
      <w:bookmarkStart w:id="145" w:name="_Toc299362547"/>
      <w:bookmarkStart w:id="146" w:name="_Toc300742156"/>
      <w:bookmarkStart w:id="147" w:name="_Toc300742905"/>
      <w:bookmarkStart w:id="148" w:name="_Toc300744257"/>
      <w:bookmarkStart w:id="149" w:name="_Toc335836359"/>
      <w:r>
        <w:lastRenderedPageBreak/>
        <w:t>Information and record s</w:t>
      </w:r>
      <w:r w:rsidRPr="002056F5">
        <w:t>ystems</w:t>
      </w:r>
      <w:bookmarkEnd w:id="145"/>
      <w:bookmarkEnd w:id="146"/>
      <w:bookmarkEnd w:id="147"/>
      <w:bookmarkEnd w:id="148"/>
      <w:bookmarkEnd w:id="149"/>
    </w:p>
    <w:p w14:paraId="4E369593" w14:textId="77777777" w:rsidR="000230E8" w:rsidRPr="002D10B5" w:rsidRDefault="000230E8" w:rsidP="000230E8">
      <w:pPr>
        <w:rPr>
          <w:rFonts w:cs="Arial"/>
          <w:szCs w:val="26"/>
        </w:rPr>
      </w:pPr>
      <w:r w:rsidRPr="002D10B5">
        <w:rPr>
          <w:rFonts w:cs="Arial"/>
          <w:szCs w:val="26"/>
        </w:rPr>
        <w:t xml:space="preserve">Work on the enhancement of the IT element </w:t>
      </w:r>
      <w:r>
        <w:rPr>
          <w:rFonts w:cs="Arial"/>
          <w:szCs w:val="26"/>
        </w:rPr>
        <w:t xml:space="preserve">of the </w:t>
      </w:r>
      <w:r w:rsidRPr="002D10B5">
        <w:rPr>
          <w:szCs w:val="26"/>
        </w:rPr>
        <w:t>National Disability Authority’s</w:t>
      </w:r>
      <w:r w:rsidRPr="002D10B5">
        <w:rPr>
          <w:rFonts w:cs="Arial"/>
          <w:szCs w:val="26"/>
        </w:rPr>
        <w:t xml:space="preserve"> Fixed Asse</w:t>
      </w:r>
      <w:r>
        <w:rPr>
          <w:rFonts w:cs="Arial"/>
          <w:szCs w:val="26"/>
        </w:rPr>
        <w:t xml:space="preserve">t Register was completed. This </w:t>
      </w:r>
      <w:r w:rsidRPr="002D10B5">
        <w:rPr>
          <w:rFonts w:cs="Arial"/>
          <w:szCs w:val="26"/>
        </w:rPr>
        <w:t xml:space="preserve">will form part of an overall single comprehensive asset register. Work also commenced on the refinement of all other remaining assets into a single comprehensive register. </w:t>
      </w:r>
    </w:p>
    <w:p w14:paraId="1F15126E" w14:textId="77777777" w:rsidR="000230E8" w:rsidRPr="002056F5" w:rsidRDefault="000230E8" w:rsidP="000230E8">
      <w:pPr>
        <w:pStyle w:val="Heading2"/>
      </w:pPr>
      <w:bookmarkStart w:id="150" w:name="_Toc299362548"/>
      <w:bookmarkStart w:id="151" w:name="_Toc300742157"/>
      <w:bookmarkStart w:id="152" w:name="_Toc300742906"/>
      <w:bookmarkStart w:id="153" w:name="_Toc300744258"/>
      <w:bookmarkStart w:id="154" w:name="_Toc335836360"/>
      <w:r w:rsidRPr="002056F5">
        <w:t>Partnership</w:t>
      </w:r>
      <w:bookmarkEnd w:id="150"/>
      <w:bookmarkEnd w:id="151"/>
      <w:bookmarkEnd w:id="152"/>
      <w:bookmarkEnd w:id="153"/>
      <w:bookmarkEnd w:id="154"/>
    </w:p>
    <w:p w14:paraId="0670BA44" w14:textId="77777777" w:rsidR="000230E8" w:rsidRPr="002056F5" w:rsidRDefault="000230E8" w:rsidP="000230E8">
      <w:pPr>
        <w:rPr>
          <w:rFonts w:cs="Arial"/>
          <w:szCs w:val="26"/>
        </w:rPr>
      </w:pPr>
      <w:r w:rsidRPr="002056F5">
        <w:rPr>
          <w:rFonts w:cs="Arial"/>
          <w:szCs w:val="26"/>
        </w:rPr>
        <w:t xml:space="preserve">The </w:t>
      </w:r>
      <w:r w:rsidRPr="002056F5">
        <w:rPr>
          <w:szCs w:val="26"/>
        </w:rPr>
        <w:t>National Disability Authority’s</w:t>
      </w:r>
      <w:r w:rsidRPr="002056F5">
        <w:rPr>
          <w:rFonts w:cs="Arial"/>
          <w:szCs w:val="26"/>
        </w:rPr>
        <w:t xml:space="preserve"> Partnership Committee met on nine occasions. A wide-ranging work programme was</w:t>
      </w:r>
      <w:r>
        <w:rPr>
          <w:rFonts w:cs="Arial"/>
          <w:szCs w:val="26"/>
        </w:rPr>
        <w:t xml:space="preserve"> undertaken by the Committee and </w:t>
      </w:r>
      <w:r w:rsidRPr="002056F5">
        <w:rPr>
          <w:rFonts w:cs="Arial"/>
          <w:szCs w:val="26"/>
        </w:rPr>
        <w:t>included input into the development of a new staff canteen, sign-off on the Croke Park Agreement report, and input into the development of new poli</w:t>
      </w:r>
      <w:r>
        <w:rPr>
          <w:rFonts w:cs="Arial"/>
          <w:szCs w:val="26"/>
        </w:rPr>
        <w:t xml:space="preserve">cies and protocols, </w:t>
      </w:r>
      <w:proofErr w:type="gramStart"/>
      <w:r>
        <w:rPr>
          <w:rFonts w:cs="Arial"/>
          <w:szCs w:val="26"/>
        </w:rPr>
        <w:t>including:</w:t>
      </w:r>
      <w:proofErr w:type="gramEnd"/>
      <w:r>
        <w:rPr>
          <w:rFonts w:cs="Arial"/>
          <w:szCs w:val="26"/>
        </w:rPr>
        <w:t xml:space="preserve"> attendance m</w:t>
      </w:r>
      <w:r w:rsidRPr="002056F5">
        <w:rPr>
          <w:rFonts w:cs="Arial"/>
          <w:szCs w:val="26"/>
        </w:rPr>
        <w:t xml:space="preserve">anagement; </w:t>
      </w:r>
      <w:r>
        <w:rPr>
          <w:rFonts w:cs="Arial"/>
          <w:szCs w:val="26"/>
        </w:rPr>
        <w:t>supports for staff with disabilities; and an e</w:t>
      </w:r>
      <w:r w:rsidRPr="002056F5">
        <w:rPr>
          <w:rFonts w:cs="Arial"/>
          <w:szCs w:val="26"/>
        </w:rPr>
        <w:t>m</w:t>
      </w:r>
      <w:r>
        <w:rPr>
          <w:rFonts w:cs="Arial"/>
          <w:szCs w:val="26"/>
        </w:rPr>
        <w:t xml:space="preserve">ail protocol. </w:t>
      </w:r>
      <w:r w:rsidRPr="002056F5">
        <w:rPr>
          <w:rFonts w:cs="Arial"/>
          <w:szCs w:val="26"/>
        </w:rPr>
        <w:t xml:space="preserve">The Committee also supported the development of the new </w:t>
      </w:r>
      <w:r>
        <w:rPr>
          <w:rFonts w:cs="Arial"/>
          <w:szCs w:val="26"/>
        </w:rPr>
        <w:t>Human Resources</w:t>
      </w:r>
      <w:r w:rsidRPr="002056F5">
        <w:rPr>
          <w:rFonts w:cs="Arial"/>
          <w:szCs w:val="26"/>
        </w:rPr>
        <w:t xml:space="preserve"> Strategy and reviewed a proposal to implement a Staff Suggestion Scheme. </w:t>
      </w:r>
    </w:p>
    <w:p w14:paraId="2DA66DF0" w14:textId="77777777" w:rsidR="000230E8" w:rsidRPr="002056F5" w:rsidRDefault="000230E8" w:rsidP="000230E8">
      <w:pPr>
        <w:pStyle w:val="Heading2"/>
      </w:pPr>
      <w:bookmarkStart w:id="155" w:name="_Toc299362549"/>
      <w:bookmarkStart w:id="156" w:name="_Toc300742158"/>
      <w:bookmarkStart w:id="157" w:name="_Toc300742907"/>
      <w:bookmarkStart w:id="158" w:name="_Toc300744259"/>
      <w:bookmarkStart w:id="159" w:name="_Toc335836361"/>
      <w:r w:rsidRPr="002056F5">
        <w:rPr>
          <w:lang w:eastAsia="en-IE"/>
        </w:rPr>
        <w:t>Access Officer</w:t>
      </w:r>
      <w:bookmarkEnd w:id="155"/>
      <w:bookmarkEnd w:id="156"/>
      <w:bookmarkEnd w:id="157"/>
      <w:bookmarkEnd w:id="158"/>
      <w:bookmarkEnd w:id="159"/>
    </w:p>
    <w:p w14:paraId="64D4629B" w14:textId="77777777" w:rsidR="000230E8" w:rsidRPr="002056F5" w:rsidRDefault="000230E8" w:rsidP="000230E8">
      <w:pPr>
        <w:rPr>
          <w:szCs w:val="26"/>
          <w:lang w:eastAsia="en-IE"/>
        </w:rPr>
      </w:pPr>
      <w:r w:rsidRPr="002056F5">
        <w:rPr>
          <w:szCs w:val="26"/>
          <w:lang w:eastAsia="en-IE"/>
        </w:rPr>
        <w:t xml:space="preserve">The Disability Act 2005 requires every public body to have a least one Access Officer. The </w:t>
      </w:r>
      <w:r w:rsidRPr="002056F5">
        <w:rPr>
          <w:szCs w:val="26"/>
        </w:rPr>
        <w:t>National Disability Authority</w:t>
      </w:r>
      <w:r w:rsidRPr="002056F5">
        <w:rPr>
          <w:szCs w:val="26"/>
          <w:lang w:eastAsia="en-IE"/>
        </w:rPr>
        <w:t xml:space="preserve">'s Access Officer arranged appropriate assistance for people with disabilities who used the </w:t>
      </w:r>
      <w:r w:rsidRPr="002056F5">
        <w:rPr>
          <w:szCs w:val="26"/>
        </w:rPr>
        <w:t>National Disability Authority</w:t>
      </w:r>
      <w:r w:rsidRPr="002056F5">
        <w:rPr>
          <w:szCs w:val="26"/>
          <w:lang w:eastAsia="en-IE"/>
        </w:rPr>
        <w:t>'s information and services. The Access Officer's contact details are available on the home page of the website.</w:t>
      </w:r>
    </w:p>
    <w:p w14:paraId="42D7CD05" w14:textId="77777777" w:rsidR="000230E8" w:rsidRPr="002056F5" w:rsidRDefault="000230E8" w:rsidP="000230E8">
      <w:pPr>
        <w:pStyle w:val="Heading2"/>
      </w:pPr>
      <w:bookmarkStart w:id="160" w:name="_Toc335836362"/>
      <w:r>
        <w:t>Communication s</w:t>
      </w:r>
      <w:r w:rsidRPr="002056F5">
        <w:t>trategy</w:t>
      </w:r>
      <w:bookmarkEnd w:id="160"/>
    </w:p>
    <w:p w14:paraId="6BE10431" w14:textId="77777777" w:rsidR="000230E8" w:rsidRPr="002056F5" w:rsidRDefault="000230E8" w:rsidP="000230E8">
      <w:pPr>
        <w:rPr>
          <w:rFonts w:cs="Arial"/>
        </w:rPr>
      </w:pPr>
      <w:r w:rsidRPr="002056F5">
        <w:t xml:space="preserve">Following consultation with National Disability Authority’s external stakeholders, and internally with staff, a </w:t>
      </w:r>
      <w:r w:rsidRPr="002056F5">
        <w:rPr>
          <w:b/>
        </w:rPr>
        <w:t>Communication Strategy 2010-2012</w:t>
      </w:r>
      <w:r w:rsidRPr="002056F5">
        <w:t xml:space="preserve"> and associated action plan was developed</w:t>
      </w:r>
      <w:r w:rsidRPr="002056F5">
        <w:rPr>
          <w:rFonts w:cs="Arial"/>
        </w:rPr>
        <w:t xml:space="preserve"> to support the delivery of the </w:t>
      </w:r>
      <w:r w:rsidRPr="002056F5">
        <w:rPr>
          <w:rFonts w:cs="Arial"/>
          <w:b/>
        </w:rPr>
        <w:t xml:space="preserve">Strategic Plan 2010-2012. </w:t>
      </w:r>
      <w:r>
        <w:rPr>
          <w:rFonts w:cs="Arial"/>
        </w:rPr>
        <w:t>I</w:t>
      </w:r>
      <w:r w:rsidRPr="002056F5">
        <w:rPr>
          <w:rFonts w:cs="Arial"/>
        </w:rPr>
        <w:t>mplementation of the action plan was progressed</w:t>
      </w:r>
      <w:r>
        <w:rPr>
          <w:rFonts w:cs="Arial"/>
        </w:rPr>
        <w:t>,</w:t>
      </w:r>
      <w:r w:rsidRPr="002056F5">
        <w:rPr>
          <w:rFonts w:cs="Arial"/>
        </w:rPr>
        <w:t xml:space="preserve"> including the development of </w:t>
      </w:r>
      <w:r>
        <w:rPr>
          <w:rFonts w:cs="Arial"/>
        </w:rPr>
        <w:t xml:space="preserve">capabilities for </w:t>
      </w:r>
      <w:r w:rsidRPr="002056F5">
        <w:rPr>
          <w:rFonts w:cs="Arial"/>
        </w:rPr>
        <w:t>Skype and web conferencing.</w:t>
      </w:r>
    </w:p>
    <w:p w14:paraId="326AC1AA" w14:textId="77777777" w:rsidR="000230E8" w:rsidRPr="002056F5" w:rsidRDefault="000230E8" w:rsidP="000230E8">
      <w:pPr>
        <w:pStyle w:val="Heading2"/>
      </w:pPr>
      <w:bookmarkStart w:id="161" w:name="_Toc335836363"/>
      <w:r>
        <w:t>Library s</w:t>
      </w:r>
      <w:r w:rsidRPr="002056F5">
        <w:t>ervice</w:t>
      </w:r>
      <w:bookmarkEnd w:id="161"/>
    </w:p>
    <w:p w14:paraId="449465F5" w14:textId="77777777" w:rsidR="000230E8" w:rsidRPr="002056F5" w:rsidRDefault="000230E8" w:rsidP="000230E8">
      <w:r w:rsidRPr="002056F5">
        <w:t xml:space="preserve">The National Disability Authority holds over 55,000 items on disability and related topics, providing a resource to support evidence-based information, </w:t>
      </w:r>
      <w:proofErr w:type="gramStart"/>
      <w:r w:rsidRPr="002056F5">
        <w:t>advice</w:t>
      </w:r>
      <w:proofErr w:type="gramEnd"/>
      <w:r w:rsidRPr="002056F5">
        <w:t xml:space="preserve"> and guidance. The extensive collection is made up of books, journals, newsletters, newspaper articles, DVDs, </w:t>
      </w:r>
      <w:proofErr w:type="gramStart"/>
      <w:r w:rsidRPr="002056F5">
        <w:t>videos</w:t>
      </w:r>
      <w:proofErr w:type="gramEnd"/>
      <w:r w:rsidRPr="002056F5">
        <w:t xml:space="preserve"> and CD-ROMs. As well as offering an online catalogue, the </w:t>
      </w:r>
      <w:proofErr w:type="gramStart"/>
      <w:r w:rsidRPr="002056F5">
        <w:t>Library</w:t>
      </w:r>
      <w:proofErr w:type="gramEnd"/>
      <w:r w:rsidRPr="002056F5">
        <w:t xml:space="preserve"> also provides books and journal articles by post. People can visit the </w:t>
      </w:r>
      <w:proofErr w:type="gramStart"/>
      <w:r w:rsidRPr="002056F5">
        <w:t>Library</w:t>
      </w:r>
      <w:proofErr w:type="gramEnd"/>
      <w:r w:rsidRPr="002056F5">
        <w:t xml:space="preserve"> for more in-depth work. The </w:t>
      </w:r>
      <w:proofErr w:type="gramStart"/>
      <w:r w:rsidRPr="002056F5">
        <w:t>Library</w:t>
      </w:r>
      <w:proofErr w:type="gramEnd"/>
      <w:r w:rsidRPr="002056F5">
        <w:t xml:space="preserve"> also sources books and articles, for staff, from other larger library resources. The </w:t>
      </w:r>
      <w:proofErr w:type="gramStart"/>
      <w:r w:rsidRPr="002056F5">
        <w:t>Library</w:t>
      </w:r>
      <w:proofErr w:type="gramEnd"/>
      <w:r w:rsidRPr="002056F5">
        <w:t xml:space="preserve"> is operated on a part-time basis, providing telephone access each weekday morning and taking appointments one day each week.</w:t>
      </w:r>
      <w:r w:rsidRPr="002056F5">
        <w:rPr>
          <w:szCs w:val="26"/>
        </w:rPr>
        <w:t xml:space="preserve"> </w:t>
      </w:r>
    </w:p>
    <w:p w14:paraId="0C18419F" w14:textId="77777777" w:rsidR="000230E8" w:rsidRPr="002056F5" w:rsidRDefault="000230E8" w:rsidP="000230E8">
      <w:r w:rsidRPr="002056F5">
        <w:lastRenderedPageBreak/>
        <w:t xml:space="preserve">During 2011, the </w:t>
      </w:r>
      <w:proofErr w:type="gramStart"/>
      <w:r w:rsidRPr="002056F5">
        <w:t>Library</w:t>
      </w:r>
      <w:proofErr w:type="gramEnd"/>
      <w:r w:rsidRPr="002056F5">
        <w:t xml:space="preserve"> answered </w:t>
      </w:r>
      <w:r>
        <w:rPr>
          <w:rFonts w:cs="Gill Sans"/>
          <w:color w:val="000000"/>
          <w:lang w:val="en-GB" w:eastAsia="en-GB"/>
        </w:rPr>
        <w:t xml:space="preserve">684 </w:t>
      </w:r>
      <w:r w:rsidRPr="002056F5">
        <w:t>queries (</w:t>
      </w:r>
      <w:r w:rsidRPr="00704308">
        <w:t xml:space="preserve">190 </w:t>
      </w:r>
      <w:r w:rsidRPr="002056F5">
        <w:t xml:space="preserve">of which came from staff), with </w:t>
      </w:r>
      <w:r w:rsidRPr="00704308">
        <w:t>15</w:t>
      </w:r>
      <w:r w:rsidRPr="002056F5">
        <w:t xml:space="preserve"> new members joining up during the year. The </w:t>
      </w:r>
      <w:proofErr w:type="gramStart"/>
      <w:r w:rsidRPr="002056F5">
        <w:t>Library</w:t>
      </w:r>
      <w:proofErr w:type="gramEnd"/>
      <w:r w:rsidRPr="002056F5">
        <w:t xml:space="preserve"> also provided </w:t>
      </w:r>
      <w:r>
        <w:rPr>
          <w:rFonts w:cs="Gill Sans"/>
          <w:color w:val="000000"/>
          <w:lang w:val="en-GB" w:eastAsia="en-GB"/>
        </w:rPr>
        <w:t>167</w:t>
      </w:r>
      <w:r w:rsidRPr="002056F5">
        <w:t xml:space="preserve"> books on loan and </w:t>
      </w:r>
      <w:r>
        <w:rPr>
          <w:rFonts w:cs="Gill Sans"/>
          <w:color w:val="000000"/>
          <w:lang w:val="en-GB" w:eastAsia="en-GB"/>
        </w:rPr>
        <w:t xml:space="preserve">144 </w:t>
      </w:r>
      <w:r w:rsidRPr="002056F5">
        <w:t>journal articles.</w:t>
      </w:r>
      <w:r w:rsidRPr="002056F5">
        <w:rPr>
          <w:szCs w:val="26"/>
        </w:rPr>
        <w:t xml:space="preserve"> </w:t>
      </w:r>
    </w:p>
    <w:p w14:paraId="199A2D88" w14:textId="77777777" w:rsidR="000230E8" w:rsidRPr="002056F5" w:rsidRDefault="000230E8" w:rsidP="000230E8">
      <w:pPr>
        <w:pStyle w:val="Heading2"/>
      </w:pPr>
      <w:bookmarkStart w:id="162" w:name="_Toc299362550"/>
      <w:bookmarkStart w:id="163" w:name="_Toc300742159"/>
      <w:bookmarkStart w:id="164" w:name="_Toc300742908"/>
      <w:bookmarkStart w:id="165" w:name="_Toc300744260"/>
      <w:bookmarkStart w:id="166" w:name="_Toc335836364"/>
      <w:r>
        <w:t>Human resources s</w:t>
      </w:r>
      <w:r w:rsidRPr="002056F5">
        <w:t>trategy</w:t>
      </w:r>
      <w:bookmarkEnd w:id="162"/>
      <w:bookmarkEnd w:id="163"/>
      <w:bookmarkEnd w:id="164"/>
      <w:bookmarkEnd w:id="165"/>
      <w:bookmarkEnd w:id="166"/>
    </w:p>
    <w:p w14:paraId="4AD179CC" w14:textId="77777777" w:rsidR="000230E8" w:rsidRPr="002056F5" w:rsidRDefault="000230E8" w:rsidP="000230E8">
      <w:pPr>
        <w:rPr>
          <w:b/>
          <w:bCs/>
        </w:rPr>
      </w:pPr>
      <w:r w:rsidRPr="002056F5">
        <w:t xml:space="preserve">The National Disability Authority’s new </w:t>
      </w:r>
      <w:r w:rsidRPr="00C0175C">
        <w:rPr>
          <w:b/>
        </w:rPr>
        <w:t>Human Resources Strategy 2011-2013</w:t>
      </w:r>
      <w:r w:rsidRPr="002056F5">
        <w:t xml:space="preserve"> was </w:t>
      </w:r>
      <w:r>
        <w:t xml:space="preserve">developed </w:t>
      </w:r>
      <w:r w:rsidRPr="002056F5">
        <w:t xml:space="preserve">and </w:t>
      </w:r>
      <w:r>
        <w:t xml:space="preserve">presented to staff. </w:t>
      </w:r>
      <w:r w:rsidRPr="002056F5">
        <w:t xml:space="preserve">The Strategy </w:t>
      </w:r>
      <w:r>
        <w:t xml:space="preserve">takes account of factors such as </w:t>
      </w:r>
      <w:r w:rsidRPr="002056F5">
        <w:t xml:space="preserve">the </w:t>
      </w:r>
      <w:r>
        <w:t xml:space="preserve">public service </w:t>
      </w:r>
      <w:r w:rsidRPr="002056F5">
        <w:t xml:space="preserve">moratorium on recruitment, the Employment Control Framework and new work practices </w:t>
      </w:r>
      <w:r>
        <w:t>governed</w:t>
      </w:r>
      <w:r w:rsidRPr="002056F5">
        <w:t xml:space="preserve"> by the Croke Park Agreement.</w:t>
      </w:r>
      <w:r w:rsidRPr="002056F5">
        <w:rPr>
          <w:rFonts w:eastAsia="MS PGothic"/>
          <w:lang w:eastAsia="zh-TW"/>
        </w:rPr>
        <w:t xml:space="preserve"> The policy will </w:t>
      </w:r>
      <w:r w:rsidRPr="002056F5">
        <w:rPr>
          <w:lang w:val="en-GB"/>
        </w:rPr>
        <w:t>ensure that the immediate and upcoming needs of the organisation are met and will assist the achievement of organi</w:t>
      </w:r>
      <w:r>
        <w:rPr>
          <w:lang w:val="en-GB"/>
        </w:rPr>
        <w:t xml:space="preserve">sational goals and objectives. </w:t>
      </w:r>
      <w:r w:rsidRPr="002056F5">
        <w:rPr>
          <w:lang w:val="en-GB"/>
        </w:rPr>
        <w:t xml:space="preserve">It will </w:t>
      </w:r>
      <w:r w:rsidRPr="002056F5">
        <w:t xml:space="preserve">support the ongoing development of staff, develop a high performing </w:t>
      </w:r>
      <w:proofErr w:type="gramStart"/>
      <w:r w:rsidRPr="002056F5">
        <w:t>organisation</w:t>
      </w:r>
      <w:proofErr w:type="gramEnd"/>
      <w:r w:rsidRPr="002056F5">
        <w:t xml:space="preserve"> and promote a motivating and positive work environment</w:t>
      </w:r>
    </w:p>
    <w:p w14:paraId="613A5435" w14:textId="77777777" w:rsidR="000230E8" w:rsidRPr="002056F5" w:rsidRDefault="000230E8" w:rsidP="000230E8">
      <w:pPr>
        <w:pStyle w:val="Heading2"/>
      </w:pPr>
      <w:bookmarkStart w:id="167" w:name="_Toc299362551"/>
      <w:bookmarkStart w:id="168" w:name="_Toc300742160"/>
      <w:bookmarkStart w:id="169" w:name="_Toc300742909"/>
      <w:bookmarkStart w:id="170" w:name="_Toc300744261"/>
      <w:bookmarkStart w:id="171" w:name="_Toc335836365"/>
      <w:r>
        <w:t>Attendance management p</w:t>
      </w:r>
      <w:r w:rsidRPr="002056F5">
        <w:t>olicy</w:t>
      </w:r>
      <w:bookmarkEnd w:id="171"/>
    </w:p>
    <w:p w14:paraId="15BD71F0" w14:textId="77777777" w:rsidR="000230E8" w:rsidRPr="002056F5" w:rsidRDefault="000230E8" w:rsidP="000230E8">
      <w:pPr>
        <w:spacing w:after="0"/>
      </w:pPr>
      <w:r>
        <w:t>In line with s</w:t>
      </w:r>
      <w:r w:rsidRPr="002056F5">
        <w:t>ection 4.10 of the Croke Park Agreement</w:t>
      </w:r>
      <w:r>
        <w:t>,</w:t>
      </w:r>
      <w:r w:rsidRPr="002056F5">
        <w:t xml:space="preserve"> which commits to implementing </w:t>
      </w:r>
      <w:r w:rsidRPr="002056F5">
        <w:rPr>
          <w:bCs/>
        </w:rPr>
        <w:t xml:space="preserve">revised procedures for managing sick leave, the </w:t>
      </w:r>
      <w:r w:rsidRPr="002056F5">
        <w:t>National Disability Authority</w:t>
      </w:r>
      <w:r>
        <w:rPr>
          <w:bCs/>
        </w:rPr>
        <w:t xml:space="preserve"> developed a new a</w:t>
      </w:r>
      <w:r w:rsidRPr="002056F5">
        <w:rPr>
          <w:bCs/>
        </w:rPr>
        <w:t xml:space="preserve">ttendance </w:t>
      </w:r>
      <w:r>
        <w:rPr>
          <w:bCs/>
        </w:rPr>
        <w:t>management policy. This new policy is intended to ensure effective supports are in place for staff and to</w:t>
      </w:r>
      <w:r w:rsidRPr="002056F5">
        <w:rPr>
          <w:bCs/>
        </w:rPr>
        <w:t xml:space="preserve"> assist the </w:t>
      </w:r>
      <w:r w:rsidRPr="002056F5">
        <w:t>National Disability Authority</w:t>
      </w:r>
      <w:r w:rsidRPr="002056F5">
        <w:rPr>
          <w:bCs/>
        </w:rPr>
        <w:t xml:space="preserve"> to achieve a 10% reduction in absentee levels</w:t>
      </w:r>
      <w:r>
        <w:rPr>
          <w:bCs/>
        </w:rPr>
        <w:t>,</w:t>
      </w:r>
      <w:r w:rsidRPr="002056F5">
        <w:rPr>
          <w:bCs/>
        </w:rPr>
        <w:t xml:space="preserve"> as required by the </w:t>
      </w:r>
      <w:r>
        <w:rPr>
          <w:bCs/>
        </w:rPr>
        <w:t xml:space="preserve">Government’s </w:t>
      </w:r>
      <w:r w:rsidRPr="002056F5">
        <w:t>Civil Service and Non-Commercial S</w:t>
      </w:r>
      <w:r>
        <w:t>tate Agency Sector Action Plan.</w:t>
      </w:r>
      <w:r w:rsidRPr="002056F5">
        <w:t xml:space="preserve"> The policy was reviewed by the Partnership Committee and was also sent to </w:t>
      </w:r>
      <w:r>
        <w:t>the union</w:t>
      </w:r>
      <w:r w:rsidRPr="002056F5">
        <w:t xml:space="preserve"> for </w:t>
      </w:r>
      <w:r>
        <w:t>comment</w:t>
      </w:r>
      <w:r w:rsidRPr="002056F5">
        <w:t>.</w:t>
      </w:r>
      <w:r w:rsidR="00C27E0C">
        <w:br/>
      </w:r>
    </w:p>
    <w:p w14:paraId="1FC8C142" w14:textId="77777777" w:rsidR="000230E8" w:rsidRPr="002056F5" w:rsidRDefault="000230E8" w:rsidP="000230E8">
      <w:pPr>
        <w:pStyle w:val="Heading2"/>
      </w:pPr>
      <w:bookmarkStart w:id="172" w:name="_Toc335836366"/>
      <w:r>
        <w:t>Supporting s</w:t>
      </w:r>
      <w:r w:rsidRPr="002056F5">
        <w:t>taff</w:t>
      </w:r>
      <w:bookmarkEnd w:id="172"/>
      <w:r>
        <w:t xml:space="preserve"> </w:t>
      </w:r>
    </w:p>
    <w:p w14:paraId="73AAB5E0" w14:textId="77777777" w:rsidR="000230E8" w:rsidRPr="002056F5" w:rsidRDefault="000230E8" w:rsidP="000230E8">
      <w:pPr>
        <w:rPr>
          <w:lang w:val="en-GB"/>
        </w:rPr>
      </w:pPr>
      <w:r w:rsidRPr="002056F5">
        <w:t xml:space="preserve">The National Disability Authority </w:t>
      </w:r>
      <w:r>
        <w:t>aims</w:t>
      </w:r>
      <w:r w:rsidRPr="002056F5">
        <w:t xml:space="preserve"> to be a model of good practice </w:t>
      </w:r>
      <w:r>
        <w:t xml:space="preserve">in employing staff with disabilities further to complying </w:t>
      </w:r>
      <w:r w:rsidRPr="002056F5">
        <w:t>with its obligations und</w:t>
      </w:r>
      <w:r>
        <w:t>er Part 5 of the Disability Act</w:t>
      </w:r>
      <w:r w:rsidRPr="002056F5">
        <w:t xml:space="preserve"> 2005 </w:t>
      </w:r>
      <w:r w:rsidRPr="002056F5">
        <w:rPr>
          <w:bCs/>
        </w:rPr>
        <w:t>and</w:t>
      </w:r>
      <w:r w:rsidRPr="002056F5">
        <w:rPr>
          <w:b/>
          <w:bCs/>
        </w:rPr>
        <w:t xml:space="preserve"> </w:t>
      </w:r>
      <w:r w:rsidRPr="002056F5">
        <w:t xml:space="preserve">the relevant </w:t>
      </w:r>
      <w:r>
        <w:t>equality legislation.</w:t>
      </w:r>
      <w:r w:rsidRPr="002056F5">
        <w:t xml:space="preserve"> The National Disability Authority</w:t>
      </w:r>
      <w:r>
        <w:t xml:space="preserve"> </w:t>
      </w:r>
      <w:r w:rsidRPr="002056F5">
        <w:t>is committed to having an inclusive working environment</w:t>
      </w:r>
      <w:r>
        <w:t>,</w:t>
      </w:r>
      <w:r w:rsidRPr="002056F5">
        <w:t xml:space="preserve"> which has effective policies to support staff</w:t>
      </w:r>
      <w:r>
        <w:t>,</w:t>
      </w:r>
      <w:r w:rsidRPr="002056F5" w:rsidDel="0075611F">
        <w:t xml:space="preserve"> </w:t>
      </w:r>
      <w:r w:rsidRPr="002056F5">
        <w:t xml:space="preserve">including staff </w:t>
      </w:r>
      <w:r w:rsidRPr="002056F5" w:rsidDel="0075611F">
        <w:t xml:space="preserve">with a </w:t>
      </w:r>
      <w:r w:rsidRPr="002056F5">
        <w:t>disability</w:t>
      </w:r>
      <w:r w:rsidRPr="002056F5" w:rsidDel="0075611F">
        <w:t>.</w:t>
      </w:r>
      <w:r w:rsidRPr="002056F5">
        <w:t xml:space="preserve"> The purpose of the policy is to guide staff to the various supports available and the relevant </w:t>
      </w:r>
      <w:r>
        <w:t>sections</w:t>
      </w:r>
      <w:r w:rsidRPr="002056F5">
        <w:t xml:space="preserve"> </w:t>
      </w:r>
      <w:r>
        <w:t>in the personnel m</w:t>
      </w:r>
      <w:r w:rsidRPr="002056F5">
        <w:t xml:space="preserve">anual. </w:t>
      </w:r>
    </w:p>
    <w:p w14:paraId="7710355A" w14:textId="77777777" w:rsidR="000230E8" w:rsidRPr="002056F5" w:rsidRDefault="000230E8" w:rsidP="000230E8">
      <w:pPr>
        <w:pStyle w:val="Heading2"/>
      </w:pPr>
      <w:bookmarkStart w:id="173" w:name="_Toc335836367"/>
      <w:bookmarkEnd w:id="167"/>
      <w:bookmarkEnd w:id="168"/>
      <w:bookmarkEnd w:id="169"/>
      <w:bookmarkEnd w:id="170"/>
      <w:r>
        <w:t>Financial s</w:t>
      </w:r>
      <w:r w:rsidRPr="002056F5">
        <w:t>tatements</w:t>
      </w:r>
      <w:bookmarkEnd w:id="173"/>
    </w:p>
    <w:p w14:paraId="43DBBBF3" w14:textId="77777777" w:rsidR="000230E8" w:rsidRDefault="000230E8" w:rsidP="000230E8">
      <w:r w:rsidRPr="002056F5">
        <w:t>In line with the Nat</w:t>
      </w:r>
      <w:r>
        <w:t xml:space="preserve">ional Disability Authority Act </w:t>
      </w:r>
      <w:r w:rsidRPr="002056F5">
        <w:t>1999</w:t>
      </w:r>
      <w:r>
        <w:t>,</w:t>
      </w:r>
      <w:r w:rsidRPr="002056F5">
        <w:t xml:space="preserve"> the Nat</w:t>
      </w:r>
      <w:r>
        <w:t>ional Disability Authority</w:t>
      </w:r>
      <w:r w:rsidRPr="002056F5">
        <w:t xml:space="preserve"> prepared and submitted financial accounts</w:t>
      </w:r>
      <w:r>
        <w:t>,</w:t>
      </w:r>
      <w:r w:rsidRPr="002056F5">
        <w:t xml:space="preserve"> </w:t>
      </w:r>
      <w:r>
        <w:t xml:space="preserve">for </w:t>
      </w:r>
      <w:r w:rsidRPr="002056F5">
        <w:t>2010</w:t>
      </w:r>
      <w:r>
        <w:t>,</w:t>
      </w:r>
      <w:r w:rsidRPr="002056F5">
        <w:t xml:space="preserve"> for audit by the Comptroller and Auditor General. The statements were approved in June 2011 and included as part of the 2010 Annual Report that was submitted to the Minister</w:t>
      </w:r>
      <w:r>
        <w:t xml:space="preserve"> in September 2011</w:t>
      </w:r>
      <w:r w:rsidRPr="002056F5">
        <w:t>.</w:t>
      </w:r>
    </w:p>
    <w:p w14:paraId="5FC635AA" w14:textId="77777777" w:rsidR="000230E8" w:rsidRDefault="000230E8" w:rsidP="000230E8">
      <w:pPr>
        <w:pStyle w:val="Heading1"/>
      </w:pPr>
      <w:r>
        <w:br w:type="page"/>
      </w:r>
      <w:bookmarkStart w:id="174" w:name="_Toc335743494"/>
      <w:bookmarkStart w:id="175" w:name="_Toc335743882"/>
      <w:bookmarkStart w:id="176" w:name="_Toc335829643"/>
      <w:bookmarkStart w:id="177" w:name="_Toc335836368"/>
      <w:bookmarkStart w:id="178" w:name="_Toc335983428"/>
      <w:bookmarkStart w:id="179" w:name="_Toc335986597"/>
      <w:r w:rsidRPr="00EA5CF3">
        <w:lastRenderedPageBreak/>
        <w:t>Financ</w:t>
      </w:r>
      <w:r>
        <w:t>ial Statements 2011</w:t>
      </w:r>
      <w:bookmarkEnd w:id="174"/>
      <w:bookmarkEnd w:id="175"/>
      <w:bookmarkEnd w:id="176"/>
      <w:bookmarkEnd w:id="177"/>
      <w:bookmarkEnd w:id="178"/>
      <w:bookmarkEnd w:id="179"/>
    </w:p>
    <w:p w14:paraId="5205932C" w14:textId="77777777" w:rsidR="000230E8" w:rsidRDefault="000230E8" w:rsidP="000230E8">
      <w:pPr>
        <w:pStyle w:val="Heading1"/>
      </w:pPr>
      <w:r>
        <w:br w:type="page"/>
      </w:r>
      <w:bookmarkStart w:id="180" w:name="_Toc335743495"/>
      <w:bookmarkStart w:id="181" w:name="_Toc335743883"/>
      <w:bookmarkStart w:id="182" w:name="_Toc335828906"/>
      <w:bookmarkStart w:id="183" w:name="_Toc335829644"/>
      <w:r w:rsidR="00542349">
        <w:lastRenderedPageBreak/>
        <w:br w:type="page"/>
      </w:r>
      <w:bookmarkStart w:id="184" w:name="_Toc335836369"/>
      <w:bookmarkStart w:id="185" w:name="_Toc335983429"/>
      <w:bookmarkStart w:id="186" w:name="_Toc335986598"/>
      <w:r>
        <w:lastRenderedPageBreak/>
        <w:t>Contents</w:t>
      </w:r>
      <w:bookmarkEnd w:id="180"/>
      <w:bookmarkEnd w:id="181"/>
      <w:bookmarkEnd w:id="182"/>
      <w:bookmarkEnd w:id="183"/>
      <w:bookmarkEnd w:id="184"/>
      <w:bookmarkEnd w:id="185"/>
      <w:bookmarkEnd w:id="186"/>
      <w:r>
        <w:tab/>
      </w:r>
      <w:r>
        <w:tab/>
      </w:r>
    </w:p>
    <w:p w14:paraId="3AEBE5B6" w14:textId="77777777" w:rsidR="009345A3" w:rsidRPr="0010446A" w:rsidRDefault="000230E8">
      <w:pPr>
        <w:pStyle w:val="TOC1"/>
        <w:tabs>
          <w:tab w:val="right" w:leader="dot" w:pos="8630"/>
        </w:tabs>
        <w:rPr>
          <w:rFonts w:ascii="Times New Roman" w:hAnsi="Times New Roman"/>
          <w:b w:val="0"/>
          <w:noProof/>
          <w:sz w:val="24"/>
          <w:lang w:val="en-GB" w:eastAsia="en-GB"/>
        </w:rPr>
      </w:pPr>
      <w:r w:rsidRPr="0010446A">
        <w:rPr>
          <w:b w:val="0"/>
        </w:rPr>
        <w:fldChar w:fldCharType="begin"/>
      </w:r>
      <w:r w:rsidRPr="0010446A">
        <w:rPr>
          <w:b w:val="0"/>
        </w:rPr>
        <w:instrText xml:space="preserve"> TOC \o "1-1" \h \z \u </w:instrText>
      </w:r>
      <w:r w:rsidRPr="0010446A">
        <w:rPr>
          <w:b w:val="0"/>
        </w:rPr>
        <w:fldChar w:fldCharType="separate"/>
      </w:r>
      <w:hyperlink w:anchor="_Toc335983430" w:history="1">
        <w:r w:rsidR="009345A3" w:rsidRPr="0010446A">
          <w:rPr>
            <w:rStyle w:val="Hyperlink"/>
            <w:b w:val="0"/>
            <w:noProof/>
          </w:rPr>
          <w:t>Authority Members and other Information</w:t>
        </w:r>
        <w:r w:rsidR="009345A3" w:rsidRPr="0010446A">
          <w:rPr>
            <w:b w:val="0"/>
            <w:noProof/>
            <w:webHidden/>
          </w:rPr>
          <w:tab/>
        </w:r>
        <w:r w:rsidR="009345A3" w:rsidRPr="0010446A">
          <w:rPr>
            <w:b w:val="0"/>
            <w:noProof/>
            <w:webHidden/>
          </w:rPr>
          <w:fldChar w:fldCharType="begin"/>
        </w:r>
        <w:r w:rsidR="009345A3" w:rsidRPr="0010446A">
          <w:rPr>
            <w:b w:val="0"/>
            <w:noProof/>
            <w:webHidden/>
          </w:rPr>
          <w:instrText xml:space="preserve"> PAGEREF _Toc335983430 \h </w:instrText>
        </w:r>
        <w:r w:rsidR="00835188" w:rsidRPr="0010446A">
          <w:rPr>
            <w:b w:val="0"/>
            <w:noProof/>
          </w:rPr>
        </w:r>
        <w:r w:rsidR="009345A3" w:rsidRPr="0010446A">
          <w:rPr>
            <w:b w:val="0"/>
            <w:noProof/>
            <w:webHidden/>
          </w:rPr>
          <w:fldChar w:fldCharType="separate"/>
        </w:r>
        <w:r w:rsidR="0010446A">
          <w:rPr>
            <w:b w:val="0"/>
            <w:noProof/>
            <w:webHidden/>
          </w:rPr>
          <w:t>36</w:t>
        </w:r>
        <w:r w:rsidR="009345A3" w:rsidRPr="0010446A">
          <w:rPr>
            <w:b w:val="0"/>
            <w:noProof/>
            <w:webHidden/>
          </w:rPr>
          <w:fldChar w:fldCharType="end"/>
        </w:r>
      </w:hyperlink>
    </w:p>
    <w:p w14:paraId="06D85215" w14:textId="77777777" w:rsidR="009345A3" w:rsidRPr="0010446A" w:rsidRDefault="009345A3">
      <w:pPr>
        <w:pStyle w:val="TOC1"/>
        <w:tabs>
          <w:tab w:val="right" w:leader="dot" w:pos="8630"/>
        </w:tabs>
        <w:rPr>
          <w:rFonts w:ascii="Times New Roman" w:hAnsi="Times New Roman"/>
          <w:b w:val="0"/>
          <w:noProof/>
          <w:sz w:val="24"/>
          <w:lang w:val="en-GB" w:eastAsia="en-GB"/>
        </w:rPr>
      </w:pPr>
      <w:hyperlink w:anchor="_Toc335983431" w:history="1">
        <w:r w:rsidRPr="0010446A">
          <w:rPr>
            <w:rStyle w:val="Hyperlink"/>
            <w:b w:val="0"/>
            <w:noProof/>
          </w:rPr>
          <w:t>National Disability Authority Functions and Powers</w:t>
        </w:r>
        <w:r w:rsidRPr="0010446A">
          <w:rPr>
            <w:b w:val="0"/>
            <w:noProof/>
            <w:webHidden/>
          </w:rPr>
          <w:tab/>
        </w:r>
        <w:r w:rsidRPr="0010446A">
          <w:rPr>
            <w:b w:val="0"/>
            <w:noProof/>
            <w:webHidden/>
          </w:rPr>
          <w:fldChar w:fldCharType="begin"/>
        </w:r>
        <w:r w:rsidRPr="0010446A">
          <w:rPr>
            <w:b w:val="0"/>
            <w:noProof/>
            <w:webHidden/>
          </w:rPr>
          <w:instrText xml:space="preserve"> PAGEREF _Toc335983431 \h </w:instrText>
        </w:r>
        <w:r w:rsidR="00835188" w:rsidRPr="0010446A">
          <w:rPr>
            <w:b w:val="0"/>
            <w:noProof/>
          </w:rPr>
        </w:r>
        <w:r w:rsidRPr="0010446A">
          <w:rPr>
            <w:b w:val="0"/>
            <w:noProof/>
            <w:webHidden/>
          </w:rPr>
          <w:fldChar w:fldCharType="separate"/>
        </w:r>
        <w:r w:rsidR="0010446A">
          <w:rPr>
            <w:b w:val="0"/>
            <w:noProof/>
            <w:webHidden/>
          </w:rPr>
          <w:t>37</w:t>
        </w:r>
        <w:r w:rsidRPr="0010446A">
          <w:rPr>
            <w:b w:val="0"/>
            <w:noProof/>
            <w:webHidden/>
          </w:rPr>
          <w:fldChar w:fldCharType="end"/>
        </w:r>
      </w:hyperlink>
    </w:p>
    <w:p w14:paraId="33D1B6BD" w14:textId="77777777" w:rsidR="009345A3" w:rsidRPr="0010446A" w:rsidRDefault="009345A3">
      <w:pPr>
        <w:pStyle w:val="TOC1"/>
        <w:tabs>
          <w:tab w:val="right" w:leader="dot" w:pos="8630"/>
        </w:tabs>
        <w:rPr>
          <w:rFonts w:ascii="Times New Roman" w:hAnsi="Times New Roman"/>
          <w:b w:val="0"/>
          <w:noProof/>
          <w:sz w:val="24"/>
          <w:lang w:val="en-GB" w:eastAsia="en-GB"/>
        </w:rPr>
      </w:pPr>
      <w:hyperlink w:anchor="_Toc335983432" w:history="1">
        <w:r w:rsidRPr="0010446A">
          <w:rPr>
            <w:rStyle w:val="Hyperlink"/>
            <w:b w:val="0"/>
            <w:noProof/>
          </w:rPr>
          <w:t>Statement of Responsibilities of Authority Members</w:t>
        </w:r>
        <w:r w:rsidRPr="0010446A">
          <w:rPr>
            <w:b w:val="0"/>
            <w:noProof/>
            <w:webHidden/>
          </w:rPr>
          <w:tab/>
        </w:r>
        <w:r w:rsidRPr="0010446A">
          <w:rPr>
            <w:b w:val="0"/>
            <w:noProof/>
            <w:webHidden/>
          </w:rPr>
          <w:fldChar w:fldCharType="begin"/>
        </w:r>
        <w:r w:rsidRPr="0010446A">
          <w:rPr>
            <w:b w:val="0"/>
            <w:noProof/>
            <w:webHidden/>
          </w:rPr>
          <w:instrText xml:space="preserve"> PAGEREF _Toc335983432 \h </w:instrText>
        </w:r>
        <w:r w:rsidR="00835188" w:rsidRPr="0010446A">
          <w:rPr>
            <w:b w:val="0"/>
            <w:noProof/>
          </w:rPr>
        </w:r>
        <w:r w:rsidRPr="0010446A">
          <w:rPr>
            <w:b w:val="0"/>
            <w:noProof/>
            <w:webHidden/>
          </w:rPr>
          <w:fldChar w:fldCharType="separate"/>
        </w:r>
        <w:r w:rsidR="0010446A">
          <w:rPr>
            <w:b w:val="0"/>
            <w:noProof/>
            <w:webHidden/>
          </w:rPr>
          <w:t>39</w:t>
        </w:r>
        <w:r w:rsidRPr="0010446A">
          <w:rPr>
            <w:b w:val="0"/>
            <w:noProof/>
            <w:webHidden/>
          </w:rPr>
          <w:fldChar w:fldCharType="end"/>
        </w:r>
      </w:hyperlink>
    </w:p>
    <w:p w14:paraId="0F5C329A" w14:textId="77777777" w:rsidR="009345A3" w:rsidRPr="0010446A" w:rsidRDefault="009345A3">
      <w:pPr>
        <w:pStyle w:val="TOC1"/>
        <w:tabs>
          <w:tab w:val="right" w:leader="dot" w:pos="8630"/>
        </w:tabs>
        <w:rPr>
          <w:rFonts w:ascii="Times New Roman" w:hAnsi="Times New Roman"/>
          <w:b w:val="0"/>
          <w:noProof/>
          <w:sz w:val="24"/>
          <w:lang w:val="en-GB" w:eastAsia="en-GB"/>
        </w:rPr>
      </w:pPr>
      <w:hyperlink w:anchor="_Toc335983433" w:history="1">
        <w:r w:rsidRPr="0010446A">
          <w:rPr>
            <w:rStyle w:val="Hyperlink"/>
            <w:b w:val="0"/>
            <w:noProof/>
          </w:rPr>
          <w:t>Statement on Internal Financial Control</w:t>
        </w:r>
        <w:r w:rsidRPr="0010446A">
          <w:rPr>
            <w:b w:val="0"/>
            <w:noProof/>
            <w:webHidden/>
          </w:rPr>
          <w:tab/>
        </w:r>
        <w:r w:rsidRPr="0010446A">
          <w:rPr>
            <w:b w:val="0"/>
            <w:noProof/>
            <w:webHidden/>
          </w:rPr>
          <w:fldChar w:fldCharType="begin"/>
        </w:r>
        <w:r w:rsidRPr="0010446A">
          <w:rPr>
            <w:b w:val="0"/>
            <w:noProof/>
            <w:webHidden/>
          </w:rPr>
          <w:instrText xml:space="preserve"> PAGEREF _Toc335983433 \h </w:instrText>
        </w:r>
        <w:r w:rsidR="00835188" w:rsidRPr="0010446A">
          <w:rPr>
            <w:b w:val="0"/>
            <w:noProof/>
          </w:rPr>
        </w:r>
        <w:r w:rsidRPr="0010446A">
          <w:rPr>
            <w:b w:val="0"/>
            <w:noProof/>
            <w:webHidden/>
          </w:rPr>
          <w:fldChar w:fldCharType="separate"/>
        </w:r>
        <w:r w:rsidR="0010446A">
          <w:rPr>
            <w:b w:val="0"/>
            <w:noProof/>
            <w:webHidden/>
          </w:rPr>
          <w:t>40</w:t>
        </w:r>
        <w:r w:rsidRPr="0010446A">
          <w:rPr>
            <w:b w:val="0"/>
            <w:noProof/>
            <w:webHidden/>
          </w:rPr>
          <w:fldChar w:fldCharType="end"/>
        </w:r>
      </w:hyperlink>
    </w:p>
    <w:p w14:paraId="5F0DEB6D" w14:textId="77777777" w:rsidR="009345A3" w:rsidRPr="0010446A" w:rsidRDefault="009345A3">
      <w:pPr>
        <w:pStyle w:val="TOC1"/>
        <w:tabs>
          <w:tab w:val="right" w:leader="dot" w:pos="8630"/>
        </w:tabs>
        <w:rPr>
          <w:rFonts w:ascii="Times New Roman" w:hAnsi="Times New Roman"/>
          <w:b w:val="0"/>
          <w:noProof/>
          <w:sz w:val="24"/>
          <w:lang w:val="en-GB" w:eastAsia="en-GB"/>
        </w:rPr>
      </w:pPr>
      <w:hyperlink w:anchor="_Toc335983434" w:history="1">
        <w:r w:rsidRPr="0010446A">
          <w:rPr>
            <w:rStyle w:val="Hyperlink"/>
            <w:b w:val="0"/>
            <w:noProof/>
          </w:rPr>
          <w:t>Report of the Comptroller and Auditor General</w:t>
        </w:r>
        <w:r w:rsidRPr="0010446A">
          <w:rPr>
            <w:b w:val="0"/>
            <w:noProof/>
            <w:webHidden/>
          </w:rPr>
          <w:tab/>
        </w:r>
        <w:r w:rsidRPr="0010446A">
          <w:rPr>
            <w:b w:val="0"/>
            <w:noProof/>
            <w:webHidden/>
          </w:rPr>
          <w:fldChar w:fldCharType="begin"/>
        </w:r>
        <w:r w:rsidRPr="0010446A">
          <w:rPr>
            <w:b w:val="0"/>
            <w:noProof/>
            <w:webHidden/>
          </w:rPr>
          <w:instrText xml:space="preserve"> PAGEREF _Toc335983434 \h </w:instrText>
        </w:r>
        <w:r w:rsidR="00835188" w:rsidRPr="0010446A">
          <w:rPr>
            <w:b w:val="0"/>
            <w:noProof/>
          </w:rPr>
        </w:r>
        <w:r w:rsidRPr="0010446A">
          <w:rPr>
            <w:b w:val="0"/>
            <w:noProof/>
            <w:webHidden/>
          </w:rPr>
          <w:fldChar w:fldCharType="separate"/>
        </w:r>
        <w:r w:rsidR="0010446A">
          <w:rPr>
            <w:b w:val="0"/>
            <w:noProof/>
            <w:webHidden/>
          </w:rPr>
          <w:t>43</w:t>
        </w:r>
        <w:r w:rsidRPr="0010446A">
          <w:rPr>
            <w:b w:val="0"/>
            <w:noProof/>
            <w:webHidden/>
          </w:rPr>
          <w:fldChar w:fldCharType="end"/>
        </w:r>
      </w:hyperlink>
    </w:p>
    <w:p w14:paraId="340D9841" w14:textId="77777777" w:rsidR="009345A3" w:rsidRPr="0010446A" w:rsidRDefault="009345A3">
      <w:pPr>
        <w:pStyle w:val="TOC1"/>
        <w:tabs>
          <w:tab w:val="right" w:leader="dot" w:pos="8630"/>
        </w:tabs>
        <w:rPr>
          <w:rFonts w:ascii="Times New Roman" w:hAnsi="Times New Roman"/>
          <w:b w:val="0"/>
          <w:noProof/>
          <w:sz w:val="24"/>
          <w:lang w:val="en-GB" w:eastAsia="en-GB"/>
        </w:rPr>
      </w:pPr>
      <w:hyperlink w:anchor="_Toc335983435" w:history="1">
        <w:r w:rsidRPr="0010446A">
          <w:rPr>
            <w:rStyle w:val="Hyperlink"/>
            <w:b w:val="0"/>
            <w:noProof/>
          </w:rPr>
          <w:t>Statement of Accounting Policies</w:t>
        </w:r>
        <w:r w:rsidRPr="0010446A">
          <w:rPr>
            <w:b w:val="0"/>
            <w:noProof/>
            <w:webHidden/>
          </w:rPr>
          <w:tab/>
        </w:r>
        <w:r w:rsidRPr="0010446A">
          <w:rPr>
            <w:b w:val="0"/>
            <w:noProof/>
            <w:webHidden/>
          </w:rPr>
          <w:fldChar w:fldCharType="begin"/>
        </w:r>
        <w:r w:rsidRPr="0010446A">
          <w:rPr>
            <w:b w:val="0"/>
            <w:noProof/>
            <w:webHidden/>
          </w:rPr>
          <w:instrText xml:space="preserve"> PAGEREF _Toc335983435 \h </w:instrText>
        </w:r>
        <w:r w:rsidR="00835188" w:rsidRPr="0010446A">
          <w:rPr>
            <w:b w:val="0"/>
            <w:noProof/>
          </w:rPr>
        </w:r>
        <w:r w:rsidRPr="0010446A">
          <w:rPr>
            <w:b w:val="0"/>
            <w:noProof/>
            <w:webHidden/>
          </w:rPr>
          <w:fldChar w:fldCharType="separate"/>
        </w:r>
        <w:r w:rsidR="0010446A">
          <w:rPr>
            <w:b w:val="0"/>
            <w:noProof/>
            <w:webHidden/>
          </w:rPr>
          <w:t>45</w:t>
        </w:r>
        <w:r w:rsidRPr="0010446A">
          <w:rPr>
            <w:b w:val="0"/>
            <w:noProof/>
            <w:webHidden/>
          </w:rPr>
          <w:fldChar w:fldCharType="end"/>
        </w:r>
      </w:hyperlink>
    </w:p>
    <w:p w14:paraId="0896BF6C" w14:textId="77777777" w:rsidR="009345A3" w:rsidRPr="0010446A" w:rsidRDefault="009345A3">
      <w:pPr>
        <w:pStyle w:val="TOC1"/>
        <w:tabs>
          <w:tab w:val="right" w:leader="dot" w:pos="8630"/>
        </w:tabs>
        <w:rPr>
          <w:rFonts w:ascii="Times New Roman" w:hAnsi="Times New Roman"/>
          <w:b w:val="0"/>
          <w:noProof/>
          <w:sz w:val="24"/>
          <w:lang w:val="en-GB" w:eastAsia="en-GB"/>
        </w:rPr>
      </w:pPr>
      <w:hyperlink w:anchor="_Toc335983436" w:history="1">
        <w:r w:rsidRPr="0010446A">
          <w:rPr>
            <w:rStyle w:val="Hyperlink"/>
            <w:b w:val="0"/>
            <w:noProof/>
          </w:rPr>
          <w:t>I</w:t>
        </w:r>
        <w:r w:rsidRPr="0010446A">
          <w:rPr>
            <w:rStyle w:val="Hyperlink"/>
            <w:b w:val="0"/>
            <w:noProof/>
            <w:lang w:val="en-GB" w:eastAsia="en-GB"/>
          </w:rPr>
          <w:t>ncome and Expenditure Account</w:t>
        </w:r>
        <w:r w:rsidRPr="0010446A">
          <w:rPr>
            <w:b w:val="0"/>
            <w:noProof/>
            <w:webHidden/>
          </w:rPr>
          <w:tab/>
        </w:r>
        <w:r w:rsidRPr="0010446A">
          <w:rPr>
            <w:b w:val="0"/>
            <w:noProof/>
            <w:webHidden/>
          </w:rPr>
          <w:fldChar w:fldCharType="begin"/>
        </w:r>
        <w:r w:rsidRPr="0010446A">
          <w:rPr>
            <w:b w:val="0"/>
            <w:noProof/>
            <w:webHidden/>
          </w:rPr>
          <w:instrText xml:space="preserve"> PAGEREF _Toc335983436 \h </w:instrText>
        </w:r>
        <w:r w:rsidR="00835188" w:rsidRPr="0010446A">
          <w:rPr>
            <w:b w:val="0"/>
            <w:noProof/>
          </w:rPr>
        </w:r>
        <w:r w:rsidRPr="0010446A">
          <w:rPr>
            <w:b w:val="0"/>
            <w:noProof/>
            <w:webHidden/>
          </w:rPr>
          <w:fldChar w:fldCharType="separate"/>
        </w:r>
        <w:r w:rsidR="0010446A">
          <w:rPr>
            <w:b w:val="0"/>
            <w:noProof/>
            <w:webHidden/>
          </w:rPr>
          <w:t>47</w:t>
        </w:r>
        <w:r w:rsidRPr="0010446A">
          <w:rPr>
            <w:b w:val="0"/>
            <w:noProof/>
            <w:webHidden/>
          </w:rPr>
          <w:fldChar w:fldCharType="end"/>
        </w:r>
      </w:hyperlink>
    </w:p>
    <w:p w14:paraId="1A3A427E" w14:textId="77777777" w:rsidR="009345A3" w:rsidRPr="0010446A" w:rsidRDefault="009345A3">
      <w:pPr>
        <w:pStyle w:val="TOC1"/>
        <w:tabs>
          <w:tab w:val="right" w:leader="dot" w:pos="8630"/>
        </w:tabs>
        <w:rPr>
          <w:rFonts w:ascii="Times New Roman" w:hAnsi="Times New Roman"/>
          <w:b w:val="0"/>
          <w:noProof/>
          <w:sz w:val="24"/>
          <w:lang w:val="en-GB" w:eastAsia="en-GB"/>
        </w:rPr>
      </w:pPr>
      <w:hyperlink w:anchor="_Toc335983437" w:history="1">
        <w:r w:rsidR="00BB25B2" w:rsidRPr="0010446A">
          <w:rPr>
            <w:rStyle w:val="Hyperlink"/>
            <w:b w:val="0"/>
            <w:noProof/>
            <w:lang w:val="en-GB" w:eastAsia="en-GB"/>
          </w:rPr>
          <w:t>Balance Sheet</w:t>
        </w:r>
        <w:r w:rsidRPr="0010446A">
          <w:rPr>
            <w:b w:val="0"/>
            <w:noProof/>
            <w:webHidden/>
          </w:rPr>
          <w:tab/>
        </w:r>
        <w:r w:rsidRPr="0010446A">
          <w:rPr>
            <w:b w:val="0"/>
            <w:noProof/>
            <w:webHidden/>
          </w:rPr>
          <w:fldChar w:fldCharType="begin"/>
        </w:r>
        <w:r w:rsidRPr="0010446A">
          <w:rPr>
            <w:b w:val="0"/>
            <w:noProof/>
            <w:webHidden/>
          </w:rPr>
          <w:instrText xml:space="preserve"> PAGEREF _Toc335983437 \h </w:instrText>
        </w:r>
        <w:r w:rsidR="00835188" w:rsidRPr="0010446A">
          <w:rPr>
            <w:b w:val="0"/>
            <w:noProof/>
          </w:rPr>
        </w:r>
        <w:r w:rsidRPr="0010446A">
          <w:rPr>
            <w:b w:val="0"/>
            <w:noProof/>
            <w:webHidden/>
          </w:rPr>
          <w:fldChar w:fldCharType="separate"/>
        </w:r>
        <w:r w:rsidR="0010446A">
          <w:rPr>
            <w:b w:val="0"/>
            <w:noProof/>
            <w:webHidden/>
          </w:rPr>
          <w:t>48</w:t>
        </w:r>
        <w:r w:rsidRPr="0010446A">
          <w:rPr>
            <w:b w:val="0"/>
            <w:noProof/>
            <w:webHidden/>
          </w:rPr>
          <w:fldChar w:fldCharType="end"/>
        </w:r>
      </w:hyperlink>
    </w:p>
    <w:p w14:paraId="48158E5A" w14:textId="77777777" w:rsidR="009345A3" w:rsidRPr="0010446A" w:rsidRDefault="009345A3">
      <w:pPr>
        <w:pStyle w:val="TOC1"/>
        <w:tabs>
          <w:tab w:val="right" w:leader="dot" w:pos="8630"/>
        </w:tabs>
        <w:rPr>
          <w:rFonts w:ascii="Times New Roman" w:hAnsi="Times New Roman"/>
          <w:b w:val="0"/>
          <w:noProof/>
          <w:sz w:val="24"/>
          <w:lang w:val="en-GB" w:eastAsia="en-GB"/>
        </w:rPr>
      </w:pPr>
      <w:hyperlink w:anchor="_Toc335983438" w:history="1">
        <w:r w:rsidRPr="0010446A">
          <w:rPr>
            <w:rStyle w:val="Hyperlink"/>
            <w:b w:val="0"/>
            <w:noProof/>
            <w:lang w:val="en-GB" w:eastAsia="en-GB"/>
          </w:rPr>
          <w:t>Cash Flow Statement</w:t>
        </w:r>
        <w:r w:rsidRPr="0010446A">
          <w:rPr>
            <w:b w:val="0"/>
            <w:noProof/>
            <w:webHidden/>
          </w:rPr>
          <w:tab/>
        </w:r>
        <w:r w:rsidRPr="0010446A">
          <w:rPr>
            <w:b w:val="0"/>
            <w:noProof/>
            <w:webHidden/>
          </w:rPr>
          <w:fldChar w:fldCharType="begin"/>
        </w:r>
        <w:r w:rsidRPr="0010446A">
          <w:rPr>
            <w:b w:val="0"/>
            <w:noProof/>
            <w:webHidden/>
          </w:rPr>
          <w:instrText xml:space="preserve"> PAGEREF _Toc335983438 \h </w:instrText>
        </w:r>
        <w:r w:rsidR="00835188" w:rsidRPr="0010446A">
          <w:rPr>
            <w:b w:val="0"/>
            <w:noProof/>
          </w:rPr>
        </w:r>
        <w:r w:rsidRPr="0010446A">
          <w:rPr>
            <w:b w:val="0"/>
            <w:noProof/>
            <w:webHidden/>
          </w:rPr>
          <w:fldChar w:fldCharType="separate"/>
        </w:r>
        <w:r w:rsidR="0010446A">
          <w:rPr>
            <w:b w:val="0"/>
            <w:noProof/>
            <w:webHidden/>
          </w:rPr>
          <w:t>49</w:t>
        </w:r>
        <w:r w:rsidRPr="0010446A">
          <w:rPr>
            <w:b w:val="0"/>
            <w:noProof/>
            <w:webHidden/>
          </w:rPr>
          <w:fldChar w:fldCharType="end"/>
        </w:r>
      </w:hyperlink>
    </w:p>
    <w:p w14:paraId="7E02DD78" w14:textId="77777777" w:rsidR="009345A3" w:rsidRPr="0010446A" w:rsidRDefault="009345A3">
      <w:pPr>
        <w:pStyle w:val="TOC1"/>
        <w:tabs>
          <w:tab w:val="right" w:leader="dot" w:pos="8630"/>
        </w:tabs>
        <w:rPr>
          <w:rFonts w:ascii="Times New Roman" w:hAnsi="Times New Roman"/>
          <w:b w:val="0"/>
          <w:noProof/>
          <w:sz w:val="24"/>
          <w:lang w:val="en-GB" w:eastAsia="en-GB"/>
        </w:rPr>
      </w:pPr>
      <w:hyperlink w:anchor="_Toc335983439" w:history="1">
        <w:r w:rsidRPr="0010446A">
          <w:rPr>
            <w:rStyle w:val="Hyperlink"/>
            <w:b w:val="0"/>
            <w:noProof/>
            <w:lang w:val="en-GB" w:eastAsia="en-GB"/>
          </w:rPr>
          <w:t>Notes to Financial Statements</w:t>
        </w:r>
        <w:r w:rsidRPr="0010446A">
          <w:rPr>
            <w:b w:val="0"/>
            <w:noProof/>
            <w:webHidden/>
          </w:rPr>
          <w:tab/>
        </w:r>
        <w:r w:rsidRPr="0010446A">
          <w:rPr>
            <w:b w:val="0"/>
            <w:noProof/>
            <w:webHidden/>
          </w:rPr>
          <w:fldChar w:fldCharType="begin"/>
        </w:r>
        <w:r w:rsidRPr="0010446A">
          <w:rPr>
            <w:b w:val="0"/>
            <w:noProof/>
            <w:webHidden/>
          </w:rPr>
          <w:instrText xml:space="preserve"> PAGEREF _Toc335983439 \h </w:instrText>
        </w:r>
        <w:r w:rsidR="00835188" w:rsidRPr="0010446A">
          <w:rPr>
            <w:b w:val="0"/>
            <w:noProof/>
          </w:rPr>
        </w:r>
        <w:r w:rsidRPr="0010446A">
          <w:rPr>
            <w:b w:val="0"/>
            <w:noProof/>
            <w:webHidden/>
          </w:rPr>
          <w:fldChar w:fldCharType="separate"/>
        </w:r>
        <w:r w:rsidR="0010446A">
          <w:rPr>
            <w:b w:val="0"/>
            <w:noProof/>
            <w:webHidden/>
          </w:rPr>
          <w:t>50</w:t>
        </w:r>
        <w:r w:rsidRPr="0010446A">
          <w:rPr>
            <w:b w:val="0"/>
            <w:noProof/>
            <w:webHidden/>
          </w:rPr>
          <w:fldChar w:fldCharType="end"/>
        </w:r>
      </w:hyperlink>
    </w:p>
    <w:p w14:paraId="4EF74F6F" w14:textId="77777777" w:rsidR="00BB25B2" w:rsidRDefault="000230E8" w:rsidP="00BB25B2">
      <w:r w:rsidRPr="0010446A">
        <w:fldChar w:fldCharType="end"/>
      </w:r>
      <w:bookmarkStart w:id="187" w:name="_Toc335828907"/>
      <w:bookmarkStart w:id="188" w:name="_Toc335829645"/>
      <w:bookmarkStart w:id="189" w:name="_Toc335836370"/>
      <w:bookmarkStart w:id="190" w:name="_Toc335983430"/>
    </w:p>
    <w:p w14:paraId="00AF457F" w14:textId="77777777" w:rsidR="000230E8" w:rsidRDefault="00BB25B2" w:rsidP="00BB25B2">
      <w:pPr>
        <w:pStyle w:val="Heading1"/>
      </w:pPr>
      <w:r>
        <w:br w:type="page"/>
      </w:r>
      <w:bookmarkStart w:id="191" w:name="_Toc335986599"/>
      <w:r w:rsidR="000230E8" w:rsidRPr="00300E3E">
        <w:lastRenderedPageBreak/>
        <w:t>Authority Members and other Information</w:t>
      </w:r>
      <w:bookmarkEnd w:id="187"/>
      <w:bookmarkEnd w:id="188"/>
      <w:bookmarkEnd w:id="189"/>
      <w:bookmarkEnd w:id="190"/>
      <w:bookmarkEnd w:id="191"/>
    </w:p>
    <w:p w14:paraId="5F09C964" w14:textId="77777777" w:rsidR="000230E8" w:rsidRDefault="000230E8" w:rsidP="000230E8">
      <w:pPr>
        <w:pStyle w:val="Heading2"/>
      </w:pPr>
      <w:bookmarkStart w:id="192" w:name="_Toc335836371"/>
      <w:r>
        <w:t>From January 1st – December 31st, 2011</w:t>
      </w:r>
      <w:bookmarkEnd w:id="19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2898"/>
        <w:gridCol w:w="1910"/>
        <w:gridCol w:w="1905"/>
        <w:gridCol w:w="1911"/>
      </w:tblGrid>
      <w:tr w:rsidR="000230E8" w:rsidRPr="00231311" w14:paraId="4AD66066" w14:textId="77777777" w:rsidTr="00A51C1B">
        <w:trPr>
          <w:tblHeader/>
        </w:trPr>
        <w:tc>
          <w:tcPr>
            <w:tcW w:w="2988" w:type="dxa"/>
            <w:shd w:val="clear" w:color="auto" w:fill="auto"/>
          </w:tcPr>
          <w:p w14:paraId="157FDA46" w14:textId="77777777" w:rsidR="000230E8" w:rsidRPr="00231311" w:rsidRDefault="000230E8" w:rsidP="00A51C1B">
            <w:pPr>
              <w:pStyle w:val="TableHead"/>
              <w:spacing w:line="294" w:lineRule="exact"/>
            </w:pPr>
          </w:p>
        </w:tc>
        <w:tc>
          <w:tcPr>
            <w:tcW w:w="1956" w:type="dxa"/>
            <w:shd w:val="clear" w:color="auto" w:fill="auto"/>
            <w:vAlign w:val="center"/>
          </w:tcPr>
          <w:p w14:paraId="64E55F4F" w14:textId="77777777" w:rsidR="000230E8" w:rsidRPr="00D16AEC" w:rsidRDefault="000230E8" w:rsidP="00A51C1B">
            <w:pPr>
              <w:pStyle w:val="TableHead"/>
              <w:spacing w:line="294" w:lineRule="exact"/>
            </w:pPr>
            <w:r w:rsidRPr="00D16AEC">
              <w:t>Number of meetings attended during this period</w:t>
            </w:r>
          </w:p>
        </w:tc>
        <w:tc>
          <w:tcPr>
            <w:tcW w:w="1956" w:type="dxa"/>
            <w:shd w:val="clear" w:color="auto" w:fill="auto"/>
            <w:vAlign w:val="center"/>
          </w:tcPr>
          <w:p w14:paraId="4E863629" w14:textId="77777777" w:rsidR="000230E8" w:rsidRPr="00755D9C" w:rsidRDefault="000230E8" w:rsidP="00A51C1B">
            <w:pPr>
              <w:pStyle w:val="TableHead"/>
              <w:spacing w:line="294" w:lineRule="exact"/>
            </w:pPr>
            <w:r w:rsidRPr="00755D9C">
              <w:t>Fees</w:t>
            </w:r>
          </w:p>
        </w:tc>
        <w:tc>
          <w:tcPr>
            <w:tcW w:w="1956" w:type="dxa"/>
            <w:shd w:val="clear" w:color="auto" w:fill="auto"/>
            <w:vAlign w:val="center"/>
          </w:tcPr>
          <w:p w14:paraId="0DD8A248" w14:textId="77777777" w:rsidR="000230E8" w:rsidRPr="00755D9C" w:rsidRDefault="000230E8" w:rsidP="00A51C1B">
            <w:pPr>
              <w:pStyle w:val="TableHead"/>
              <w:spacing w:line="294" w:lineRule="exact"/>
            </w:pPr>
            <w:r w:rsidRPr="00755D9C">
              <w:t>Expenses</w:t>
            </w:r>
          </w:p>
        </w:tc>
      </w:tr>
      <w:tr w:rsidR="000230E8" w:rsidRPr="00231311" w14:paraId="56FEA209" w14:textId="77777777" w:rsidTr="00A51C1B">
        <w:tc>
          <w:tcPr>
            <w:tcW w:w="2988" w:type="dxa"/>
            <w:shd w:val="clear" w:color="auto" w:fill="auto"/>
          </w:tcPr>
          <w:p w14:paraId="1D3D0465" w14:textId="77777777" w:rsidR="000230E8" w:rsidRPr="00A51C1B" w:rsidRDefault="000230E8" w:rsidP="000230E8">
            <w:pPr>
              <w:pStyle w:val="TableRowHead"/>
              <w:rPr>
                <w:rFonts w:ascii="Gill Sans" w:hAnsi="Gill Sans"/>
              </w:rPr>
            </w:pPr>
            <w:r w:rsidRPr="00A51C1B">
              <w:rPr>
                <w:rFonts w:ascii="Gill Sans" w:hAnsi="Gill Sans"/>
              </w:rPr>
              <w:t xml:space="preserve">Mr. Peter Mc Kevitt, Chairman </w:t>
            </w:r>
          </w:p>
        </w:tc>
        <w:tc>
          <w:tcPr>
            <w:tcW w:w="1956" w:type="dxa"/>
            <w:shd w:val="clear" w:color="auto" w:fill="auto"/>
          </w:tcPr>
          <w:p w14:paraId="48DE5A47" w14:textId="77777777" w:rsidR="000230E8" w:rsidRPr="00402DD7" w:rsidRDefault="000230E8" w:rsidP="00A51C1B">
            <w:pPr>
              <w:pStyle w:val="TableCell"/>
              <w:spacing w:line="294" w:lineRule="exact"/>
            </w:pPr>
            <w:r>
              <w:t>10/10</w:t>
            </w:r>
          </w:p>
        </w:tc>
        <w:tc>
          <w:tcPr>
            <w:tcW w:w="1956" w:type="dxa"/>
            <w:shd w:val="clear" w:color="auto" w:fill="auto"/>
          </w:tcPr>
          <w:p w14:paraId="153A297E" w14:textId="77777777" w:rsidR="000230E8" w:rsidRPr="00D16AEC" w:rsidRDefault="000230E8" w:rsidP="00A51C1B">
            <w:pPr>
              <w:pStyle w:val="TableCell"/>
              <w:spacing w:line="294" w:lineRule="exact"/>
            </w:pPr>
            <w:r w:rsidRPr="00A51C1B">
              <w:rPr>
                <w:rFonts w:ascii="Arial" w:hAnsi="Arial"/>
              </w:rPr>
              <w:t>€</w:t>
            </w:r>
            <w:r w:rsidRPr="00A51C1B">
              <w:rPr>
                <w:rFonts w:cs="Gill Sans"/>
              </w:rPr>
              <w:t>8,978.00</w:t>
            </w:r>
          </w:p>
        </w:tc>
        <w:tc>
          <w:tcPr>
            <w:tcW w:w="1956" w:type="dxa"/>
            <w:shd w:val="clear" w:color="auto" w:fill="auto"/>
          </w:tcPr>
          <w:p w14:paraId="73567620" w14:textId="77777777" w:rsidR="000230E8" w:rsidRPr="006849E7" w:rsidRDefault="000230E8" w:rsidP="00A51C1B">
            <w:pPr>
              <w:pStyle w:val="TableCell"/>
              <w:spacing w:line="294" w:lineRule="exact"/>
            </w:pPr>
            <w:r w:rsidRPr="00A51C1B">
              <w:rPr>
                <w:rFonts w:ascii="Arial" w:hAnsi="Arial"/>
              </w:rPr>
              <w:t>€</w:t>
            </w:r>
            <w:r>
              <w:t>761.80</w:t>
            </w:r>
          </w:p>
        </w:tc>
      </w:tr>
      <w:tr w:rsidR="000230E8" w:rsidRPr="00231311" w14:paraId="4CBDC38E" w14:textId="77777777" w:rsidTr="00A51C1B">
        <w:tc>
          <w:tcPr>
            <w:tcW w:w="2988" w:type="dxa"/>
            <w:shd w:val="clear" w:color="auto" w:fill="auto"/>
          </w:tcPr>
          <w:p w14:paraId="019B0937" w14:textId="77777777" w:rsidR="000230E8" w:rsidRPr="00A51C1B" w:rsidRDefault="000230E8" w:rsidP="000230E8">
            <w:pPr>
              <w:pStyle w:val="TableRowHead"/>
              <w:rPr>
                <w:rFonts w:ascii="Gill Sans" w:hAnsi="Gill Sans"/>
              </w:rPr>
            </w:pPr>
            <w:r w:rsidRPr="00A51C1B">
              <w:rPr>
                <w:rFonts w:ascii="Gill Sans" w:hAnsi="Gill Sans"/>
              </w:rPr>
              <w:t xml:space="preserve">Dr. Tony Bates </w:t>
            </w:r>
            <w:r w:rsidRPr="00A51C1B">
              <w:rPr>
                <w:rFonts w:ascii="Gill Sans" w:hAnsi="Gill Sans"/>
              </w:rPr>
              <w:tab/>
            </w:r>
          </w:p>
        </w:tc>
        <w:tc>
          <w:tcPr>
            <w:tcW w:w="1956" w:type="dxa"/>
            <w:shd w:val="clear" w:color="auto" w:fill="auto"/>
          </w:tcPr>
          <w:p w14:paraId="33BD4392" w14:textId="77777777" w:rsidR="000230E8" w:rsidRPr="00402DD7" w:rsidRDefault="000230E8" w:rsidP="00A51C1B">
            <w:pPr>
              <w:pStyle w:val="TableCell"/>
              <w:spacing w:line="294" w:lineRule="exact"/>
            </w:pPr>
            <w:r>
              <w:t>4/10</w:t>
            </w:r>
          </w:p>
        </w:tc>
        <w:tc>
          <w:tcPr>
            <w:tcW w:w="1956" w:type="dxa"/>
            <w:shd w:val="clear" w:color="auto" w:fill="auto"/>
          </w:tcPr>
          <w:p w14:paraId="7ED6018B" w14:textId="77777777" w:rsidR="000230E8" w:rsidRPr="004F5A22" w:rsidRDefault="000230E8" w:rsidP="00A51C1B">
            <w:pPr>
              <w:pStyle w:val="TableCell"/>
              <w:spacing w:line="294" w:lineRule="exact"/>
            </w:pPr>
            <w:r w:rsidRPr="00A51C1B">
              <w:rPr>
                <w:rFonts w:ascii="Arial" w:hAnsi="Arial"/>
              </w:rPr>
              <w:t>€</w:t>
            </w:r>
            <w:r w:rsidRPr="00A51C1B">
              <w:rPr>
                <w:rFonts w:cs="Gill Sans"/>
              </w:rPr>
              <w:t>5,985.00</w:t>
            </w:r>
          </w:p>
        </w:tc>
        <w:tc>
          <w:tcPr>
            <w:tcW w:w="1956" w:type="dxa"/>
            <w:shd w:val="clear" w:color="auto" w:fill="auto"/>
          </w:tcPr>
          <w:p w14:paraId="73061E1A" w14:textId="77777777" w:rsidR="000230E8" w:rsidRPr="004F5A22" w:rsidRDefault="000230E8" w:rsidP="00A51C1B">
            <w:pPr>
              <w:pStyle w:val="TableCell"/>
              <w:spacing w:line="294" w:lineRule="exact"/>
            </w:pPr>
          </w:p>
        </w:tc>
      </w:tr>
      <w:tr w:rsidR="000230E8" w:rsidRPr="00231311" w14:paraId="56F00328" w14:textId="77777777" w:rsidTr="00A51C1B">
        <w:tc>
          <w:tcPr>
            <w:tcW w:w="2988" w:type="dxa"/>
            <w:shd w:val="clear" w:color="auto" w:fill="auto"/>
          </w:tcPr>
          <w:p w14:paraId="2703FF05" w14:textId="77777777" w:rsidR="000230E8" w:rsidRPr="00A51C1B" w:rsidRDefault="000230E8" w:rsidP="000230E8">
            <w:pPr>
              <w:pStyle w:val="TableRowHead"/>
              <w:rPr>
                <w:rFonts w:ascii="Gill Sans" w:hAnsi="Gill Sans"/>
              </w:rPr>
            </w:pPr>
            <w:r w:rsidRPr="00A51C1B">
              <w:rPr>
                <w:rFonts w:ascii="Gill Sans" w:hAnsi="Gill Sans"/>
              </w:rPr>
              <w:t xml:space="preserve">Ms. Caroline Burrell </w:t>
            </w:r>
          </w:p>
        </w:tc>
        <w:tc>
          <w:tcPr>
            <w:tcW w:w="1956" w:type="dxa"/>
            <w:shd w:val="clear" w:color="auto" w:fill="auto"/>
          </w:tcPr>
          <w:p w14:paraId="5F5B33E3" w14:textId="77777777" w:rsidR="000230E8" w:rsidRPr="00402DD7" w:rsidRDefault="000230E8" w:rsidP="00A51C1B">
            <w:pPr>
              <w:pStyle w:val="TableCell"/>
              <w:spacing w:line="294" w:lineRule="exact"/>
            </w:pPr>
            <w:r>
              <w:t>8/10</w:t>
            </w:r>
          </w:p>
        </w:tc>
        <w:tc>
          <w:tcPr>
            <w:tcW w:w="1956" w:type="dxa"/>
            <w:shd w:val="clear" w:color="auto" w:fill="auto"/>
          </w:tcPr>
          <w:p w14:paraId="48E279D6" w14:textId="77777777" w:rsidR="000230E8" w:rsidRPr="006849E7" w:rsidRDefault="000230E8" w:rsidP="00A51C1B">
            <w:pPr>
              <w:pStyle w:val="TableCell"/>
              <w:spacing w:line="294" w:lineRule="exact"/>
            </w:pPr>
            <w:r w:rsidRPr="00A51C1B">
              <w:rPr>
                <w:rFonts w:ascii="Arial" w:hAnsi="Arial"/>
              </w:rPr>
              <w:t>€</w:t>
            </w:r>
            <w:r w:rsidRPr="00A51C1B">
              <w:rPr>
                <w:rFonts w:cs="Gill Sans"/>
              </w:rPr>
              <w:t>5,985.00</w:t>
            </w:r>
          </w:p>
        </w:tc>
        <w:tc>
          <w:tcPr>
            <w:tcW w:w="1956" w:type="dxa"/>
            <w:shd w:val="clear" w:color="auto" w:fill="auto"/>
          </w:tcPr>
          <w:p w14:paraId="3368CF93" w14:textId="77777777" w:rsidR="000230E8" w:rsidRPr="006849E7" w:rsidRDefault="000230E8" w:rsidP="00A51C1B">
            <w:pPr>
              <w:pStyle w:val="TableCell"/>
              <w:spacing w:line="294" w:lineRule="exact"/>
            </w:pPr>
            <w:r w:rsidRPr="00A51C1B">
              <w:rPr>
                <w:rFonts w:ascii="Arial" w:hAnsi="Arial"/>
              </w:rPr>
              <w:t>€</w:t>
            </w:r>
            <w:r w:rsidRPr="00A51C1B">
              <w:rPr>
                <w:rFonts w:cs="Gill Sans"/>
              </w:rPr>
              <w:t>312.28</w:t>
            </w:r>
          </w:p>
        </w:tc>
      </w:tr>
      <w:tr w:rsidR="000230E8" w:rsidRPr="00231311" w14:paraId="2D8CA3BC" w14:textId="77777777" w:rsidTr="00A51C1B">
        <w:tc>
          <w:tcPr>
            <w:tcW w:w="2988" w:type="dxa"/>
            <w:shd w:val="clear" w:color="auto" w:fill="auto"/>
          </w:tcPr>
          <w:p w14:paraId="50B5FDAE" w14:textId="77777777" w:rsidR="000230E8" w:rsidRPr="00A51C1B" w:rsidRDefault="000230E8" w:rsidP="000230E8">
            <w:pPr>
              <w:pStyle w:val="TableRowHead"/>
              <w:rPr>
                <w:rFonts w:ascii="Gill Sans" w:hAnsi="Gill Sans"/>
              </w:rPr>
            </w:pPr>
            <w:r w:rsidRPr="00A51C1B">
              <w:rPr>
                <w:rFonts w:ascii="Gill Sans" w:hAnsi="Gill Sans"/>
              </w:rPr>
              <w:t xml:space="preserve">Mr. Frank </w:t>
            </w:r>
            <w:proofErr w:type="spellStart"/>
            <w:r w:rsidRPr="00A51C1B">
              <w:rPr>
                <w:rFonts w:ascii="Gill Sans" w:hAnsi="Gill Sans"/>
              </w:rPr>
              <w:t>Cunneen</w:t>
            </w:r>
            <w:proofErr w:type="spellEnd"/>
            <w:r w:rsidRPr="00A51C1B">
              <w:rPr>
                <w:rFonts w:ascii="Gill Sans" w:hAnsi="Gill Sans"/>
              </w:rPr>
              <w:t xml:space="preserve"> </w:t>
            </w:r>
          </w:p>
        </w:tc>
        <w:tc>
          <w:tcPr>
            <w:tcW w:w="1956" w:type="dxa"/>
            <w:shd w:val="clear" w:color="auto" w:fill="auto"/>
          </w:tcPr>
          <w:p w14:paraId="70D1E87B" w14:textId="77777777" w:rsidR="000230E8" w:rsidRPr="00402DD7" w:rsidRDefault="000230E8" w:rsidP="00A51C1B">
            <w:pPr>
              <w:pStyle w:val="TableCell"/>
              <w:spacing w:line="294" w:lineRule="exact"/>
            </w:pPr>
            <w:r>
              <w:t>8/10</w:t>
            </w:r>
          </w:p>
        </w:tc>
        <w:tc>
          <w:tcPr>
            <w:tcW w:w="1956" w:type="dxa"/>
            <w:shd w:val="clear" w:color="auto" w:fill="auto"/>
          </w:tcPr>
          <w:p w14:paraId="3FD0A295" w14:textId="77777777" w:rsidR="000230E8" w:rsidRPr="006849E7" w:rsidRDefault="000230E8" w:rsidP="00A51C1B">
            <w:pPr>
              <w:pStyle w:val="TableCell"/>
              <w:spacing w:line="294" w:lineRule="exact"/>
            </w:pPr>
            <w:r w:rsidRPr="00A51C1B">
              <w:rPr>
                <w:rFonts w:ascii="Arial" w:hAnsi="Arial"/>
              </w:rPr>
              <w:t>€</w:t>
            </w:r>
            <w:r w:rsidRPr="00A51C1B">
              <w:rPr>
                <w:rFonts w:cs="Gill Sans"/>
              </w:rPr>
              <w:t>5,985.00</w:t>
            </w:r>
          </w:p>
        </w:tc>
        <w:tc>
          <w:tcPr>
            <w:tcW w:w="1956" w:type="dxa"/>
            <w:shd w:val="clear" w:color="auto" w:fill="auto"/>
          </w:tcPr>
          <w:p w14:paraId="41F9F72F" w14:textId="77777777" w:rsidR="000230E8" w:rsidRDefault="000230E8" w:rsidP="00A51C1B">
            <w:pPr>
              <w:pStyle w:val="TableCell"/>
              <w:spacing w:line="294" w:lineRule="exact"/>
            </w:pPr>
          </w:p>
        </w:tc>
      </w:tr>
      <w:tr w:rsidR="000230E8" w:rsidRPr="00231311" w14:paraId="55672CDD" w14:textId="77777777" w:rsidTr="00A51C1B">
        <w:tc>
          <w:tcPr>
            <w:tcW w:w="2988" w:type="dxa"/>
            <w:shd w:val="clear" w:color="auto" w:fill="auto"/>
          </w:tcPr>
          <w:p w14:paraId="07723F16" w14:textId="77777777" w:rsidR="000230E8" w:rsidRPr="00A51C1B" w:rsidRDefault="000230E8" w:rsidP="000230E8">
            <w:pPr>
              <w:pStyle w:val="TableRowHead"/>
              <w:rPr>
                <w:rFonts w:ascii="Gill Sans" w:hAnsi="Gill Sans"/>
              </w:rPr>
            </w:pPr>
            <w:r w:rsidRPr="00A51C1B">
              <w:rPr>
                <w:rFonts w:ascii="Gill Sans" w:hAnsi="Gill Sans"/>
              </w:rPr>
              <w:t xml:space="preserve">Ms. Tara Cunningham </w:t>
            </w:r>
          </w:p>
        </w:tc>
        <w:tc>
          <w:tcPr>
            <w:tcW w:w="1956" w:type="dxa"/>
            <w:shd w:val="clear" w:color="auto" w:fill="auto"/>
          </w:tcPr>
          <w:p w14:paraId="44EAF606" w14:textId="77777777" w:rsidR="000230E8" w:rsidRPr="00402DD7" w:rsidRDefault="000230E8" w:rsidP="00A51C1B">
            <w:pPr>
              <w:pStyle w:val="TableCell"/>
              <w:spacing w:line="294" w:lineRule="exact"/>
            </w:pPr>
            <w:r>
              <w:t>4/10*</w:t>
            </w:r>
          </w:p>
        </w:tc>
        <w:tc>
          <w:tcPr>
            <w:tcW w:w="1956" w:type="dxa"/>
            <w:shd w:val="clear" w:color="auto" w:fill="auto"/>
          </w:tcPr>
          <w:p w14:paraId="04ED2584" w14:textId="77777777" w:rsidR="000230E8" w:rsidRPr="006849E7" w:rsidRDefault="000230E8" w:rsidP="00A51C1B">
            <w:pPr>
              <w:pStyle w:val="TableCell"/>
              <w:spacing w:line="294" w:lineRule="exact"/>
            </w:pPr>
            <w:r w:rsidRPr="00A51C1B">
              <w:rPr>
                <w:rFonts w:ascii="Arial" w:hAnsi="Arial"/>
              </w:rPr>
              <w:t>€</w:t>
            </w:r>
            <w:r w:rsidRPr="00A51C1B">
              <w:rPr>
                <w:rFonts w:cs="Gill Sans"/>
              </w:rPr>
              <w:t>5,985.00</w:t>
            </w:r>
          </w:p>
        </w:tc>
        <w:tc>
          <w:tcPr>
            <w:tcW w:w="1956" w:type="dxa"/>
            <w:shd w:val="clear" w:color="auto" w:fill="auto"/>
          </w:tcPr>
          <w:p w14:paraId="18C4EA8F" w14:textId="77777777" w:rsidR="000230E8" w:rsidRPr="006849E7" w:rsidRDefault="000230E8" w:rsidP="00A51C1B">
            <w:pPr>
              <w:pStyle w:val="TableCell"/>
              <w:spacing w:line="294" w:lineRule="exact"/>
            </w:pPr>
            <w:r w:rsidRPr="00A51C1B">
              <w:rPr>
                <w:rFonts w:ascii="Arial" w:hAnsi="Arial"/>
              </w:rPr>
              <w:t>€</w:t>
            </w:r>
            <w:r w:rsidRPr="00A51C1B">
              <w:rPr>
                <w:rFonts w:cs="Gill Sans"/>
              </w:rPr>
              <w:t>1,489.79</w:t>
            </w:r>
          </w:p>
        </w:tc>
      </w:tr>
      <w:tr w:rsidR="000230E8" w:rsidRPr="00231311" w14:paraId="7D8D2504" w14:textId="77777777" w:rsidTr="00A51C1B">
        <w:tc>
          <w:tcPr>
            <w:tcW w:w="2988" w:type="dxa"/>
            <w:shd w:val="clear" w:color="auto" w:fill="auto"/>
          </w:tcPr>
          <w:p w14:paraId="72310DF9" w14:textId="77777777" w:rsidR="000230E8" w:rsidRPr="00A51C1B" w:rsidRDefault="000230E8" w:rsidP="000230E8">
            <w:pPr>
              <w:pStyle w:val="TableRowHead"/>
              <w:rPr>
                <w:rFonts w:ascii="Gill Sans" w:hAnsi="Gill Sans"/>
              </w:rPr>
            </w:pPr>
            <w:r w:rsidRPr="00A51C1B">
              <w:rPr>
                <w:rFonts w:ascii="Gill Sans" w:hAnsi="Gill Sans"/>
              </w:rPr>
              <w:t xml:space="preserve">Ms. Fiona Duignan </w:t>
            </w:r>
          </w:p>
        </w:tc>
        <w:tc>
          <w:tcPr>
            <w:tcW w:w="1956" w:type="dxa"/>
            <w:shd w:val="clear" w:color="auto" w:fill="auto"/>
          </w:tcPr>
          <w:p w14:paraId="5EF1F4AE" w14:textId="77777777" w:rsidR="000230E8" w:rsidRPr="00402DD7" w:rsidRDefault="000230E8" w:rsidP="00A51C1B">
            <w:pPr>
              <w:pStyle w:val="TableCell"/>
              <w:spacing w:line="294" w:lineRule="exact"/>
            </w:pPr>
            <w:r>
              <w:t>2/10*</w:t>
            </w:r>
          </w:p>
        </w:tc>
        <w:tc>
          <w:tcPr>
            <w:tcW w:w="1956" w:type="dxa"/>
            <w:shd w:val="clear" w:color="auto" w:fill="auto"/>
          </w:tcPr>
          <w:p w14:paraId="03448E5B" w14:textId="77777777" w:rsidR="000230E8" w:rsidRPr="004F5A22" w:rsidRDefault="000230E8" w:rsidP="00A51C1B">
            <w:pPr>
              <w:pStyle w:val="TableCell"/>
              <w:spacing w:line="294" w:lineRule="exact"/>
            </w:pPr>
            <w:r w:rsidRPr="00A51C1B">
              <w:rPr>
                <w:rFonts w:ascii="Arial" w:hAnsi="Arial"/>
              </w:rPr>
              <w:t>€</w:t>
            </w:r>
            <w:r w:rsidRPr="00A51C1B">
              <w:rPr>
                <w:rFonts w:cs="Gill Sans"/>
              </w:rPr>
              <w:t>5,985.00</w:t>
            </w:r>
          </w:p>
        </w:tc>
        <w:tc>
          <w:tcPr>
            <w:tcW w:w="1956" w:type="dxa"/>
            <w:shd w:val="clear" w:color="auto" w:fill="auto"/>
          </w:tcPr>
          <w:p w14:paraId="7815F60C" w14:textId="77777777" w:rsidR="000230E8" w:rsidRPr="004F5A22" w:rsidRDefault="000230E8" w:rsidP="00A51C1B">
            <w:pPr>
              <w:pStyle w:val="TableCell"/>
              <w:spacing w:line="294" w:lineRule="exact"/>
            </w:pPr>
          </w:p>
        </w:tc>
      </w:tr>
      <w:tr w:rsidR="000230E8" w:rsidRPr="00231311" w14:paraId="4ACD5BBA" w14:textId="77777777" w:rsidTr="00A51C1B">
        <w:tc>
          <w:tcPr>
            <w:tcW w:w="2988" w:type="dxa"/>
            <w:shd w:val="clear" w:color="auto" w:fill="auto"/>
          </w:tcPr>
          <w:p w14:paraId="2AD2088F" w14:textId="77777777" w:rsidR="000230E8" w:rsidRPr="00A51C1B" w:rsidRDefault="000230E8" w:rsidP="000230E8">
            <w:pPr>
              <w:pStyle w:val="TableRowHead"/>
              <w:rPr>
                <w:rFonts w:ascii="Gill Sans" w:hAnsi="Gill Sans"/>
              </w:rPr>
            </w:pPr>
            <w:r w:rsidRPr="00A51C1B">
              <w:rPr>
                <w:rFonts w:ascii="Gill Sans" w:hAnsi="Gill Sans"/>
              </w:rPr>
              <w:t xml:space="preserve">Ms. Linda </w:t>
            </w:r>
            <w:proofErr w:type="spellStart"/>
            <w:r w:rsidRPr="00A51C1B">
              <w:rPr>
                <w:rFonts w:ascii="Gill Sans" w:hAnsi="Gill Sans"/>
              </w:rPr>
              <w:t>Grealy</w:t>
            </w:r>
            <w:proofErr w:type="spellEnd"/>
            <w:r w:rsidRPr="00A51C1B">
              <w:rPr>
                <w:rFonts w:ascii="Gill Sans" w:hAnsi="Gill Sans"/>
              </w:rPr>
              <w:t xml:space="preserve"> </w:t>
            </w:r>
          </w:p>
        </w:tc>
        <w:tc>
          <w:tcPr>
            <w:tcW w:w="1956" w:type="dxa"/>
            <w:shd w:val="clear" w:color="auto" w:fill="auto"/>
          </w:tcPr>
          <w:p w14:paraId="569F2466" w14:textId="77777777" w:rsidR="000230E8" w:rsidRPr="00402DD7" w:rsidRDefault="000230E8" w:rsidP="00A51C1B">
            <w:pPr>
              <w:pStyle w:val="TableCell"/>
              <w:spacing w:line="294" w:lineRule="exact"/>
            </w:pPr>
            <w:r>
              <w:t>4/10</w:t>
            </w:r>
          </w:p>
        </w:tc>
        <w:tc>
          <w:tcPr>
            <w:tcW w:w="1956" w:type="dxa"/>
            <w:shd w:val="clear" w:color="auto" w:fill="auto"/>
          </w:tcPr>
          <w:p w14:paraId="32443DB7" w14:textId="77777777" w:rsidR="000230E8" w:rsidRDefault="000230E8" w:rsidP="00A51C1B">
            <w:pPr>
              <w:pStyle w:val="TableCell"/>
              <w:spacing w:line="294" w:lineRule="exact"/>
            </w:pPr>
          </w:p>
        </w:tc>
        <w:tc>
          <w:tcPr>
            <w:tcW w:w="1956" w:type="dxa"/>
            <w:shd w:val="clear" w:color="auto" w:fill="auto"/>
          </w:tcPr>
          <w:p w14:paraId="7F005517" w14:textId="77777777" w:rsidR="000230E8" w:rsidRDefault="000230E8" w:rsidP="00A51C1B">
            <w:pPr>
              <w:pStyle w:val="TableCell"/>
              <w:spacing w:line="294" w:lineRule="exact"/>
            </w:pPr>
          </w:p>
        </w:tc>
      </w:tr>
      <w:tr w:rsidR="000230E8" w:rsidRPr="00231311" w14:paraId="548BD131" w14:textId="77777777" w:rsidTr="00A51C1B">
        <w:tc>
          <w:tcPr>
            <w:tcW w:w="2988" w:type="dxa"/>
            <w:shd w:val="clear" w:color="auto" w:fill="auto"/>
          </w:tcPr>
          <w:p w14:paraId="4344B886" w14:textId="77777777" w:rsidR="000230E8" w:rsidRPr="00A51C1B" w:rsidRDefault="000230E8" w:rsidP="000230E8">
            <w:pPr>
              <w:pStyle w:val="TableRowHead"/>
              <w:rPr>
                <w:rFonts w:ascii="Gill Sans" w:hAnsi="Gill Sans"/>
              </w:rPr>
            </w:pPr>
            <w:r w:rsidRPr="00A51C1B">
              <w:rPr>
                <w:rFonts w:ascii="Gill Sans" w:hAnsi="Gill Sans"/>
              </w:rPr>
              <w:t xml:space="preserve">Mr. Shane Hogan </w:t>
            </w:r>
          </w:p>
        </w:tc>
        <w:tc>
          <w:tcPr>
            <w:tcW w:w="1956" w:type="dxa"/>
            <w:shd w:val="clear" w:color="auto" w:fill="auto"/>
          </w:tcPr>
          <w:p w14:paraId="3E67D13C" w14:textId="77777777" w:rsidR="000230E8" w:rsidRPr="00402DD7" w:rsidRDefault="000230E8" w:rsidP="00A51C1B">
            <w:pPr>
              <w:pStyle w:val="TableCell"/>
              <w:spacing w:line="294" w:lineRule="exact"/>
            </w:pPr>
            <w:r>
              <w:t>10/10</w:t>
            </w:r>
          </w:p>
        </w:tc>
        <w:tc>
          <w:tcPr>
            <w:tcW w:w="1956" w:type="dxa"/>
            <w:shd w:val="clear" w:color="auto" w:fill="auto"/>
          </w:tcPr>
          <w:p w14:paraId="2FD2BB7F" w14:textId="77777777" w:rsidR="000230E8" w:rsidRPr="004F5A22" w:rsidRDefault="000230E8" w:rsidP="00A51C1B">
            <w:pPr>
              <w:pStyle w:val="TableCell"/>
              <w:spacing w:line="294" w:lineRule="exact"/>
            </w:pPr>
          </w:p>
        </w:tc>
        <w:tc>
          <w:tcPr>
            <w:tcW w:w="1956" w:type="dxa"/>
            <w:shd w:val="clear" w:color="auto" w:fill="auto"/>
          </w:tcPr>
          <w:p w14:paraId="426FC2AA" w14:textId="77777777" w:rsidR="000230E8" w:rsidRPr="004F5A22" w:rsidRDefault="000230E8" w:rsidP="00A51C1B">
            <w:pPr>
              <w:pStyle w:val="TableCell"/>
              <w:spacing w:line="294" w:lineRule="exact"/>
            </w:pPr>
          </w:p>
        </w:tc>
      </w:tr>
      <w:tr w:rsidR="000230E8" w:rsidRPr="00231311" w14:paraId="77F0333B" w14:textId="77777777" w:rsidTr="00A51C1B">
        <w:tc>
          <w:tcPr>
            <w:tcW w:w="2988" w:type="dxa"/>
            <w:shd w:val="clear" w:color="auto" w:fill="auto"/>
          </w:tcPr>
          <w:p w14:paraId="12E5320D" w14:textId="77777777" w:rsidR="000230E8" w:rsidRPr="00A51C1B" w:rsidRDefault="000230E8" w:rsidP="000230E8">
            <w:pPr>
              <w:pStyle w:val="TableRowHead"/>
              <w:rPr>
                <w:rFonts w:ascii="Gill Sans" w:hAnsi="Gill Sans"/>
              </w:rPr>
            </w:pPr>
            <w:r w:rsidRPr="00A51C1B">
              <w:rPr>
                <w:rFonts w:ascii="Gill Sans" w:hAnsi="Gill Sans"/>
              </w:rPr>
              <w:t xml:space="preserve">Mr. David Joyce </w:t>
            </w:r>
          </w:p>
        </w:tc>
        <w:tc>
          <w:tcPr>
            <w:tcW w:w="1956" w:type="dxa"/>
            <w:shd w:val="clear" w:color="auto" w:fill="auto"/>
          </w:tcPr>
          <w:p w14:paraId="7DBDC9C0" w14:textId="77777777" w:rsidR="000230E8" w:rsidRPr="00402DD7" w:rsidRDefault="000230E8" w:rsidP="00A51C1B">
            <w:pPr>
              <w:pStyle w:val="TableCell"/>
              <w:spacing w:line="294" w:lineRule="exact"/>
            </w:pPr>
            <w:r>
              <w:t>6/10</w:t>
            </w:r>
          </w:p>
        </w:tc>
        <w:tc>
          <w:tcPr>
            <w:tcW w:w="1956" w:type="dxa"/>
            <w:shd w:val="clear" w:color="auto" w:fill="auto"/>
          </w:tcPr>
          <w:p w14:paraId="74F1D151" w14:textId="77777777" w:rsidR="000230E8" w:rsidRPr="004F5A22" w:rsidRDefault="000230E8" w:rsidP="00A51C1B">
            <w:pPr>
              <w:pStyle w:val="TableCell"/>
              <w:spacing w:line="294" w:lineRule="exact"/>
            </w:pPr>
            <w:r w:rsidRPr="00A51C1B">
              <w:rPr>
                <w:rFonts w:ascii="Arial" w:hAnsi="Arial"/>
              </w:rPr>
              <w:t>€</w:t>
            </w:r>
            <w:r w:rsidRPr="00A51C1B">
              <w:rPr>
                <w:rFonts w:cs="Gill Sans"/>
              </w:rPr>
              <w:t>5,985.00</w:t>
            </w:r>
          </w:p>
        </w:tc>
        <w:tc>
          <w:tcPr>
            <w:tcW w:w="1956" w:type="dxa"/>
            <w:shd w:val="clear" w:color="auto" w:fill="auto"/>
          </w:tcPr>
          <w:p w14:paraId="7BF81951" w14:textId="77777777" w:rsidR="000230E8" w:rsidRPr="004F5A22" w:rsidRDefault="000230E8" w:rsidP="00A51C1B">
            <w:pPr>
              <w:pStyle w:val="TableCell"/>
              <w:spacing w:line="294" w:lineRule="exact"/>
            </w:pPr>
          </w:p>
        </w:tc>
      </w:tr>
      <w:tr w:rsidR="000230E8" w:rsidRPr="00231311" w14:paraId="5BEEF45D" w14:textId="77777777" w:rsidTr="00A51C1B">
        <w:tc>
          <w:tcPr>
            <w:tcW w:w="2988" w:type="dxa"/>
            <w:shd w:val="clear" w:color="auto" w:fill="auto"/>
          </w:tcPr>
          <w:p w14:paraId="54EA538C" w14:textId="77777777" w:rsidR="000230E8" w:rsidRPr="00A51C1B" w:rsidRDefault="000230E8" w:rsidP="000230E8">
            <w:pPr>
              <w:pStyle w:val="TableRowHead"/>
              <w:rPr>
                <w:rFonts w:ascii="Gill Sans" w:hAnsi="Gill Sans"/>
              </w:rPr>
            </w:pPr>
            <w:r w:rsidRPr="00A51C1B">
              <w:rPr>
                <w:rFonts w:ascii="Gill Sans" w:hAnsi="Gill Sans"/>
              </w:rPr>
              <w:t xml:space="preserve">Mr. Des Kenny </w:t>
            </w:r>
          </w:p>
        </w:tc>
        <w:tc>
          <w:tcPr>
            <w:tcW w:w="1956" w:type="dxa"/>
            <w:shd w:val="clear" w:color="auto" w:fill="auto"/>
          </w:tcPr>
          <w:p w14:paraId="3C93F81A" w14:textId="77777777" w:rsidR="000230E8" w:rsidRPr="00402DD7" w:rsidRDefault="000230E8" w:rsidP="00A51C1B">
            <w:pPr>
              <w:pStyle w:val="TableCell"/>
              <w:spacing w:line="294" w:lineRule="exact"/>
            </w:pPr>
            <w:r>
              <w:t>9/10</w:t>
            </w:r>
          </w:p>
        </w:tc>
        <w:tc>
          <w:tcPr>
            <w:tcW w:w="1956" w:type="dxa"/>
            <w:shd w:val="clear" w:color="auto" w:fill="auto"/>
          </w:tcPr>
          <w:p w14:paraId="13A1D9E9" w14:textId="77777777" w:rsidR="000230E8" w:rsidRDefault="000230E8" w:rsidP="00A51C1B">
            <w:pPr>
              <w:pStyle w:val="TableCell"/>
              <w:spacing w:line="294" w:lineRule="exact"/>
            </w:pPr>
            <w:r w:rsidRPr="00A51C1B">
              <w:rPr>
                <w:rFonts w:ascii="Arial" w:hAnsi="Arial"/>
              </w:rPr>
              <w:t>€</w:t>
            </w:r>
            <w:r w:rsidRPr="00A51C1B">
              <w:rPr>
                <w:rFonts w:cs="Gill Sans"/>
              </w:rPr>
              <w:t>5,985.00</w:t>
            </w:r>
          </w:p>
        </w:tc>
        <w:tc>
          <w:tcPr>
            <w:tcW w:w="1956" w:type="dxa"/>
            <w:shd w:val="clear" w:color="auto" w:fill="auto"/>
          </w:tcPr>
          <w:p w14:paraId="433178AA" w14:textId="77777777" w:rsidR="000230E8" w:rsidRDefault="000230E8" w:rsidP="00A51C1B">
            <w:pPr>
              <w:pStyle w:val="TableCell"/>
              <w:spacing w:line="294" w:lineRule="exact"/>
            </w:pPr>
          </w:p>
        </w:tc>
      </w:tr>
      <w:tr w:rsidR="000230E8" w:rsidRPr="00231311" w14:paraId="5CD7D57C" w14:textId="77777777" w:rsidTr="00A51C1B">
        <w:tc>
          <w:tcPr>
            <w:tcW w:w="2988" w:type="dxa"/>
            <w:shd w:val="clear" w:color="auto" w:fill="auto"/>
          </w:tcPr>
          <w:p w14:paraId="79216F1F" w14:textId="77777777" w:rsidR="000230E8" w:rsidRPr="00A51C1B" w:rsidRDefault="000230E8" w:rsidP="000230E8">
            <w:pPr>
              <w:pStyle w:val="TableRowHead"/>
              <w:rPr>
                <w:rFonts w:ascii="Gill Sans" w:hAnsi="Gill Sans"/>
              </w:rPr>
            </w:pPr>
            <w:r w:rsidRPr="00A51C1B">
              <w:rPr>
                <w:rFonts w:ascii="Gill Sans" w:hAnsi="Gill Sans"/>
              </w:rPr>
              <w:t xml:space="preserve">Ms. Mary Lavelle </w:t>
            </w:r>
          </w:p>
        </w:tc>
        <w:tc>
          <w:tcPr>
            <w:tcW w:w="1956" w:type="dxa"/>
            <w:shd w:val="clear" w:color="auto" w:fill="auto"/>
          </w:tcPr>
          <w:p w14:paraId="12B0E237" w14:textId="77777777" w:rsidR="000230E8" w:rsidRPr="00402DD7" w:rsidRDefault="000230E8" w:rsidP="00A51C1B">
            <w:pPr>
              <w:pStyle w:val="TableCell"/>
              <w:spacing w:line="294" w:lineRule="exact"/>
            </w:pPr>
            <w:r>
              <w:t>9/10</w:t>
            </w:r>
          </w:p>
        </w:tc>
        <w:tc>
          <w:tcPr>
            <w:tcW w:w="1956" w:type="dxa"/>
            <w:shd w:val="clear" w:color="auto" w:fill="auto"/>
          </w:tcPr>
          <w:p w14:paraId="26E30577" w14:textId="77777777" w:rsidR="000230E8" w:rsidRDefault="000230E8" w:rsidP="00A51C1B">
            <w:pPr>
              <w:pStyle w:val="TableCell"/>
              <w:spacing w:line="294" w:lineRule="exact"/>
            </w:pPr>
            <w:r w:rsidRPr="00A51C1B">
              <w:rPr>
                <w:rFonts w:ascii="Arial" w:hAnsi="Arial"/>
              </w:rPr>
              <w:t>€</w:t>
            </w:r>
            <w:r w:rsidRPr="00A51C1B">
              <w:rPr>
                <w:rFonts w:cs="Gill Sans"/>
              </w:rPr>
              <w:t>5,985.00</w:t>
            </w:r>
          </w:p>
        </w:tc>
        <w:tc>
          <w:tcPr>
            <w:tcW w:w="1956" w:type="dxa"/>
            <w:shd w:val="clear" w:color="auto" w:fill="auto"/>
          </w:tcPr>
          <w:p w14:paraId="6E556385" w14:textId="77777777" w:rsidR="000230E8" w:rsidRDefault="000230E8" w:rsidP="00A51C1B">
            <w:pPr>
              <w:pStyle w:val="TableCell"/>
              <w:spacing w:line="294" w:lineRule="exact"/>
            </w:pPr>
          </w:p>
        </w:tc>
      </w:tr>
      <w:tr w:rsidR="000230E8" w:rsidRPr="00231311" w14:paraId="24540687" w14:textId="77777777" w:rsidTr="00A51C1B">
        <w:tc>
          <w:tcPr>
            <w:tcW w:w="2988" w:type="dxa"/>
            <w:shd w:val="clear" w:color="auto" w:fill="auto"/>
          </w:tcPr>
          <w:p w14:paraId="5F25CCBD" w14:textId="77777777" w:rsidR="000230E8" w:rsidRPr="00A51C1B" w:rsidRDefault="000230E8" w:rsidP="000230E8">
            <w:pPr>
              <w:pStyle w:val="TableRowHead"/>
              <w:rPr>
                <w:rFonts w:ascii="Gill Sans" w:hAnsi="Gill Sans"/>
              </w:rPr>
            </w:pPr>
            <w:r w:rsidRPr="00A51C1B">
              <w:rPr>
                <w:rFonts w:ascii="Gill Sans" w:hAnsi="Gill Sans"/>
              </w:rPr>
              <w:t xml:space="preserve">Ms. Joanne McCarthy </w:t>
            </w:r>
          </w:p>
        </w:tc>
        <w:tc>
          <w:tcPr>
            <w:tcW w:w="1956" w:type="dxa"/>
            <w:shd w:val="clear" w:color="auto" w:fill="auto"/>
          </w:tcPr>
          <w:p w14:paraId="482C4E91" w14:textId="77777777" w:rsidR="000230E8" w:rsidRPr="00402DD7" w:rsidRDefault="000230E8" w:rsidP="00A51C1B">
            <w:pPr>
              <w:pStyle w:val="TableCell"/>
              <w:spacing w:line="294" w:lineRule="exact"/>
            </w:pPr>
            <w:r>
              <w:t>6/10*</w:t>
            </w:r>
          </w:p>
        </w:tc>
        <w:tc>
          <w:tcPr>
            <w:tcW w:w="1956" w:type="dxa"/>
            <w:shd w:val="clear" w:color="auto" w:fill="auto"/>
          </w:tcPr>
          <w:p w14:paraId="66CEFDB2" w14:textId="77777777" w:rsidR="000230E8" w:rsidRDefault="000230E8" w:rsidP="00A51C1B">
            <w:pPr>
              <w:pStyle w:val="TableCell"/>
              <w:spacing w:line="294" w:lineRule="exact"/>
            </w:pPr>
            <w:r w:rsidRPr="00A51C1B">
              <w:rPr>
                <w:rFonts w:ascii="Arial" w:hAnsi="Arial"/>
              </w:rPr>
              <w:t>€</w:t>
            </w:r>
            <w:r w:rsidRPr="00A51C1B">
              <w:rPr>
                <w:rFonts w:cs="Gill Sans"/>
              </w:rPr>
              <w:t>5,985.00</w:t>
            </w:r>
          </w:p>
        </w:tc>
        <w:tc>
          <w:tcPr>
            <w:tcW w:w="1956" w:type="dxa"/>
            <w:shd w:val="clear" w:color="auto" w:fill="auto"/>
          </w:tcPr>
          <w:p w14:paraId="2DE77A85" w14:textId="77777777" w:rsidR="000230E8" w:rsidRDefault="000230E8" w:rsidP="00A51C1B">
            <w:pPr>
              <w:pStyle w:val="TableCell"/>
              <w:spacing w:line="294" w:lineRule="exact"/>
            </w:pPr>
          </w:p>
        </w:tc>
      </w:tr>
      <w:tr w:rsidR="000230E8" w:rsidRPr="00231311" w14:paraId="18F5128D" w14:textId="77777777" w:rsidTr="00A51C1B">
        <w:tc>
          <w:tcPr>
            <w:tcW w:w="2988" w:type="dxa"/>
            <w:shd w:val="clear" w:color="auto" w:fill="auto"/>
          </w:tcPr>
          <w:p w14:paraId="468B2416" w14:textId="77777777" w:rsidR="000230E8" w:rsidRPr="00A51C1B" w:rsidRDefault="000230E8" w:rsidP="000230E8">
            <w:pPr>
              <w:pStyle w:val="TableRowHead"/>
              <w:rPr>
                <w:rFonts w:ascii="Gill Sans" w:hAnsi="Gill Sans"/>
              </w:rPr>
            </w:pPr>
            <w:r w:rsidRPr="00A51C1B">
              <w:rPr>
                <w:rFonts w:ascii="Gill Sans" w:hAnsi="Gill Sans"/>
              </w:rPr>
              <w:t>Mr. James O’Grady</w:t>
            </w:r>
          </w:p>
        </w:tc>
        <w:tc>
          <w:tcPr>
            <w:tcW w:w="1956" w:type="dxa"/>
            <w:shd w:val="clear" w:color="auto" w:fill="auto"/>
          </w:tcPr>
          <w:p w14:paraId="62F43EED" w14:textId="77777777" w:rsidR="000230E8" w:rsidRDefault="000230E8" w:rsidP="00A51C1B">
            <w:pPr>
              <w:pStyle w:val="TableCell"/>
              <w:spacing w:line="294" w:lineRule="exact"/>
            </w:pPr>
            <w:r>
              <w:t>10/10</w:t>
            </w:r>
          </w:p>
        </w:tc>
        <w:tc>
          <w:tcPr>
            <w:tcW w:w="1956" w:type="dxa"/>
            <w:shd w:val="clear" w:color="auto" w:fill="auto"/>
          </w:tcPr>
          <w:p w14:paraId="4F1EE942" w14:textId="77777777" w:rsidR="000230E8" w:rsidRPr="00A51C1B" w:rsidRDefault="000230E8" w:rsidP="00A51C1B">
            <w:pPr>
              <w:pStyle w:val="TableCell"/>
              <w:spacing w:line="294" w:lineRule="exact"/>
              <w:rPr>
                <w:rFonts w:cs="Gill Sans"/>
              </w:rPr>
            </w:pPr>
            <w:r w:rsidRPr="00A51C1B">
              <w:rPr>
                <w:rFonts w:ascii="Arial" w:hAnsi="Arial"/>
              </w:rPr>
              <w:t>€</w:t>
            </w:r>
            <w:r w:rsidRPr="00A51C1B">
              <w:rPr>
                <w:rFonts w:cs="Gill Sans"/>
              </w:rPr>
              <w:t>5,985.00</w:t>
            </w:r>
          </w:p>
        </w:tc>
        <w:tc>
          <w:tcPr>
            <w:tcW w:w="1956" w:type="dxa"/>
            <w:shd w:val="clear" w:color="auto" w:fill="auto"/>
          </w:tcPr>
          <w:p w14:paraId="6FE756AD" w14:textId="77777777" w:rsidR="000230E8" w:rsidRPr="00994298" w:rsidRDefault="000230E8" w:rsidP="00A51C1B">
            <w:pPr>
              <w:pStyle w:val="TableCell"/>
              <w:spacing w:line="294" w:lineRule="exact"/>
            </w:pPr>
            <w:r w:rsidRPr="00A51C1B">
              <w:rPr>
                <w:rFonts w:ascii="Arial" w:hAnsi="Arial"/>
              </w:rPr>
              <w:t>€</w:t>
            </w:r>
            <w:r w:rsidRPr="00A51C1B">
              <w:rPr>
                <w:rFonts w:cs="Gill Sans"/>
              </w:rPr>
              <w:t>1,933.82</w:t>
            </w:r>
          </w:p>
        </w:tc>
      </w:tr>
      <w:tr w:rsidR="000230E8" w:rsidRPr="00231311" w14:paraId="192BC582" w14:textId="77777777" w:rsidTr="00A51C1B">
        <w:tc>
          <w:tcPr>
            <w:tcW w:w="2988" w:type="dxa"/>
            <w:shd w:val="clear" w:color="auto" w:fill="auto"/>
          </w:tcPr>
          <w:p w14:paraId="0CD56DB0" w14:textId="77777777" w:rsidR="000230E8" w:rsidRPr="00A51C1B" w:rsidRDefault="000230E8" w:rsidP="000230E8">
            <w:pPr>
              <w:pStyle w:val="TableRowHead"/>
              <w:rPr>
                <w:rFonts w:ascii="Gill Sans" w:hAnsi="Gill Sans"/>
              </w:rPr>
            </w:pPr>
            <w:r w:rsidRPr="00A51C1B">
              <w:rPr>
                <w:rFonts w:ascii="Gill Sans" w:hAnsi="Gill Sans"/>
              </w:rPr>
              <w:t>Mr. Donal Lawlor (Audit Chair)</w:t>
            </w:r>
          </w:p>
        </w:tc>
        <w:tc>
          <w:tcPr>
            <w:tcW w:w="1956" w:type="dxa"/>
            <w:shd w:val="clear" w:color="auto" w:fill="auto"/>
          </w:tcPr>
          <w:p w14:paraId="72DDB0D5" w14:textId="77777777" w:rsidR="000230E8" w:rsidRDefault="000230E8" w:rsidP="00A51C1B">
            <w:pPr>
              <w:pStyle w:val="TableCell"/>
              <w:spacing w:line="294" w:lineRule="exact"/>
            </w:pPr>
            <w:r>
              <w:t>3/4</w:t>
            </w:r>
          </w:p>
        </w:tc>
        <w:tc>
          <w:tcPr>
            <w:tcW w:w="1956" w:type="dxa"/>
            <w:shd w:val="clear" w:color="auto" w:fill="auto"/>
          </w:tcPr>
          <w:p w14:paraId="3DD5C88D" w14:textId="77777777" w:rsidR="000230E8" w:rsidRDefault="000230E8" w:rsidP="00A51C1B">
            <w:pPr>
              <w:pStyle w:val="TableCell"/>
              <w:spacing w:line="294" w:lineRule="exact"/>
            </w:pPr>
            <w:r w:rsidRPr="00A51C1B">
              <w:rPr>
                <w:rFonts w:ascii="Arial" w:hAnsi="Arial"/>
              </w:rPr>
              <w:t>€</w:t>
            </w:r>
            <w:r w:rsidRPr="00A51C1B">
              <w:rPr>
                <w:rFonts w:cs="Gill Sans"/>
              </w:rPr>
              <w:t>4,488.75</w:t>
            </w:r>
          </w:p>
        </w:tc>
        <w:tc>
          <w:tcPr>
            <w:tcW w:w="1956" w:type="dxa"/>
            <w:shd w:val="clear" w:color="auto" w:fill="auto"/>
          </w:tcPr>
          <w:p w14:paraId="4D7B95B9" w14:textId="77777777" w:rsidR="000230E8" w:rsidRDefault="000230E8" w:rsidP="00A51C1B">
            <w:pPr>
              <w:pStyle w:val="TableCell"/>
              <w:spacing w:line="294" w:lineRule="exact"/>
            </w:pPr>
          </w:p>
        </w:tc>
      </w:tr>
    </w:tbl>
    <w:p w14:paraId="3F44C3E6" w14:textId="77777777" w:rsidR="000230E8" w:rsidRDefault="000230E8" w:rsidP="000230E8">
      <w:pPr>
        <w:pStyle w:val="TableNote"/>
      </w:pPr>
      <w:r>
        <w:t>* On maternity leave</w:t>
      </w:r>
    </w:p>
    <w:p w14:paraId="4C1C26D2" w14:textId="77777777" w:rsidR="000230E8" w:rsidRDefault="000230E8" w:rsidP="000230E8">
      <w:r w:rsidRPr="00231311">
        <w:rPr>
          <w:b/>
        </w:rPr>
        <w:t>Director:</w:t>
      </w:r>
      <w:r w:rsidRPr="00730F66">
        <w:t xml:space="preserve">   </w:t>
      </w:r>
      <w:r w:rsidRPr="00730F66">
        <w:tab/>
        <w:t>Siobhan Barron</w:t>
      </w:r>
      <w:r w:rsidRPr="00730F66">
        <w:tab/>
      </w:r>
      <w:r w:rsidRPr="00730F66">
        <w:tab/>
      </w:r>
      <w:r w:rsidRPr="00730F66">
        <w:tab/>
      </w:r>
    </w:p>
    <w:p w14:paraId="6F0A1F14" w14:textId="77777777" w:rsidR="000230E8" w:rsidRDefault="000230E8" w:rsidP="000230E8">
      <w:pPr>
        <w:spacing w:after="0"/>
        <w:ind w:left="1440" w:hanging="1440"/>
      </w:pPr>
      <w:r w:rsidRPr="00231311">
        <w:rPr>
          <w:b/>
        </w:rPr>
        <w:t>Solicitors:</w:t>
      </w:r>
      <w:r>
        <w:t xml:space="preserve">  </w:t>
      </w:r>
      <w:r>
        <w:tab/>
        <w:t xml:space="preserve">Mason, </w:t>
      </w:r>
      <w:proofErr w:type="gramStart"/>
      <w:r>
        <w:t>Hayes</w:t>
      </w:r>
      <w:proofErr w:type="gramEnd"/>
      <w:r>
        <w:t xml:space="preserve"> and Curran</w:t>
      </w:r>
    </w:p>
    <w:p w14:paraId="72572578" w14:textId="77777777" w:rsidR="000230E8" w:rsidRDefault="000230E8" w:rsidP="000230E8">
      <w:pPr>
        <w:spacing w:after="0"/>
        <w:ind w:left="1440" w:hanging="1440"/>
      </w:pPr>
      <w:r>
        <w:tab/>
        <w:t>South Bank House</w:t>
      </w:r>
      <w:r>
        <w:tab/>
      </w:r>
      <w:r>
        <w:tab/>
      </w:r>
      <w:r>
        <w:tab/>
      </w:r>
    </w:p>
    <w:p w14:paraId="14455951" w14:textId="77777777" w:rsidR="000230E8" w:rsidRDefault="000230E8" w:rsidP="000230E8">
      <w:pPr>
        <w:spacing w:after="0"/>
        <w:ind w:left="1440" w:hanging="1440"/>
      </w:pPr>
      <w:r>
        <w:tab/>
        <w:t>Barrow Street</w:t>
      </w:r>
    </w:p>
    <w:p w14:paraId="4380417B" w14:textId="77777777" w:rsidR="000230E8" w:rsidRDefault="000230E8" w:rsidP="000230E8">
      <w:pPr>
        <w:spacing w:after="0"/>
        <w:ind w:left="1440" w:hanging="1440"/>
      </w:pPr>
      <w:r>
        <w:tab/>
        <w:t>Dublin 4</w:t>
      </w:r>
    </w:p>
    <w:p w14:paraId="2A5CE958" w14:textId="77777777" w:rsidR="000230E8" w:rsidRDefault="000230E8" w:rsidP="000230E8">
      <w:pPr>
        <w:spacing w:after="0"/>
        <w:ind w:left="1440" w:hanging="1440"/>
      </w:pPr>
    </w:p>
    <w:p w14:paraId="4970B0C1" w14:textId="77777777" w:rsidR="000230E8" w:rsidRDefault="000230E8" w:rsidP="000230E8">
      <w:pPr>
        <w:ind w:left="1440" w:hanging="1440"/>
      </w:pPr>
      <w:r w:rsidRPr="00231311">
        <w:rPr>
          <w:b/>
        </w:rPr>
        <w:t>Bankers:</w:t>
      </w:r>
      <w:r>
        <w:tab/>
      </w:r>
      <w:r w:rsidRPr="00730F66">
        <w:t>Bank of Ireland</w:t>
      </w:r>
      <w:r>
        <w:br/>
        <w:t>104 Ranelagh</w:t>
      </w:r>
      <w:r>
        <w:br/>
      </w:r>
      <w:r w:rsidRPr="00730F66">
        <w:t xml:space="preserve">Dublin </w:t>
      </w:r>
      <w:r>
        <w:t>6.</w:t>
      </w:r>
    </w:p>
    <w:p w14:paraId="0339C983" w14:textId="77777777" w:rsidR="000230E8" w:rsidRPr="00730F66" w:rsidRDefault="000230E8" w:rsidP="000230E8">
      <w:r w:rsidRPr="00231311">
        <w:rPr>
          <w:b/>
        </w:rPr>
        <w:t>Auditors:</w:t>
      </w:r>
      <w:r>
        <w:tab/>
        <w:t>Comptroller &amp; Auditor General</w:t>
      </w:r>
      <w:r>
        <w:br/>
        <w:t xml:space="preserve">                    </w:t>
      </w:r>
      <w:r w:rsidRPr="00730F66">
        <w:t>Dublin Cast</w:t>
      </w:r>
      <w:r>
        <w:t>le</w:t>
      </w:r>
      <w:r>
        <w:br/>
        <w:t xml:space="preserve">                    </w:t>
      </w:r>
      <w:r w:rsidRPr="00730F66">
        <w:t>Dublin 2</w:t>
      </w:r>
      <w:r>
        <w:t>.</w:t>
      </w:r>
    </w:p>
    <w:p w14:paraId="5AF4618F" w14:textId="77777777" w:rsidR="000230E8" w:rsidRDefault="000230E8" w:rsidP="000230E8">
      <w:pPr>
        <w:pStyle w:val="Heading1"/>
      </w:pPr>
      <w:r>
        <w:br w:type="page"/>
      </w:r>
      <w:bookmarkStart w:id="193" w:name="_Toc335828908"/>
      <w:bookmarkStart w:id="194" w:name="_Toc335829646"/>
      <w:bookmarkStart w:id="195" w:name="_Toc335836372"/>
      <w:bookmarkStart w:id="196" w:name="_Toc335983431"/>
      <w:bookmarkStart w:id="197" w:name="_Toc335986600"/>
      <w:r w:rsidRPr="00300E3E">
        <w:lastRenderedPageBreak/>
        <w:t>National Disability Authority</w:t>
      </w:r>
      <w:bookmarkEnd w:id="193"/>
      <w:bookmarkEnd w:id="194"/>
      <w:bookmarkEnd w:id="195"/>
      <w:bookmarkEnd w:id="196"/>
      <w:bookmarkEnd w:id="197"/>
    </w:p>
    <w:p w14:paraId="6C4F82EA" w14:textId="77777777" w:rsidR="000230E8" w:rsidRPr="00730F66" w:rsidRDefault="000230E8" w:rsidP="000230E8">
      <w:r w:rsidRPr="00730F66">
        <w:t xml:space="preserve">The National Disability Authority was established on June 12, </w:t>
      </w:r>
      <w:proofErr w:type="gramStart"/>
      <w:r w:rsidRPr="00730F66">
        <w:t>2000</w:t>
      </w:r>
      <w:proofErr w:type="gramEnd"/>
      <w:r w:rsidRPr="00730F66">
        <w:t xml:space="preserve"> under Section 6 of the National Disability Authority Act 1999.</w:t>
      </w:r>
    </w:p>
    <w:p w14:paraId="415E454B" w14:textId="77777777" w:rsidR="000230E8" w:rsidRDefault="000230E8" w:rsidP="000230E8">
      <w:pPr>
        <w:pStyle w:val="Heading2"/>
      </w:pPr>
      <w:bookmarkStart w:id="198" w:name="_Toc335836373"/>
      <w:r>
        <w:t>NDA Functions and Powers</w:t>
      </w:r>
      <w:bookmarkEnd w:id="198"/>
    </w:p>
    <w:p w14:paraId="58951281" w14:textId="77777777" w:rsidR="000230E8" w:rsidRDefault="000230E8" w:rsidP="000230E8">
      <w:r w:rsidRPr="003B2BAD">
        <w:t>Th</w:t>
      </w:r>
      <w:r w:rsidRPr="00D4400D">
        <w:t>e principal function of the NDA is to advise the Minister for Justice</w:t>
      </w:r>
      <w:r>
        <w:t xml:space="preserve"> and</w:t>
      </w:r>
      <w:r w:rsidRPr="00D4400D">
        <w:t xml:space="preserve"> Equality regarding issues of policy and practice relating to disability.</w:t>
      </w:r>
      <w:r>
        <w:t xml:space="preserve"> </w:t>
      </w:r>
    </w:p>
    <w:p w14:paraId="69F3CAE8" w14:textId="77777777" w:rsidR="000230E8" w:rsidRPr="00D4400D" w:rsidRDefault="000230E8" w:rsidP="000230E8">
      <w:proofErr w:type="gramStart"/>
      <w:r w:rsidRPr="00D4400D">
        <w:t>Particular functions</w:t>
      </w:r>
      <w:proofErr w:type="gramEnd"/>
      <w:r w:rsidRPr="00D4400D">
        <w:t xml:space="preserve"> of the Authority under Section 8 of the National Disability Authority Act 1999</w:t>
      </w:r>
      <w:r w:rsidRPr="00D4400D">
        <w:rPr>
          <w:b/>
        </w:rPr>
        <w:t xml:space="preserve"> </w:t>
      </w:r>
      <w:r w:rsidRPr="00D4400D">
        <w:t>include:</w:t>
      </w:r>
    </w:p>
    <w:p w14:paraId="48BC23A3" w14:textId="77777777" w:rsidR="000230E8" w:rsidRPr="00D4400D" w:rsidRDefault="000230E8" w:rsidP="00BB25B2">
      <w:pPr>
        <w:pStyle w:val="ListBullet"/>
      </w:pPr>
      <w:r w:rsidRPr="00D4400D">
        <w:t>To act as a central, national body which will assist the Minister in the coordination and development of policy in relation to persons with disabilities</w:t>
      </w:r>
    </w:p>
    <w:p w14:paraId="74AFF9A1" w14:textId="77777777" w:rsidR="000230E8" w:rsidRDefault="000230E8" w:rsidP="00BB25B2">
      <w:pPr>
        <w:pStyle w:val="ListBullet"/>
      </w:pPr>
      <w:r w:rsidRPr="00D4400D">
        <w:t>To undertake, commission or collaborate in research projects and activities on issues relating to disability and to assist in the development of statistical information appropriate for the planning, delivery and monitoring of programmes and services for people with disabilities</w:t>
      </w:r>
    </w:p>
    <w:p w14:paraId="1E089864" w14:textId="77777777" w:rsidR="000230E8" w:rsidRPr="00D4400D" w:rsidRDefault="000230E8" w:rsidP="00BB25B2">
      <w:pPr>
        <w:pStyle w:val="ListBullet"/>
      </w:pPr>
      <w:r w:rsidRPr="00D4400D">
        <w:t xml:space="preserve">To advise the Minister on appropriate standards for programmes and services provided or to be provided to persons with disabilities and to act as an advisory body </w:t>
      </w:r>
      <w:proofErr w:type="gramStart"/>
      <w:r w:rsidRPr="00D4400D">
        <w:t>with regard to</w:t>
      </w:r>
      <w:proofErr w:type="gramEnd"/>
      <w:r w:rsidRPr="00D4400D">
        <w:t xml:space="preserve"> the development of general and specific standards in relation to such programmes and services</w:t>
      </w:r>
    </w:p>
    <w:p w14:paraId="4ACAF464" w14:textId="77777777" w:rsidR="000230E8" w:rsidRPr="00D4400D" w:rsidRDefault="000230E8" w:rsidP="00BB25B2">
      <w:pPr>
        <w:pStyle w:val="ListBullet"/>
      </w:pPr>
      <w:r w:rsidRPr="00D4400D">
        <w:t>To monitor the implementation of standards and codes of practice in programmes and services provided to persons with disabilities and to report to the Minister thereon</w:t>
      </w:r>
    </w:p>
    <w:p w14:paraId="670E85C7" w14:textId="77777777" w:rsidR="000230E8" w:rsidRPr="00D4400D" w:rsidRDefault="000230E8" w:rsidP="00BB25B2">
      <w:pPr>
        <w:pStyle w:val="ListBullet"/>
      </w:pPr>
      <w:r w:rsidRPr="00D4400D">
        <w:t>To liaise with other bodies, both corporate and unincorporated, involved in the provision of services to persons with disabilities and to facilitate and support the development and implementation of appropriate standards for programmes and services for persons with disabilities</w:t>
      </w:r>
    </w:p>
    <w:p w14:paraId="332F2140" w14:textId="77777777" w:rsidR="000230E8" w:rsidRPr="00D4400D" w:rsidRDefault="000230E8" w:rsidP="00BB25B2">
      <w:pPr>
        <w:pStyle w:val="ListBullet"/>
      </w:pPr>
      <w:r w:rsidRPr="00D4400D">
        <w:t>To prepare codes of practice for the purpose of achieving the aim of good standards and quality in the provision of programmes and services provided or to be provided to persons with disabilities</w:t>
      </w:r>
      <w:r>
        <w:t>.</w:t>
      </w:r>
    </w:p>
    <w:p w14:paraId="321B54B1" w14:textId="77777777" w:rsidR="000230E8" w:rsidRPr="00D4400D" w:rsidRDefault="000230E8" w:rsidP="00BB25B2">
      <w:pPr>
        <w:pStyle w:val="ListBullet"/>
      </w:pPr>
      <w:r w:rsidRPr="00D4400D">
        <w:t>To recognise the achievement of good standards and quality in the provision of programmes and services to persons with disabilities, including through the provision of a disability equality awards system</w:t>
      </w:r>
    </w:p>
    <w:p w14:paraId="5D8CC5DE" w14:textId="77777777" w:rsidR="000230E8" w:rsidRPr="00D4400D" w:rsidRDefault="000230E8" w:rsidP="00BB25B2">
      <w:pPr>
        <w:pStyle w:val="ListBullet"/>
      </w:pPr>
      <w:r>
        <w:t>To prepare strategic plans</w:t>
      </w:r>
    </w:p>
    <w:p w14:paraId="7C8FBEFF" w14:textId="77777777" w:rsidR="000230E8" w:rsidRPr="00D4400D" w:rsidRDefault="000230E8" w:rsidP="00BB25B2">
      <w:pPr>
        <w:pStyle w:val="NormalBeforeList"/>
      </w:pPr>
      <w:r w:rsidRPr="00D4400D">
        <w:t>Additional functions of the Authority under the Disability Act 2005 include:</w:t>
      </w:r>
    </w:p>
    <w:p w14:paraId="319F2550" w14:textId="77777777" w:rsidR="000230E8" w:rsidRPr="00D4400D" w:rsidRDefault="000230E8" w:rsidP="00BB25B2">
      <w:pPr>
        <w:pStyle w:val="ListBullet"/>
      </w:pPr>
      <w:r w:rsidRPr="00D4400D">
        <w:lastRenderedPageBreak/>
        <w:t xml:space="preserve">To prepare codes of practice relating to the accessibility of public buildings, services, </w:t>
      </w:r>
      <w:proofErr w:type="gramStart"/>
      <w:r w:rsidRPr="00D4400D">
        <w:t>information</w:t>
      </w:r>
      <w:proofErr w:type="gramEnd"/>
      <w:r w:rsidRPr="00D4400D">
        <w:t xml:space="preserve"> and heritage sites and to the employment of people with disabilities in the public sector at the request of the Minister (Part 3)</w:t>
      </w:r>
    </w:p>
    <w:p w14:paraId="41673E76" w14:textId="77777777" w:rsidR="000230E8" w:rsidRPr="00D4400D" w:rsidRDefault="000230E8" w:rsidP="00BB25B2">
      <w:pPr>
        <w:pStyle w:val="ListBullet"/>
      </w:pPr>
      <w:r w:rsidRPr="00D4400D">
        <w:t>To monitor compliance with statutory targets for recruitment and employment of people with disabilities in the public sector, recommend actions to be taken where these targets are not being met, and prepare codes of practice where requested (Part 5)</w:t>
      </w:r>
    </w:p>
    <w:p w14:paraId="30D40AE3" w14:textId="77777777" w:rsidR="000230E8" w:rsidRPr="00D4400D" w:rsidRDefault="000230E8" w:rsidP="00BB25B2">
      <w:pPr>
        <w:pStyle w:val="ListBullet"/>
      </w:pPr>
      <w:r w:rsidRPr="00D4400D">
        <w:t xml:space="preserve">To establish a Centre for Excellence in Universal Design in the built environment and information technology which will promote the principles of universal design that may be accessed, </w:t>
      </w:r>
      <w:proofErr w:type="gramStart"/>
      <w:r w:rsidRPr="00D4400D">
        <w:t>understood</w:t>
      </w:r>
      <w:proofErr w:type="gramEnd"/>
      <w:r w:rsidRPr="00D4400D">
        <w:t xml:space="preserve"> and used to the greatest practicable extent by people with disabilities:</w:t>
      </w:r>
    </w:p>
    <w:p w14:paraId="51B26E05" w14:textId="77777777" w:rsidR="000230E8" w:rsidRPr="00D4400D" w:rsidRDefault="000230E8" w:rsidP="00BB25B2">
      <w:pPr>
        <w:pStyle w:val="ListBullet2"/>
      </w:pPr>
      <w:r w:rsidRPr="00D4400D">
        <w:t>in the most independent and natural manner</w:t>
      </w:r>
    </w:p>
    <w:p w14:paraId="4533A190" w14:textId="77777777" w:rsidR="000230E8" w:rsidRPr="00D4400D" w:rsidRDefault="000230E8" w:rsidP="00BB25B2">
      <w:pPr>
        <w:pStyle w:val="ListBullet2"/>
      </w:pPr>
      <w:r w:rsidRPr="00D4400D">
        <w:t>in the widest possible range of situations</w:t>
      </w:r>
    </w:p>
    <w:p w14:paraId="68C9F2CB" w14:textId="77777777" w:rsidR="000230E8" w:rsidRDefault="000230E8" w:rsidP="00BB25B2">
      <w:pPr>
        <w:pStyle w:val="ListBullet2"/>
      </w:pPr>
      <w:r w:rsidRPr="00D4400D">
        <w:t>with</w:t>
      </w:r>
      <w:r>
        <w:t xml:space="preserve"> </w:t>
      </w:r>
      <w:r w:rsidRPr="00D4400D">
        <w:t xml:space="preserve">out the need for adaptation, modification, assistive </w:t>
      </w:r>
      <w:proofErr w:type="gramStart"/>
      <w:r w:rsidRPr="00D4400D">
        <w:t>devices</w:t>
      </w:r>
      <w:proofErr w:type="gramEnd"/>
      <w:r w:rsidRPr="00D4400D">
        <w:t xml:space="preserve"> o</w:t>
      </w:r>
      <w:r>
        <w:t>r specialised solution (Part 6)</w:t>
      </w:r>
    </w:p>
    <w:p w14:paraId="26743BA7" w14:textId="77777777" w:rsidR="000230E8" w:rsidRPr="00D4400D" w:rsidRDefault="000230E8" w:rsidP="000230E8">
      <w:pPr>
        <w:pStyle w:val="Heading2"/>
      </w:pPr>
      <w:bookmarkStart w:id="199" w:name="_Toc335836374"/>
      <w:r w:rsidRPr="00D4400D">
        <w:t>Statutory powers</w:t>
      </w:r>
      <w:bookmarkEnd w:id="199"/>
    </w:p>
    <w:p w14:paraId="54212A57" w14:textId="77777777" w:rsidR="000230E8" w:rsidRPr="00D4400D" w:rsidRDefault="000230E8" w:rsidP="000230E8">
      <w:pPr>
        <w:tabs>
          <w:tab w:val="left" w:pos="1440"/>
        </w:tabs>
      </w:pPr>
      <w:r w:rsidRPr="00D4400D">
        <w:t xml:space="preserve">In order to fulfil its statutory </w:t>
      </w:r>
      <w:proofErr w:type="gramStart"/>
      <w:r w:rsidRPr="00D4400D">
        <w:t>functions</w:t>
      </w:r>
      <w:proofErr w:type="gramEnd"/>
      <w:r w:rsidRPr="00D4400D">
        <w:t xml:space="preserve"> the Authority has certain statutory powers under the National Disability Authority Act 1999:</w:t>
      </w:r>
    </w:p>
    <w:p w14:paraId="1762400C" w14:textId="77777777" w:rsidR="000230E8" w:rsidRPr="00D4400D" w:rsidRDefault="000230E8" w:rsidP="0083509E">
      <w:pPr>
        <w:pStyle w:val="ListBullet"/>
      </w:pPr>
      <w:r w:rsidRPr="00D4400D">
        <w:t>The Authority has right of access to information (including data) of relevance to its functions which is held by public bodies (Section 13)</w:t>
      </w:r>
    </w:p>
    <w:p w14:paraId="2F3FCA2D" w14:textId="77777777" w:rsidR="000230E8" w:rsidRPr="00D4400D" w:rsidRDefault="000230E8" w:rsidP="0083509E">
      <w:pPr>
        <w:pStyle w:val="ListBullet"/>
      </w:pPr>
      <w:r w:rsidRPr="00D4400D">
        <w:t>The Authority may seek information on any matter which concerns the provision of programmes or services for persons with disabilities that is provided by statutory duty and that is publicly funded in whole or in part (Section 14)</w:t>
      </w:r>
    </w:p>
    <w:p w14:paraId="3D3BF491" w14:textId="77777777" w:rsidR="000230E8" w:rsidRPr="00D4400D" w:rsidRDefault="000230E8" w:rsidP="0083509E">
      <w:pPr>
        <w:pStyle w:val="ListBullet"/>
      </w:pPr>
      <w:r w:rsidRPr="00D4400D">
        <w:t>The Authority makes recommendations for the review, reduction or withdrawal of moneys provided by the Oireachtas for any programme or service where it feels it is being provided in an inadequate or unsatisfactory manner or is not being provided to people with disabilities (Section 15(4))</w:t>
      </w:r>
    </w:p>
    <w:p w14:paraId="40223ECF" w14:textId="77777777" w:rsidR="0083509E" w:rsidRDefault="000230E8" w:rsidP="0083509E">
      <w:r w:rsidRPr="00D4400D">
        <w:t>The Authority makes annual reports and other reports to the Minister with respec</w:t>
      </w:r>
      <w:r>
        <w:t>t to its functions (Section 15)</w:t>
      </w:r>
      <w:bookmarkStart w:id="200" w:name="_Toc335828909"/>
      <w:bookmarkStart w:id="201" w:name="_Toc335829647"/>
      <w:bookmarkStart w:id="202" w:name="_Toc335836375"/>
      <w:bookmarkStart w:id="203" w:name="_Toc335983432"/>
    </w:p>
    <w:p w14:paraId="7CD066C2" w14:textId="77777777" w:rsidR="000230E8" w:rsidRPr="00730F66" w:rsidRDefault="0083509E" w:rsidP="0083509E">
      <w:pPr>
        <w:pStyle w:val="Heading1"/>
      </w:pPr>
      <w:r>
        <w:br w:type="page"/>
      </w:r>
      <w:bookmarkStart w:id="204" w:name="_Toc335986601"/>
      <w:r w:rsidR="000230E8" w:rsidRPr="00730F66">
        <w:lastRenderedPageBreak/>
        <w:t>Statement of Responsibilities of Authority Members</w:t>
      </w:r>
      <w:bookmarkEnd w:id="200"/>
      <w:bookmarkEnd w:id="201"/>
      <w:bookmarkEnd w:id="202"/>
      <w:bookmarkEnd w:id="203"/>
      <w:bookmarkEnd w:id="204"/>
    </w:p>
    <w:p w14:paraId="62031F54" w14:textId="77777777" w:rsidR="000230E8" w:rsidRDefault="000230E8" w:rsidP="000230E8">
      <w:r w:rsidRPr="00730F66">
        <w:t xml:space="preserve">The Authority is required by Section 17 of the National Disability </w:t>
      </w:r>
      <w:r>
        <w:t xml:space="preserve">Authority </w:t>
      </w:r>
      <w:r w:rsidRPr="00730F66">
        <w:t>Act 1999 to prepare financial statements for each financial year which give a true and fair view of the state of the affairs of the Authority and of its income and expenditure for that period.</w:t>
      </w:r>
    </w:p>
    <w:p w14:paraId="2CD5C749" w14:textId="77777777" w:rsidR="000230E8" w:rsidRDefault="000230E8" w:rsidP="0083509E">
      <w:pPr>
        <w:pStyle w:val="NormalBeforeList"/>
      </w:pPr>
      <w:r w:rsidRPr="00730F66">
        <w:t>In preparing those financial statements the Authority is required to:</w:t>
      </w:r>
    </w:p>
    <w:p w14:paraId="204B1955" w14:textId="77777777" w:rsidR="000230E8" w:rsidRDefault="000230E8" w:rsidP="0083509E">
      <w:pPr>
        <w:pStyle w:val="ListBullet"/>
      </w:pPr>
      <w:r w:rsidRPr="00730F66">
        <w:t>select suitable accounting polic</w:t>
      </w:r>
      <w:r w:rsidR="0083509E">
        <w:t>ies and apply them consistently</w:t>
      </w:r>
    </w:p>
    <w:p w14:paraId="7C17953C" w14:textId="77777777" w:rsidR="000230E8" w:rsidRDefault="000230E8" w:rsidP="0083509E">
      <w:pPr>
        <w:pStyle w:val="ListBullet"/>
      </w:pPr>
      <w:r w:rsidRPr="00730F66">
        <w:t xml:space="preserve">make judgements and estimates </w:t>
      </w:r>
      <w:r w:rsidR="0083509E">
        <w:t>that are reasonable and prudent</w:t>
      </w:r>
    </w:p>
    <w:p w14:paraId="2FC52A51" w14:textId="77777777" w:rsidR="000230E8" w:rsidRDefault="000230E8" w:rsidP="0083509E">
      <w:pPr>
        <w:pStyle w:val="ListBullet"/>
      </w:pPr>
      <w:r w:rsidRPr="00730F66">
        <w:t>comply with applicable Accounting Standards subject to any material departures disclosed and explained</w:t>
      </w:r>
      <w:r w:rsidR="0083509E">
        <w:t xml:space="preserve"> in the Financial Statements</w:t>
      </w:r>
    </w:p>
    <w:p w14:paraId="39F5214B" w14:textId="77777777" w:rsidR="000230E8" w:rsidRDefault="000230E8" w:rsidP="0083509E">
      <w:pPr>
        <w:pStyle w:val="ListBullet"/>
      </w:pPr>
      <w:r w:rsidRPr="00730F66">
        <w:t>prepare the financial statements on a going concern basis unless it is inappropriate to presume that the National Disability Autho</w:t>
      </w:r>
      <w:r w:rsidR="0083509E">
        <w:t>rity will continue in existence</w:t>
      </w:r>
    </w:p>
    <w:p w14:paraId="0C0B191C" w14:textId="77777777" w:rsidR="000230E8" w:rsidRDefault="000230E8" w:rsidP="000230E8">
      <w:r w:rsidRPr="00730F66">
        <w:t xml:space="preserve">The Authority is responsible for maintaining proper accounting records, which disclose with reasonable accuracy at any time the financial </w:t>
      </w:r>
      <w:r>
        <w:t xml:space="preserve">position of the Authority and </w:t>
      </w:r>
      <w:r w:rsidRPr="00730F66">
        <w:t>enable it to ensure that the financial statements comply with the Act. It is also responsible for safeguarding the assets of the National Disability Authority and hence for taking reasonable steps for the prevention and detection of fraud and other irregularities.</w:t>
      </w:r>
    </w:p>
    <w:p w14:paraId="20CEF900" w14:textId="77777777" w:rsidR="000230E8" w:rsidRDefault="000230E8" w:rsidP="000230E8">
      <w:r w:rsidRPr="00730F66">
        <w:t>On behalf of the Authority</w:t>
      </w:r>
    </w:p>
    <w:p w14:paraId="3F3346D2" w14:textId="77777777" w:rsidR="000230E8" w:rsidRPr="00C066E8" w:rsidRDefault="000230E8" w:rsidP="000230E8">
      <w:pPr>
        <w:rPr>
          <w:u w:val="single"/>
        </w:rPr>
      </w:pPr>
      <w:r w:rsidRPr="003B2BAD">
        <w:rPr>
          <w:b/>
        </w:rPr>
        <w:t>Chairperson</w:t>
      </w:r>
      <w:r>
        <w:tab/>
        <w:t xml:space="preserve">Peter </w:t>
      </w:r>
      <w:proofErr w:type="spellStart"/>
      <w:r>
        <w:t>McKevitt</w:t>
      </w:r>
      <w:proofErr w:type="spellEnd"/>
    </w:p>
    <w:p w14:paraId="2D30CD9E" w14:textId="77777777" w:rsidR="000230E8" w:rsidRPr="00C066E8" w:rsidRDefault="000230E8" w:rsidP="000230E8">
      <w:pPr>
        <w:rPr>
          <w:u w:val="single"/>
        </w:rPr>
      </w:pPr>
      <w:r w:rsidRPr="003B2BAD">
        <w:rPr>
          <w:b/>
        </w:rPr>
        <w:t>Director</w:t>
      </w:r>
      <w:r>
        <w:tab/>
      </w:r>
      <w:r>
        <w:tab/>
        <w:t>Siobhán Barron</w:t>
      </w:r>
    </w:p>
    <w:p w14:paraId="444CEC62" w14:textId="77777777" w:rsidR="0083509E" w:rsidRDefault="000230E8" w:rsidP="000230E8">
      <w:r w:rsidRPr="003B2BAD">
        <w:rPr>
          <w:b/>
        </w:rPr>
        <w:t>Date</w:t>
      </w:r>
      <w:r w:rsidRPr="003B2BAD">
        <w:rPr>
          <w:b/>
        </w:rPr>
        <w:tab/>
      </w:r>
      <w:r>
        <w:tab/>
      </w:r>
      <w:r>
        <w:tab/>
        <w:t>10 September 2012</w:t>
      </w:r>
    </w:p>
    <w:p w14:paraId="5615381A" w14:textId="77777777" w:rsidR="000230E8" w:rsidRDefault="0083509E" w:rsidP="0083509E">
      <w:pPr>
        <w:pStyle w:val="Heading1"/>
      </w:pPr>
      <w:r>
        <w:br w:type="page"/>
      </w:r>
      <w:bookmarkStart w:id="205" w:name="_Toc335828910"/>
      <w:bookmarkStart w:id="206" w:name="_Toc335829648"/>
      <w:bookmarkStart w:id="207" w:name="_Toc335836376"/>
      <w:bookmarkStart w:id="208" w:name="_Toc335983433"/>
      <w:bookmarkStart w:id="209" w:name="_Toc335986602"/>
      <w:r w:rsidR="000230E8" w:rsidRPr="00300E3E">
        <w:lastRenderedPageBreak/>
        <w:t>Statement on Internal Financial Control</w:t>
      </w:r>
      <w:r w:rsidR="000230E8">
        <w:t xml:space="preserve"> f</w:t>
      </w:r>
      <w:r w:rsidR="000230E8" w:rsidRPr="00300E3E">
        <w:t xml:space="preserve">or the year ended 31 December </w:t>
      </w:r>
      <w:r w:rsidR="000230E8">
        <w:t>2011</w:t>
      </w:r>
      <w:bookmarkEnd w:id="205"/>
      <w:bookmarkEnd w:id="206"/>
      <w:bookmarkEnd w:id="207"/>
      <w:bookmarkEnd w:id="208"/>
      <w:bookmarkEnd w:id="209"/>
    </w:p>
    <w:p w14:paraId="071628BF" w14:textId="77777777" w:rsidR="000230E8" w:rsidRDefault="000230E8" w:rsidP="000230E8">
      <w:r>
        <w:t>On behalf of the Board of the National Disability Authority, I acknowledge our responsibility for ensuring that an effective system of internal financial controls is maintained and operated.</w:t>
      </w:r>
    </w:p>
    <w:p w14:paraId="7825DF0E" w14:textId="77777777" w:rsidR="000230E8" w:rsidRDefault="000230E8" w:rsidP="000230E8">
      <w:r w:rsidRPr="00730F66">
        <w:t>The systems can provide only reasonable, and not absolute, assurance that the assets are safeguarded, transactions authorised and properly recorded, and that material errors or irregularities are either prevented or would be detected in a timely manner.</w:t>
      </w:r>
    </w:p>
    <w:p w14:paraId="5FEB1AB7" w14:textId="77777777" w:rsidR="000230E8" w:rsidRDefault="000230E8" w:rsidP="0083509E">
      <w:pPr>
        <w:pStyle w:val="NormalBeforeList"/>
      </w:pPr>
      <w:r w:rsidRPr="00730F66">
        <w:t>The Authority has taken steps to ensure an appropriate control environment is in place by:</w:t>
      </w:r>
    </w:p>
    <w:p w14:paraId="596CB76B" w14:textId="77777777" w:rsidR="000230E8" w:rsidRPr="00730F66" w:rsidRDefault="000230E8" w:rsidP="0083509E">
      <w:pPr>
        <w:pStyle w:val="ListBullet"/>
      </w:pPr>
      <w:r w:rsidRPr="00730F66">
        <w:t>Establishing formal procedures through various committee functions to monitor the activities and safeguard the assets of the organisation</w:t>
      </w:r>
    </w:p>
    <w:p w14:paraId="3AC57503" w14:textId="77777777" w:rsidR="000230E8" w:rsidRPr="00730F66" w:rsidRDefault="000230E8" w:rsidP="0083509E">
      <w:pPr>
        <w:pStyle w:val="ListBullet"/>
      </w:pPr>
      <w:r w:rsidRPr="00730F66">
        <w:t>Clearly defining and documenting management responsibilities and powers</w:t>
      </w:r>
    </w:p>
    <w:p w14:paraId="4426D892" w14:textId="77777777" w:rsidR="000230E8" w:rsidRDefault="000230E8" w:rsidP="0083509E">
      <w:pPr>
        <w:pStyle w:val="ListBullet"/>
      </w:pPr>
      <w:r w:rsidRPr="00730F66">
        <w:t>Developing a strong culture of accountability across</w:t>
      </w:r>
      <w:r w:rsidR="0083509E">
        <w:t xml:space="preserve"> all levels of the organisation</w:t>
      </w:r>
    </w:p>
    <w:p w14:paraId="214F22C5" w14:textId="77777777" w:rsidR="000230E8" w:rsidRDefault="000230E8" w:rsidP="0083509E">
      <w:pPr>
        <w:pStyle w:val="NormalBeforeList"/>
      </w:pPr>
      <w:r w:rsidRPr="00730F66">
        <w:t xml:space="preserve">The Authority has also established processes to identify and evaluate business risks. This is achieved in a </w:t>
      </w:r>
      <w:proofErr w:type="gramStart"/>
      <w:r w:rsidRPr="00730F66">
        <w:t>numbers of ways</w:t>
      </w:r>
      <w:proofErr w:type="gramEnd"/>
      <w:r w:rsidRPr="00730F66">
        <w:t xml:space="preserve"> including:</w:t>
      </w:r>
    </w:p>
    <w:p w14:paraId="73F5AF36" w14:textId="77777777" w:rsidR="000230E8" w:rsidRPr="00730F66" w:rsidRDefault="000230E8" w:rsidP="0083509E">
      <w:pPr>
        <w:pStyle w:val="ListBullet"/>
      </w:pPr>
      <w:r w:rsidRPr="00730F66">
        <w:t>Identifying the nature, extent and financial implications of risks facing the National Disability Authority</w:t>
      </w:r>
    </w:p>
    <w:p w14:paraId="334FAE0B" w14:textId="77777777" w:rsidR="000230E8" w:rsidRPr="00730F66" w:rsidRDefault="000230E8" w:rsidP="0083509E">
      <w:pPr>
        <w:pStyle w:val="ListBullet"/>
      </w:pPr>
      <w:r w:rsidRPr="00730F66">
        <w:t xml:space="preserve">Assessing the likelihood of identified risks occurring. The NDA has prepared a risk register </w:t>
      </w:r>
      <w:r>
        <w:t xml:space="preserve">including strategic, operational, information technology, financial and </w:t>
      </w:r>
      <w:r w:rsidRPr="00730F66">
        <w:t>reputational /compliance risks</w:t>
      </w:r>
      <w:r>
        <w:t>. In addition, risk analysis is completed at project planning and scoping stage</w:t>
      </w:r>
    </w:p>
    <w:p w14:paraId="12D4A68E" w14:textId="77777777" w:rsidR="000230E8" w:rsidRPr="00730F66" w:rsidRDefault="000230E8" w:rsidP="0083509E">
      <w:pPr>
        <w:pStyle w:val="ListBullet"/>
      </w:pPr>
      <w:r w:rsidRPr="00730F66">
        <w:t>Assessing the National Disability Authority’s ability to manage and mitigate the risks that do occur</w:t>
      </w:r>
    </w:p>
    <w:p w14:paraId="03063ECD" w14:textId="77777777" w:rsidR="000230E8" w:rsidRPr="00730F66" w:rsidRDefault="000230E8" w:rsidP="0083509E">
      <w:pPr>
        <w:pStyle w:val="ListBullet"/>
      </w:pPr>
      <w:r w:rsidRPr="00730F66">
        <w:t>Working closely with Government and various agencies and institutions to ensure that there is a clear understanding of the National Disability Authority’s goals and support for the Authority’s strategies to achieve those goals</w:t>
      </w:r>
    </w:p>
    <w:p w14:paraId="21A3EE34" w14:textId="77777777" w:rsidR="000230E8" w:rsidRPr="00730F66" w:rsidRDefault="000230E8" w:rsidP="0083509E">
      <w:pPr>
        <w:pStyle w:val="ListBullet"/>
      </w:pPr>
      <w:r w:rsidRPr="00730F66">
        <w:t>Carrying out regular reviews of strategic plans both short and long term and evaluating the risks to bringing those plans to fruition</w:t>
      </w:r>
    </w:p>
    <w:p w14:paraId="28F60F6B" w14:textId="77777777" w:rsidR="000230E8" w:rsidRPr="00730F66" w:rsidRDefault="000230E8" w:rsidP="0083509E">
      <w:pPr>
        <w:pStyle w:val="ListBullet"/>
      </w:pPr>
      <w:r w:rsidRPr="00730F66">
        <w:t xml:space="preserve">Setting annual and </w:t>
      </w:r>
      <w:proofErr w:type="gramStart"/>
      <w:r w:rsidRPr="00730F66">
        <w:t>lo</w:t>
      </w:r>
      <w:r>
        <w:t>nger term</w:t>
      </w:r>
      <w:proofErr w:type="gramEnd"/>
      <w:r>
        <w:t xml:space="preserve"> targets for each area</w:t>
      </w:r>
      <w:r w:rsidRPr="00730F66">
        <w:t xml:space="preserve"> of our business followed by the regular reporting on the results achieved</w:t>
      </w:r>
    </w:p>
    <w:p w14:paraId="02BA5424" w14:textId="77777777" w:rsidR="000230E8" w:rsidRDefault="000230E8" w:rsidP="0083509E">
      <w:pPr>
        <w:pStyle w:val="ListBullet"/>
      </w:pPr>
      <w:r w:rsidRPr="00730F66">
        <w:lastRenderedPageBreak/>
        <w:t>Establishing and enforcing extensive standard procedures and provision under which financial assistance may be made available to projects, including provisions requiring repayment if the project does not fulfil c</w:t>
      </w:r>
      <w:r>
        <w:t>ommitments made by the promoter</w:t>
      </w:r>
    </w:p>
    <w:p w14:paraId="413A9B81" w14:textId="77777777" w:rsidR="000230E8" w:rsidRDefault="000230E8" w:rsidP="000230E8">
      <w:r w:rsidRPr="00730F66">
        <w:t xml:space="preserve">The system of internal financial control is based on a framework of regular management information, administrative procedures including segregation of duties, and a system of delegation and accountability. </w:t>
      </w:r>
      <w:proofErr w:type="gramStart"/>
      <w:r w:rsidRPr="00730F66">
        <w:t>In particular it</w:t>
      </w:r>
      <w:proofErr w:type="gramEnd"/>
      <w:r w:rsidRPr="00730F66">
        <w:t xml:space="preserve"> includes:</w:t>
      </w:r>
    </w:p>
    <w:p w14:paraId="006C8713" w14:textId="77777777" w:rsidR="000230E8" w:rsidRPr="00730F66" w:rsidRDefault="000230E8" w:rsidP="0083509E">
      <w:pPr>
        <w:pStyle w:val="ListBullet"/>
      </w:pPr>
      <w:r w:rsidRPr="00730F66">
        <w:t xml:space="preserve">A comprehensive budget system with an annual budget which is reviewed and agreed by the Authority </w:t>
      </w:r>
    </w:p>
    <w:p w14:paraId="5E869AE6" w14:textId="77777777" w:rsidR="000230E8" w:rsidRPr="00730F66" w:rsidRDefault="000230E8" w:rsidP="0083509E">
      <w:pPr>
        <w:pStyle w:val="ListBullet"/>
      </w:pPr>
      <w:r w:rsidRPr="00730F66">
        <w:t>Regular reviews by the Authority of periodic and annual financial reports which indicate financial performance against forecasts</w:t>
      </w:r>
    </w:p>
    <w:p w14:paraId="6CF14FD5" w14:textId="77777777" w:rsidR="000230E8" w:rsidRPr="00730F66" w:rsidRDefault="000230E8" w:rsidP="0083509E">
      <w:pPr>
        <w:pStyle w:val="ListBullet"/>
      </w:pPr>
      <w:r w:rsidRPr="00730F66">
        <w:t>Setting targets to measure financial and other performances</w:t>
      </w:r>
    </w:p>
    <w:p w14:paraId="0090815D" w14:textId="77777777" w:rsidR="000230E8" w:rsidRPr="00730F66" w:rsidRDefault="000230E8" w:rsidP="0083509E">
      <w:pPr>
        <w:pStyle w:val="ListBullet"/>
      </w:pPr>
      <w:r w:rsidRPr="00730F66">
        <w:t>Clearly defined capital investment control guidelines</w:t>
      </w:r>
    </w:p>
    <w:p w14:paraId="42BF7E50" w14:textId="77777777" w:rsidR="000230E8" w:rsidRDefault="000230E8" w:rsidP="0083509E">
      <w:pPr>
        <w:pStyle w:val="ListBullet"/>
      </w:pPr>
      <w:r w:rsidRPr="00730F66">
        <w:t>Formal</w:t>
      </w:r>
      <w:r>
        <w:t xml:space="preserve"> project management disciplines</w:t>
      </w:r>
    </w:p>
    <w:p w14:paraId="475D9F60" w14:textId="77777777" w:rsidR="000230E8" w:rsidRDefault="000230E8" w:rsidP="000230E8">
      <w:pPr>
        <w:rPr>
          <w:bCs/>
        </w:rPr>
      </w:pPr>
      <w:r w:rsidRPr="00730F66">
        <w:t xml:space="preserve">The Authority has outsourced an Internal Audit Service, which operates in accordance with the Framework Code of Best Practice, set out in the </w:t>
      </w:r>
      <w:r>
        <w:t xml:space="preserve">Revised </w:t>
      </w:r>
      <w:r w:rsidRPr="00730F66">
        <w:t>Code of Practice on the Governance of State Bodies</w:t>
      </w:r>
      <w:r>
        <w:t xml:space="preserve"> 2009</w:t>
      </w:r>
      <w:r w:rsidRPr="00730F66">
        <w:t xml:space="preserve">. </w:t>
      </w:r>
      <w:r>
        <w:t>As and from April 2011 the</w:t>
      </w:r>
      <w:r w:rsidRPr="00730F66">
        <w:t xml:space="preserve"> Internal Audit Service </w:t>
      </w:r>
      <w:r>
        <w:t>was</w:t>
      </w:r>
      <w:r w:rsidRPr="00730F66">
        <w:t xml:space="preserve"> carried out by the Department of Justice</w:t>
      </w:r>
      <w:r>
        <w:t xml:space="preserve"> and Equality. </w:t>
      </w:r>
      <w:r w:rsidRPr="00730F66">
        <w:t xml:space="preserve">The Internal Audit Service reports regularly to the Audit Committee. In </w:t>
      </w:r>
      <w:r>
        <w:t>2011,</w:t>
      </w:r>
      <w:r w:rsidRPr="00730F66">
        <w:t xml:space="preserve"> Internal </w:t>
      </w:r>
      <w:r w:rsidRPr="00315AE9">
        <w:t>Audit</w:t>
      </w:r>
      <w:r w:rsidRPr="007015A0">
        <w:rPr>
          <w:color w:val="FF0000"/>
        </w:rPr>
        <w:t xml:space="preserve"> </w:t>
      </w:r>
      <w:r w:rsidRPr="00DB7CF6">
        <w:rPr>
          <w:bCs/>
        </w:rPr>
        <w:t xml:space="preserve">completed </w:t>
      </w:r>
      <w:r>
        <w:rPr>
          <w:bCs/>
        </w:rPr>
        <w:t xml:space="preserve">a </w:t>
      </w:r>
      <w:r w:rsidRPr="00DB7CF6">
        <w:rPr>
          <w:bCs/>
        </w:rPr>
        <w:t xml:space="preserve">review of the implementation of the recommendations from previous audits (payroll, </w:t>
      </w:r>
      <w:proofErr w:type="gramStart"/>
      <w:r w:rsidRPr="00DB7CF6">
        <w:rPr>
          <w:bCs/>
        </w:rPr>
        <w:t>procurement</w:t>
      </w:r>
      <w:proofErr w:type="gramEnd"/>
      <w:r w:rsidRPr="00DB7CF6">
        <w:rPr>
          <w:bCs/>
        </w:rPr>
        <w:t xml:space="preserve"> and fixed assets).</w:t>
      </w:r>
      <w:r>
        <w:rPr>
          <w:bCs/>
        </w:rPr>
        <w:t xml:space="preserve"> There were no </w:t>
      </w:r>
      <w:proofErr w:type="gramStart"/>
      <w:r>
        <w:rPr>
          <w:bCs/>
        </w:rPr>
        <w:t>high risk</w:t>
      </w:r>
      <w:proofErr w:type="gramEnd"/>
      <w:r>
        <w:rPr>
          <w:bCs/>
        </w:rPr>
        <w:t xml:space="preserve"> areas for concern noted.</w:t>
      </w:r>
    </w:p>
    <w:p w14:paraId="6DB802C9" w14:textId="77777777" w:rsidR="000230E8" w:rsidRPr="00730F66" w:rsidRDefault="000230E8" w:rsidP="000230E8">
      <w:r w:rsidRPr="00730F66">
        <w:t xml:space="preserve">The Authority has responsibility for overseeing the implementation of the Internal Audit Service recommendations to ensure proper and effective financial control procedures are maintained and </w:t>
      </w:r>
      <w:r>
        <w:t>oversees the internal audit function and related p</w:t>
      </w:r>
      <w:r w:rsidRPr="00730F66">
        <w:t>lans to include any new identified areas.</w:t>
      </w:r>
    </w:p>
    <w:p w14:paraId="474FBBDA" w14:textId="77777777" w:rsidR="000230E8" w:rsidRDefault="000230E8" w:rsidP="0083509E">
      <w:pPr>
        <w:pStyle w:val="NormalBeforeList"/>
      </w:pPr>
      <w:r w:rsidRPr="00730F66">
        <w:t>The Authority’s monitoring and review of the effectiveness of the systems of internal financial control is informed by:</w:t>
      </w:r>
    </w:p>
    <w:p w14:paraId="58E66426" w14:textId="77777777" w:rsidR="000230E8" w:rsidRPr="00730F66" w:rsidRDefault="000230E8" w:rsidP="0083509E">
      <w:pPr>
        <w:pStyle w:val="ListBullet"/>
      </w:pPr>
      <w:r w:rsidRPr="00730F66">
        <w:t xml:space="preserve">the work of the Internal Audit </w:t>
      </w:r>
      <w:proofErr w:type="gramStart"/>
      <w:r w:rsidRPr="00730F66">
        <w:t>Service  and</w:t>
      </w:r>
      <w:proofErr w:type="gramEnd"/>
      <w:r w:rsidRPr="00730F66">
        <w:t xml:space="preserve"> the contribution of the Audit Committee which oversees the work of the Internal Auditor and of the c</w:t>
      </w:r>
      <w:r>
        <w:t>orporate governance environment</w:t>
      </w:r>
    </w:p>
    <w:p w14:paraId="199CEA5C" w14:textId="77777777" w:rsidR="000230E8" w:rsidRPr="00730F66" w:rsidRDefault="000230E8" w:rsidP="0083509E">
      <w:pPr>
        <w:pStyle w:val="ListBullet"/>
      </w:pPr>
      <w:r w:rsidRPr="00730F66">
        <w:t>the executive managers with the National Disability Authority who have responsibility for the development and the maintenance of the fin</w:t>
      </w:r>
      <w:r>
        <w:t>ancial control framework</w:t>
      </w:r>
    </w:p>
    <w:p w14:paraId="33D79C1F" w14:textId="77777777" w:rsidR="000230E8" w:rsidRPr="00730F66" w:rsidRDefault="000230E8" w:rsidP="0083509E">
      <w:pPr>
        <w:pStyle w:val="ListBullet"/>
      </w:pPr>
      <w:r w:rsidRPr="00730F66">
        <w:t xml:space="preserve">the Finance committee who </w:t>
      </w:r>
      <w:proofErr w:type="gramStart"/>
      <w:r w:rsidRPr="00730F66">
        <w:t>report</w:t>
      </w:r>
      <w:proofErr w:type="gramEnd"/>
      <w:r w:rsidRPr="00730F66">
        <w:t xml:space="preserve"> </w:t>
      </w:r>
      <w:r>
        <w:t xml:space="preserve">at least </w:t>
      </w:r>
      <w:r w:rsidRPr="00730F66">
        <w:t>quarterly on financial expenditure and related issues and</w:t>
      </w:r>
    </w:p>
    <w:p w14:paraId="718D1CC9" w14:textId="77777777" w:rsidR="000230E8" w:rsidRDefault="000230E8" w:rsidP="0083509E">
      <w:pPr>
        <w:pStyle w:val="ListBullet"/>
      </w:pPr>
      <w:r w:rsidRPr="00730F66">
        <w:lastRenderedPageBreak/>
        <w:t>the issues raised by the Comptroller and Auditor General</w:t>
      </w:r>
    </w:p>
    <w:p w14:paraId="4D964ED1" w14:textId="77777777" w:rsidR="000230E8" w:rsidRDefault="000230E8" w:rsidP="000230E8">
      <w:r>
        <w:t>I confirm that the Authority has carried out a formal review of the effectiveness of the systems of internal financial controls for 2011.</w:t>
      </w:r>
    </w:p>
    <w:p w14:paraId="1A5A9540" w14:textId="77777777" w:rsidR="000230E8" w:rsidRDefault="000230E8" w:rsidP="000230E8">
      <w:r>
        <w:t xml:space="preserve">Peter </w:t>
      </w:r>
      <w:proofErr w:type="spellStart"/>
      <w:r>
        <w:t>McKevitt</w:t>
      </w:r>
      <w:proofErr w:type="spellEnd"/>
    </w:p>
    <w:p w14:paraId="201C6C41" w14:textId="77777777" w:rsidR="000230E8" w:rsidRDefault="000230E8" w:rsidP="000230E8">
      <w:r w:rsidRPr="00730F66">
        <w:t>Chair</w:t>
      </w:r>
      <w:r>
        <w:t>man</w:t>
      </w:r>
    </w:p>
    <w:p w14:paraId="7D71AF55" w14:textId="77777777" w:rsidR="000230E8" w:rsidRDefault="000230E8" w:rsidP="000230E8">
      <w:r>
        <w:t>10 September 2012</w:t>
      </w:r>
    </w:p>
    <w:p w14:paraId="0D605927" w14:textId="77777777" w:rsidR="000230E8" w:rsidRDefault="00BC3842" w:rsidP="000230E8">
      <w:pPr>
        <w:pStyle w:val="Heading1"/>
      </w:pPr>
      <w:bookmarkStart w:id="210" w:name="_Toc335828911"/>
      <w:bookmarkStart w:id="211" w:name="_Toc335829649"/>
      <w:bookmarkStart w:id="212" w:name="_Toc335836377"/>
      <w:bookmarkStart w:id="213" w:name="_Toc335983434"/>
      <w:r>
        <w:br w:type="page"/>
      </w:r>
      <w:bookmarkStart w:id="214" w:name="_Toc335986603"/>
      <w:r w:rsidR="000230E8">
        <w:lastRenderedPageBreak/>
        <w:t>Report of the Comptroller and Auditor General for presentation to the Houses of the Oireachtas</w:t>
      </w:r>
      <w:bookmarkEnd w:id="210"/>
      <w:bookmarkEnd w:id="211"/>
      <w:bookmarkEnd w:id="212"/>
      <w:bookmarkEnd w:id="213"/>
      <w:bookmarkEnd w:id="214"/>
    </w:p>
    <w:p w14:paraId="4448D7A7" w14:textId="77777777" w:rsidR="000230E8" w:rsidRDefault="000230E8" w:rsidP="000230E8">
      <w:r>
        <w:t xml:space="preserve">I have audited the financial statements of the National Disability Authority for the year ended 31 December 2011 under the National Disability Authority Act 1999. </w:t>
      </w:r>
    </w:p>
    <w:p w14:paraId="3985FB22" w14:textId="77777777" w:rsidR="000230E8" w:rsidRDefault="000230E8" w:rsidP="000230E8">
      <w:r>
        <w:t xml:space="preserve">The financial statements, which have been prepared under the accounting policies set out therein, comprise the Statement of Accounting Policies, the Income and Expenditure Account, the Statement of Total Recognised Gains and Losses, the Balance Sheet, the Cash Flow </w:t>
      </w:r>
      <w:proofErr w:type="gramStart"/>
      <w:r>
        <w:t>Statement</w:t>
      </w:r>
      <w:proofErr w:type="gramEnd"/>
      <w:r>
        <w:t xml:space="preserve"> and the related notes. The financial reporting framework that has been applied in their preparation is applicable law and Generally Accepted Accounting Practice in Ireland.</w:t>
      </w:r>
    </w:p>
    <w:p w14:paraId="64001C8B" w14:textId="77777777" w:rsidR="000230E8" w:rsidRDefault="000230E8" w:rsidP="000230E8">
      <w:pPr>
        <w:pStyle w:val="Heading2"/>
      </w:pPr>
      <w:bookmarkStart w:id="215" w:name="_Toc335836378"/>
      <w:r>
        <w:t>Responsibilities of the Members of the Authority</w:t>
      </w:r>
      <w:bookmarkEnd w:id="215"/>
    </w:p>
    <w:p w14:paraId="7353EE7D" w14:textId="77777777" w:rsidR="000230E8" w:rsidRDefault="000230E8" w:rsidP="000230E8">
      <w:r>
        <w:t>The Authority is responsible for the preparation of the financial statements, for ensuring that they give a true and fair view of the state of the National Disability Authority’s affairs and of its income and expenditure, and for ensuring the regularity of transactions.</w:t>
      </w:r>
    </w:p>
    <w:p w14:paraId="75F1241F" w14:textId="77777777" w:rsidR="000230E8" w:rsidRDefault="000230E8" w:rsidP="000230E8">
      <w:pPr>
        <w:pStyle w:val="Heading2"/>
      </w:pPr>
      <w:bookmarkStart w:id="216" w:name="_Toc335836379"/>
      <w:r>
        <w:t>Responsibilities of the Comptroller and Auditor General</w:t>
      </w:r>
      <w:bookmarkEnd w:id="216"/>
    </w:p>
    <w:p w14:paraId="3F03BD10" w14:textId="77777777" w:rsidR="000230E8" w:rsidRDefault="000230E8" w:rsidP="000230E8">
      <w:r>
        <w:t xml:space="preserve">My responsibility is to audit the financial statements and report on them in accordance with applicable law.  </w:t>
      </w:r>
    </w:p>
    <w:p w14:paraId="0D78D5C6" w14:textId="77777777" w:rsidR="000230E8" w:rsidRDefault="000230E8" w:rsidP="000230E8">
      <w:r>
        <w:t>My audit is conducted by reference to the special considerations which attach to State bodies in relation to their management and operation.</w:t>
      </w:r>
    </w:p>
    <w:p w14:paraId="6FADC0ED" w14:textId="77777777" w:rsidR="000230E8" w:rsidRDefault="000230E8" w:rsidP="000230E8">
      <w:r>
        <w:t>My audit is carried out in accordance with the International Standards on Auditing (UK and Ireland) and in compliance with the Auditing Practices Board’s Ethical Standards for Auditors.</w:t>
      </w:r>
    </w:p>
    <w:p w14:paraId="77CF468B" w14:textId="77777777" w:rsidR="000230E8" w:rsidRDefault="000230E8" w:rsidP="000230E8">
      <w:pPr>
        <w:pStyle w:val="Heading2"/>
      </w:pPr>
      <w:bookmarkStart w:id="217" w:name="_Toc335836380"/>
      <w:r>
        <w:t>Scope of Audit of the Financial Statements</w:t>
      </w:r>
      <w:bookmarkEnd w:id="217"/>
    </w:p>
    <w:p w14:paraId="65D24BD6" w14:textId="77777777" w:rsidR="000230E8" w:rsidRDefault="000230E8" w:rsidP="000230E8">
      <w:r>
        <w:t xml:space="preserve">An audit involves obtaining evidence about the amounts and disclosures in the financial statements, sufficient to give reasonable assurance that the financial statements are free from material misstatement, whether caused by fraud or error. This includes an assessment of </w:t>
      </w:r>
    </w:p>
    <w:p w14:paraId="4FB44EFF" w14:textId="77777777" w:rsidR="000230E8" w:rsidRDefault="000230E8" w:rsidP="00BC3842">
      <w:pPr>
        <w:pStyle w:val="ListBullet"/>
      </w:pPr>
      <w:r>
        <w:t>whether the accounting policies are appropriate to the Authority’s circumstances, and have been consistently applied and adequately disclosed</w:t>
      </w:r>
    </w:p>
    <w:p w14:paraId="534768F3" w14:textId="77777777" w:rsidR="000230E8" w:rsidRDefault="000230E8" w:rsidP="00BC3842">
      <w:pPr>
        <w:pStyle w:val="ListBullet"/>
      </w:pPr>
      <w:r>
        <w:t>the reasonableness of significant accounting estimates made in the preparation of the financial statements, and</w:t>
      </w:r>
    </w:p>
    <w:p w14:paraId="759203B9" w14:textId="77777777" w:rsidR="000230E8" w:rsidRDefault="000230E8" w:rsidP="00BC3842">
      <w:pPr>
        <w:pStyle w:val="ListBullet"/>
      </w:pPr>
      <w:r>
        <w:t>the overall presentation of the financial statements</w:t>
      </w:r>
    </w:p>
    <w:p w14:paraId="7DA5BB0D" w14:textId="77777777" w:rsidR="000230E8" w:rsidRDefault="000230E8" w:rsidP="000230E8">
      <w:r>
        <w:lastRenderedPageBreak/>
        <w:t xml:space="preserve">I also seek to obtain evidence about the regularity of financial transactions </w:t>
      </w:r>
      <w:proofErr w:type="gramStart"/>
      <w:r>
        <w:t>in the course of</w:t>
      </w:r>
      <w:proofErr w:type="gramEnd"/>
      <w:r>
        <w:t xml:space="preserve"> audit. </w:t>
      </w:r>
    </w:p>
    <w:p w14:paraId="5A05E2D3" w14:textId="77777777" w:rsidR="000230E8" w:rsidRDefault="000230E8" w:rsidP="000230E8">
      <w:r>
        <w:t xml:space="preserve">In addition, I read all the financial and non-financial information in the annual report to identify material inconsistencies with the audited financial statements. If I become aware of any apparent material misstatements or </w:t>
      </w:r>
      <w:proofErr w:type="gramStart"/>
      <w:r>
        <w:t>inconsistencies</w:t>
      </w:r>
      <w:proofErr w:type="gramEnd"/>
      <w:r>
        <w:t xml:space="preserve"> I consider the implications for my report.</w:t>
      </w:r>
    </w:p>
    <w:p w14:paraId="2EDB914B" w14:textId="77777777" w:rsidR="000230E8" w:rsidRDefault="000230E8" w:rsidP="000230E8">
      <w:pPr>
        <w:pStyle w:val="Heading2"/>
      </w:pPr>
      <w:bookmarkStart w:id="218" w:name="_Toc335836381"/>
      <w:r>
        <w:t>Opinion on the Financial Statements</w:t>
      </w:r>
      <w:bookmarkEnd w:id="218"/>
    </w:p>
    <w:p w14:paraId="3861BF84" w14:textId="77777777" w:rsidR="000230E8" w:rsidRDefault="000230E8" w:rsidP="000230E8">
      <w:r>
        <w:t xml:space="preserve">In my opinion, the financial statements, which have been properly prepared in accordance with Generally Accepted Accounting Practice in Ireland, give a true and fair view of the state of the Authority’s affairs </w:t>
      </w:r>
      <w:proofErr w:type="gramStart"/>
      <w:r>
        <w:t>at</w:t>
      </w:r>
      <w:proofErr w:type="gramEnd"/>
      <w:r>
        <w:t xml:space="preserve"> 31 December 2011 and of its income and expenditure for the year then ended.</w:t>
      </w:r>
    </w:p>
    <w:p w14:paraId="18FCF98E" w14:textId="77777777" w:rsidR="000230E8" w:rsidRDefault="000230E8" w:rsidP="000230E8">
      <w:r>
        <w:t xml:space="preserve">In my opinion, proper books of account have been kept by Authority.  The financial statements </w:t>
      </w:r>
      <w:proofErr w:type="gramStart"/>
      <w:r>
        <w:t>are in agreement</w:t>
      </w:r>
      <w:proofErr w:type="gramEnd"/>
      <w:r>
        <w:t xml:space="preserve"> with the books of account.</w:t>
      </w:r>
    </w:p>
    <w:p w14:paraId="3BFE84D1" w14:textId="77777777" w:rsidR="000230E8" w:rsidRDefault="000230E8" w:rsidP="000230E8">
      <w:pPr>
        <w:pStyle w:val="Heading2"/>
      </w:pPr>
      <w:bookmarkStart w:id="219" w:name="_Toc335836382"/>
      <w:r>
        <w:t>Matters on which I Report by Exception</w:t>
      </w:r>
      <w:bookmarkEnd w:id="219"/>
    </w:p>
    <w:p w14:paraId="2E3A23AA" w14:textId="77777777" w:rsidR="000230E8" w:rsidRDefault="000230E8" w:rsidP="000230E8">
      <w:r>
        <w:t>I report by exception if</w:t>
      </w:r>
    </w:p>
    <w:p w14:paraId="0776ED27" w14:textId="77777777" w:rsidR="000230E8" w:rsidRDefault="000230E8" w:rsidP="00BC3842">
      <w:pPr>
        <w:pStyle w:val="ListBullet"/>
      </w:pPr>
      <w:r>
        <w:t>I have not received all the information and explanations I required for my audit, or</w:t>
      </w:r>
    </w:p>
    <w:p w14:paraId="7874B413" w14:textId="77777777" w:rsidR="000230E8" w:rsidRDefault="000230E8" w:rsidP="00BC3842">
      <w:pPr>
        <w:pStyle w:val="ListBullet"/>
      </w:pPr>
      <w:r>
        <w:t xml:space="preserve">my audit noted any material instance where moneys have not been applied for the purposes intended or where the transactions did not conform to the authorities governing them, or </w:t>
      </w:r>
    </w:p>
    <w:p w14:paraId="302D44F9" w14:textId="77777777" w:rsidR="000230E8" w:rsidRDefault="000230E8" w:rsidP="00BC3842">
      <w:pPr>
        <w:pStyle w:val="ListBullet"/>
      </w:pPr>
      <w:r>
        <w:t>the information given in the Authority’s Annual Report for the year for which the financial statements are prepared is not consistent with the financial statements, or</w:t>
      </w:r>
    </w:p>
    <w:p w14:paraId="53BBD8E6" w14:textId="77777777" w:rsidR="000230E8" w:rsidRDefault="000230E8" w:rsidP="00BC3842">
      <w:pPr>
        <w:pStyle w:val="ListBullet"/>
      </w:pPr>
      <w:r>
        <w:t>the Statement on Internal Financial Control does not reflect the Authority’s compliance with the Code of Practice for the Governance of State Bodies, or</w:t>
      </w:r>
    </w:p>
    <w:p w14:paraId="687CE497" w14:textId="77777777" w:rsidR="000230E8" w:rsidRDefault="000230E8" w:rsidP="00BC3842">
      <w:pPr>
        <w:pStyle w:val="ListBullet"/>
      </w:pPr>
      <w:r>
        <w:t xml:space="preserve">I find there are other material matters relating to the </w:t>
      </w:r>
      <w:proofErr w:type="gramStart"/>
      <w:r>
        <w:t>manner in which</w:t>
      </w:r>
      <w:proofErr w:type="gramEnd"/>
      <w:r>
        <w:t xml:space="preserve"> pub</w:t>
      </w:r>
      <w:r w:rsidR="00BC3842">
        <w:t>lic business has been conducted</w:t>
      </w:r>
    </w:p>
    <w:p w14:paraId="1A5A6A6C" w14:textId="77777777" w:rsidR="000230E8" w:rsidRDefault="000230E8" w:rsidP="000230E8">
      <w:r>
        <w:t xml:space="preserve">I have nothing to report </w:t>
      </w:r>
      <w:proofErr w:type="gramStart"/>
      <w:r>
        <w:t>in regard to</w:t>
      </w:r>
      <w:proofErr w:type="gramEnd"/>
      <w:r>
        <w:t xml:space="preserve"> those matters upon which reporting is by exception.</w:t>
      </w:r>
    </w:p>
    <w:p w14:paraId="19B1647D" w14:textId="77777777" w:rsidR="000230E8" w:rsidRDefault="000230E8" w:rsidP="000230E8">
      <w:r>
        <w:t>Andrew Harkness</w:t>
      </w:r>
    </w:p>
    <w:p w14:paraId="4568CC2D" w14:textId="77777777" w:rsidR="000230E8" w:rsidRDefault="000230E8" w:rsidP="000230E8">
      <w:r>
        <w:t xml:space="preserve">For and on behalf of the Comptroller and Auditor General      </w:t>
      </w:r>
    </w:p>
    <w:p w14:paraId="606DC019" w14:textId="77777777" w:rsidR="00BC3842" w:rsidRDefault="000230E8" w:rsidP="00BC3842">
      <w:r>
        <w:t>14 September 2012</w:t>
      </w:r>
      <w:bookmarkStart w:id="220" w:name="_Toc335828912"/>
      <w:bookmarkStart w:id="221" w:name="_Toc335829650"/>
      <w:bookmarkStart w:id="222" w:name="_Toc335836383"/>
      <w:bookmarkStart w:id="223" w:name="_Toc335983435"/>
    </w:p>
    <w:p w14:paraId="6D6F728B" w14:textId="77777777" w:rsidR="000230E8" w:rsidRDefault="00BC3842" w:rsidP="00BC3842">
      <w:pPr>
        <w:pStyle w:val="Heading1"/>
      </w:pPr>
      <w:r>
        <w:br w:type="page"/>
      </w:r>
      <w:bookmarkStart w:id="224" w:name="_Toc335986604"/>
      <w:r w:rsidR="000230E8" w:rsidRPr="00300E3E">
        <w:lastRenderedPageBreak/>
        <w:t>S</w:t>
      </w:r>
      <w:r w:rsidR="000230E8">
        <w:t>tatement of Accounting</w:t>
      </w:r>
      <w:r w:rsidR="000230E8" w:rsidRPr="00300E3E">
        <w:t xml:space="preserve"> P</w:t>
      </w:r>
      <w:r w:rsidR="000230E8">
        <w:t>olicies</w:t>
      </w:r>
      <w:bookmarkEnd w:id="220"/>
      <w:bookmarkEnd w:id="221"/>
      <w:bookmarkEnd w:id="222"/>
      <w:bookmarkEnd w:id="223"/>
      <w:bookmarkEnd w:id="224"/>
    </w:p>
    <w:p w14:paraId="678A3B2D" w14:textId="77777777" w:rsidR="000230E8" w:rsidRDefault="000230E8" w:rsidP="000230E8">
      <w:pPr>
        <w:pStyle w:val="Heading2"/>
      </w:pPr>
      <w:bookmarkStart w:id="225" w:name="_Toc335836384"/>
      <w:r>
        <w:t>Basis of Accounting</w:t>
      </w:r>
      <w:bookmarkEnd w:id="225"/>
    </w:p>
    <w:p w14:paraId="3D0D10C7" w14:textId="77777777" w:rsidR="000230E8" w:rsidRDefault="000230E8" w:rsidP="000230E8">
      <w:r>
        <w:t>The financial statements have been prepared using the accruals method of accounting, except as indicated below and in accordance with generally accepted accounting principles under the historical cost convention.</w:t>
      </w:r>
    </w:p>
    <w:p w14:paraId="39497D8E" w14:textId="77777777" w:rsidR="000230E8" w:rsidRDefault="000230E8" w:rsidP="000230E8">
      <w:r>
        <w:t>Financial Reporting Standards recommended by the recognised accountancy bodies are adopted as they become operative.</w:t>
      </w:r>
    </w:p>
    <w:p w14:paraId="53629391" w14:textId="77777777" w:rsidR="000230E8" w:rsidRDefault="000230E8" w:rsidP="000230E8">
      <w:pPr>
        <w:pStyle w:val="Heading2"/>
      </w:pPr>
      <w:bookmarkStart w:id="226" w:name="_Toc335836385"/>
      <w:r>
        <w:t>Oireachtas Grant Income</w:t>
      </w:r>
      <w:bookmarkEnd w:id="226"/>
    </w:p>
    <w:p w14:paraId="07C3F97F" w14:textId="77777777" w:rsidR="000230E8" w:rsidRPr="003971A2" w:rsidRDefault="000230E8" w:rsidP="000230E8">
      <w:pPr>
        <w:rPr>
          <w:b/>
        </w:rPr>
      </w:pPr>
      <w:r>
        <w:t>The income from this source represents the amounts provided to the NDA by the sponsoring departments through the direct payment of salary and other costs.</w:t>
      </w:r>
    </w:p>
    <w:p w14:paraId="04472C1F" w14:textId="77777777" w:rsidR="000230E8" w:rsidRDefault="000230E8" w:rsidP="000230E8">
      <w:pPr>
        <w:pStyle w:val="Heading2"/>
      </w:pPr>
      <w:bookmarkStart w:id="227" w:name="_Toc335836386"/>
      <w:r>
        <w:t>Other Income – Department of Education and Skills</w:t>
      </w:r>
      <w:bookmarkEnd w:id="227"/>
    </w:p>
    <w:p w14:paraId="39745078" w14:textId="77777777" w:rsidR="000230E8" w:rsidRPr="00EA5CF3" w:rsidRDefault="000230E8" w:rsidP="000230E8">
      <w:pPr>
        <w:rPr>
          <w:b/>
        </w:rPr>
      </w:pPr>
      <w:r>
        <w:t xml:space="preserve">Recoupment from the Department of Education and Skills in respect of salaries and superannuation met by the National Disability Authority is accounted for on an </w:t>
      </w:r>
      <w:proofErr w:type="gramStart"/>
      <w:r>
        <w:t>accruals</w:t>
      </w:r>
      <w:proofErr w:type="gramEnd"/>
      <w:r>
        <w:t xml:space="preserve"> basis.</w:t>
      </w:r>
    </w:p>
    <w:p w14:paraId="3E3FCFB4" w14:textId="77777777" w:rsidR="000230E8" w:rsidRDefault="000230E8" w:rsidP="000230E8">
      <w:pPr>
        <w:pStyle w:val="Heading2"/>
      </w:pPr>
      <w:bookmarkStart w:id="228" w:name="_Toc335836387"/>
      <w:r>
        <w:t>Fixed Assets and Depreciation</w:t>
      </w:r>
      <w:bookmarkEnd w:id="228"/>
    </w:p>
    <w:p w14:paraId="31100A80" w14:textId="77777777" w:rsidR="000230E8" w:rsidRDefault="000230E8" w:rsidP="000230E8">
      <w:r>
        <w:t xml:space="preserve">Fixed Assets are shown at original cost or valuation less accumulated depreciation. </w:t>
      </w:r>
    </w:p>
    <w:p w14:paraId="4F6FAFBC" w14:textId="77777777" w:rsidR="000230E8" w:rsidRDefault="000230E8" w:rsidP="000230E8">
      <w:r>
        <w:t>Depreciation is provided at the following annual rates:</w:t>
      </w:r>
    </w:p>
    <w:p w14:paraId="0AB593F8" w14:textId="77777777" w:rsidR="000230E8" w:rsidRDefault="000230E8" w:rsidP="000230E8">
      <w:r>
        <w:t xml:space="preserve">Office Furniture and Equipment               20.00 % (Straight Line) </w:t>
      </w:r>
    </w:p>
    <w:p w14:paraId="72FA4E4F" w14:textId="77777777" w:rsidR="000230E8" w:rsidRDefault="000230E8" w:rsidP="000230E8">
      <w:r>
        <w:t>Computer Hardware and Software           33.33 % (Straight Line)</w:t>
      </w:r>
    </w:p>
    <w:p w14:paraId="079B15E7" w14:textId="77777777" w:rsidR="000230E8" w:rsidRDefault="000230E8" w:rsidP="000230E8">
      <w:r>
        <w:t>Premises                                                   2.50 % (Reducing Balance Basis)</w:t>
      </w:r>
    </w:p>
    <w:p w14:paraId="63A3F34A" w14:textId="77777777" w:rsidR="000230E8" w:rsidRDefault="000230E8" w:rsidP="000230E8">
      <w:pPr>
        <w:pStyle w:val="Heading2"/>
      </w:pPr>
      <w:bookmarkStart w:id="229" w:name="_Toc335836388"/>
      <w:r>
        <w:t>Capital Account</w:t>
      </w:r>
      <w:bookmarkEnd w:id="229"/>
    </w:p>
    <w:p w14:paraId="23B95CD0" w14:textId="77777777" w:rsidR="000230E8" w:rsidRDefault="000230E8" w:rsidP="000230E8">
      <w:r>
        <w:t>The Capital Account represents the unamortised amount of income allocated for the purchase of fixed assets.</w:t>
      </w:r>
    </w:p>
    <w:p w14:paraId="192A65DE" w14:textId="77777777" w:rsidR="000230E8" w:rsidRPr="003971A2" w:rsidRDefault="000230E8" w:rsidP="000230E8">
      <w:pPr>
        <w:pStyle w:val="Heading2"/>
      </w:pPr>
      <w:bookmarkStart w:id="230" w:name="_Toc335836389"/>
      <w:r w:rsidRPr="003971A2">
        <w:t>Pensions</w:t>
      </w:r>
      <w:bookmarkEnd w:id="230"/>
    </w:p>
    <w:p w14:paraId="0A92A202" w14:textId="77777777" w:rsidR="000230E8" w:rsidRDefault="000230E8" w:rsidP="000230E8">
      <w:r>
        <w:t>The National Disability Authority operates a defined bene</w:t>
      </w:r>
      <w:r w:rsidRPr="009E12F9">
        <w:t>fit pension scheme which is funded annually on a pay as you go basis from monies available to it, including monies</w:t>
      </w:r>
      <w:r>
        <w:t xml:space="preserve"> provided by the Department of Justice and Equality and from contributions deducted from staff salaries. </w:t>
      </w:r>
    </w:p>
    <w:p w14:paraId="365DEE95" w14:textId="77777777" w:rsidR="000230E8" w:rsidRDefault="000230E8" w:rsidP="000230E8">
      <w:r>
        <w:lastRenderedPageBreak/>
        <w:t xml:space="preserve">Pension costs reflect pension benefits earned by employees in the period and are shown net of staff pension contributions which are retained by the National Disability Authority. An amount corresponding to the pension charge is recognised as income to the extent that it is </w:t>
      </w:r>
      <w:proofErr w:type="gramStart"/>
      <w:r>
        <w:t>recoverable, and</w:t>
      </w:r>
      <w:proofErr w:type="gramEnd"/>
      <w:r>
        <w:t xml:space="preserve"> offset by grants received in the year to discharge pension payments.</w:t>
      </w:r>
    </w:p>
    <w:p w14:paraId="4C96AB63" w14:textId="77777777" w:rsidR="000230E8" w:rsidRDefault="000230E8" w:rsidP="000230E8">
      <w:r>
        <w:t>Actuarial gains or losses arising on scheme liabilities are reflected in the Statement of Total Recognised Gains and Losses and a corresponding adjustment is recognised in the amount recoverable from the Department of Justice and Equality.</w:t>
      </w:r>
    </w:p>
    <w:p w14:paraId="4B39C5F6" w14:textId="77777777" w:rsidR="000230E8" w:rsidRDefault="000230E8" w:rsidP="000230E8">
      <w:r>
        <w:t>Pension liabilities represent the present value of future pension payments earned by staff to date. Deferred pension funding represents the corresponding asset to be recovered in future periods from the Department of Justice and Equality.</w:t>
      </w:r>
    </w:p>
    <w:p w14:paraId="026C55C6" w14:textId="77777777" w:rsidR="000230E8" w:rsidRPr="00994305" w:rsidRDefault="000230E8" w:rsidP="00AB5887">
      <w:pPr>
        <w:pStyle w:val="Heading1"/>
        <w:rPr>
          <w:lang w:val="en-GB" w:eastAsia="en-GB"/>
        </w:rPr>
      </w:pPr>
      <w:r>
        <w:br w:type="page"/>
      </w:r>
      <w:bookmarkStart w:id="231" w:name="_Toc335836390"/>
      <w:bookmarkStart w:id="232" w:name="_Toc335983436"/>
      <w:bookmarkStart w:id="233" w:name="_Toc335986605"/>
      <w:r w:rsidR="00AB5887">
        <w:lastRenderedPageBreak/>
        <w:t>I</w:t>
      </w:r>
      <w:proofErr w:type="spellStart"/>
      <w:r w:rsidR="00AB5887" w:rsidRPr="00755B9C">
        <w:rPr>
          <w:lang w:val="en-GB" w:eastAsia="en-GB"/>
        </w:rPr>
        <w:t>ncome</w:t>
      </w:r>
      <w:proofErr w:type="spellEnd"/>
      <w:r w:rsidRPr="00755B9C">
        <w:rPr>
          <w:lang w:val="en-GB" w:eastAsia="en-GB"/>
        </w:rPr>
        <w:t xml:space="preserve"> and Expenditure Account for the year ended 31 December 2011</w:t>
      </w:r>
      <w:bookmarkEnd w:id="231"/>
      <w:bookmarkEnd w:id="232"/>
      <w:bookmarkEnd w:id="233"/>
    </w:p>
    <w:tbl>
      <w:tblPr>
        <w:tblW w:w="90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328"/>
        <w:gridCol w:w="900"/>
        <w:gridCol w:w="1440"/>
        <w:gridCol w:w="1424"/>
      </w:tblGrid>
      <w:tr w:rsidR="000230E8" w:rsidRPr="00755B9C" w14:paraId="18660493" w14:textId="77777777" w:rsidTr="007418DE">
        <w:tblPrEx>
          <w:tblCellMar>
            <w:top w:w="0" w:type="dxa"/>
            <w:bottom w:w="0" w:type="dxa"/>
          </w:tblCellMar>
        </w:tblPrEx>
        <w:trPr>
          <w:tblHeader/>
        </w:trPr>
        <w:tc>
          <w:tcPr>
            <w:tcW w:w="5328" w:type="dxa"/>
            <w:shd w:val="clear" w:color="auto" w:fill="auto"/>
            <w:vAlign w:val="bottom"/>
          </w:tcPr>
          <w:p w14:paraId="11233385" w14:textId="77777777" w:rsidR="000230E8" w:rsidRPr="00994305" w:rsidRDefault="000230E8" w:rsidP="000230E8">
            <w:pPr>
              <w:spacing w:after="0"/>
              <w:rPr>
                <w:rFonts w:cs="Arial"/>
                <w:sz w:val="24"/>
                <w:lang w:val="en-GB" w:eastAsia="en-GB"/>
              </w:rPr>
            </w:pPr>
          </w:p>
        </w:tc>
        <w:tc>
          <w:tcPr>
            <w:tcW w:w="900" w:type="dxa"/>
            <w:shd w:val="clear" w:color="auto" w:fill="auto"/>
          </w:tcPr>
          <w:p w14:paraId="0E7C3DB4" w14:textId="77777777" w:rsidR="000230E8" w:rsidRPr="00994305" w:rsidRDefault="000230E8" w:rsidP="000230E8">
            <w:pPr>
              <w:pStyle w:val="TableHead"/>
              <w:jc w:val="right"/>
              <w:rPr>
                <w:sz w:val="24"/>
              </w:rPr>
            </w:pPr>
            <w:r w:rsidRPr="00994305">
              <w:rPr>
                <w:sz w:val="24"/>
              </w:rPr>
              <w:t>Notes</w:t>
            </w:r>
          </w:p>
        </w:tc>
        <w:tc>
          <w:tcPr>
            <w:tcW w:w="1440" w:type="dxa"/>
            <w:shd w:val="clear" w:color="auto" w:fill="auto"/>
            <w:vAlign w:val="bottom"/>
          </w:tcPr>
          <w:p w14:paraId="4F57D857" w14:textId="77777777" w:rsidR="000230E8" w:rsidRPr="00994305" w:rsidRDefault="000230E8" w:rsidP="000230E8">
            <w:pPr>
              <w:pStyle w:val="TableHead"/>
              <w:rPr>
                <w:sz w:val="24"/>
                <w:lang w:val="en-GB" w:eastAsia="en-GB"/>
              </w:rPr>
            </w:pPr>
            <w:r w:rsidRPr="00994305">
              <w:rPr>
                <w:sz w:val="24"/>
                <w:lang w:val="en-GB" w:eastAsia="en-GB"/>
              </w:rPr>
              <w:t>2011</w:t>
            </w:r>
          </w:p>
        </w:tc>
        <w:tc>
          <w:tcPr>
            <w:tcW w:w="1424" w:type="dxa"/>
            <w:shd w:val="clear" w:color="auto" w:fill="auto"/>
            <w:vAlign w:val="bottom"/>
          </w:tcPr>
          <w:p w14:paraId="7813530D" w14:textId="77777777" w:rsidR="000230E8" w:rsidRPr="00994305" w:rsidRDefault="000230E8" w:rsidP="000230E8">
            <w:pPr>
              <w:pStyle w:val="TableHead"/>
              <w:rPr>
                <w:sz w:val="24"/>
                <w:lang w:val="en-GB" w:eastAsia="en-GB"/>
              </w:rPr>
            </w:pPr>
            <w:r w:rsidRPr="00994305">
              <w:rPr>
                <w:sz w:val="24"/>
                <w:lang w:val="en-GB" w:eastAsia="en-GB"/>
              </w:rPr>
              <w:t>2010</w:t>
            </w:r>
          </w:p>
        </w:tc>
      </w:tr>
      <w:tr w:rsidR="000230E8" w:rsidRPr="00755B9C" w14:paraId="1397BDDC" w14:textId="77777777" w:rsidTr="007418DE">
        <w:tblPrEx>
          <w:tblCellMar>
            <w:top w:w="0" w:type="dxa"/>
            <w:bottom w:w="0" w:type="dxa"/>
          </w:tblCellMar>
        </w:tblPrEx>
        <w:tc>
          <w:tcPr>
            <w:tcW w:w="9092" w:type="dxa"/>
            <w:gridSpan w:val="4"/>
            <w:shd w:val="clear" w:color="auto" w:fill="auto"/>
            <w:vAlign w:val="bottom"/>
          </w:tcPr>
          <w:p w14:paraId="1CCA2FC8" w14:textId="77777777" w:rsidR="000230E8" w:rsidRPr="00994305" w:rsidRDefault="000230E8" w:rsidP="000230E8">
            <w:pPr>
              <w:pStyle w:val="TableHead"/>
              <w:jc w:val="center"/>
              <w:rPr>
                <w:rFonts w:cs="Arial"/>
                <w:bCs/>
                <w:sz w:val="24"/>
                <w:lang w:val="en-GB" w:eastAsia="en-GB"/>
              </w:rPr>
            </w:pPr>
            <w:r w:rsidRPr="00994305">
              <w:rPr>
                <w:sz w:val="24"/>
                <w:lang w:val="en-GB" w:eastAsia="en-GB"/>
              </w:rPr>
              <w:t>Income</w:t>
            </w:r>
          </w:p>
        </w:tc>
      </w:tr>
      <w:tr w:rsidR="000230E8" w:rsidRPr="00755B9C" w14:paraId="2D866E13" w14:textId="77777777" w:rsidTr="007418DE">
        <w:tblPrEx>
          <w:tblCellMar>
            <w:top w:w="0" w:type="dxa"/>
            <w:bottom w:w="0" w:type="dxa"/>
          </w:tblCellMar>
        </w:tblPrEx>
        <w:tc>
          <w:tcPr>
            <w:tcW w:w="5328" w:type="dxa"/>
            <w:shd w:val="clear" w:color="auto" w:fill="auto"/>
            <w:vAlign w:val="bottom"/>
          </w:tcPr>
          <w:p w14:paraId="3F5B6F39" w14:textId="77777777" w:rsidR="000230E8" w:rsidRPr="00994305" w:rsidRDefault="000230E8" w:rsidP="000230E8">
            <w:pPr>
              <w:pStyle w:val="TableRowHead"/>
              <w:rPr>
                <w:rFonts w:ascii="Gill Sans" w:hAnsi="Gill Sans"/>
                <w:sz w:val="24"/>
                <w:lang w:val="en-GB" w:eastAsia="en-GB"/>
              </w:rPr>
            </w:pPr>
          </w:p>
        </w:tc>
        <w:tc>
          <w:tcPr>
            <w:tcW w:w="900" w:type="dxa"/>
            <w:shd w:val="clear" w:color="auto" w:fill="auto"/>
            <w:vAlign w:val="bottom"/>
          </w:tcPr>
          <w:p w14:paraId="31C6B06E" w14:textId="77777777" w:rsidR="000230E8" w:rsidRPr="00994305" w:rsidRDefault="000230E8" w:rsidP="000230E8">
            <w:pPr>
              <w:spacing w:after="0"/>
              <w:jc w:val="center"/>
              <w:rPr>
                <w:rFonts w:ascii="Arial" w:hAnsi="Arial" w:cs="Arial"/>
                <w:sz w:val="24"/>
                <w:lang w:val="en-GB" w:eastAsia="en-GB"/>
              </w:rPr>
            </w:pPr>
          </w:p>
        </w:tc>
        <w:tc>
          <w:tcPr>
            <w:tcW w:w="1440" w:type="dxa"/>
            <w:shd w:val="clear" w:color="auto" w:fill="auto"/>
            <w:vAlign w:val="bottom"/>
          </w:tcPr>
          <w:p w14:paraId="2E6B33D2" w14:textId="77777777" w:rsidR="000230E8" w:rsidRPr="00994305" w:rsidRDefault="000230E8" w:rsidP="000230E8">
            <w:pPr>
              <w:pStyle w:val="TableHead"/>
              <w:jc w:val="right"/>
              <w:rPr>
                <w:rFonts w:ascii="Arial" w:hAnsi="Arial" w:cs="Arial"/>
                <w:sz w:val="24"/>
                <w:lang w:val="en-GB" w:eastAsia="en-GB"/>
              </w:rPr>
            </w:pPr>
            <w:r w:rsidRPr="00994305">
              <w:rPr>
                <w:rFonts w:ascii="Arial" w:hAnsi="Arial" w:cs="Arial"/>
                <w:sz w:val="24"/>
                <w:lang w:val="en-GB" w:eastAsia="en-GB"/>
              </w:rPr>
              <w:t xml:space="preserve">          €</w:t>
            </w:r>
          </w:p>
        </w:tc>
        <w:tc>
          <w:tcPr>
            <w:tcW w:w="1424" w:type="dxa"/>
            <w:shd w:val="clear" w:color="auto" w:fill="auto"/>
            <w:vAlign w:val="bottom"/>
          </w:tcPr>
          <w:p w14:paraId="61AFBA2E" w14:textId="77777777" w:rsidR="000230E8" w:rsidRPr="00994305" w:rsidRDefault="000230E8" w:rsidP="000230E8">
            <w:pPr>
              <w:pStyle w:val="TableHead"/>
              <w:jc w:val="right"/>
              <w:rPr>
                <w:rFonts w:ascii="Arial" w:hAnsi="Arial" w:cs="Arial"/>
                <w:sz w:val="24"/>
                <w:lang w:val="en-GB" w:eastAsia="en-GB"/>
              </w:rPr>
            </w:pPr>
            <w:r w:rsidRPr="00994305">
              <w:rPr>
                <w:rFonts w:ascii="Arial" w:hAnsi="Arial" w:cs="Arial"/>
                <w:sz w:val="24"/>
                <w:lang w:val="en-GB" w:eastAsia="en-GB"/>
              </w:rPr>
              <w:t xml:space="preserve">          €</w:t>
            </w:r>
          </w:p>
        </w:tc>
      </w:tr>
      <w:tr w:rsidR="000230E8" w:rsidRPr="00755B9C" w14:paraId="20150CAE" w14:textId="77777777" w:rsidTr="007418DE">
        <w:tblPrEx>
          <w:tblCellMar>
            <w:top w:w="0" w:type="dxa"/>
            <w:bottom w:w="0" w:type="dxa"/>
          </w:tblCellMar>
        </w:tblPrEx>
        <w:tc>
          <w:tcPr>
            <w:tcW w:w="5328" w:type="dxa"/>
            <w:shd w:val="clear" w:color="auto" w:fill="auto"/>
            <w:vAlign w:val="bottom"/>
          </w:tcPr>
          <w:p w14:paraId="19398FF1"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Grant income</w:t>
            </w:r>
          </w:p>
        </w:tc>
        <w:tc>
          <w:tcPr>
            <w:tcW w:w="900" w:type="dxa"/>
            <w:shd w:val="clear" w:color="auto" w:fill="auto"/>
            <w:vAlign w:val="bottom"/>
          </w:tcPr>
          <w:p w14:paraId="5053DD80" w14:textId="77777777" w:rsidR="000230E8" w:rsidRPr="00994305" w:rsidRDefault="000230E8" w:rsidP="000230E8">
            <w:pPr>
              <w:pStyle w:val="TableCell"/>
              <w:rPr>
                <w:sz w:val="24"/>
                <w:lang w:val="en-GB" w:eastAsia="en-GB"/>
              </w:rPr>
            </w:pPr>
            <w:r w:rsidRPr="00994305">
              <w:rPr>
                <w:sz w:val="24"/>
                <w:lang w:val="en-GB" w:eastAsia="en-GB"/>
              </w:rPr>
              <w:t>2(a)</w:t>
            </w:r>
          </w:p>
        </w:tc>
        <w:tc>
          <w:tcPr>
            <w:tcW w:w="1440" w:type="dxa"/>
            <w:shd w:val="clear" w:color="auto" w:fill="auto"/>
            <w:vAlign w:val="bottom"/>
          </w:tcPr>
          <w:p w14:paraId="3C65663F" w14:textId="77777777" w:rsidR="000230E8" w:rsidRPr="00994305" w:rsidRDefault="000230E8" w:rsidP="000230E8">
            <w:pPr>
              <w:pStyle w:val="TableCell"/>
              <w:rPr>
                <w:sz w:val="24"/>
                <w:lang w:val="en-GB" w:eastAsia="en-GB"/>
              </w:rPr>
            </w:pPr>
            <w:r w:rsidRPr="00994305">
              <w:rPr>
                <w:sz w:val="24"/>
                <w:lang w:val="en-GB" w:eastAsia="en-GB"/>
              </w:rPr>
              <w:t xml:space="preserve">4,170,812 </w:t>
            </w:r>
          </w:p>
        </w:tc>
        <w:tc>
          <w:tcPr>
            <w:tcW w:w="1424" w:type="dxa"/>
            <w:shd w:val="clear" w:color="auto" w:fill="auto"/>
            <w:vAlign w:val="bottom"/>
          </w:tcPr>
          <w:p w14:paraId="19104433" w14:textId="77777777" w:rsidR="000230E8" w:rsidRPr="00994305" w:rsidRDefault="000230E8" w:rsidP="000230E8">
            <w:pPr>
              <w:pStyle w:val="TableCell"/>
              <w:rPr>
                <w:sz w:val="24"/>
                <w:lang w:val="en-GB" w:eastAsia="en-GB"/>
              </w:rPr>
            </w:pPr>
            <w:r w:rsidRPr="00994305">
              <w:rPr>
                <w:sz w:val="24"/>
                <w:lang w:val="en-GB" w:eastAsia="en-GB"/>
              </w:rPr>
              <w:t xml:space="preserve">3,814,576 </w:t>
            </w:r>
          </w:p>
        </w:tc>
      </w:tr>
      <w:tr w:rsidR="000230E8" w:rsidRPr="00755B9C" w14:paraId="7AEF2816" w14:textId="77777777" w:rsidTr="007418DE">
        <w:tblPrEx>
          <w:tblCellMar>
            <w:top w:w="0" w:type="dxa"/>
            <w:bottom w:w="0" w:type="dxa"/>
          </w:tblCellMar>
        </w:tblPrEx>
        <w:tc>
          <w:tcPr>
            <w:tcW w:w="5328" w:type="dxa"/>
            <w:shd w:val="clear" w:color="auto" w:fill="auto"/>
            <w:vAlign w:val="bottom"/>
          </w:tcPr>
          <w:p w14:paraId="629432DF"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Net Deferred Funding for Pensions</w:t>
            </w:r>
          </w:p>
        </w:tc>
        <w:tc>
          <w:tcPr>
            <w:tcW w:w="900" w:type="dxa"/>
            <w:shd w:val="clear" w:color="auto" w:fill="auto"/>
            <w:vAlign w:val="bottom"/>
          </w:tcPr>
          <w:p w14:paraId="6A706FAC" w14:textId="77777777" w:rsidR="000230E8" w:rsidRPr="00994305" w:rsidRDefault="000230E8" w:rsidP="000230E8">
            <w:pPr>
              <w:pStyle w:val="TableCell"/>
              <w:rPr>
                <w:sz w:val="24"/>
                <w:lang w:val="en-GB" w:eastAsia="en-GB"/>
              </w:rPr>
            </w:pPr>
            <w:r w:rsidRPr="00994305">
              <w:rPr>
                <w:sz w:val="24"/>
                <w:lang w:val="en-GB" w:eastAsia="en-GB"/>
              </w:rPr>
              <w:t>10(b)</w:t>
            </w:r>
          </w:p>
        </w:tc>
        <w:tc>
          <w:tcPr>
            <w:tcW w:w="1440" w:type="dxa"/>
            <w:shd w:val="clear" w:color="auto" w:fill="auto"/>
            <w:vAlign w:val="bottom"/>
          </w:tcPr>
          <w:p w14:paraId="76791171" w14:textId="77777777" w:rsidR="000230E8" w:rsidRPr="00994305" w:rsidRDefault="000230E8" w:rsidP="000230E8">
            <w:pPr>
              <w:pStyle w:val="TableCell"/>
              <w:rPr>
                <w:sz w:val="24"/>
                <w:lang w:val="en-GB" w:eastAsia="en-GB"/>
              </w:rPr>
            </w:pPr>
            <w:r>
              <w:rPr>
                <w:sz w:val="24"/>
                <w:lang w:val="en-GB" w:eastAsia="en-GB"/>
              </w:rPr>
              <w:t>860,000</w:t>
            </w:r>
            <w:r w:rsidRPr="00994305">
              <w:rPr>
                <w:sz w:val="24"/>
                <w:lang w:val="en-GB" w:eastAsia="en-GB"/>
              </w:rPr>
              <w:t xml:space="preserve"> </w:t>
            </w:r>
          </w:p>
        </w:tc>
        <w:tc>
          <w:tcPr>
            <w:tcW w:w="1424" w:type="dxa"/>
            <w:shd w:val="clear" w:color="auto" w:fill="auto"/>
            <w:vAlign w:val="bottom"/>
          </w:tcPr>
          <w:p w14:paraId="1D9F14D6" w14:textId="77777777" w:rsidR="000230E8" w:rsidRPr="00994305" w:rsidRDefault="000230E8" w:rsidP="000230E8">
            <w:pPr>
              <w:pStyle w:val="TableCell"/>
              <w:rPr>
                <w:sz w:val="24"/>
                <w:lang w:val="en-GB" w:eastAsia="en-GB"/>
              </w:rPr>
            </w:pPr>
            <w:r w:rsidRPr="00994305">
              <w:rPr>
                <w:sz w:val="24"/>
                <w:lang w:val="en-GB" w:eastAsia="en-GB"/>
              </w:rPr>
              <w:t xml:space="preserve">1,013,728 </w:t>
            </w:r>
          </w:p>
        </w:tc>
      </w:tr>
      <w:tr w:rsidR="000230E8" w:rsidRPr="00755B9C" w14:paraId="3EA8EBB5" w14:textId="77777777" w:rsidTr="007418DE">
        <w:tblPrEx>
          <w:tblCellMar>
            <w:top w:w="0" w:type="dxa"/>
            <w:bottom w:w="0" w:type="dxa"/>
          </w:tblCellMar>
        </w:tblPrEx>
        <w:tc>
          <w:tcPr>
            <w:tcW w:w="5328" w:type="dxa"/>
            <w:shd w:val="clear" w:color="auto" w:fill="auto"/>
            <w:vAlign w:val="bottom"/>
          </w:tcPr>
          <w:p w14:paraId="43E1C5BC" w14:textId="77777777" w:rsidR="000230E8" w:rsidRPr="00994305" w:rsidRDefault="000230E8" w:rsidP="000230E8">
            <w:pPr>
              <w:pStyle w:val="TableRowHead"/>
              <w:rPr>
                <w:rFonts w:ascii="Gill Sans" w:hAnsi="Gill Sans"/>
                <w:sz w:val="24"/>
                <w:lang w:val="en-GB" w:eastAsia="en-GB"/>
              </w:rPr>
            </w:pPr>
          </w:p>
        </w:tc>
        <w:tc>
          <w:tcPr>
            <w:tcW w:w="900" w:type="dxa"/>
            <w:shd w:val="clear" w:color="auto" w:fill="auto"/>
            <w:vAlign w:val="bottom"/>
          </w:tcPr>
          <w:p w14:paraId="476B8CF2" w14:textId="77777777" w:rsidR="000230E8" w:rsidRPr="00994305" w:rsidRDefault="000230E8" w:rsidP="000230E8">
            <w:pPr>
              <w:pStyle w:val="TableCell"/>
              <w:rPr>
                <w:sz w:val="24"/>
                <w:lang w:val="en-GB" w:eastAsia="en-GB"/>
              </w:rPr>
            </w:pPr>
          </w:p>
        </w:tc>
        <w:tc>
          <w:tcPr>
            <w:tcW w:w="1440" w:type="dxa"/>
            <w:shd w:val="clear" w:color="auto" w:fill="auto"/>
            <w:vAlign w:val="bottom"/>
          </w:tcPr>
          <w:p w14:paraId="040AFCFB" w14:textId="77777777" w:rsidR="000230E8" w:rsidRPr="00994305" w:rsidRDefault="000230E8" w:rsidP="000230E8">
            <w:pPr>
              <w:pStyle w:val="TableCell"/>
              <w:rPr>
                <w:sz w:val="24"/>
                <w:lang w:val="en-GB" w:eastAsia="en-GB"/>
              </w:rPr>
            </w:pPr>
          </w:p>
        </w:tc>
        <w:tc>
          <w:tcPr>
            <w:tcW w:w="1424" w:type="dxa"/>
            <w:shd w:val="clear" w:color="auto" w:fill="auto"/>
            <w:vAlign w:val="bottom"/>
          </w:tcPr>
          <w:p w14:paraId="3497CD3A" w14:textId="77777777" w:rsidR="000230E8" w:rsidRPr="00994305" w:rsidRDefault="000230E8" w:rsidP="000230E8">
            <w:pPr>
              <w:pStyle w:val="TableCell"/>
              <w:rPr>
                <w:sz w:val="24"/>
                <w:lang w:val="en-GB" w:eastAsia="en-GB"/>
              </w:rPr>
            </w:pPr>
          </w:p>
        </w:tc>
      </w:tr>
      <w:tr w:rsidR="000230E8" w:rsidRPr="00755B9C" w14:paraId="539818B6" w14:textId="77777777" w:rsidTr="007418DE">
        <w:tblPrEx>
          <w:tblCellMar>
            <w:top w:w="0" w:type="dxa"/>
            <w:bottom w:w="0" w:type="dxa"/>
          </w:tblCellMar>
        </w:tblPrEx>
        <w:tc>
          <w:tcPr>
            <w:tcW w:w="5328" w:type="dxa"/>
            <w:shd w:val="clear" w:color="auto" w:fill="auto"/>
            <w:vAlign w:val="bottom"/>
          </w:tcPr>
          <w:p w14:paraId="71675D16"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 xml:space="preserve">Other Income </w:t>
            </w:r>
          </w:p>
        </w:tc>
        <w:tc>
          <w:tcPr>
            <w:tcW w:w="900" w:type="dxa"/>
            <w:shd w:val="clear" w:color="auto" w:fill="auto"/>
            <w:vAlign w:val="bottom"/>
          </w:tcPr>
          <w:p w14:paraId="256B0922" w14:textId="77777777" w:rsidR="000230E8" w:rsidRPr="00994305" w:rsidRDefault="000230E8" w:rsidP="000230E8">
            <w:pPr>
              <w:pStyle w:val="TableCell"/>
              <w:rPr>
                <w:sz w:val="24"/>
                <w:lang w:val="en-GB" w:eastAsia="en-GB"/>
              </w:rPr>
            </w:pPr>
            <w:r w:rsidRPr="00994305">
              <w:rPr>
                <w:sz w:val="24"/>
                <w:lang w:val="en-GB" w:eastAsia="en-GB"/>
              </w:rPr>
              <w:t>2(b)</w:t>
            </w:r>
          </w:p>
        </w:tc>
        <w:tc>
          <w:tcPr>
            <w:tcW w:w="1440" w:type="dxa"/>
            <w:shd w:val="clear" w:color="auto" w:fill="auto"/>
            <w:vAlign w:val="bottom"/>
          </w:tcPr>
          <w:p w14:paraId="164A25CF" w14:textId="77777777" w:rsidR="000230E8" w:rsidRPr="00994305" w:rsidRDefault="000230E8" w:rsidP="000230E8">
            <w:pPr>
              <w:pStyle w:val="TableCell"/>
              <w:rPr>
                <w:sz w:val="24"/>
                <w:lang w:val="en-GB" w:eastAsia="en-GB"/>
              </w:rPr>
            </w:pPr>
            <w:r w:rsidRPr="00994305">
              <w:rPr>
                <w:sz w:val="24"/>
                <w:lang w:val="en-GB" w:eastAsia="en-GB"/>
              </w:rPr>
              <w:t xml:space="preserve">18,440 </w:t>
            </w:r>
          </w:p>
        </w:tc>
        <w:tc>
          <w:tcPr>
            <w:tcW w:w="1424" w:type="dxa"/>
            <w:shd w:val="clear" w:color="auto" w:fill="auto"/>
            <w:vAlign w:val="bottom"/>
          </w:tcPr>
          <w:p w14:paraId="3599427A" w14:textId="77777777" w:rsidR="000230E8" w:rsidRPr="00994305" w:rsidRDefault="000230E8" w:rsidP="000230E8">
            <w:pPr>
              <w:pStyle w:val="TableCell"/>
              <w:rPr>
                <w:sz w:val="24"/>
                <w:lang w:val="en-GB" w:eastAsia="en-GB"/>
              </w:rPr>
            </w:pPr>
            <w:r w:rsidRPr="00994305">
              <w:rPr>
                <w:sz w:val="24"/>
                <w:lang w:val="en-GB" w:eastAsia="en-GB"/>
              </w:rPr>
              <w:t xml:space="preserve">20,155 </w:t>
            </w:r>
          </w:p>
        </w:tc>
      </w:tr>
      <w:tr w:rsidR="000230E8" w:rsidRPr="00755B9C" w14:paraId="005A1D45" w14:textId="77777777" w:rsidTr="007418DE">
        <w:tblPrEx>
          <w:tblCellMar>
            <w:top w:w="0" w:type="dxa"/>
            <w:bottom w:w="0" w:type="dxa"/>
          </w:tblCellMar>
        </w:tblPrEx>
        <w:tc>
          <w:tcPr>
            <w:tcW w:w="5328" w:type="dxa"/>
            <w:shd w:val="clear" w:color="auto" w:fill="auto"/>
            <w:vAlign w:val="bottom"/>
          </w:tcPr>
          <w:p w14:paraId="0CF8E885" w14:textId="77777777" w:rsidR="000230E8" w:rsidRPr="00994305" w:rsidRDefault="000230E8" w:rsidP="000230E8">
            <w:pPr>
              <w:pStyle w:val="TableRowHead"/>
              <w:rPr>
                <w:rFonts w:ascii="Gill Sans" w:hAnsi="Gill Sans"/>
                <w:sz w:val="24"/>
                <w:lang w:val="en-GB" w:eastAsia="en-GB"/>
              </w:rPr>
            </w:pPr>
          </w:p>
        </w:tc>
        <w:tc>
          <w:tcPr>
            <w:tcW w:w="900" w:type="dxa"/>
            <w:shd w:val="clear" w:color="auto" w:fill="auto"/>
            <w:vAlign w:val="bottom"/>
          </w:tcPr>
          <w:p w14:paraId="43FCE718" w14:textId="77777777" w:rsidR="000230E8" w:rsidRPr="00994305" w:rsidRDefault="000230E8" w:rsidP="000230E8">
            <w:pPr>
              <w:pStyle w:val="TableCell"/>
              <w:rPr>
                <w:sz w:val="24"/>
                <w:lang w:val="en-GB" w:eastAsia="en-GB"/>
              </w:rPr>
            </w:pPr>
          </w:p>
        </w:tc>
        <w:tc>
          <w:tcPr>
            <w:tcW w:w="1440" w:type="dxa"/>
            <w:shd w:val="clear" w:color="auto" w:fill="auto"/>
            <w:vAlign w:val="bottom"/>
          </w:tcPr>
          <w:p w14:paraId="583A6713" w14:textId="77777777" w:rsidR="000230E8" w:rsidRPr="00994305" w:rsidRDefault="000230E8" w:rsidP="000230E8">
            <w:pPr>
              <w:pStyle w:val="TableCell"/>
              <w:rPr>
                <w:sz w:val="24"/>
                <w:lang w:val="en-GB" w:eastAsia="en-GB"/>
              </w:rPr>
            </w:pPr>
            <w:r w:rsidRPr="00994305">
              <w:rPr>
                <w:sz w:val="24"/>
                <w:lang w:val="en-GB" w:eastAsia="en-GB"/>
              </w:rPr>
              <w:t xml:space="preserve">5,046,477 </w:t>
            </w:r>
          </w:p>
        </w:tc>
        <w:tc>
          <w:tcPr>
            <w:tcW w:w="1424" w:type="dxa"/>
            <w:shd w:val="clear" w:color="auto" w:fill="auto"/>
            <w:vAlign w:val="bottom"/>
          </w:tcPr>
          <w:p w14:paraId="53911832" w14:textId="77777777" w:rsidR="000230E8" w:rsidRPr="00994305" w:rsidRDefault="000230E8" w:rsidP="000230E8">
            <w:pPr>
              <w:pStyle w:val="TableCell"/>
              <w:rPr>
                <w:sz w:val="24"/>
                <w:lang w:val="en-GB" w:eastAsia="en-GB"/>
              </w:rPr>
            </w:pPr>
            <w:r w:rsidRPr="00994305">
              <w:rPr>
                <w:sz w:val="24"/>
                <w:lang w:val="en-GB" w:eastAsia="en-GB"/>
              </w:rPr>
              <w:t xml:space="preserve">4,848,459 </w:t>
            </w:r>
          </w:p>
        </w:tc>
      </w:tr>
      <w:tr w:rsidR="000230E8" w:rsidRPr="00755B9C" w14:paraId="39AF2F61" w14:textId="77777777" w:rsidTr="007418DE">
        <w:tblPrEx>
          <w:tblCellMar>
            <w:top w:w="0" w:type="dxa"/>
            <w:bottom w:w="0" w:type="dxa"/>
          </w:tblCellMar>
        </w:tblPrEx>
        <w:tc>
          <w:tcPr>
            <w:tcW w:w="5328" w:type="dxa"/>
            <w:shd w:val="clear" w:color="auto" w:fill="auto"/>
            <w:vAlign w:val="bottom"/>
          </w:tcPr>
          <w:p w14:paraId="1C219126"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Transfer from / (to) Capital Account</w:t>
            </w:r>
          </w:p>
        </w:tc>
        <w:tc>
          <w:tcPr>
            <w:tcW w:w="900" w:type="dxa"/>
            <w:shd w:val="clear" w:color="auto" w:fill="auto"/>
            <w:vAlign w:val="bottom"/>
          </w:tcPr>
          <w:p w14:paraId="4ECA114F" w14:textId="77777777" w:rsidR="000230E8" w:rsidRPr="00994305" w:rsidRDefault="000230E8" w:rsidP="000230E8">
            <w:pPr>
              <w:pStyle w:val="TableCell"/>
              <w:rPr>
                <w:sz w:val="24"/>
                <w:lang w:val="en-GB" w:eastAsia="en-GB"/>
              </w:rPr>
            </w:pPr>
            <w:r w:rsidRPr="00994305">
              <w:rPr>
                <w:sz w:val="24"/>
                <w:lang w:val="en-GB" w:eastAsia="en-GB"/>
              </w:rPr>
              <w:t>8</w:t>
            </w:r>
          </w:p>
        </w:tc>
        <w:tc>
          <w:tcPr>
            <w:tcW w:w="1440" w:type="dxa"/>
            <w:shd w:val="clear" w:color="auto" w:fill="auto"/>
            <w:vAlign w:val="bottom"/>
          </w:tcPr>
          <w:p w14:paraId="3906D5E5" w14:textId="77777777" w:rsidR="000230E8" w:rsidRPr="00994305" w:rsidRDefault="000230E8" w:rsidP="000230E8">
            <w:pPr>
              <w:pStyle w:val="TableCell"/>
              <w:rPr>
                <w:sz w:val="24"/>
                <w:lang w:val="en-GB" w:eastAsia="en-GB"/>
              </w:rPr>
            </w:pPr>
            <w:r w:rsidRPr="00994305">
              <w:rPr>
                <w:sz w:val="24"/>
                <w:lang w:val="en-GB" w:eastAsia="en-GB"/>
              </w:rPr>
              <w:t xml:space="preserve">84,099 </w:t>
            </w:r>
          </w:p>
        </w:tc>
        <w:tc>
          <w:tcPr>
            <w:tcW w:w="1424" w:type="dxa"/>
            <w:shd w:val="clear" w:color="auto" w:fill="auto"/>
            <w:vAlign w:val="bottom"/>
          </w:tcPr>
          <w:p w14:paraId="564895FF" w14:textId="77777777" w:rsidR="000230E8" w:rsidRPr="00994305" w:rsidRDefault="000230E8" w:rsidP="000230E8">
            <w:pPr>
              <w:pStyle w:val="TableCell"/>
              <w:rPr>
                <w:sz w:val="24"/>
                <w:lang w:val="en-GB" w:eastAsia="en-GB"/>
              </w:rPr>
            </w:pPr>
            <w:r w:rsidRPr="00994305">
              <w:rPr>
                <w:sz w:val="24"/>
                <w:lang w:val="en-GB" w:eastAsia="en-GB"/>
              </w:rPr>
              <w:t xml:space="preserve">93,251 </w:t>
            </w:r>
          </w:p>
        </w:tc>
      </w:tr>
      <w:tr w:rsidR="000230E8" w:rsidRPr="00755B9C" w14:paraId="1C9F09A6" w14:textId="77777777" w:rsidTr="007418DE">
        <w:tblPrEx>
          <w:tblCellMar>
            <w:top w:w="0" w:type="dxa"/>
            <w:bottom w:w="0" w:type="dxa"/>
          </w:tblCellMar>
        </w:tblPrEx>
        <w:tc>
          <w:tcPr>
            <w:tcW w:w="5328" w:type="dxa"/>
            <w:shd w:val="clear" w:color="auto" w:fill="auto"/>
            <w:vAlign w:val="bottom"/>
          </w:tcPr>
          <w:p w14:paraId="10B96A9E"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Total income</w:t>
            </w:r>
          </w:p>
        </w:tc>
        <w:tc>
          <w:tcPr>
            <w:tcW w:w="900" w:type="dxa"/>
            <w:shd w:val="clear" w:color="auto" w:fill="auto"/>
            <w:vAlign w:val="bottom"/>
          </w:tcPr>
          <w:p w14:paraId="343BE2BA" w14:textId="77777777" w:rsidR="000230E8" w:rsidRPr="00994305" w:rsidRDefault="000230E8" w:rsidP="000230E8">
            <w:pPr>
              <w:pStyle w:val="TableCell"/>
              <w:rPr>
                <w:sz w:val="24"/>
                <w:lang w:val="en-GB" w:eastAsia="en-GB"/>
              </w:rPr>
            </w:pPr>
          </w:p>
        </w:tc>
        <w:tc>
          <w:tcPr>
            <w:tcW w:w="1440" w:type="dxa"/>
            <w:shd w:val="clear" w:color="auto" w:fill="auto"/>
            <w:vAlign w:val="bottom"/>
          </w:tcPr>
          <w:p w14:paraId="7875BD4D" w14:textId="77777777" w:rsidR="000230E8" w:rsidRPr="00994305" w:rsidRDefault="000230E8" w:rsidP="000230E8">
            <w:pPr>
              <w:pStyle w:val="TableCell"/>
              <w:rPr>
                <w:sz w:val="24"/>
                <w:lang w:val="en-GB" w:eastAsia="en-GB"/>
              </w:rPr>
            </w:pPr>
            <w:r w:rsidRPr="00994305">
              <w:rPr>
                <w:sz w:val="24"/>
                <w:lang w:val="en-GB" w:eastAsia="en-GB"/>
              </w:rPr>
              <w:t xml:space="preserve">5,130,576 </w:t>
            </w:r>
          </w:p>
        </w:tc>
        <w:tc>
          <w:tcPr>
            <w:tcW w:w="1424" w:type="dxa"/>
            <w:shd w:val="clear" w:color="auto" w:fill="auto"/>
            <w:vAlign w:val="bottom"/>
          </w:tcPr>
          <w:p w14:paraId="57EC3AF7" w14:textId="77777777" w:rsidR="000230E8" w:rsidRPr="00994305" w:rsidRDefault="000230E8" w:rsidP="000230E8">
            <w:pPr>
              <w:pStyle w:val="TableCell"/>
              <w:rPr>
                <w:sz w:val="24"/>
                <w:lang w:val="en-GB" w:eastAsia="en-GB"/>
              </w:rPr>
            </w:pPr>
            <w:r w:rsidRPr="00994305">
              <w:rPr>
                <w:sz w:val="24"/>
                <w:lang w:val="en-GB" w:eastAsia="en-GB"/>
              </w:rPr>
              <w:t xml:space="preserve">4,941,710 </w:t>
            </w:r>
          </w:p>
        </w:tc>
      </w:tr>
      <w:tr w:rsidR="000230E8" w:rsidRPr="00755B9C" w14:paraId="66ADEA9C" w14:textId="77777777" w:rsidTr="007418DE">
        <w:tblPrEx>
          <w:tblCellMar>
            <w:top w:w="0" w:type="dxa"/>
            <w:bottom w:w="0" w:type="dxa"/>
          </w:tblCellMar>
        </w:tblPrEx>
        <w:tc>
          <w:tcPr>
            <w:tcW w:w="5328" w:type="dxa"/>
            <w:shd w:val="clear" w:color="auto" w:fill="auto"/>
            <w:vAlign w:val="bottom"/>
          </w:tcPr>
          <w:p w14:paraId="1C41D8B5" w14:textId="77777777" w:rsidR="000230E8" w:rsidRPr="00994305" w:rsidRDefault="000230E8" w:rsidP="000230E8">
            <w:pPr>
              <w:spacing w:after="0"/>
              <w:rPr>
                <w:rFonts w:cs="Arial"/>
                <w:b/>
                <w:bCs/>
                <w:sz w:val="24"/>
                <w:lang w:val="en-GB" w:eastAsia="en-GB"/>
              </w:rPr>
            </w:pPr>
          </w:p>
        </w:tc>
        <w:tc>
          <w:tcPr>
            <w:tcW w:w="900" w:type="dxa"/>
            <w:shd w:val="clear" w:color="auto" w:fill="auto"/>
            <w:vAlign w:val="bottom"/>
          </w:tcPr>
          <w:p w14:paraId="25236276" w14:textId="77777777" w:rsidR="000230E8" w:rsidRPr="00994305" w:rsidRDefault="000230E8" w:rsidP="000230E8">
            <w:pPr>
              <w:pStyle w:val="TableCell"/>
              <w:rPr>
                <w:sz w:val="24"/>
                <w:lang w:val="en-GB" w:eastAsia="en-GB"/>
              </w:rPr>
            </w:pPr>
          </w:p>
        </w:tc>
        <w:tc>
          <w:tcPr>
            <w:tcW w:w="1440" w:type="dxa"/>
            <w:shd w:val="clear" w:color="auto" w:fill="auto"/>
            <w:vAlign w:val="bottom"/>
          </w:tcPr>
          <w:p w14:paraId="59850003" w14:textId="77777777" w:rsidR="000230E8" w:rsidRPr="00994305" w:rsidRDefault="000230E8" w:rsidP="000230E8">
            <w:pPr>
              <w:pStyle w:val="TableCell"/>
              <w:rPr>
                <w:sz w:val="24"/>
                <w:lang w:val="en-GB" w:eastAsia="en-GB"/>
              </w:rPr>
            </w:pPr>
          </w:p>
        </w:tc>
        <w:tc>
          <w:tcPr>
            <w:tcW w:w="1424" w:type="dxa"/>
            <w:shd w:val="clear" w:color="auto" w:fill="auto"/>
            <w:vAlign w:val="bottom"/>
          </w:tcPr>
          <w:p w14:paraId="5E5E674D" w14:textId="77777777" w:rsidR="000230E8" w:rsidRPr="00994305" w:rsidRDefault="000230E8" w:rsidP="000230E8">
            <w:pPr>
              <w:pStyle w:val="TableCell"/>
              <w:rPr>
                <w:sz w:val="24"/>
                <w:lang w:val="en-GB" w:eastAsia="en-GB"/>
              </w:rPr>
            </w:pPr>
          </w:p>
        </w:tc>
      </w:tr>
      <w:tr w:rsidR="000230E8" w:rsidRPr="00755B9C" w14:paraId="7336F39F" w14:textId="77777777" w:rsidTr="007418DE">
        <w:tblPrEx>
          <w:tblCellMar>
            <w:top w:w="0" w:type="dxa"/>
            <w:bottom w:w="0" w:type="dxa"/>
          </w:tblCellMar>
        </w:tblPrEx>
        <w:tc>
          <w:tcPr>
            <w:tcW w:w="9092" w:type="dxa"/>
            <w:gridSpan w:val="4"/>
            <w:shd w:val="clear" w:color="auto" w:fill="auto"/>
            <w:vAlign w:val="bottom"/>
          </w:tcPr>
          <w:p w14:paraId="390E4341" w14:textId="77777777" w:rsidR="000230E8" w:rsidRPr="00994305" w:rsidRDefault="000230E8" w:rsidP="000230E8">
            <w:pPr>
              <w:pStyle w:val="TableHead"/>
              <w:jc w:val="center"/>
              <w:rPr>
                <w:sz w:val="24"/>
                <w:lang w:val="en-GB" w:eastAsia="en-GB"/>
              </w:rPr>
            </w:pPr>
            <w:r w:rsidRPr="00994305">
              <w:rPr>
                <w:sz w:val="24"/>
                <w:lang w:val="en-GB" w:eastAsia="en-GB"/>
              </w:rPr>
              <w:t>Expenditure</w:t>
            </w:r>
          </w:p>
        </w:tc>
      </w:tr>
      <w:tr w:rsidR="000230E8" w:rsidRPr="00755B9C" w14:paraId="6C083F24" w14:textId="77777777" w:rsidTr="007418DE">
        <w:tblPrEx>
          <w:tblCellMar>
            <w:top w:w="0" w:type="dxa"/>
            <w:bottom w:w="0" w:type="dxa"/>
          </w:tblCellMar>
        </w:tblPrEx>
        <w:tc>
          <w:tcPr>
            <w:tcW w:w="5328" w:type="dxa"/>
            <w:shd w:val="clear" w:color="auto" w:fill="auto"/>
            <w:vAlign w:val="bottom"/>
          </w:tcPr>
          <w:p w14:paraId="1E2D00E4"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Projects and Commissioned work</w:t>
            </w:r>
          </w:p>
        </w:tc>
        <w:tc>
          <w:tcPr>
            <w:tcW w:w="900" w:type="dxa"/>
            <w:shd w:val="clear" w:color="auto" w:fill="auto"/>
            <w:vAlign w:val="bottom"/>
          </w:tcPr>
          <w:p w14:paraId="3F87F47C" w14:textId="77777777" w:rsidR="000230E8" w:rsidRPr="00994305" w:rsidRDefault="000230E8" w:rsidP="000230E8">
            <w:pPr>
              <w:pStyle w:val="TableCell"/>
              <w:rPr>
                <w:sz w:val="24"/>
                <w:lang w:val="en-GB" w:eastAsia="en-GB"/>
              </w:rPr>
            </w:pPr>
            <w:r w:rsidRPr="00994305">
              <w:rPr>
                <w:sz w:val="24"/>
                <w:lang w:val="en-GB" w:eastAsia="en-GB"/>
              </w:rPr>
              <w:t>3</w:t>
            </w:r>
          </w:p>
        </w:tc>
        <w:tc>
          <w:tcPr>
            <w:tcW w:w="1440" w:type="dxa"/>
            <w:shd w:val="clear" w:color="auto" w:fill="auto"/>
            <w:vAlign w:val="bottom"/>
          </w:tcPr>
          <w:p w14:paraId="5DBB01BA" w14:textId="77777777" w:rsidR="000230E8" w:rsidRPr="00994305" w:rsidRDefault="000230E8" w:rsidP="000230E8">
            <w:pPr>
              <w:pStyle w:val="TableCell"/>
              <w:rPr>
                <w:sz w:val="24"/>
                <w:lang w:val="en-GB" w:eastAsia="en-GB"/>
              </w:rPr>
            </w:pPr>
            <w:r w:rsidRPr="00994305">
              <w:rPr>
                <w:sz w:val="24"/>
                <w:lang w:val="en-GB" w:eastAsia="en-GB"/>
              </w:rPr>
              <w:t xml:space="preserve">968,216 </w:t>
            </w:r>
          </w:p>
        </w:tc>
        <w:tc>
          <w:tcPr>
            <w:tcW w:w="1424" w:type="dxa"/>
            <w:shd w:val="clear" w:color="auto" w:fill="auto"/>
            <w:vAlign w:val="bottom"/>
          </w:tcPr>
          <w:p w14:paraId="6A3E1DC0" w14:textId="77777777" w:rsidR="000230E8" w:rsidRPr="00994305" w:rsidRDefault="000230E8" w:rsidP="000230E8">
            <w:pPr>
              <w:pStyle w:val="TableCell"/>
              <w:rPr>
                <w:sz w:val="24"/>
                <w:lang w:val="en-GB" w:eastAsia="en-GB"/>
              </w:rPr>
            </w:pPr>
            <w:r w:rsidRPr="00994305">
              <w:rPr>
                <w:sz w:val="24"/>
                <w:lang w:val="en-GB" w:eastAsia="en-GB"/>
              </w:rPr>
              <w:t xml:space="preserve">468,863 </w:t>
            </w:r>
          </w:p>
        </w:tc>
      </w:tr>
      <w:tr w:rsidR="000230E8" w:rsidRPr="00755B9C" w14:paraId="6FE367D6" w14:textId="77777777" w:rsidTr="007418DE">
        <w:tblPrEx>
          <w:tblCellMar>
            <w:top w:w="0" w:type="dxa"/>
            <w:bottom w:w="0" w:type="dxa"/>
          </w:tblCellMar>
        </w:tblPrEx>
        <w:tc>
          <w:tcPr>
            <w:tcW w:w="5328" w:type="dxa"/>
            <w:shd w:val="clear" w:color="auto" w:fill="auto"/>
            <w:vAlign w:val="bottom"/>
          </w:tcPr>
          <w:p w14:paraId="136B339A" w14:textId="77777777" w:rsidR="000230E8" w:rsidRPr="00994305" w:rsidRDefault="000230E8" w:rsidP="000230E8">
            <w:pPr>
              <w:spacing w:after="0"/>
              <w:rPr>
                <w:rFonts w:cs="Arial"/>
                <w:sz w:val="24"/>
                <w:lang w:val="en-GB" w:eastAsia="en-GB"/>
              </w:rPr>
            </w:pPr>
          </w:p>
        </w:tc>
        <w:tc>
          <w:tcPr>
            <w:tcW w:w="900" w:type="dxa"/>
            <w:shd w:val="clear" w:color="auto" w:fill="auto"/>
            <w:vAlign w:val="bottom"/>
          </w:tcPr>
          <w:p w14:paraId="12A7679A" w14:textId="77777777" w:rsidR="000230E8" w:rsidRPr="00994305" w:rsidRDefault="000230E8" w:rsidP="000230E8">
            <w:pPr>
              <w:pStyle w:val="TableCell"/>
              <w:rPr>
                <w:sz w:val="24"/>
                <w:lang w:val="en-GB" w:eastAsia="en-GB"/>
              </w:rPr>
            </w:pPr>
          </w:p>
        </w:tc>
        <w:tc>
          <w:tcPr>
            <w:tcW w:w="1440" w:type="dxa"/>
            <w:shd w:val="clear" w:color="auto" w:fill="auto"/>
            <w:vAlign w:val="bottom"/>
          </w:tcPr>
          <w:p w14:paraId="3B3E2B74" w14:textId="77777777" w:rsidR="000230E8" w:rsidRPr="00994305" w:rsidRDefault="000230E8" w:rsidP="000230E8">
            <w:pPr>
              <w:pStyle w:val="TableCell"/>
              <w:rPr>
                <w:sz w:val="24"/>
                <w:lang w:val="en-GB" w:eastAsia="en-GB"/>
              </w:rPr>
            </w:pPr>
          </w:p>
        </w:tc>
        <w:tc>
          <w:tcPr>
            <w:tcW w:w="1424" w:type="dxa"/>
            <w:shd w:val="clear" w:color="auto" w:fill="auto"/>
            <w:vAlign w:val="bottom"/>
          </w:tcPr>
          <w:p w14:paraId="5B15D6EF" w14:textId="77777777" w:rsidR="000230E8" w:rsidRPr="00994305" w:rsidRDefault="000230E8" w:rsidP="000230E8">
            <w:pPr>
              <w:pStyle w:val="TableCell"/>
              <w:rPr>
                <w:sz w:val="24"/>
                <w:lang w:val="en-GB" w:eastAsia="en-GB"/>
              </w:rPr>
            </w:pPr>
          </w:p>
        </w:tc>
      </w:tr>
      <w:tr w:rsidR="000230E8" w:rsidRPr="00755B9C" w14:paraId="3F76AFA1" w14:textId="77777777" w:rsidTr="007418DE">
        <w:tblPrEx>
          <w:tblCellMar>
            <w:top w:w="0" w:type="dxa"/>
            <w:bottom w:w="0" w:type="dxa"/>
          </w:tblCellMar>
        </w:tblPrEx>
        <w:tc>
          <w:tcPr>
            <w:tcW w:w="9092" w:type="dxa"/>
            <w:gridSpan w:val="4"/>
            <w:shd w:val="clear" w:color="auto" w:fill="auto"/>
            <w:vAlign w:val="bottom"/>
          </w:tcPr>
          <w:p w14:paraId="021374DB" w14:textId="77777777" w:rsidR="000230E8" w:rsidRPr="00994305" w:rsidRDefault="000230E8" w:rsidP="000230E8">
            <w:pPr>
              <w:pStyle w:val="TableHead"/>
              <w:jc w:val="center"/>
              <w:rPr>
                <w:sz w:val="24"/>
                <w:lang w:val="en-GB" w:eastAsia="en-GB"/>
              </w:rPr>
            </w:pPr>
            <w:r w:rsidRPr="00994305">
              <w:rPr>
                <w:sz w:val="24"/>
                <w:lang w:val="en-GB" w:eastAsia="en-GB"/>
              </w:rPr>
              <w:t>Development, Support and Administration costs</w:t>
            </w:r>
          </w:p>
        </w:tc>
      </w:tr>
      <w:tr w:rsidR="000230E8" w:rsidRPr="00755B9C" w14:paraId="47251C39" w14:textId="77777777" w:rsidTr="007418DE">
        <w:tblPrEx>
          <w:tblCellMar>
            <w:top w:w="0" w:type="dxa"/>
            <w:bottom w:w="0" w:type="dxa"/>
          </w:tblCellMar>
        </w:tblPrEx>
        <w:tc>
          <w:tcPr>
            <w:tcW w:w="5328" w:type="dxa"/>
            <w:shd w:val="clear" w:color="auto" w:fill="auto"/>
            <w:vAlign w:val="bottom"/>
          </w:tcPr>
          <w:p w14:paraId="473C8490"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Payroll</w:t>
            </w:r>
          </w:p>
        </w:tc>
        <w:tc>
          <w:tcPr>
            <w:tcW w:w="900" w:type="dxa"/>
            <w:shd w:val="clear" w:color="auto" w:fill="auto"/>
            <w:vAlign w:val="bottom"/>
          </w:tcPr>
          <w:p w14:paraId="77B66752" w14:textId="77777777" w:rsidR="000230E8" w:rsidRPr="00994305" w:rsidRDefault="000230E8" w:rsidP="000230E8">
            <w:pPr>
              <w:pStyle w:val="TableCell"/>
              <w:rPr>
                <w:sz w:val="24"/>
                <w:lang w:val="en-GB" w:eastAsia="en-GB"/>
              </w:rPr>
            </w:pPr>
            <w:r w:rsidRPr="00994305">
              <w:rPr>
                <w:sz w:val="24"/>
                <w:lang w:val="en-GB" w:eastAsia="en-GB"/>
              </w:rPr>
              <w:t>4</w:t>
            </w:r>
          </w:p>
        </w:tc>
        <w:tc>
          <w:tcPr>
            <w:tcW w:w="1440" w:type="dxa"/>
            <w:shd w:val="clear" w:color="auto" w:fill="auto"/>
            <w:vAlign w:val="bottom"/>
          </w:tcPr>
          <w:p w14:paraId="2BA69AEB" w14:textId="77777777" w:rsidR="000230E8" w:rsidRPr="00994305" w:rsidRDefault="000230E8" w:rsidP="000230E8">
            <w:pPr>
              <w:pStyle w:val="TableCell"/>
              <w:rPr>
                <w:sz w:val="24"/>
                <w:lang w:val="en-GB" w:eastAsia="en-GB"/>
              </w:rPr>
            </w:pPr>
            <w:r>
              <w:rPr>
                <w:sz w:val="24"/>
                <w:lang w:val="en-GB" w:eastAsia="en-GB"/>
              </w:rPr>
              <w:t>2,099,230</w:t>
            </w:r>
            <w:r w:rsidRPr="00994305">
              <w:rPr>
                <w:sz w:val="24"/>
                <w:lang w:val="en-GB" w:eastAsia="en-GB"/>
              </w:rPr>
              <w:t xml:space="preserve"> </w:t>
            </w:r>
          </w:p>
        </w:tc>
        <w:tc>
          <w:tcPr>
            <w:tcW w:w="1424" w:type="dxa"/>
            <w:shd w:val="clear" w:color="auto" w:fill="auto"/>
            <w:vAlign w:val="bottom"/>
          </w:tcPr>
          <w:p w14:paraId="3191F307" w14:textId="77777777" w:rsidR="000230E8" w:rsidRPr="00994305" w:rsidRDefault="000230E8" w:rsidP="000230E8">
            <w:pPr>
              <w:pStyle w:val="TableCell"/>
              <w:rPr>
                <w:sz w:val="24"/>
                <w:lang w:val="en-GB" w:eastAsia="en-GB"/>
              </w:rPr>
            </w:pPr>
            <w:r w:rsidRPr="00994305">
              <w:rPr>
                <w:sz w:val="24"/>
                <w:lang w:val="en-GB" w:eastAsia="en-GB"/>
              </w:rPr>
              <w:t xml:space="preserve">2,235,538 </w:t>
            </w:r>
          </w:p>
        </w:tc>
      </w:tr>
      <w:tr w:rsidR="000230E8" w:rsidRPr="00755B9C" w14:paraId="7F3D1727" w14:textId="77777777" w:rsidTr="007418DE">
        <w:tblPrEx>
          <w:tblCellMar>
            <w:top w:w="0" w:type="dxa"/>
            <w:bottom w:w="0" w:type="dxa"/>
          </w:tblCellMar>
        </w:tblPrEx>
        <w:tc>
          <w:tcPr>
            <w:tcW w:w="5328" w:type="dxa"/>
            <w:shd w:val="clear" w:color="auto" w:fill="auto"/>
            <w:vAlign w:val="bottom"/>
          </w:tcPr>
          <w:p w14:paraId="75B897E3"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Pension Costs</w:t>
            </w:r>
          </w:p>
        </w:tc>
        <w:tc>
          <w:tcPr>
            <w:tcW w:w="900" w:type="dxa"/>
            <w:shd w:val="clear" w:color="auto" w:fill="auto"/>
            <w:vAlign w:val="bottom"/>
          </w:tcPr>
          <w:p w14:paraId="45A7CFDB" w14:textId="77777777" w:rsidR="000230E8" w:rsidRPr="00994305" w:rsidRDefault="000230E8" w:rsidP="000230E8">
            <w:pPr>
              <w:pStyle w:val="TableCell"/>
              <w:rPr>
                <w:sz w:val="24"/>
                <w:lang w:val="en-GB" w:eastAsia="en-GB"/>
              </w:rPr>
            </w:pPr>
            <w:r w:rsidRPr="00994305">
              <w:rPr>
                <w:sz w:val="24"/>
                <w:lang w:val="en-GB" w:eastAsia="en-GB"/>
              </w:rPr>
              <w:t>10(c)</w:t>
            </w:r>
          </w:p>
        </w:tc>
        <w:tc>
          <w:tcPr>
            <w:tcW w:w="1440" w:type="dxa"/>
            <w:shd w:val="clear" w:color="auto" w:fill="auto"/>
            <w:vAlign w:val="bottom"/>
          </w:tcPr>
          <w:p w14:paraId="51DDF014" w14:textId="77777777" w:rsidR="000230E8" w:rsidRPr="00994305" w:rsidRDefault="000230E8" w:rsidP="000230E8">
            <w:pPr>
              <w:pStyle w:val="TableCell"/>
              <w:rPr>
                <w:sz w:val="24"/>
                <w:lang w:val="en-GB" w:eastAsia="en-GB"/>
              </w:rPr>
            </w:pPr>
            <w:r w:rsidRPr="00994305">
              <w:rPr>
                <w:sz w:val="24"/>
                <w:lang w:val="en-GB" w:eastAsia="en-GB"/>
              </w:rPr>
              <w:t xml:space="preserve">1,312,002 </w:t>
            </w:r>
          </w:p>
        </w:tc>
        <w:tc>
          <w:tcPr>
            <w:tcW w:w="1424" w:type="dxa"/>
            <w:shd w:val="clear" w:color="auto" w:fill="auto"/>
            <w:vAlign w:val="bottom"/>
          </w:tcPr>
          <w:p w14:paraId="4A502235" w14:textId="77777777" w:rsidR="000230E8" w:rsidRPr="00994305" w:rsidRDefault="000230E8" w:rsidP="000230E8">
            <w:pPr>
              <w:pStyle w:val="TableCell"/>
              <w:rPr>
                <w:sz w:val="24"/>
                <w:lang w:val="en-GB" w:eastAsia="en-GB"/>
              </w:rPr>
            </w:pPr>
            <w:r w:rsidRPr="00994305">
              <w:rPr>
                <w:sz w:val="24"/>
                <w:lang w:val="en-GB" w:eastAsia="en-GB"/>
              </w:rPr>
              <w:t xml:space="preserve">1,407,280 </w:t>
            </w:r>
          </w:p>
        </w:tc>
      </w:tr>
      <w:tr w:rsidR="000230E8" w:rsidRPr="00755B9C" w14:paraId="44384FA0" w14:textId="77777777" w:rsidTr="007418DE">
        <w:tblPrEx>
          <w:tblCellMar>
            <w:top w:w="0" w:type="dxa"/>
            <w:bottom w:w="0" w:type="dxa"/>
          </w:tblCellMar>
        </w:tblPrEx>
        <w:tc>
          <w:tcPr>
            <w:tcW w:w="5328" w:type="dxa"/>
            <w:shd w:val="clear" w:color="auto" w:fill="auto"/>
            <w:vAlign w:val="bottom"/>
          </w:tcPr>
          <w:p w14:paraId="65AE3371"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 xml:space="preserve">Administration Costs </w:t>
            </w:r>
          </w:p>
        </w:tc>
        <w:tc>
          <w:tcPr>
            <w:tcW w:w="900" w:type="dxa"/>
            <w:shd w:val="clear" w:color="auto" w:fill="auto"/>
            <w:vAlign w:val="bottom"/>
          </w:tcPr>
          <w:p w14:paraId="66F8750D" w14:textId="77777777" w:rsidR="000230E8" w:rsidRPr="00994305" w:rsidRDefault="000230E8" w:rsidP="000230E8">
            <w:pPr>
              <w:pStyle w:val="TableCell"/>
              <w:rPr>
                <w:sz w:val="24"/>
                <w:lang w:val="en-GB" w:eastAsia="en-GB"/>
              </w:rPr>
            </w:pPr>
            <w:r w:rsidRPr="00994305">
              <w:rPr>
                <w:sz w:val="24"/>
                <w:lang w:val="en-GB" w:eastAsia="en-GB"/>
              </w:rPr>
              <w:t>5</w:t>
            </w:r>
          </w:p>
        </w:tc>
        <w:tc>
          <w:tcPr>
            <w:tcW w:w="1440" w:type="dxa"/>
            <w:shd w:val="clear" w:color="auto" w:fill="auto"/>
            <w:vAlign w:val="bottom"/>
          </w:tcPr>
          <w:p w14:paraId="64AF6F5A" w14:textId="77777777" w:rsidR="000230E8" w:rsidRPr="00994305" w:rsidRDefault="000230E8" w:rsidP="000230E8">
            <w:pPr>
              <w:pStyle w:val="TableCell"/>
              <w:rPr>
                <w:sz w:val="24"/>
                <w:lang w:val="en-GB" w:eastAsia="en-GB"/>
              </w:rPr>
            </w:pPr>
            <w:r w:rsidRPr="00994305">
              <w:rPr>
                <w:sz w:val="24"/>
                <w:lang w:val="en-GB" w:eastAsia="en-GB"/>
              </w:rPr>
              <w:t xml:space="preserve">677,175 </w:t>
            </w:r>
          </w:p>
        </w:tc>
        <w:tc>
          <w:tcPr>
            <w:tcW w:w="1424" w:type="dxa"/>
            <w:shd w:val="clear" w:color="auto" w:fill="auto"/>
            <w:vAlign w:val="bottom"/>
          </w:tcPr>
          <w:p w14:paraId="394FC4A9" w14:textId="77777777" w:rsidR="000230E8" w:rsidRPr="00994305" w:rsidRDefault="000230E8" w:rsidP="000230E8">
            <w:pPr>
              <w:pStyle w:val="TableCell"/>
              <w:rPr>
                <w:sz w:val="24"/>
                <w:lang w:val="en-GB" w:eastAsia="en-GB"/>
              </w:rPr>
            </w:pPr>
            <w:r w:rsidRPr="00994305">
              <w:rPr>
                <w:sz w:val="24"/>
                <w:lang w:val="en-GB" w:eastAsia="en-GB"/>
              </w:rPr>
              <w:t xml:space="preserve">618,039 </w:t>
            </w:r>
          </w:p>
        </w:tc>
      </w:tr>
      <w:tr w:rsidR="000230E8" w:rsidRPr="00755B9C" w14:paraId="49DEB58A" w14:textId="77777777" w:rsidTr="007418DE">
        <w:tblPrEx>
          <w:tblCellMar>
            <w:top w:w="0" w:type="dxa"/>
            <w:bottom w:w="0" w:type="dxa"/>
          </w:tblCellMar>
        </w:tblPrEx>
        <w:tc>
          <w:tcPr>
            <w:tcW w:w="5328" w:type="dxa"/>
            <w:shd w:val="clear" w:color="auto" w:fill="auto"/>
            <w:vAlign w:val="bottom"/>
          </w:tcPr>
          <w:p w14:paraId="3F538ADC"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 xml:space="preserve">Depreciation </w:t>
            </w:r>
          </w:p>
        </w:tc>
        <w:tc>
          <w:tcPr>
            <w:tcW w:w="900" w:type="dxa"/>
            <w:shd w:val="clear" w:color="auto" w:fill="auto"/>
            <w:vAlign w:val="bottom"/>
          </w:tcPr>
          <w:p w14:paraId="0302FCAE" w14:textId="77777777" w:rsidR="000230E8" w:rsidRPr="00994305" w:rsidRDefault="000230E8" w:rsidP="000230E8">
            <w:pPr>
              <w:pStyle w:val="TableCell"/>
              <w:rPr>
                <w:sz w:val="24"/>
                <w:lang w:val="en-GB" w:eastAsia="en-GB"/>
              </w:rPr>
            </w:pPr>
            <w:r w:rsidRPr="00994305">
              <w:rPr>
                <w:sz w:val="24"/>
                <w:lang w:val="en-GB" w:eastAsia="en-GB"/>
              </w:rPr>
              <w:t>7</w:t>
            </w:r>
          </w:p>
        </w:tc>
        <w:tc>
          <w:tcPr>
            <w:tcW w:w="1440" w:type="dxa"/>
            <w:shd w:val="clear" w:color="auto" w:fill="auto"/>
            <w:vAlign w:val="bottom"/>
          </w:tcPr>
          <w:p w14:paraId="24A46220" w14:textId="77777777" w:rsidR="000230E8" w:rsidRPr="00994305" w:rsidRDefault="000230E8" w:rsidP="000230E8">
            <w:pPr>
              <w:pStyle w:val="TableCell"/>
              <w:rPr>
                <w:sz w:val="24"/>
                <w:lang w:val="en-GB" w:eastAsia="en-GB"/>
              </w:rPr>
            </w:pPr>
            <w:r w:rsidRPr="00994305">
              <w:rPr>
                <w:sz w:val="24"/>
                <w:lang w:val="en-GB" w:eastAsia="en-GB"/>
              </w:rPr>
              <w:t xml:space="preserve">93,334 </w:t>
            </w:r>
          </w:p>
        </w:tc>
        <w:tc>
          <w:tcPr>
            <w:tcW w:w="1424" w:type="dxa"/>
            <w:shd w:val="clear" w:color="auto" w:fill="auto"/>
            <w:vAlign w:val="bottom"/>
          </w:tcPr>
          <w:p w14:paraId="515520F8" w14:textId="77777777" w:rsidR="000230E8" w:rsidRPr="00994305" w:rsidRDefault="000230E8" w:rsidP="000230E8">
            <w:pPr>
              <w:pStyle w:val="TableCell"/>
              <w:rPr>
                <w:sz w:val="24"/>
                <w:lang w:val="en-GB" w:eastAsia="en-GB"/>
              </w:rPr>
            </w:pPr>
            <w:r w:rsidRPr="00994305">
              <w:rPr>
                <w:sz w:val="24"/>
                <w:lang w:val="en-GB" w:eastAsia="en-GB"/>
              </w:rPr>
              <w:t xml:space="preserve">96,980 </w:t>
            </w:r>
          </w:p>
        </w:tc>
      </w:tr>
      <w:tr w:rsidR="000230E8" w:rsidRPr="00755B9C" w14:paraId="522EA847" w14:textId="77777777" w:rsidTr="007418DE">
        <w:tblPrEx>
          <w:tblCellMar>
            <w:top w:w="0" w:type="dxa"/>
            <w:bottom w:w="0" w:type="dxa"/>
          </w:tblCellMar>
        </w:tblPrEx>
        <w:tc>
          <w:tcPr>
            <w:tcW w:w="5328" w:type="dxa"/>
            <w:shd w:val="clear" w:color="auto" w:fill="auto"/>
            <w:vAlign w:val="bottom"/>
          </w:tcPr>
          <w:p w14:paraId="7FE75B1A" w14:textId="77777777" w:rsidR="000230E8" w:rsidRPr="00994305" w:rsidRDefault="000230E8" w:rsidP="000230E8">
            <w:pPr>
              <w:pStyle w:val="TableRowHead"/>
              <w:rPr>
                <w:rFonts w:ascii="Gill Sans" w:hAnsi="Gill Sans"/>
                <w:sz w:val="24"/>
                <w:lang w:val="en-GB" w:eastAsia="en-GB"/>
              </w:rPr>
            </w:pPr>
          </w:p>
        </w:tc>
        <w:tc>
          <w:tcPr>
            <w:tcW w:w="900" w:type="dxa"/>
            <w:shd w:val="clear" w:color="auto" w:fill="auto"/>
            <w:vAlign w:val="bottom"/>
          </w:tcPr>
          <w:p w14:paraId="699EEAD4" w14:textId="77777777" w:rsidR="000230E8" w:rsidRPr="00994305" w:rsidRDefault="000230E8" w:rsidP="000230E8">
            <w:pPr>
              <w:pStyle w:val="TableCell"/>
              <w:rPr>
                <w:sz w:val="24"/>
                <w:lang w:val="en-GB" w:eastAsia="en-GB"/>
              </w:rPr>
            </w:pPr>
          </w:p>
        </w:tc>
        <w:tc>
          <w:tcPr>
            <w:tcW w:w="1440" w:type="dxa"/>
            <w:shd w:val="clear" w:color="auto" w:fill="auto"/>
            <w:vAlign w:val="bottom"/>
          </w:tcPr>
          <w:p w14:paraId="10A3C6EC" w14:textId="77777777" w:rsidR="000230E8" w:rsidRPr="00994305" w:rsidRDefault="000230E8" w:rsidP="000230E8">
            <w:pPr>
              <w:pStyle w:val="TableCell"/>
              <w:rPr>
                <w:sz w:val="24"/>
                <w:lang w:val="en-GB" w:eastAsia="en-GB"/>
              </w:rPr>
            </w:pPr>
            <w:r w:rsidRPr="00994305">
              <w:rPr>
                <w:sz w:val="24"/>
                <w:lang w:val="en-GB" w:eastAsia="en-GB"/>
              </w:rPr>
              <w:t xml:space="preserve">4,178,966 </w:t>
            </w:r>
          </w:p>
        </w:tc>
        <w:tc>
          <w:tcPr>
            <w:tcW w:w="1424" w:type="dxa"/>
            <w:shd w:val="clear" w:color="auto" w:fill="auto"/>
            <w:vAlign w:val="bottom"/>
          </w:tcPr>
          <w:p w14:paraId="76130188" w14:textId="77777777" w:rsidR="000230E8" w:rsidRPr="00994305" w:rsidRDefault="000230E8" w:rsidP="000230E8">
            <w:pPr>
              <w:pStyle w:val="TableCell"/>
              <w:rPr>
                <w:sz w:val="24"/>
                <w:lang w:val="en-GB" w:eastAsia="en-GB"/>
              </w:rPr>
            </w:pPr>
            <w:r w:rsidRPr="00994305">
              <w:rPr>
                <w:sz w:val="24"/>
                <w:lang w:val="en-GB" w:eastAsia="en-GB"/>
              </w:rPr>
              <w:t xml:space="preserve">4,357,837 </w:t>
            </w:r>
          </w:p>
        </w:tc>
      </w:tr>
      <w:tr w:rsidR="000230E8" w:rsidRPr="00755B9C" w14:paraId="303BF0D4" w14:textId="77777777" w:rsidTr="007418DE">
        <w:tblPrEx>
          <w:tblCellMar>
            <w:top w:w="0" w:type="dxa"/>
            <w:bottom w:w="0" w:type="dxa"/>
          </w:tblCellMar>
        </w:tblPrEx>
        <w:tc>
          <w:tcPr>
            <w:tcW w:w="5328" w:type="dxa"/>
            <w:shd w:val="clear" w:color="auto" w:fill="auto"/>
            <w:vAlign w:val="bottom"/>
          </w:tcPr>
          <w:p w14:paraId="62FA9EF5"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Total Expenditure</w:t>
            </w:r>
          </w:p>
        </w:tc>
        <w:tc>
          <w:tcPr>
            <w:tcW w:w="900" w:type="dxa"/>
            <w:shd w:val="clear" w:color="auto" w:fill="auto"/>
            <w:vAlign w:val="bottom"/>
          </w:tcPr>
          <w:p w14:paraId="43B0FDD0" w14:textId="77777777" w:rsidR="000230E8" w:rsidRPr="00994305" w:rsidRDefault="000230E8" w:rsidP="000230E8">
            <w:pPr>
              <w:pStyle w:val="TableCell"/>
              <w:rPr>
                <w:sz w:val="24"/>
                <w:lang w:val="en-GB" w:eastAsia="en-GB"/>
              </w:rPr>
            </w:pPr>
          </w:p>
        </w:tc>
        <w:tc>
          <w:tcPr>
            <w:tcW w:w="1440" w:type="dxa"/>
            <w:shd w:val="clear" w:color="auto" w:fill="auto"/>
            <w:vAlign w:val="bottom"/>
          </w:tcPr>
          <w:p w14:paraId="7805E21C" w14:textId="77777777" w:rsidR="000230E8" w:rsidRPr="00994305" w:rsidRDefault="000230E8" w:rsidP="000230E8">
            <w:pPr>
              <w:pStyle w:val="TableCell"/>
              <w:rPr>
                <w:sz w:val="24"/>
                <w:lang w:val="en-GB" w:eastAsia="en-GB"/>
              </w:rPr>
            </w:pPr>
            <w:r w:rsidRPr="00994305">
              <w:rPr>
                <w:sz w:val="24"/>
                <w:lang w:val="en-GB" w:eastAsia="en-GB"/>
              </w:rPr>
              <w:t xml:space="preserve">5,147,182 </w:t>
            </w:r>
          </w:p>
        </w:tc>
        <w:tc>
          <w:tcPr>
            <w:tcW w:w="1424" w:type="dxa"/>
            <w:shd w:val="clear" w:color="auto" w:fill="auto"/>
            <w:vAlign w:val="bottom"/>
          </w:tcPr>
          <w:p w14:paraId="14C04C4D" w14:textId="77777777" w:rsidR="000230E8" w:rsidRPr="00994305" w:rsidRDefault="000230E8" w:rsidP="000230E8">
            <w:pPr>
              <w:pStyle w:val="TableCell"/>
              <w:rPr>
                <w:sz w:val="24"/>
                <w:lang w:val="en-GB" w:eastAsia="en-GB"/>
              </w:rPr>
            </w:pPr>
            <w:r w:rsidRPr="00994305">
              <w:rPr>
                <w:sz w:val="24"/>
                <w:lang w:val="en-GB" w:eastAsia="en-GB"/>
              </w:rPr>
              <w:t xml:space="preserve">4,826,700 </w:t>
            </w:r>
          </w:p>
        </w:tc>
      </w:tr>
      <w:tr w:rsidR="000230E8" w:rsidRPr="00755B9C" w14:paraId="34404348" w14:textId="77777777" w:rsidTr="007418DE">
        <w:tblPrEx>
          <w:tblCellMar>
            <w:top w:w="0" w:type="dxa"/>
            <w:bottom w:w="0" w:type="dxa"/>
          </w:tblCellMar>
        </w:tblPrEx>
        <w:tc>
          <w:tcPr>
            <w:tcW w:w="5328" w:type="dxa"/>
            <w:shd w:val="clear" w:color="auto" w:fill="auto"/>
            <w:vAlign w:val="bottom"/>
          </w:tcPr>
          <w:p w14:paraId="0692BA1A" w14:textId="77777777" w:rsidR="000230E8" w:rsidRPr="00994305" w:rsidRDefault="000230E8" w:rsidP="000230E8">
            <w:pPr>
              <w:spacing w:after="0"/>
              <w:rPr>
                <w:rFonts w:cs="Arial"/>
                <w:b/>
                <w:bCs/>
                <w:sz w:val="24"/>
                <w:lang w:val="en-GB" w:eastAsia="en-GB"/>
              </w:rPr>
            </w:pPr>
            <w:r w:rsidRPr="00994305">
              <w:rPr>
                <w:rFonts w:cs="Arial"/>
                <w:b/>
                <w:bCs/>
                <w:sz w:val="24"/>
                <w:lang w:val="en-GB" w:eastAsia="en-GB"/>
              </w:rPr>
              <w:t xml:space="preserve">Surplus / </w:t>
            </w:r>
            <w:proofErr w:type="gramStart"/>
            <w:r w:rsidRPr="00994305">
              <w:rPr>
                <w:rFonts w:cs="Arial"/>
                <w:b/>
                <w:bCs/>
                <w:sz w:val="24"/>
                <w:lang w:val="en-GB" w:eastAsia="en-GB"/>
              </w:rPr>
              <w:t>Deficit  for</w:t>
            </w:r>
            <w:proofErr w:type="gramEnd"/>
            <w:r w:rsidRPr="00994305">
              <w:rPr>
                <w:rFonts w:cs="Arial"/>
                <w:b/>
                <w:bCs/>
                <w:sz w:val="24"/>
                <w:lang w:val="en-GB" w:eastAsia="en-GB"/>
              </w:rPr>
              <w:t xml:space="preserve"> the year</w:t>
            </w:r>
          </w:p>
        </w:tc>
        <w:tc>
          <w:tcPr>
            <w:tcW w:w="900" w:type="dxa"/>
            <w:shd w:val="clear" w:color="auto" w:fill="auto"/>
            <w:vAlign w:val="bottom"/>
          </w:tcPr>
          <w:p w14:paraId="45FA3D0E" w14:textId="77777777" w:rsidR="000230E8" w:rsidRPr="00994305" w:rsidRDefault="000230E8" w:rsidP="000230E8">
            <w:pPr>
              <w:pStyle w:val="TableCell"/>
              <w:rPr>
                <w:b/>
                <w:bCs/>
                <w:sz w:val="24"/>
                <w:lang w:val="en-GB" w:eastAsia="en-GB"/>
              </w:rPr>
            </w:pPr>
          </w:p>
        </w:tc>
        <w:tc>
          <w:tcPr>
            <w:tcW w:w="1440" w:type="dxa"/>
            <w:shd w:val="clear" w:color="auto" w:fill="auto"/>
            <w:vAlign w:val="bottom"/>
          </w:tcPr>
          <w:p w14:paraId="2C05121C" w14:textId="77777777" w:rsidR="000230E8" w:rsidRPr="00994305" w:rsidRDefault="000230E8" w:rsidP="000230E8">
            <w:pPr>
              <w:pStyle w:val="TableCell"/>
              <w:rPr>
                <w:sz w:val="24"/>
                <w:lang w:val="en-GB" w:eastAsia="en-GB"/>
              </w:rPr>
            </w:pPr>
            <w:r w:rsidRPr="00994305">
              <w:rPr>
                <w:sz w:val="24"/>
                <w:lang w:val="en-GB" w:eastAsia="en-GB"/>
              </w:rPr>
              <w:t>(16,606)</w:t>
            </w:r>
          </w:p>
        </w:tc>
        <w:tc>
          <w:tcPr>
            <w:tcW w:w="1424" w:type="dxa"/>
            <w:shd w:val="clear" w:color="auto" w:fill="auto"/>
            <w:vAlign w:val="bottom"/>
          </w:tcPr>
          <w:p w14:paraId="599495B6" w14:textId="77777777" w:rsidR="000230E8" w:rsidRPr="00994305" w:rsidRDefault="000230E8" w:rsidP="000230E8">
            <w:pPr>
              <w:pStyle w:val="TableCell"/>
              <w:rPr>
                <w:sz w:val="24"/>
                <w:lang w:val="en-GB" w:eastAsia="en-GB"/>
              </w:rPr>
            </w:pPr>
            <w:r w:rsidRPr="00994305">
              <w:rPr>
                <w:sz w:val="24"/>
                <w:lang w:val="en-GB" w:eastAsia="en-GB"/>
              </w:rPr>
              <w:t xml:space="preserve">115,010 </w:t>
            </w:r>
          </w:p>
        </w:tc>
      </w:tr>
      <w:tr w:rsidR="000230E8" w:rsidRPr="00755B9C" w14:paraId="0C741E13" w14:textId="77777777" w:rsidTr="007418DE">
        <w:tblPrEx>
          <w:tblCellMar>
            <w:top w:w="0" w:type="dxa"/>
            <w:bottom w:w="0" w:type="dxa"/>
          </w:tblCellMar>
        </w:tblPrEx>
        <w:tc>
          <w:tcPr>
            <w:tcW w:w="5328" w:type="dxa"/>
            <w:shd w:val="clear" w:color="auto" w:fill="auto"/>
            <w:vAlign w:val="bottom"/>
          </w:tcPr>
          <w:p w14:paraId="2061E4AB" w14:textId="77777777" w:rsidR="000230E8" w:rsidRPr="00994305" w:rsidRDefault="000230E8" w:rsidP="000230E8">
            <w:pPr>
              <w:pStyle w:val="TableRowHead"/>
              <w:rPr>
                <w:rFonts w:ascii="Gill Sans" w:hAnsi="Gill Sans"/>
                <w:sz w:val="24"/>
                <w:lang w:val="en-GB" w:eastAsia="en-GB"/>
              </w:rPr>
            </w:pPr>
            <w:proofErr w:type="gramStart"/>
            <w:r w:rsidRPr="00994305">
              <w:rPr>
                <w:rFonts w:ascii="Gill Sans" w:hAnsi="Gill Sans"/>
                <w:sz w:val="24"/>
                <w:lang w:val="en-GB" w:eastAsia="en-GB"/>
              </w:rPr>
              <w:t>Retained  Surplus</w:t>
            </w:r>
            <w:proofErr w:type="gramEnd"/>
            <w:r w:rsidRPr="00994305">
              <w:rPr>
                <w:rFonts w:ascii="Gill Sans" w:hAnsi="Gill Sans"/>
                <w:sz w:val="24"/>
                <w:lang w:val="en-GB" w:eastAsia="en-GB"/>
              </w:rPr>
              <w:t xml:space="preserve"> / (Deficit) at 1 January </w:t>
            </w:r>
          </w:p>
        </w:tc>
        <w:tc>
          <w:tcPr>
            <w:tcW w:w="900" w:type="dxa"/>
            <w:shd w:val="clear" w:color="auto" w:fill="auto"/>
            <w:vAlign w:val="bottom"/>
          </w:tcPr>
          <w:p w14:paraId="668E40D8" w14:textId="77777777" w:rsidR="000230E8" w:rsidRPr="00994305" w:rsidRDefault="000230E8" w:rsidP="000230E8">
            <w:pPr>
              <w:pStyle w:val="TableCell"/>
              <w:rPr>
                <w:sz w:val="24"/>
                <w:lang w:val="en-GB" w:eastAsia="en-GB"/>
              </w:rPr>
            </w:pPr>
          </w:p>
        </w:tc>
        <w:tc>
          <w:tcPr>
            <w:tcW w:w="1440" w:type="dxa"/>
            <w:shd w:val="clear" w:color="auto" w:fill="auto"/>
            <w:vAlign w:val="bottom"/>
          </w:tcPr>
          <w:p w14:paraId="7A5A9EAB" w14:textId="77777777" w:rsidR="000230E8" w:rsidRPr="00994305" w:rsidRDefault="000230E8" w:rsidP="000230E8">
            <w:pPr>
              <w:pStyle w:val="TableCell"/>
              <w:rPr>
                <w:sz w:val="24"/>
                <w:lang w:val="en-GB" w:eastAsia="en-GB"/>
              </w:rPr>
            </w:pPr>
            <w:r w:rsidRPr="00994305">
              <w:rPr>
                <w:sz w:val="24"/>
                <w:lang w:val="en-GB" w:eastAsia="en-GB"/>
              </w:rPr>
              <w:t xml:space="preserve">46,019 </w:t>
            </w:r>
          </w:p>
        </w:tc>
        <w:tc>
          <w:tcPr>
            <w:tcW w:w="1424" w:type="dxa"/>
            <w:shd w:val="clear" w:color="auto" w:fill="auto"/>
            <w:vAlign w:val="bottom"/>
          </w:tcPr>
          <w:p w14:paraId="0185FE29" w14:textId="77777777" w:rsidR="000230E8" w:rsidRPr="00994305" w:rsidRDefault="000230E8" w:rsidP="000230E8">
            <w:pPr>
              <w:pStyle w:val="TableCell"/>
              <w:rPr>
                <w:sz w:val="24"/>
                <w:lang w:val="en-GB" w:eastAsia="en-GB"/>
              </w:rPr>
            </w:pPr>
            <w:r w:rsidRPr="00994305">
              <w:rPr>
                <w:sz w:val="24"/>
                <w:lang w:val="en-GB" w:eastAsia="en-GB"/>
              </w:rPr>
              <w:t>(68,991)</w:t>
            </w:r>
          </w:p>
        </w:tc>
      </w:tr>
      <w:tr w:rsidR="000230E8" w:rsidRPr="00755B9C" w14:paraId="3E881766" w14:textId="77777777" w:rsidTr="007418DE">
        <w:tblPrEx>
          <w:tblCellMar>
            <w:top w:w="0" w:type="dxa"/>
            <w:bottom w:w="0" w:type="dxa"/>
          </w:tblCellMar>
        </w:tblPrEx>
        <w:tc>
          <w:tcPr>
            <w:tcW w:w="5328" w:type="dxa"/>
            <w:shd w:val="clear" w:color="auto" w:fill="auto"/>
            <w:vAlign w:val="bottom"/>
          </w:tcPr>
          <w:p w14:paraId="5DB274B3"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 xml:space="preserve">Retained Surplus/ (Deficit) </w:t>
            </w:r>
            <w:proofErr w:type="gramStart"/>
            <w:r w:rsidRPr="00994305">
              <w:rPr>
                <w:rFonts w:ascii="Gill Sans" w:hAnsi="Gill Sans"/>
                <w:sz w:val="24"/>
                <w:lang w:val="en-GB" w:eastAsia="en-GB"/>
              </w:rPr>
              <w:t>at</w:t>
            </w:r>
            <w:proofErr w:type="gramEnd"/>
            <w:r w:rsidRPr="00994305">
              <w:rPr>
                <w:rFonts w:ascii="Gill Sans" w:hAnsi="Gill Sans"/>
                <w:sz w:val="24"/>
                <w:lang w:val="en-GB" w:eastAsia="en-GB"/>
              </w:rPr>
              <w:t xml:space="preserve"> 31 December</w:t>
            </w:r>
          </w:p>
        </w:tc>
        <w:tc>
          <w:tcPr>
            <w:tcW w:w="900" w:type="dxa"/>
            <w:shd w:val="clear" w:color="auto" w:fill="auto"/>
            <w:vAlign w:val="bottom"/>
          </w:tcPr>
          <w:p w14:paraId="2233EC68" w14:textId="77777777" w:rsidR="000230E8" w:rsidRPr="00994305" w:rsidRDefault="000230E8" w:rsidP="000230E8">
            <w:pPr>
              <w:pStyle w:val="TableCell"/>
              <w:rPr>
                <w:b/>
                <w:bCs/>
                <w:sz w:val="24"/>
                <w:lang w:val="en-GB" w:eastAsia="en-GB"/>
              </w:rPr>
            </w:pPr>
          </w:p>
        </w:tc>
        <w:tc>
          <w:tcPr>
            <w:tcW w:w="1440" w:type="dxa"/>
            <w:shd w:val="clear" w:color="auto" w:fill="auto"/>
            <w:vAlign w:val="bottom"/>
          </w:tcPr>
          <w:p w14:paraId="3D0106D5" w14:textId="77777777" w:rsidR="000230E8" w:rsidRPr="00994305" w:rsidRDefault="000230E8" w:rsidP="000230E8">
            <w:pPr>
              <w:pStyle w:val="TableCell"/>
              <w:rPr>
                <w:sz w:val="24"/>
                <w:lang w:val="en-GB" w:eastAsia="en-GB"/>
              </w:rPr>
            </w:pPr>
            <w:r w:rsidRPr="00994305">
              <w:rPr>
                <w:sz w:val="24"/>
                <w:lang w:val="en-GB" w:eastAsia="en-GB"/>
              </w:rPr>
              <w:t xml:space="preserve">29,413 </w:t>
            </w:r>
          </w:p>
        </w:tc>
        <w:tc>
          <w:tcPr>
            <w:tcW w:w="1424" w:type="dxa"/>
            <w:shd w:val="clear" w:color="auto" w:fill="auto"/>
            <w:vAlign w:val="bottom"/>
          </w:tcPr>
          <w:p w14:paraId="6B6FE3EE" w14:textId="77777777" w:rsidR="000230E8" w:rsidRPr="00994305" w:rsidRDefault="000230E8" w:rsidP="000230E8">
            <w:pPr>
              <w:pStyle w:val="TableCell"/>
              <w:rPr>
                <w:sz w:val="24"/>
                <w:lang w:val="en-GB" w:eastAsia="en-GB"/>
              </w:rPr>
            </w:pPr>
            <w:r w:rsidRPr="00994305">
              <w:rPr>
                <w:sz w:val="24"/>
                <w:lang w:val="en-GB" w:eastAsia="en-GB"/>
              </w:rPr>
              <w:t xml:space="preserve">46,019 </w:t>
            </w:r>
          </w:p>
        </w:tc>
      </w:tr>
      <w:tr w:rsidR="000230E8" w:rsidRPr="00755B9C" w14:paraId="5BBE9212" w14:textId="77777777" w:rsidTr="007418DE">
        <w:tblPrEx>
          <w:tblCellMar>
            <w:top w:w="0" w:type="dxa"/>
            <w:bottom w:w="0" w:type="dxa"/>
          </w:tblCellMar>
        </w:tblPrEx>
        <w:tc>
          <w:tcPr>
            <w:tcW w:w="9092" w:type="dxa"/>
            <w:gridSpan w:val="4"/>
            <w:shd w:val="clear" w:color="auto" w:fill="auto"/>
            <w:vAlign w:val="bottom"/>
          </w:tcPr>
          <w:p w14:paraId="05F67A4D" w14:textId="77777777" w:rsidR="000230E8" w:rsidRPr="00994305" w:rsidRDefault="000230E8" w:rsidP="000230E8">
            <w:pPr>
              <w:spacing w:after="0"/>
              <w:jc w:val="center"/>
              <w:rPr>
                <w:rFonts w:cs="Arial"/>
                <w:sz w:val="24"/>
                <w:lang w:val="en-GB" w:eastAsia="en-GB"/>
              </w:rPr>
            </w:pPr>
            <w:r w:rsidRPr="00994305">
              <w:rPr>
                <w:b/>
                <w:bCs/>
                <w:sz w:val="24"/>
                <w:lang w:val="en-GB" w:eastAsia="en-GB"/>
              </w:rPr>
              <w:t>Statement of Total Recognised Gains and Losses</w:t>
            </w:r>
          </w:p>
        </w:tc>
      </w:tr>
      <w:tr w:rsidR="000230E8" w:rsidRPr="00755B9C" w14:paraId="57445C32" w14:textId="77777777" w:rsidTr="007418DE">
        <w:tblPrEx>
          <w:tblCellMar>
            <w:top w:w="0" w:type="dxa"/>
            <w:bottom w:w="0" w:type="dxa"/>
          </w:tblCellMar>
        </w:tblPrEx>
        <w:tc>
          <w:tcPr>
            <w:tcW w:w="5328" w:type="dxa"/>
            <w:shd w:val="clear" w:color="auto" w:fill="auto"/>
            <w:vAlign w:val="bottom"/>
          </w:tcPr>
          <w:p w14:paraId="38F69BEC" w14:textId="77777777" w:rsidR="000230E8" w:rsidRPr="00994305" w:rsidRDefault="000230E8" w:rsidP="000230E8">
            <w:pPr>
              <w:pStyle w:val="TableRowHead"/>
              <w:rPr>
                <w:rFonts w:ascii="Gill Sans" w:hAnsi="Gill Sans"/>
                <w:sz w:val="24"/>
                <w:lang w:val="en-GB" w:eastAsia="en-GB"/>
              </w:rPr>
            </w:pPr>
            <w:proofErr w:type="spellStart"/>
            <w:r w:rsidRPr="00994305">
              <w:rPr>
                <w:rFonts w:ascii="Gill Sans" w:hAnsi="Gill Sans"/>
                <w:sz w:val="24"/>
                <w:lang w:val="en-GB" w:eastAsia="en-GB"/>
              </w:rPr>
              <w:t>Suplus</w:t>
            </w:r>
            <w:proofErr w:type="spellEnd"/>
            <w:r w:rsidRPr="00994305">
              <w:rPr>
                <w:rFonts w:ascii="Gill Sans" w:hAnsi="Gill Sans"/>
                <w:sz w:val="24"/>
                <w:lang w:val="en-GB" w:eastAsia="en-GB"/>
              </w:rPr>
              <w:t xml:space="preserve"> /(Deficit) for the year</w:t>
            </w:r>
          </w:p>
        </w:tc>
        <w:tc>
          <w:tcPr>
            <w:tcW w:w="900" w:type="dxa"/>
            <w:shd w:val="clear" w:color="auto" w:fill="auto"/>
            <w:vAlign w:val="bottom"/>
          </w:tcPr>
          <w:p w14:paraId="67C88F57" w14:textId="77777777" w:rsidR="000230E8" w:rsidRPr="00994305" w:rsidRDefault="000230E8" w:rsidP="000230E8">
            <w:pPr>
              <w:spacing w:after="0"/>
              <w:jc w:val="center"/>
              <w:rPr>
                <w:rFonts w:ascii="Arial" w:hAnsi="Arial" w:cs="Arial"/>
                <w:b/>
                <w:bCs/>
                <w:sz w:val="24"/>
                <w:lang w:val="en-GB" w:eastAsia="en-GB"/>
              </w:rPr>
            </w:pPr>
          </w:p>
        </w:tc>
        <w:tc>
          <w:tcPr>
            <w:tcW w:w="1440" w:type="dxa"/>
            <w:shd w:val="clear" w:color="auto" w:fill="auto"/>
            <w:vAlign w:val="bottom"/>
          </w:tcPr>
          <w:p w14:paraId="142FD7F2" w14:textId="77777777" w:rsidR="000230E8" w:rsidRPr="00994305" w:rsidRDefault="000230E8" w:rsidP="000230E8">
            <w:pPr>
              <w:pStyle w:val="TableCell"/>
              <w:rPr>
                <w:sz w:val="24"/>
                <w:lang w:val="en-GB" w:eastAsia="en-GB"/>
              </w:rPr>
            </w:pPr>
            <w:r w:rsidRPr="00994305">
              <w:rPr>
                <w:sz w:val="24"/>
                <w:lang w:val="en-GB" w:eastAsia="en-GB"/>
              </w:rPr>
              <w:t>(16,606)</w:t>
            </w:r>
          </w:p>
        </w:tc>
        <w:tc>
          <w:tcPr>
            <w:tcW w:w="1424" w:type="dxa"/>
            <w:shd w:val="clear" w:color="auto" w:fill="auto"/>
            <w:vAlign w:val="bottom"/>
          </w:tcPr>
          <w:p w14:paraId="0A7C2281" w14:textId="77777777" w:rsidR="000230E8" w:rsidRPr="00994305" w:rsidRDefault="000230E8" w:rsidP="000230E8">
            <w:pPr>
              <w:pStyle w:val="TableCell"/>
              <w:rPr>
                <w:sz w:val="24"/>
                <w:lang w:val="en-GB" w:eastAsia="en-GB"/>
              </w:rPr>
            </w:pPr>
            <w:r w:rsidRPr="00994305">
              <w:rPr>
                <w:sz w:val="24"/>
                <w:lang w:val="en-GB" w:eastAsia="en-GB"/>
              </w:rPr>
              <w:t xml:space="preserve">115,010 </w:t>
            </w:r>
          </w:p>
        </w:tc>
      </w:tr>
      <w:tr w:rsidR="000230E8" w:rsidRPr="00755B9C" w14:paraId="0B89DF1D" w14:textId="77777777" w:rsidTr="007418DE">
        <w:tblPrEx>
          <w:tblCellMar>
            <w:top w:w="0" w:type="dxa"/>
            <w:bottom w:w="0" w:type="dxa"/>
          </w:tblCellMar>
        </w:tblPrEx>
        <w:tc>
          <w:tcPr>
            <w:tcW w:w="5328" w:type="dxa"/>
            <w:shd w:val="clear" w:color="auto" w:fill="auto"/>
            <w:vAlign w:val="bottom"/>
          </w:tcPr>
          <w:p w14:paraId="7491BFE1"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Actuarial (Gain) / Loss on Pension Liabilities</w:t>
            </w:r>
          </w:p>
        </w:tc>
        <w:tc>
          <w:tcPr>
            <w:tcW w:w="900" w:type="dxa"/>
            <w:shd w:val="clear" w:color="auto" w:fill="auto"/>
            <w:vAlign w:val="bottom"/>
          </w:tcPr>
          <w:p w14:paraId="167B1327" w14:textId="77777777" w:rsidR="000230E8" w:rsidRPr="00994305" w:rsidRDefault="000230E8" w:rsidP="000230E8">
            <w:pPr>
              <w:spacing w:after="0"/>
              <w:jc w:val="center"/>
              <w:rPr>
                <w:rFonts w:ascii="Arial" w:hAnsi="Arial" w:cs="Arial"/>
                <w:b/>
                <w:bCs/>
                <w:sz w:val="24"/>
                <w:lang w:val="en-GB" w:eastAsia="en-GB"/>
              </w:rPr>
            </w:pPr>
          </w:p>
        </w:tc>
        <w:tc>
          <w:tcPr>
            <w:tcW w:w="1440" w:type="dxa"/>
            <w:shd w:val="clear" w:color="auto" w:fill="auto"/>
            <w:vAlign w:val="bottom"/>
          </w:tcPr>
          <w:p w14:paraId="0A9A6EC0" w14:textId="77777777" w:rsidR="000230E8" w:rsidRPr="00994305" w:rsidRDefault="000230E8" w:rsidP="000230E8">
            <w:pPr>
              <w:pStyle w:val="TableCell"/>
              <w:rPr>
                <w:sz w:val="24"/>
                <w:lang w:val="en-GB" w:eastAsia="en-GB"/>
              </w:rPr>
            </w:pPr>
            <w:r w:rsidRPr="00994305">
              <w:rPr>
                <w:sz w:val="24"/>
                <w:lang w:val="en-GB" w:eastAsia="en-GB"/>
              </w:rPr>
              <w:t>(1,260,000)</w:t>
            </w:r>
          </w:p>
        </w:tc>
        <w:tc>
          <w:tcPr>
            <w:tcW w:w="1424" w:type="dxa"/>
            <w:shd w:val="clear" w:color="auto" w:fill="auto"/>
            <w:vAlign w:val="bottom"/>
          </w:tcPr>
          <w:p w14:paraId="61977C56" w14:textId="77777777" w:rsidR="000230E8" w:rsidRPr="00994305" w:rsidRDefault="000230E8" w:rsidP="000230E8">
            <w:pPr>
              <w:pStyle w:val="TableCell"/>
              <w:rPr>
                <w:sz w:val="24"/>
                <w:lang w:val="en-GB" w:eastAsia="en-GB"/>
              </w:rPr>
            </w:pPr>
            <w:r w:rsidRPr="00994305">
              <w:rPr>
                <w:sz w:val="24"/>
                <w:lang w:val="en-GB" w:eastAsia="en-GB"/>
              </w:rPr>
              <w:t>(2,419,000)</w:t>
            </w:r>
          </w:p>
        </w:tc>
      </w:tr>
      <w:tr w:rsidR="000230E8" w:rsidRPr="00755B9C" w14:paraId="624D5FF0" w14:textId="77777777" w:rsidTr="007418DE">
        <w:tblPrEx>
          <w:tblCellMar>
            <w:top w:w="0" w:type="dxa"/>
            <w:bottom w:w="0" w:type="dxa"/>
          </w:tblCellMar>
        </w:tblPrEx>
        <w:tc>
          <w:tcPr>
            <w:tcW w:w="5328" w:type="dxa"/>
            <w:shd w:val="clear" w:color="auto" w:fill="auto"/>
            <w:vAlign w:val="bottom"/>
          </w:tcPr>
          <w:p w14:paraId="43411647" w14:textId="77777777" w:rsidR="000230E8" w:rsidRPr="00994305" w:rsidRDefault="000230E8" w:rsidP="000230E8">
            <w:pPr>
              <w:pStyle w:val="TableRowHead"/>
              <w:rPr>
                <w:rFonts w:ascii="Gill Sans" w:hAnsi="Gill Sans"/>
                <w:sz w:val="24"/>
                <w:lang w:val="en-GB" w:eastAsia="en-GB"/>
              </w:rPr>
            </w:pPr>
            <w:r w:rsidRPr="00994305">
              <w:rPr>
                <w:rFonts w:ascii="Gill Sans" w:hAnsi="Gill Sans"/>
                <w:sz w:val="24"/>
                <w:lang w:val="en-GB" w:eastAsia="en-GB"/>
              </w:rPr>
              <w:t>Adjustment to Deferred Pension Funding</w:t>
            </w:r>
          </w:p>
        </w:tc>
        <w:tc>
          <w:tcPr>
            <w:tcW w:w="900" w:type="dxa"/>
            <w:shd w:val="clear" w:color="auto" w:fill="auto"/>
            <w:vAlign w:val="bottom"/>
          </w:tcPr>
          <w:p w14:paraId="33008B38" w14:textId="77777777" w:rsidR="000230E8" w:rsidRPr="00994305" w:rsidRDefault="000230E8" w:rsidP="000230E8">
            <w:pPr>
              <w:spacing w:after="0"/>
              <w:jc w:val="center"/>
              <w:rPr>
                <w:rFonts w:ascii="Arial" w:hAnsi="Arial" w:cs="Arial"/>
                <w:b/>
                <w:bCs/>
                <w:sz w:val="24"/>
                <w:lang w:val="en-GB" w:eastAsia="en-GB"/>
              </w:rPr>
            </w:pPr>
          </w:p>
        </w:tc>
        <w:tc>
          <w:tcPr>
            <w:tcW w:w="1440" w:type="dxa"/>
            <w:shd w:val="clear" w:color="auto" w:fill="auto"/>
            <w:vAlign w:val="bottom"/>
          </w:tcPr>
          <w:p w14:paraId="36E9ACA0" w14:textId="77777777" w:rsidR="000230E8" w:rsidRPr="00994305" w:rsidRDefault="000230E8" w:rsidP="000230E8">
            <w:pPr>
              <w:pStyle w:val="TableCell"/>
              <w:rPr>
                <w:sz w:val="24"/>
                <w:lang w:val="en-GB" w:eastAsia="en-GB"/>
              </w:rPr>
            </w:pPr>
            <w:r w:rsidRPr="00994305">
              <w:rPr>
                <w:sz w:val="24"/>
                <w:lang w:val="en-GB" w:eastAsia="en-GB"/>
              </w:rPr>
              <w:t xml:space="preserve">1,260,000 </w:t>
            </w:r>
          </w:p>
        </w:tc>
        <w:tc>
          <w:tcPr>
            <w:tcW w:w="1424" w:type="dxa"/>
            <w:shd w:val="clear" w:color="auto" w:fill="auto"/>
            <w:vAlign w:val="bottom"/>
          </w:tcPr>
          <w:p w14:paraId="3D904254" w14:textId="77777777" w:rsidR="000230E8" w:rsidRPr="00994305" w:rsidRDefault="000230E8" w:rsidP="000230E8">
            <w:pPr>
              <w:pStyle w:val="TableCell"/>
              <w:rPr>
                <w:sz w:val="24"/>
                <w:lang w:val="en-GB" w:eastAsia="en-GB"/>
              </w:rPr>
            </w:pPr>
            <w:r w:rsidRPr="00994305">
              <w:rPr>
                <w:sz w:val="24"/>
                <w:lang w:val="en-GB" w:eastAsia="en-GB"/>
              </w:rPr>
              <w:t xml:space="preserve">2,419,000 </w:t>
            </w:r>
          </w:p>
        </w:tc>
      </w:tr>
      <w:tr w:rsidR="000230E8" w:rsidRPr="00755B9C" w14:paraId="4E78CB20" w14:textId="77777777" w:rsidTr="007418DE">
        <w:tblPrEx>
          <w:tblCellMar>
            <w:top w:w="0" w:type="dxa"/>
            <w:bottom w:w="0" w:type="dxa"/>
          </w:tblCellMar>
        </w:tblPrEx>
        <w:tc>
          <w:tcPr>
            <w:tcW w:w="5328" w:type="dxa"/>
            <w:shd w:val="clear" w:color="auto" w:fill="auto"/>
            <w:vAlign w:val="bottom"/>
          </w:tcPr>
          <w:p w14:paraId="4D6668B5" w14:textId="77777777" w:rsidR="000230E8" w:rsidRPr="00994305" w:rsidRDefault="000230E8" w:rsidP="000230E8">
            <w:pPr>
              <w:pStyle w:val="TableRowHead"/>
              <w:rPr>
                <w:rFonts w:ascii="Gill Sans" w:hAnsi="Gill Sans"/>
                <w:bCs/>
                <w:sz w:val="24"/>
                <w:lang w:val="en-GB" w:eastAsia="en-GB"/>
              </w:rPr>
            </w:pPr>
            <w:r w:rsidRPr="00994305">
              <w:rPr>
                <w:rFonts w:ascii="Gill Sans" w:hAnsi="Gill Sans"/>
                <w:bCs/>
                <w:sz w:val="24"/>
                <w:lang w:val="en-GB" w:eastAsia="en-GB"/>
              </w:rPr>
              <w:t>Total Recognised Gain / (Loss) for the year</w:t>
            </w:r>
          </w:p>
        </w:tc>
        <w:tc>
          <w:tcPr>
            <w:tcW w:w="900" w:type="dxa"/>
            <w:shd w:val="clear" w:color="auto" w:fill="auto"/>
            <w:vAlign w:val="bottom"/>
          </w:tcPr>
          <w:p w14:paraId="6CCBBE85" w14:textId="77777777" w:rsidR="000230E8" w:rsidRPr="00994305" w:rsidRDefault="000230E8" w:rsidP="000230E8">
            <w:pPr>
              <w:spacing w:after="0"/>
              <w:jc w:val="center"/>
              <w:rPr>
                <w:rFonts w:ascii="Arial" w:hAnsi="Arial" w:cs="Arial"/>
                <w:b/>
                <w:bCs/>
                <w:sz w:val="24"/>
                <w:lang w:val="en-GB" w:eastAsia="en-GB"/>
              </w:rPr>
            </w:pPr>
          </w:p>
        </w:tc>
        <w:tc>
          <w:tcPr>
            <w:tcW w:w="1440" w:type="dxa"/>
            <w:shd w:val="clear" w:color="auto" w:fill="auto"/>
            <w:vAlign w:val="bottom"/>
          </w:tcPr>
          <w:p w14:paraId="5F58DB31" w14:textId="77777777" w:rsidR="000230E8" w:rsidRPr="00994305" w:rsidRDefault="000230E8" w:rsidP="000230E8">
            <w:pPr>
              <w:pStyle w:val="TableCell"/>
              <w:rPr>
                <w:b/>
                <w:bCs/>
                <w:sz w:val="24"/>
                <w:lang w:val="en-GB" w:eastAsia="en-GB"/>
              </w:rPr>
            </w:pPr>
            <w:r w:rsidRPr="00994305">
              <w:rPr>
                <w:b/>
                <w:bCs/>
                <w:sz w:val="24"/>
                <w:lang w:val="en-GB" w:eastAsia="en-GB"/>
              </w:rPr>
              <w:t>(16,606)</w:t>
            </w:r>
          </w:p>
        </w:tc>
        <w:tc>
          <w:tcPr>
            <w:tcW w:w="1424" w:type="dxa"/>
            <w:shd w:val="clear" w:color="auto" w:fill="auto"/>
            <w:vAlign w:val="bottom"/>
          </w:tcPr>
          <w:p w14:paraId="6EDDCFC6" w14:textId="77777777" w:rsidR="000230E8" w:rsidRPr="00994305" w:rsidRDefault="000230E8" w:rsidP="000230E8">
            <w:pPr>
              <w:pStyle w:val="TableCell"/>
              <w:rPr>
                <w:b/>
                <w:bCs/>
                <w:sz w:val="24"/>
                <w:lang w:val="en-GB" w:eastAsia="en-GB"/>
              </w:rPr>
            </w:pPr>
            <w:r w:rsidRPr="00994305">
              <w:rPr>
                <w:b/>
                <w:bCs/>
                <w:sz w:val="24"/>
                <w:lang w:val="en-GB" w:eastAsia="en-GB"/>
              </w:rPr>
              <w:t xml:space="preserve">115,010 </w:t>
            </w:r>
          </w:p>
        </w:tc>
      </w:tr>
    </w:tbl>
    <w:p w14:paraId="0B156F8F" w14:textId="77777777" w:rsidR="000230E8" w:rsidRDefault="000230E8" w:rsidP="000230E8">
      <w:pPr>
        <w:rPr>
          <w:lang w:val="en-GB" w:eastAsia="en-GB"/>
        </w:rPr>
      </w:pPr>
      <w:r w:rsidRPr="00B76E94">
        <w:rPr>
          <w:lang w:val="en-GB" w:eastAsia="en-GB"/>
        </w:rPr>
        <w:t>The results for the year relate to continuing operations</w:t>
      </w:r>
      <w:r>
        <w:rPr>
          <w:lang w:val="en-GB" w:eastAsia="en-GB"/>
        </w:rPr>
        <w:t>.</w:t>
      </w:r>
    </w:p>
    <w:p w14:paraId="506567C3" w14:textId="77777777" w:rsidR="000230E8" w:rsidRPr="00B76E94" w:rsidRDefault="000230E8" w:rsidP="000230E8">
      <w:pPr>
        <w:rPr>
          <w:lang w:val="en-GB" w:eastAsia="en-GB"/>
        </w:rPr>
      </w:pPr>
      <w:r w:rsidRPr="00B76E94">
        <w:rPr>
          <w:lang w:val="en-GB" w:eastAsia="en-GB"/>
        </w:rPr>
        <w:t>The Statement of Accounting Policies, the Cash Flow Statement, and Notes 1 to 16 form part of these Financial Statements</w:t>
      </w:r>
      <w:r>
        <w:rPr>
          <w:lang w:val="en-GB" w:eastAsia="en-GB"/>
        </w:rPr>
        <w:t>.</w:t>
      </w:r>
    </w:p>
    <w:p w14:paraId="5D4A8120" w14:textId="77777777" w:rsidR="000E4041" w:rsidRDefault="000230E8" w:rsidP="000E4041">
      <w:pPr>
        <w:rPr>
          <w:b/>
          <w:lang w:val="en-GB" w:eastAsia="en-GB"/>
        </w:rPr>
      </w:pPr>
      <w:r w:rsidRPr="000E4041">
        <w:rPr>
          <w:b/>
          <w:lang w:val="en-GB" w:eastAsia="en-GB"/>
        </w:rPr>
        <w:t>Signed:</w:t>
      </w:r>
      <w:r w:rsidRPr="000E4041">
        <w:rPr>
          <w:b/>
          <w:lang w:val="en-GB" w:eastAsia="en-GB"/>
        </w:rPr>
        <w:tab/>
      </w:r>
      <w:r w:rsidRPr="00B634DD">
        <w:rPr>
          <w:lang w:val="en-GB" w:eastAsia="en-GB"/>
        </w:rPr>
        <w:t xml:space="preserve">Peter </w:t>
      </w:r>
      <w:proofErr w:type="spellStart"/>
      <w:r w:rsidRPr="00B634DD">
        <w:rPr>
          <w:lang w:val="en-GB" w:eastAsia="en-GB"/>
        </w:rPr>
        <w:t>McKevitt</w:t>
      </w:r>
      <w:proofErr w:type="spellEnd"/>
      <w:r w:rsidRPr="00B634DD">
        <w:rPr>
          <w:lang w:val="en-GB" w:eastAsia="en-GB"/>
        </w:rPr>
        <w:t xml:space="preserve"> (Chairperson)</w:t>
      </w:r>
      <w:r w:rsidR="000E4041">
        <w:rPr>
          <w:b/>
          <w:lang w:val="en-GB" w:eastAsia="en-GB"/>
        </w:rPr>
        <w:br/>
      </w:r>
      <w:r w:rsidRPr="000E4041">
        <w:rPr>
          <w:b/>
          <w:lang w:val="en-GB" w:eastAsia="en-GB"/>
        </w:rPr>
        <w:t xml:space="preserve">Signed: </w:t>
      </w:r>
      <w:r w:rsidRPr="000E4041">
        <w:rPr>
          <w:b/>
          <w:lang w:val="en-GB" w:eastAsia="en-GB"/>
        </w:rPr>
        <w:tab/>
      </w:r>
      <w:r w:rsidRPr="00B634DD">
        <w:rPr>
          <w:lang w:val="en-GB" w:eastAsia="en-GB"/>
        </w:rPr>
        <w:t xml:space="preserve">Frank </w:t>
      </w:r>
      <w:proofErr w:type="spellStart"/>
      <w:r w:rsidRPr="00B634DD">
        <w:rPr>
          <w:lang w:val="en-GB" w:eastAsia="en-GB"/>
        </w:rPr>
        <w:t>Cuneen</w:t>
      </w:r>
      <w:proofErr w:type="spellEnd"/>
      <w:r w:rsidRPr="00B634DD">
        <w:rPr>
          <w:lang w:val="en-GB" w:eastAsia="en-GB"/>
        </w:rPr>
        <w:t xml:space="preserve"> (Authority Member)</w:t>
      </w:r>
      <w:r w:rsidR="000E4041">
        <w:rPr>
          <w:b/>
          <w:lang w:val="en-GB" w:eastAsia="en-GB"/>
        </w:rPr>
        <w:br/>
      </w:r>
      <w:r w:rsidRPr="000E4041">
        <w:rPr>
          <w:b/>
          <w:lang w:val="en-GB" w:eastAsia="en-GB"/>
        </w:rPr>
        <w:t>Signed:</w:t>
      </w:r>
      <w:r w:rsidRPr="000E4041">
        <w:rPr>
          <w:b/>
          <w:lang w:val="en-GB" w:eastAsia="en-GB"/>
        </w:rPr>
        <w:tab/>
      </w:r>
      <w:r w:rsidRPr="00B634DD">
        <w:rPr>
          <w:lang w:val="en-GB" w:eastAsia="en-GB"/>
        </w:rPr>
        <w:t>Siobhán Barron (Director)</w:t>
      </w:r>
      <w:r w:rsidR="000E4041">
        <w:rPr>
          <w:b/>
          <w:lang w:val="en-GB" w:eastAsia="en-GB"/>
        </w:rPr>
        <w:br/>
      </w:r>
      <w:r w:rsidRPr="000E4041">
        <w:rPr>
          <w:b/>
          <w:lang w:val="en-GB" w:eastAsia="en-GB"/>
        </w:rPr>
        <w:t>Date:</w:t>
      </w:r>
      <w:r w:rsidRPr="000E4041">
        <w:rPr>
          <w:b/>
          <w:lang w:val="en-GB" w:eastAsia="en-GB"/>
        </w:rPr>
        <w:tab/>
      </w:r>
      <w:r w:rsidRPr="000E4041">
        <w:rPr>
          <w:b/>
          <w:lang w:val="en-GB" w:eastAsia="en-GB"/>
        </w:rPr>
        <w:tab/>
      </w:r>
      <w:r w:rsidRPr="00B634DD">
        <w:rPr>
          <w:lang w:val="en-GB" w:eastAsia="en-GB"/>
        </w:rPr>
        <w:t>10 September 2012</w:t>
      </w:r>
    </w:p>
    <w:p w14:paraId="0E4887F0" w14:textId="77777777" w:rsidR="000230E8" w:rsidRDefault="000E4041" w:rsidP="000E4041">
      <w:pPr>
        <w:pStyle w:val="Heading1"/>
        <w:rPr>
          <w:lang w:val="en-GB" w:eastAsia="en-GB"/>
        </w:rPr>
      </w:pPr>
      <w:r>
        <w:rPr>
          <w:lang w:val="en-GB" w:eastAsia="en-GB"/>
        </w:rPr>
        <w:br w:type="page"/>
      </w:r>
      <w:bookmarkStart w:id="234" w:name="_Toc335836391"/>
      <w:bookmarkStart w:id="235" w:name="_Toc335983437"/>
      <w:bookmarkStart w:id="236" w:name="_Toc335986606"/>
      <w:r w:rsidR="000230E8" w:rsidRPr="00994305">
        <w:rPr>
          <w:lang w:val="en-GB" w:eastAsia="en-GB"/>
        </w:rPr>
        <w:lastRenderedPageBreak/>
        <w:t xml:space="preserve">Balance Sheet as </w:t>
      </w:r>
      <w:proofErr w:type="gramStart"/>
      <w:r w:rsidR="000230E8" w:rsidRPr="00994305">
        <w:rPr>
          <w:lang w:val="en-GB" w:eastAsia="en-GB"/>
        </w:rPr>
        <w:t>at</w:t>
      </w:r>
      <w:proofErr w:type="gramEnd"/>
      <w:r w:rsidR="000230E8" w:rsidRPr="00994305">
        <w:rPr>
          <w:lang w:val="en-GB" w:eastAsia="en-GB"/>
        </w:rPr>
        <w:t xml:space="preserve"> 31 December 2011</w:t>
      </w:r>
      <w:bookmarkEnd w:id="234"/>
      <w:bookmarkEnd w:id="235"/>
      <w:bookmarkEnd w:id="236"/>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1116"/>
        <w:gridCol w:w="1476"/>
        <w:gridCol w:w="1476"/>
      </w:tblGrid>
      <w:tr w:rsidR="000230E8" w:rsidRPr="00994305" w14:paraId="5F573557" w14:textId="77777777" w:rsidTr="007418DE">
        <w:tblPrEx>
          <w:tblCellMar>
            <w:top w:w="0" w:type="dxa"/>
            <w:bottom w:w="0" w:type="dxa"/>
          </w:tblCellMar>
        </w:tblPrEx>
        <w:trPr>
          <w:tblHeader/>
        </w:trPr>
        <w:tc>
          <w:tcPr>
            <w:tcW w:w="4788" w:type="dxa"/>
            <w:shd w:val="clear" w:color="auto" w:fill="auto"/>
          </w:tcPr>
          <w:p w14:paraId="0F93B777" w14:textId="77777777" w:rsidR="000230E8" w:rsidRPr="00AA3DCB" w:rsidRDefault="000230E8" w:rsidP="000230E8">
            <w:pPr>
              <w:pStyle w:val="TableHead"/>
              <w:jc w:val="right"/>
              <w:rPr>
                <w:sz w:val="24"/>
              </w:rPr>
            </w:pPr>
          </w:p>
        </w:tc>
        <w:tc>
          <w:tcPr>
            <w:tcW w:w="1116" w:type="dxa"/>
            <w:vAlign w:val="bottom"/>
          </w:tcPr>
          <w:p w14:paraId="30F20954" w14:textId="77777777" w:rsidR="000230E8" w:rsidRPr="00AA3DCB" w:rsidRDefault="000230E8" w:rsidP="000230E8">
            <w:pPr>
              <w:pStyle w:val="TableHead"/>
              <w:jc w:val="right"/>
              <w:rPr>
                <w:lang w:val="en-GB" w:eastAsia="en-GB"/>
              </w:rPr>
            </w:pPr>
            <w:r w:rsidRPr="00AA3DCB">
              <w:rPr>
                <w:lang w:val="en-GB" w:eastAsia="en-GB"/>
              </w:rPr>
              <w:t>Notes</w:t>
            </w:r>
          </w:p>
        </w:tc>
        <w:tc>
          <w:tcPr>
            <w:tcW w:w="1476" w:type="dxa"/>
            <w:vAlign w:val="bottom"/>
          </w:tcPr>
          <w:p w14:paraId="505C9EBA" w14:textId="77777777" w:rsidR="000230E8" w:rsidRPr="00AA3DCB" w:rsidRDefault="000230E8" w:rsidP="000230E8">
            <w:pPr>
              <w:pStyle w:val="TableHead"/>
              <w:jc w:val="right"/>
              <w:rPr>
                <w:bCs/>
                <w:lang w:val="en-GB" w:eastAsia="en-GB"/>
              </w:rPr>
            </w:pPr>
            <w:r w:rsidRPr="00AA3DCB">
              <w:rPr>
                <w:bCs/>
                <w:lang w:val="en-GB" w:eastAsia="en-GB"/>
              </w:rPr>
              <w:t>2011</w:t>
            </w:r>
          </w:p>
        </w:tc>
        <w:tc>
          <w:tcPr>
            <w:tcW w:w="1476" w:type="dxa"/>
            <w:vAlign w:val="bottom"/>
          </w:tcPr>
          <w:p w14:paraId="0C421CCA" w14:textId="77777777" w:rsidR="000230E8" w:rsidRPr="00AA3DCB" w:rsidRDefault="000230E8" w:rsidP="000230E8">
            <w:pPr>
              <w:pStyle w:val="TableHead"/>
              <w:jc w:val="right"/>
              <w:rPr>
                <w:bCs/>
                <w:lang w:val="en-GB" w:eastAsia="en-GB"/>
              </w:rPr>
            </w:pPr>
            <w:r w:rsidRPr="00AA3DCB">
              <w:rPr>
                <w:bCs/>
                <w:lang w:val="en-GB" w:eastAsia="en-GB"/>
              </w:rPr>
              <w:t>2010</w:t>
            </w:r>
          </w:p>
        </w:tc>
      </w:tr>
      <w:tr w:rsidR="000230E8" w:rsidRPr="00994305" w14:paraId="41842418" w14:textId="77777777" w:rsidTr="007418DE">
        <w:tblPrEx>
          <w:tblCellMar>
            <w:top w:w="0" w:type="dxa"/>
            <w:bottom w:w="0" w:type="dxa"/>
          </w:tblCellMar>
        </w:tblPrEx>
        <w:tc>
          <w:tcPr>
            <w:tcW w:w="4788" w:type="dxa"/>
            <w:shd w:val="clear" w:color="auto" w:fill="auto"/>
          </w:tcPr>
          <w:p w14:paraId="2FA64125" w14:textId="77777777" w:rsidR="000230E8" w:rsidRPr="00AA3DCB" w:rsidRDefault="000230E8" w:rsidP="000230E8">
            <w:pPr>
              <w:pStyle w:val="TableRowHead"/>
              <w:rPr>
                <w:rFonts w:ascii="Gill Sans" w:hAnsi="Gill Sans"/>
                <w:sz w:val="24"/>
              </w:rPr>
            </w:pPr>
          </w:p>
        </w:tc>
        <w:tc>
          <w:tcPr>
            <w:tcW w:w="1116" w:type="dxa"/>
            <w:vAlign w:val="bottom"/>
          </w:tcPr>
          <w:p w14:paraId="181DE98F" w14:textId="77777777" w:rsidR="000230E8" w:rsidRPr="00AA3DCB" w:rsidRDefault="000230E8" w:rsidP="000230E8">
            <w:pPr>
              <w:spacing w:after="0"/>
              <w:jc w:val="center"/>
              <w:rPr>
                <w:rFonts w:cs="Arial"/>
                <w:sz w:val="24"/>
                <w:lang w:val="en-GB" w:eastAsia="en-GB"/>
              </w:rPr>
            </w:pPr>
          </w:p>
        </w:tc>
        <w:tc>
          <w:tcPr>
            <w:tcW w:w="1476" w:type="dxa"/>
            <w:vAlign w:val="bottom"/>
          </w:tcPr>
          <w:p w14:paraId="4E95C081" w14:textId="77777777" w:rsidR="000230E8" w:rsidRPr="00AA3DCB" w:rsidRDefault="000230E8" w:rsidP="000230E8">
            <w:pPr>
              <w:spacing w:after="0"/>
              <w:jc w:val="right"/>
              <w:rPr>
                <w:rFonts w:ascii="Arial" w:hAnsi="Arial" w:cs="Arial"/>
                <w:b/>
                <w:bCs/>
                <w:sz w:val="24"/>
                <w:lang w:val="en-GB" w:eastAsia="en-GB"/>
              </w:rPr>
            </w:pPr>
            <w:r w:rsidRPr="00AA3DCB">
              <w:rPr>
                <w:rFonts w:ascii="Arial" w:hAnsi="Arial" w:cs="Arial"/>
                <w:b/>
                <w:bCs/>
                <w:sz w:val="24"/>
                <w:lang w:val="en-GB" w:eastAsia="en-GB"/>
              </w:rPr>
              <w:t>€</w:t>
            </w:r>
          </w:p>
        </w:tc>
        <w:tc>
          <w:tcPr>
            <w:tcW w:w="1476" w:type="dxa"/>
            <w:vAlign w:val="bottom"/>
          </w:tcPr>
          <w:p w14:paraId="6206FF7C" w14:textId="77777777" w:rsidR="000230E8" w:rsidRPr="00AA3DCB" w:rsidRDefault="000230E8" w:rsidP="000230E8">
            <w:pPr>
              <w:spacing w:after="0"/>
              <w:jc w:val="right"/>
              <w:rPr>
                <w:rFonts w:ascii="Arial" w:hAnsi="Arial" w:cs="Arial"/>
                <w:b/>
                <w:bCs/>
                <w:sz w:val="24"/>
                <w:lang w:val="en-GB" w:eastAsia="en-GB"/>
              </w:rPr>
            </w:pPr>
            <w:r w:rsidRPr="00AA3DCB">
              <w:rPr>
                <w:rFonts w:ascii="Arial" w:hAnsi="Arial" w:cs="Arial"/>
                <w:b/>
                <w:bCs/>
                <w:sz w:val="24"/>
                <w:lang w:val="en-GB" w:eastAsia="en-GB"/>
              </w:rPr>
              <w:t>€</w:t>
            </w:r>
          </w:p>
        </w:tc>
      </w:tr>
      <w:tr w:rsidR="000230E8" w:rsidRPr="00994305" w14:paraId="061EBA6D" w14:textId="77777777" w:rsidTr="007418DE">
        <w:tblPrEx>
          <w:tblCellMar>
            <w:top w:w="0" w:type="dxa"/>
            <w:bottom w:w="0" w:type="dxa"/>
          </w:tblCellMar>
        </w:tblPrEx>
        <w:tc>
          <w:tcPr>
            <w:tcW w:w="4788" w:type="dxa"/>
            <w:shd w:val="clear" w:color="auto" w:fill="auto"/>
            <w:vAlign w:val="bottom"/>
          </w:tcPr>
          <w:p w14:paraId="056983B7" w14:textId="77777777" w:rsidR="000230E8" w:rsidRPr="00AA3DCB" w:rsidRDefault="000230E8" w:rsidP="000230E8">
            <w:pPr>
              <w:pStyle w:val="TableRowHead"/>
              <w:rPr>
                <w:rFonts w:ascii="Gill Sans" w:hAnsi="Gill Sans"/>
                <w:sz w:val="24"/>
                <w:lang w:val="en-GB" w:eastAsia="en-GB"/>
              </w:rPr>
            </w:pPr>
            <w:r w:rsidRPr="00AA3DCB">
              <w:rPr>
                <w:rFonts w:ascii="Gill Sans" w:hAnsi="Gill Sans"/>
                <w:sz w:val="24"/>
                <w:lang w:val="en-GB" w:eastAsia="en-GB"/>
              </w:rPr>
              <w:t>Fixed Assets</w:t>
            </w:r>
          </w:p>
        </w:tc>
        <w:tc>
          <w:tcPr>
            <w:tcW w:w="1116" w:type="dxa"/>
            <w:vAlign w:val="bottom"/>
          </w:tcPr>
          <w:p w14:paraId="3BEEB289" w14:textId="77777777" w:rsidR="000230E8" w:rsidRPr="00AA3DCB" w:rsidRDefault="000230E8" w:rsidP="000230E8">
            <w:pPr>
              <w:spacing w:after="0"/>
              <w:jc w:val="center"/>
              <w:rPr>
                <w:rFonts w:cs="Arial"/>
                <w:sz w:val="24"/>
                <w:lang w:val="en-GB" w:eastAsia="en-GB"/>
              </w:rPr>
            </w:pPr>
            <w:r w:rsidRPr="00AA3DCB">
              <w:rPr>
                <w:rFonts w:cs="Arial"/>
                <w:sz w:val="24"/>
                <w:lang w:val="en-GB" w:eastAsia="en-GB"/>
              </w:rPr>
              <w:t>7</w:t>
            </w:r>
          </w:p>
        </w:tc>
        <w:tc>
          <w:tcPr>
            <w:tcW w:w="1476" w:type="dxa"/>
            <w:vAlign w:val="bottom"/>
          </w:tcPr>
          <w:p w14:paraId="4F440E4E"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3,027,866 </w:t>
            </w:r>
          </w:p>
        </w:tc>
        <w:tc>
          <w:tcPr>
            <w:tcW w:w="1476" w:type="dxa"/>
            <w:vAlign w:val="bottom"/>
          </w:tcPr>
          <w:p w14:paraId="00E5ACB1"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3,111,965 </w:t>
            </w:r>
          </w:p>
        </w:tc>
      </w:tr>
      <w:tr w:rsidR="000230E8" w:rsidRPr="00994305" w14:paraId="07ABE1D7" w14:textId="77777777" w:rsidTr="007418DE">
        <w:tblPrEx>
          <w:tblCellMar>
            <w:top w:w="0" w:type="dxa"/>
            <w:bottom w:w="0" w:type="dxa"/>
          </w:tblCellMar>
        </w:tblPrEx>
        <w:tc>
          <w:tcPr>
            <w:tcW w:w="8856" w:type="dxa"/>
            <w:gridSpan w:val="4"/>
            <w:shd w:val="clear" w:color="auto" w:fill="auto"/>
            <w:vAlign w:val="bottom"/>
          </w:tcPr>
          <w:p w14:paraId="63E29CF2" w14:textId="77777777" w:rsidR="000230E8" w:rsidRPr="00AA3DCB" w:rsidRDefault="000230E8" w:rsidP="000230E8">
            <w:pPr>
              <w:pStyle w:val="TableHead"/>
              <w:jc w:val="center"/>
              <w:rPr>
                <w:sz w:val="24"/>
                <w:lang w:val="en-GB" w:eastAsia="en-GB"/>
              </w:rPr>
            </w:pPr>
            <w:r w:rsidRPr="00AA3DCB">
              <w:rPr>
                <w:sz w:val="24"/>
                <w:lang w:val="en-GB" w:eastAsia="en-GB"/>
              </w:rPr>
              <w:t>Current Assets</w:t>
            </w:r>
          </w:p>
        </w:tc>
      </w:tr>
      <w:tr w:rsidR="000230E8" w:rsidRPr="00994305" w14:paraId="4BBC1DF7" w14:textId="77777777" w:rsidTr="007418DE">
        <w:tblPrEx>
          <w:tblCellMar>
            <w:top w:w="0" w:type="dxa"/>
            <w:bottom w:w="0" w:type="dxa"/>
          </w:tblCellMar>
        </w:tblPrEx>
        <w:tc>
          <w:tcPr>
            <w:tcW w:w="4788" w:type="dxa"/>
            <w:shd w:val="clear" w:color="auto" w:fill="auto"/>
            <w:vAlign w:val="bottom"/>
          </w:tcPr>
          <w:p w14:paraId="6803BB3C" w14:textId="77777777" w:rsidR="000230E8" w:rsidRPr="00AA3DCB" w:rsidRDefault="000230E8" w:rsidP="000230E8">
            <w:pPr>
              <w:pStyle w:val="TableRowHead"/>
              <w:rPr>
                <w:rFonts w:ascii="Gill Sans" w:hAnsi="Gill Sans"/>
                <w:sz w:val="24"/>
                <w:lang w:val="en-GB" w:eastAsia="en-GB"/>
              </w:rPr>
            </w:pPr>
            <w:r w:rsidRPr="00AA3DCB">
              <w:rPr>
                <w:rFonts w:ascii="Gill Sans" w:hAnsi="Gill Sans"/>
                <w:sz w:val="24"/>
                <w:lang w:val="en-GB" w:eastAsia="en-GB"/>
              </w:rPr>
              <w:t xml:space="preserve">Debtors And Prepayments </w:t>
            </w:r>
          </w:p>
        </w:tc>
        <w:tc>
          <w:tcPr>
            <w:tcW w:w="1116" w:type="dxa"/>
            <w:vAlign w:val="bottom"/>
          </w:tcPr>
          <w:p w14:paraId="7232ED99" w14:textId="77777777" w:rsidR="000230E8" w:rsidRPr="00AA3DCB" w:rsidRDefault="000230E8" w:rsidP="000230E8">
            <w:pPr>
              <w:spacing w:after="0"/>
              <w:jc w:val="center"/>
              <w:rPr>
                <w:rFonts w:cs="Arial"/>
                <w:sz w:val="24"/>
                <w:lang w:val="en-GB" w:eastAsia="en-GB"/>
              </w:rPr>
            </w:pPr>
            <w:r w:rsidRPr="00AA3DCB">
              <w:rPr>
                <w:rFonts w:cs="Arial"/>
                <w:sz w:val="24"/>
                <w:lang w:val="en-GB" w:eastAsia="en-GB"/>
              </w:rPr>
              <w:t>12</w:t>
            </w:r>
          </w:p>
        </w:tc>
        <w:tc>
          <w:tcPr>
            <w:tcW w:w="1476" w:type="dxa"/>
            <w:vAlign w:val="bottom"/>
          </w:tcPr>
          <w:p w14:paraId="26D1E9A4"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151,608 </w:t>
            </w:r>
          </w:p>
        </w:tc>
        <w:tc>
          <w:tcPr>
            <w:tcW w:w="1476" w:type="dxa"/>
            <w:vAlign w:val="bottom"/>
          </w:tcPr>
          <w:p w14:paraId="5DFCF126"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92,999 </w:t>
            </w:r>
          </w:p>
        </w:tc>
      </w:tr>
      <w:tr w:rsidR="000230E8" w:rsidRPr="00994305" w14:paraId="561A801D" w14:textId="77777777" w:rsidTr="007418DE">
        <w:tblPrEx>
          <w:tblCellMar>
            <w:top w:w="0" w:type="dxa"/>
            <w:bottom w:w="0" w:type="dxa"/>
          </w:tblCellMar>
        </w:tblPrEx>
        <w:tc>
          <w:tcPr>
            <w:tcW w:w="4788" w:type="dxa"/>
            <w:shd w:val="clear" w:color="auto" w:fill="auto"/>
            <w:vAlign w:val="bottom"/>
          </w:tcPr>
          <w:p w14:paraId="0AD65A6F" w14:textId="77777777" w:rsidR="000230E8" w:rsidRPr="00AA3DCB" w:rsidRDefault="000230E8" w:rsidP="000230E8">
            <w:pPr>
              <w:pStyle w:val="TableRowHead"/>
              <w:rPr>
                <w:rFonts w:ascii="Gill Sans" w:hAnsi="Gill Sans"/>
                <w:sz w:val="24"/>
                <w:lang w:val="en-GB" w:eastAsia="en-GB"/>
              </w:rPr>
            </w:pPr>
            <w:r w:rsidRPr="00AA3DCB">
              <w:rPr>
                <w:rFonts w:ascii="Gill Sans" w:hAnsi="Gill Sans"/>
                <w:sz w:val="24"/>
                <w:lang w:val="en-GB" w:eastAsia="en-GB"/>
              </w:rPr>
              <w:t xml:space="preserve">Cash At Bank </w:t>
            </w:r>
            <w:proofErr w:type="gramStart"/>
            <w:r w:rsidRPr="00AA3DCB">
              <w:rPr>
                <w:rFonts w:ascii="Gill Sans" w:hAnsi="Gill Sans"/>
                <w:sz w:val="24"/>
                <w:lang w:val="en-GB" w:eastAsia="en-GB"/>
              </w:rPr>
              <w:t>And</w:t>
            </w:r>
            <w:proofErr w:type="gramEnd"/>
            <w:r w:rsidRPr="00AA3DCB">
              <w:rPr>
                <w:rFonts w:ascii="Gill Sans" w:hAnsi="Gill Sans"/>
                <w:sz w:val="24"/>
                <w:lang w:val="en-GB" w:eastAsia="en-GB"/>
              </w:rPr>
              <w:t xml:space="preserve"> On Hand </w:t>
            </w:r>
          </w:p>
        </w:tc>
        <w:tc>
          <w:tcPr>
            <w:tcW w:w="1116" w:type="dxa"/>
            <w:vAlign w:val="bottom"/>
          </w:tcPr>
          <w:p w14:paraId="5C5815A9" w14:textId="77777777" w:rsidR="000230E8" w:rsidRPr="00AA3DCB" w:rsidRDefault="000230E8" w:rsidP="000230E8">
            <w:pPr>
              <w:spacing w:after="0"/>
              <w:jc w:val="center"/>
              <w:rPr>
                <w:rFonts w:cs="Arial"/>
                <w:sz w:val="24"/>
                <w:lang w:val="en-GB" w:eastAsia="en-GB"/>
              </w:rPr>
            </w:pPr>
            <w:r w:rsidRPr="00AA3DCB">
              <w:rPr>
                <w:rFonts w:cs="Arial"/>
                <w:sz w:val="24"/>
                <w:lang w:val="en-GB" w:eastAsia="en-GB"/>
              </w:rPr>
              <w:t>9(b)</w:t>
            </w:r>
          </w:p>
        </w:tc>
        <w:tc>
          <w:tcPr>
            <w:tcW w:w="1476" w:type="dxa"/>
            <w:vAlign w:val="bottom"/>
          </w:tcPr>
          <w:p w14:paraId="3A43DD38"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114 </w:t>
            </w:r>
          </w:p>
        </w:tc>
        <w:tc>
          <w:tcPr>
            <w:tcW w:w="1476" w:type="dxa"/>
            <w:vAlign w:val="bottom"/>
          </w:tcPr>
          <w:p w14:paraId="588A8B9A"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301 </w:t>
            </w:r>
          </w:p>
        </w:tc>
      </w:tr>
      <w:tr w:rsidR="000230E8" w:rsidRPr="00994305" w14:paraId="6C63B4F2" w14:textId="77777777" w:rsidTr="007418DE">
        <w:tblPrEx>
          <w:tblCellMar>
            <w:top w:w="0" w:type="dxa"/>
            <w:bottom w:w="0" w:type="dxa"/>
          </w:tblCellMar>
        </w:tblPrEx>
        <w:tc>
          <w:tcPr>
            <w:tcW w:w="4788" w:type="dxa"/>
            <w:shd w:val="clear" w:color="auto" w:fill="auto"/>
            <w:vAlign w:val="bottom"/>
          </w:tcPr>
          <w:p w14:paraId="51B1CB53" w14:textId="77777777" w:rsidR="000230E8" w:rsidRPr="00AA3DCB" w:rsidRDefault="000230E8" w:rsidP="000230E8">
            <w:pPr>
              <w:spacing w:after="0"/>
              <w:rPr>
                <w:rFonts w:cs="Arial"/>
                <w:sz w:val="24"/>
                <w:lang w:val="en-GB" w:eastAsia="en-GB"/>
              </w:rPr>
            </w:pPr>
          </w:p>
        </w:tc>
        <w:tc>
          <w:tcPr>
            <w:tcW w:w="1116" w:type="dxa"/>
            <w:vAlign w:val="bottom"/>
          </w:tcPr>
          <w:p w14:paraId="2CD2137C" w14:textId="77777777" w:rsidR="000230E8" w:rsidRPr="00AA3DCB" w:rsidRDefault="000230E8" w:rsidP="000230E8">
            <w:pPr>
              <w:spacing w:after="0"/>
              <w:jc w:val="center"/>
              <w:rPr>
                <w:rFonts w:cs="Arial"/>
                <w:sz w:val="24"/>
                <w:lang w:val="en-GB" w:eastAsia="en-GB"/>
              </w:rPr>
            </w:pPr>
          </w:p>
        </w:tc>
        <w:tc>
          <w:tcPr>
            <w:tcW w:w="1476" w:type="dxa"/>
            <w:vAlign w:val="bottom"/>
          </w:tcPr>
          <w:p w14:paraId="124237D8"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151,722 </w:t>
            </w:r>
          </w:p>
        </w:tc>
        <w:tc>
          <w:tcPr>
            <w:tcW w:w="1476" w:type="dxa"/>
            <w:vAlign w:val="bottom"/>
          </w:tcPr>
          <w:p w14:paraId="11650B00"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93,300 </w:t>
            </w:r>
          </w:p>
        </w:tc>
      </w:tr>
      <w:tr w:rsidR="000230E8" w:rsidRPr="00994305" w14:paraId="4CF96721" w14:textId="77777777" w:rsidTr="007418DE">
        <w:tblPrEx>
          <w:tblCellMar>
            <w:top w:w="0" w:type="dxa"/>
            <w:bottom w:w="0" w:type="dxa"/>
          </w:tblCellMar>
        </w:tblPrEx>
        <w:tc>
          <w:tcPr>
            <w:tcW w:w="8856" w:type="dxa"/>
            <w:gridSpan w:val="4"/>
            <w:shd w:val="clear" w:color="auto" w:fill="auto"/>
            <w:vAlign w:val="bottom"/>
          </w:tcPr>
          <w:p w14:paraId="48219FB9" w14:textId="77777777" w:rsidR="000230E8" w:rsidRPr="00AA3DCB" w:rsidRDefault="000230E8" w:rsidP="000230E8">
            <w:pPr>
              <w:pStyle w:val="TableHead"/>
              <w:jc w:val="center"/>
              <w:rPr>
                <w:sz w:val="24"/>
                <w:lang w:val="en-GB" w:eastAsia="en-GB"/>
              </w:rPr>
            </w:pPr>
            <w:r w:rsidRPr="00AA3DCB">
              <w:rPr>
                <w:sz w:val="24"/>
                <w:lang w:val="en-GB" w:eastAsia="en-GB"/>
              </w:rPr>
              <w:t>Current Liabilities</w:t>
            </w:r>
          </w:p>
        </w:tc>
      </w:tr>
      <w:tr w:rsidR="000230E8" w:rsidRPr="00994305" w14:paraId="3E9D04C8" w14:textId="77777777" w:rsidTr="007418DE">
        <w:tblPrEx>
          <w:tblCellMar>
            <w:top w:w="0" w:type="dxa"/>
            <w:bottom w:w="0" w:type="dxa"/>
          </w:tblCellMar>
        </w:tblPrEx>
        <w:tc>
          <w:tcPr>
            <w:tcW w:w="4788" w:type="dxa"/>
            <w:shd w:val="clear" w:color="auto" w:fill="auto"/>
            <w:vAlign w:val="bottom"/>
          </w:tcPr>
          <w:p w14:paraId="16F63E8C" w14:textId="77777777" w:rsidR="000230E8" w:rsidRPr="00AA3DCB" w:rsidRDefault="000230E8" w:rsidP="000230E8">
            <w:pPr>
              <w:pStyle w:val="TableRowHead"/>
              <w:rPr>
                <w:rFonts w:ascii="Gill Sans" w:hAnsi="Gill Sans"/>
                <w:sz w:val="24"/>
                <w:lang w:val="en-GB" w:eastAsia="en-GB"/>
              </w:rPr>
            </w:pPr>
            <w:r w:rsidRPr="00AA3DCB">
              <w:rPr>
                <w:rFonts w:ascii="Gill Sans" w:hAnsi="Gill Sans"/>
                <w:sz w:val="24"/>
                <w:lang w:val="en-GB" w:eastAsia="en-GB"/>
              </w:rPr>
              <w:t xml:space="preserve">Creditors And Accruals </w:t>
            </w:r>
          </w:p>
        </w:tc>
        <w:tc>
          <w:tcPr>
            <w:tcW w:w="1116" w:type="dxa"/>
            <w:vAlign w:val="bottom"/>
          </w:tcPr>
          <w:p w14:paraId="7FCA475D" w14:textId="77777777" w:rsidR="000230E8" w:rsidRPr="00AA3DCB" w:rsidRDefault="000230E8" w:rsidP="000230E8">
            <w:pPr>
              <w:spacing w:after="0"/>
              <w:jc w:val="center"/>
              <w:rPr>
                <w:rFonts w:cs="Arial"/>
                <w:sz w:val="24"/>
                <w:lang w:val="en-GB" w:eastAsia="en-GB"/>
              </w:rPr>
            </w:pPr>
            <w:r w:rsidRPr="00AA3DCB">
              <w:rPr>
                <w:rFonts w:cs="Arial"/>
                <w:sz w:val="24"/>
                <w:lang w:val="en-GB" w:eastAsia="en-GB"/>
              </w:rPr>
              <w:t>11</w:t>
            </w:r>
          </w:p>
        </w:tc>
        <w:tc>
          <w:tcPr>
            <w:tcW w:w="1476" w:type="dxa"/>
            <w:vAlign w:val="bottom"/>
          </w:tcPr>
          <w:p w14:paraId="0E20B812"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122,309 </w:t>
            </w:r>
          </w:p>
        </w:tc>
        <w:tc>
          <w:tcPr>
            <w:tcW w:w="1476" w:type="dxa"/>
            <w:vAlign w:val="bottom"/>
          </w:tcPr>
          <w:p w14:paraId="184232A1"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47,280 </w:t>
            </w:r>
          </w:p>
        </w:tc>
      </w:tr>
      <w:tr w:rsidR="000230E8" w:rsidRPr="00994305" w14:paraId="30703F29" w14:textId="77777777" w:rsidTr="007418DE">
        <w:tblPrEx>
          <w:tblCellMar>
            <w:top w:w="0" w:type="dxa"/>
            <w:bottom w:w="0" w:type="dxa"/>
          </w:tblCellMar>
        </w:tblPrEx>
        <w:tc>
          <w:tcPr>
            <w:tcW w:w="4788" w:type="dxa"/>
            <w:shd w:val="clear" w:color="auto" w:fill="auto"/>
            <w:vAlign w:val="bottom"/>
          </w:tcPr>
          <w:p w14:paraId="28CD52A3" w14:textId="77777777" w:rsidR="000230E8" w:rsidRPr="00AA3DCB" w:rsidRDefault="000230E8" w:rsidP="000230E8">
            <w:pPr>
              <w:spacing w:after="0"/>
              <w:rPr>
                <w:rFonts w:cs="Arial"/>
                <w:sz w:val="24"/>
                <w:lang w:val="en-GB" w:eastAsia="en-GB"/>
              </w:rPr>
            </w:pPr>
          </w:p>
        </w:tc>
        <w:tc>
          <w:tcPr>
            <w:tcW w:w="1116" w:type="dxa"/>
            <w:vAlign w:val="bottom"/>
          </w:tcPr>
          <w:p w14:paraId="67E7F2DB" w14:textId="77777777" w:rsidR="000230E8" w:rsidRPr="00AA3DCB" w:rsidRDefault="000230E8" w:rsidP="000230E8">
            <w:pPr>
              <w:spacing w:after="0"/>
              <w:jc w:val="center"/>
              <w:rPr>
                <w:rFonts w:cs="Arial"/>
                <w:sz w:val="24"/>
                <w:lang w:val="en-GB" w:eastAsia="en-GB"/>
              </w:rPr>
            </w:pPr>
            <w:r w:rsidRPr="00AA3DCB">
              <w:rPr>
                <w:rFonts w:cs="Arial"/>
                <w:sz w:val="24"/>
                <w:lang w:val="en-GB" w:eastAsia="en-GB"/>
              </w:rPr>
              <w:t xml:space="preserve"> </w:t>
            </w:r>
          </w:p>
        </w:tc>
        <w:tc>
          <w:tcPr>
            <w:tcW w:w="1476" w:type="dxa"/>
            <w:vAlign w:val="bottom"/>
          </w:tcPr>
          <w:p w14:paraId="485CABE0"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122,309 </w:t>
            </w:r>
          </w:p>
        </w:tc>
        <w:tc>
          <w:tcPr>
            <w:tcW w:w="1476" w:type="dxa"/>
            <w:vAlign w:val="bottom"/>
          </w:tcPr>
          <w:p w14:paraId="263A94EE"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47,280 </w:t>
            </w:r>
          </w:p>
        </w:tc>
      </w:tr>
      <w:tr w:rsidR="000230E8" w:rsidRPr="00994305" w14:paraId="5B018DB4" w14:textId="77777777" w:rsidTr="007418DE">
        <w:tblPrEx>
          <w:tblCellMar>
            <w:top w:w="0" w:type="dxa"/>
            <w:bottom w:w="0" w:type="dxa"/>
          </w:tblCellMar>
        </w:tblPrEx>
        <w:tc>
          <w:tcPr>
            <w:tcW w:w="4788" w:type="dxa"/>
            <w:shd w:val="clear" w:color="auto" w:fill="auto"/>
            <w:vAlign w:val="bottom"/>
          </w:tcPr>
          <w:p w14:paraId="5D33D36C" w14:textId="77777777" w:rsidR="000230E8" w:rsidRPr="00AA3DCB" w:rsidRDefault="000230E8" w:rsidP="000230E8">
            <w:pPr>
              <w:pStyle w:val="TableRowHead"/>
              <w:rPr>
                <w:rFonts w:ascii="Gill Sans" w:hAnsi="Gill Sans"/>
                <w:sz w:val="24"/>
                <w:lang w:val="en-GB" w:eastAsia="en-GB"/>
              </w:rPr>
            </w:pPr>
            <w:r w:rsidRPr="00AA3DCB">
              <w:rPr>
                <w:rFonts w:ascii="Gill Sans" w:hAnsi="Gill Sans"/>
                <w:sz w:val="24"/>
                <w:lang w:val="en-GB" w:eastAsia="en-GB"/>
              </w:rPr>
              <w:t>Net Current Assets</w:t>
            </w:r>
          </w:p>
        </w:tc>
        <w:tc>
          <w:tcPr>
            <w:tcW w:w="1116" w:type="dxa"/>
            <w:vAlign w:val="bottom"/>
          </w:tcPr>
          <w:p w14:paraId="2842B3AC" w14:textId="77777777" w:rsidR="000230E8" w:rsidRPr="00AA3DCB" w:rsidRDefault="000230E8" w:rsidP="000230E8">
            <w:pPr>
              <w:spacing w:after="0"/>
              <w:jc w:val="center"/>
              <w:rPr>
                <w:rFonts w:cs="Arial"/>
                <w:sz w:val="24"/>
                <w:lang w:val="en-GB" w:eastAsia="en-GB"/>
              </w:rPr>
            </w:pPr>
            <w:r w:rsidRPr="00AA3DCB">
              <w:rPr>
                <w:rFonts w:cs="Arial"/>
                <w:sz w:val="24"/>
                <w:lang w:val="en-GB" w:eastAsia="en-GB"/>
              </w:rPr>
              <w:t xml:space="preserve"> </w:t>
            </w:r>
          </w:p>
        </w:tc>
        <w:tc>
          <w:tcPr>
            <w:tcW w:w="1476" w:type="dxa"/>
            <w:vAlign w:val="bottom"/>
          </w:tcPr>
          <w:p w14:paraId="21F3945E"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29,413 </w:t>
            </w:r>
          </w:p>
        </w:tc>
        <w:tc>
          <w:tcPr>
            <w:tcW w:w="1476" w:type="dxa"/>
            <w:vAlign w:val="bottom"/>
          </w:tcPr>
          <w:p w14:paraId="188FAD8C"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46,019 </w:t>
            </w:r>
          </w:p>
        </w:tc>
      </w:tr>
      <w:tr w:rsidR="000230E8" w:rsidRPr="00994305" w14:paraId="19919EAC" w14:textId="77777777" w:rsidTr="007418DE">
        <w:tblPrEx>
          <w:tblCellMar>
            <w:top w:w="0" w:type="dxa"/>
            <w:bottom w:w="0" w:type="dxa"/>
          </w:tblCellMar>
        </w:tblPrEx>
        <w:tc>
          <w:tcPr>
            <w:tcW w:w="4788" w:type="dxa"/>
            <w:shd w:val="clear" w:color="auto" w:fill="auto"/>
            <w:vAlign w:val="bottom"/>
          </w:tcPr>
          <w:p w14:paraId="65A614EB" w14:textId="77777777" w:rsidR="000230E8" w:rsidRPr="00AA3DCB" w:rsidRDefault="000230E8" w:rsidP="000230E8">
            <w:pPr>
              <w:pStyle w:val="TableRowHead"/>
              <w:rPr>
                <w:rFonts w:ascii="Gill Sans" w:hAnsi="Gill Sans"/>
                <w:sz w:val="24"/>
                <w:lang w:val="en-GB" w:eastAsia="en-GB"/>
              </w:rPr>
            </w:pPr>
            <w:r w:rsidRPr="00AA3DCB">
              <w:rPr>
                <w:rFonts w:ascii="Gill Sans" w:hAnsi="Gill Sans"/>
                <w:sz w:val="24"/>
                <w:lang w:val="en-GB" w:eastAsia="en-GB"/>
              </w:rPr>
              <w:t>Total Assets Less Current Liabilities Before Pensions</w:t>
            </w:r>
          </w:p>
        </w:tc>
        <w:tc>
          <w:tcPr>
            <w:tcW w:w="1116" w:type="dxa"/>
            <w:vAlign w:val="bottom"/>
          </w:tcPr>
          <w:p w14:paraId="2F7D761B" w14:textId="77777777" w:rsidR="000230E8" w:rsidRPr="00AA3DCB" w:rsidRDefault="000230E8" w:rsidP="000230E8">
            <w:pPr>
              <w:spacing w:after="0"/>
              <w:jc w:val="center"/>
              <w:rPr>
                <w:rFonts w:cs="Arial"/>
                <w:sz w:val="24"/>
                <w:lang w:val="en-GB" w:eastAsia="en-GB"/>
              </w:rPr>
            </w:pPr>
          </w:p>
        </w:tc>
        <w:tc>
          <w:tcPr>
            <w:tcW w:w="1476" w:type="dxa"/>
            <w:vAlign w:val="bottom"/>
          </w:tcPr>
          <w:p w14:paraId="7B28B183"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3,057,279 </w:t>
            </w:r>
          </w:p>
        </w:tc>
        <w:tc>
          <w:tcPr>
            <w:tcW w:w="1476" w:type="dxa"/>
            <w:vAlign w:val="bottom"/>
          </w:tcPr>
          <w:p w14:paraId="632EE846"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3,157,985 </w:t>
            </w:r>
          </w:p>
        </w:tc>
      </w:tr>
      <w:tr w:rsidR="000230E8" w:rsidRPr="00994305" w14:paraId="004974EF" w14:textId="77777777" w:rsidTr="007418DE">
        <w:tblPrEx>
          <w:tblCellMar>
            <w:top w:w="0" w:type="dxa"/>
            <w:bottom w:w="0" w:type="dxa"/>
          </w:tblCellMar>
        </w:tblPrEx>
        <w:tc>
          <w:tcPr>
            <w:tcW w:w="4788" w:type="dxa"/>
            <w:shd w:val="clear" w:color="auto" w:fill="auto"/>
            <w:vAlign w:val="bottom"/>
          </w:tcPr>
          <w:p w14:paraId="0280ECC7" w14:textId="77777777" w:rsidR="000230E8" w:rsidRPr="00AA3DCB" w:rsidRDefault="000230E8" w:rsidP="000230E8">
            <w:pPr>
              <w:pStyle w:val="TableRowHead"/>
              <w:rPr>
                <w:rFonts w:ascii="Gill Sans" w:hAnsi="Gill Sans"/>
                <w:sz w:val="24"/>
                <w:lang w:val="en-GB" w:eastAsia="en-GB"/>
              </w:rPr>
            </w:pPr>
            <w:r w:rsidRPr="00AA3DCB">
              <w:rPr>
                <w:rFonts w:ascii="Gill Sans" w:hAnsi="Gill Sans"/>
                <w:sz w:val="24"/>
                <w:lang w:val="en-GB" w:eastAsia="en-GB"/>
              </w:rPr>
              <w:t xml:space="preserve">Deferred Funding Asset </w:t>
            </w:r>
            <w:proofErr w:type="gramStart"/>
            <w:r w:rsidRPr="00AA3DCB">
              <w:rPr>
                <w:rFonts w:ascii="Gill Sans" w:hAnsi="Gill Sans"/>
                <w:sz w:val="24"/>
                <w:lang w:val="en-GB" w:eastAsia="en-GB"/>
              </w:rPr>
              <w:t>For</w:t>
            </w:r>
            <w:proofErr w:type="gramEnd"/>
            <w:r w:rsidRPr="00AA3DCB">
              <w:rPr>
                <w:rFonts w:ascii="Gill Sans" w:hAnsi="Gill Sans"/>
                <w:sz w:val="24"/>
                <w:lang w:val="en-GB" w:eastAsia="en-GB"/>
              </w:rPr>
              <w:t xml:space="preserve"> Pensions</w:t>
            </w:r>
          </w:p>
        </w:tc>
        <w:tc>
          <w:tcPr>
            <w:tcW w:w="1116" w:type="dxa"/>
            <w:vAlign w:val="bottom"/>
          </w:tcPr>
          <w:p w14:paraId="27083BED" w14:textId="77777777" w:rsidR="000230E8" w:rsidRPr="00AA3DCB" w:rsidRDefault="000230E8" w:rsidP="000230E8">
            <w:pPr>
              <w:spacing w:after="0"/>
              <w:jc w:val="center"/>
              <w:rPr>
                <w:rFonts w:cs="Arial"/>
                <w:sz w:val="24"/>
                <w:lang w:val="en-GB" w:eastAsia="en-GB"/>
              </w:rPr>
            </w:pPr>
            <w:r w:rsidRPr="00AA3DCB">
              <w:rPr>
                <w:rFonts w:cs="Arial"/>
                <w:sz w:val="24"/>
                <w:lang w:val="en-GB" w:eastAsia="en-GB"/>
              </w:rPr>
              <w:t>10(d)</w:t>
            </w:r>
          </w:p>
        </w:tc>
        <w:tc>
          <w:tcPr>
            <w:tcW w:w="1476" w:type="dxa"/>
            <w:vAlign w:val="bottom"/>
          </w:tcPr>
          <w:p w14:paraId="01EFBE55"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(16,700,000)</w:t>
            </w:r>
          </w:p>
        </w:tc>
        <w:tc>
          <w:tcPr>
            <w:tcW w:w="1476" w:type="dxa"/>
            <w:vAlign w:val="bottom"/>
          </w:tcPr>
          <w:p w14:paraId="65657514"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(17,100,000)</w:t>
            </w:r>
          </w:p>
        </w:tc>
      </w:tr>
      <w:tr w:rsidR="000230E8" w:rsidRPr="00994305" w14:paraId="7F7D75CB" w14:textId="77777777" w:rsidTr="007418DE">
        <w:tblPrEx>
          <w:tblCellMar>
            <w:top w:w="0" w:type="dxa"/>
            <w:bottom w:w="0" w:type="dxa"/>
          </w:tblCellMar>
        </w:tblPrEx>
        <w:tc>
          <w:tcPr>
            <w:tcW w:w="4788" w:type="dxa"/>
            <w:shd w:val="clear" w:color="auto" w:fill="auto"/>
            <w:vAlign w:val="bottom"/>
          </w:tcPr>
          <w:p w14:paraId="1D17B830" w14:textId="77777777" w:rsidR="000230E8" w:rsidRPr="00AA3DCB" w:rsidRDefault="000230E8" w:rsidP="000230E8">
            <w:pPr>
              <w:pStyle w:val="TableRowHead"/>
              <w:rPr>
                <w:rFonts w:ascii="Gill Sans" w:hAnsi="Gill Sans"/>
                <w:sz w:val="24"/>
                <w:lang w:val="en-GB" w:eastAsia="en-GB"/>
              </w:rPr>
            </w:pPr>
            <w:r w:rsidRPr="00AA3DCB">
              <w:rPr>
                <w:rFonts w:ascii="Gill Sans" w:hAnsi="Gill Sans"/>
                <w:sz w:val="24"/>
                <w:lang w:val="en-GB" w:eastAsia="en-GB"/>
              </w:rPr>
              <w:t>Pension Liabilities</w:t>
            </w:r>
          </w:p>
        </w:tc>
        <w:tc>
          <w:tcPr>
            <w:tcW w:w="1116" w:type="dxa"/>
            <w:vAlign w:val="bottom"/>
          </w:tcPr>
          <w:p w14:paraId="3201C83B" w14:textId="77777777" w:rsidR="000230E8" w:rsidRPr="00AA3DCB" w:rsidRDefault="000230E8" w:rsidP="000230E8">
            <w:pPr>
              <w:spacing w:after="0"/>
              <w:jc w:val="center"/>
              <w:rPr>
                <w:rFonts w:cs="Arial"/>
                <w:sz w:val="24"/>
                <w:lang w:val="en-GB" w:eastAsia="en-GB"/>
              </w:rPr>
            </w:pPr>
            <w:r w:rsidRPr="00AA3DCB">
              <w:rPr>
                <w:rFonts w:cs="Arial"/>
                <w:sz w:val="24"/>
                <w:lang w:val="en-GB" w:eastAsia="en-GB"/>
              </w:rPr>
              <w:t>10(e)</w:t>
            </w:r>
          </w:p>
        </w:tc>
        <w:tc>
          <w:tcPr>
            <w:tcW w:w="1476" w:type="dxa"/>
            <w:vAlign w:val="bottom"/>
          </w:tcPr>
          <w:p w14:paraId="096B498B"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16,700,000 </w:t>
            </w:r>
          </w:p>
        </w:tc>
        <w:tc>
          <w:tcPr>
            <w:tcW w:w="1476" w:type="dxa"/>
            <w:vAlign w:val="bottom"/>
          </w:tcPr>
          <w:p w14:paraId="73F0FF42"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17,100,000 </w:t>
            </w:r>
          </w:p>
        </w:tc>
      </w:tr>
      <w:tr w:rsidR="000230E8" w:rsidRPr="00994305" w14:paraId="1062279D" w14:textId="77777777" w:rsidTr="007418DE">
        <w:tblPrEx>
          <w:tblCellMar>
            <w:top w:w="0" w:type="dxa"/>
            <w:bottom w:w="0" w:type="dxa"/>
          </w:tblCellMar>
        </w:tblPrEx>
        <w:tc>
          <w:tcPr>
            <w:tcW w:w="4788" w:type="dxa"/>
            <w:shd w:val="clear" w:color="auto" w:fill="auto"/>
            <w:vAlign w:val="bottom"/>
          </w:tcPr>
          <w:p w14:paraId="0B1CDF77" w14:textId="77777777" w:rsidR="000230E8" w:rsidRPr="00AA3DCB" w:rsidRDefault="000230E8" w:rsidP="000230E8">
            <w:pPr>
              <w:pStyle w:val="TableRowHead"/>
              <w:rPr>
                <w:rFonts w:ascii="Gill Sans" w:hAnsi="Gill Sans"/>
                <w:sz w:val="24"/>
                <w:lang w:val="en-GB" w:eastAsia="en-GB"/>
              </w:rPr>
            </w:pPr>
          </w:p>
        </w:tc>
        <w:tc>
          <w:tcPr>
            <w:tcW w:w="1116" w:type="dxa"/>
            <w:vAlign w:val="bottom"/>
          </w:tcPr>
          <w:p w14:paraId="6DB58F4D" w14:textId="77777777" w:rsidR="000230E8" w:rsidRPr="00AA3DCB" w:rsidRDefault="000230E8" w:rsidP="000230E8">
            <w:pPr>
              <w:spacing w:after="0"/>
              <w:jc w:val="center"/>
              <w:rPr>
                <w:rFonts w:cs="Arial"/>
                <w:sz w:val="24"/>
                <w:lang w:val="en-GB" w:eastAsia="en-GB"/>
              </w:rPr>
            </w:pPr>
          </w:p>
        </w:tc>
        <w:tc>
          <w:tcPr>
            <w:tcW w:w="1476" w:type="dxa"/>
            <w:vAlign w:val="bottom"/>
          </w:tcPr>
          <w:p w14:paraId="69476A37"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3,057,279 </w:t>
            </w:r>
          </w:p>
        </w:tc>
        <w:tc>
          <w:tcPr>
            <w:tcW w:w="1476" w:type="dxa"/>
            <w:vAlign w:val="bottom"/>
          </w:tcPr>
          <w:p w14:paraId="73C2B9E3"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3,157,985 </w:t>
            </w:r>
          </w:p>
        </w:tc>
      </w:tr>
      <w:tr w:rsidR="000230E8" w:rsidRPr="00994305" w14:paraId="44D8233A" w14:textId="77777777" w:rsidTr="007418DE">
        <w:tblPrEx>
          <w:tblCellMar>
            <w:top w:w="0" w:type="dxa"/>
            <w:bottom w:w="0" w:type="dxa"/>
          </w:tblCellMar>
        </w:tblPrEx>
        <w:tc>
          <w:tcPr>
            <w:tcW w:w="8856" w:type="dxa"/>
            <w:gridSpan w:val="4"/>
            <w:shd w:val="clear" w:color="auto" w:fill="auto"/>
            <w:vAlign w:val="bottom"/>
          </w:tcPr>
          <w:p w14:paraId="2096661D" w14:textId="77777777" w:rsidR="000230E8" w:rsidRPr="00A8372F" w:rsidRDefault="000230E8" w:rsidP="000230E8">
            <w:pPr>
              <w:pStyle w:val="TableHead"/>
              <w:jc w:val="center"/>
              <w:rPr>
                <w:rFonts w:cs="Arial"/>
                <w:sz w:val="24"/>
                <w:lang w:val="en-GB" w:eastAsia="en-GB"/>
              </w:rPr>
            </w:pPr>
            <w:r w:rsidRPr="00A8372F">
              <w:rPr>
                <w:sz w:val="24"/>
                <w:lang w:val="en-GB" w:eastAsia="en-GB"/>
              </w:rPr>
              <w:t>Represented By:</w:t>
            </w:r>
          </w:p>
        </w:tc>
      </w:tr>
      <w:tr w:rsidR="000230E8" w:rsidRPr="00994305" w14:paraId="06B26347" w14:textId="77777777" w:rsidTr="007418DE">
        <w:tblPrEx>
          <w:tblCellMar>
            <w:top w:w="0" w:type="dxa"/>
            <w:bottom w:w="0" w:type="dxa"/>
          </w:tblCellMar>
        </w:tblPrEx>
        <w:tc>
          <w:tcPr>
            <w:tcW w:w="4788" w:type="dxa"/>
            <w:shd w:val="clear" w:color="auto" w:fill="auto"/>
            <w:vAlign w:val="bottom"/>
          </w:tcPr>
          <w:p w14:paraId="32CC46DB" w14:textId="77777777" w:rsidR="000230E8" w:rsidRPr="00AA3DCB" w:rsidRDefault="000230E8" w:rsidP="000230E8">
            <w:pPr>
              <w:pStyle w:val="TableRowHead"/>
              <w:rPr>
                <w:rFonts w:ascii="Gill Sans" w:hAnsi="Gill Sans"/>
                <w:sz w:val="24"/>
                <w:lang w:val="en-GB" w:eastAsia="en-GB"/>
              </w:rPr>
            </w:pPr>
            <w:r w:rsidRPr="00AA3DCB">
              <w:rPr>
                <w:rFonts w:ascii="Gill Sans" w:hAnsi="Gill Sans"/>
                <w:sz w:val="24"/>
                <w:lang w:val="en-GB" w:eastAsia="en-GB"/>
              </w:rPr>
              <w:t xml:space="preserve">Capital Account </w:t>
            </w:r>
          </w:p>
        </w:tc>
        <w:tc>
          <w:tcPr>
            <w:tcW w:w="1116" w:type="dxa"/>
            <w:vAlign w:val="bottom"/>
          </w:tcPr>
          <w:p w14:paraId="61C710C7" w14:textId="77777777" w:rsidR="000230E8" w:rsidRPr="00AA3DCB" w:rsidRDefault="000230E8" w:rsidP="000230E8">
            <w:pPr>
              <w:spacing w:after="0"/>
              <w:jc w:val="center"/>
              <w:rPr>
                <w:rFonts w:cs="Arial"/>
                <w:sz w:val="24"/>
                <w:lang w:val="en-GB" w:eastAsia="en-GB"/>
              </w:rPr>
            </w:pPr>
            <w:r w:rsidRPr="00AA3DCB">
              <w:rPr>
                <w:rFonts w:cs="Arial"/>
                <w:sz w:val="24"/>
                <w:lang w:val="en-GB" w:eastAsia="en-GB"/>
              </w:rPr>
              <w:t>8</w:t>
            </w:r>
          </w:p>
        </w:tc>
        <w:tc>
          <w:tcPr>
            <w:tcW w:w="1476" w:type="dxa"/>
            <w:vAlign w:val="bottom"/>
          </w:tcPr>
          <w:p w14:paraId="2CDB9E9A"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3,027,866 </w:t>
            </w:r>
          </w:p>
        </w:tc>
        <w:tc>
          <w:tcPr>
            <w:tcW w:w="1476" w:type="dxa"/>
            <w:vAlign w:val="bottom"/>
          </w:tcPr>
          <w:p w14:paraId="00603A8A"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3,111,965 </w:t>
            </w:r>
          </w:p>
        </w:tc>
      </w:tr>
      <w:tr w:rsidR="000230E8" w:rsidRPr="00994305" w14:paraId="4F3D8BB6" w14:textId="77777777" w:rsidTr="007418DE">
        <w:tblPrEx>
          <w:tblCellMar>
            <w:top w:w="0" w:type="dxa"/>
            <w:bottom w:w="0" w:type="dxa"/>
          </w:tblCellMar>
        </w:tblPrEx>
        <w:tc>
          <w:tcPr>
            <w:tcW w:w="4788" w:type="dxa"/>
            <w:shd w:val="clear" w:color="auto" w:fill="auto"/>
          </w:tcPr>
          <w:p w14:paraId="0497558B" w14:textId="77777777" w:rsidR="000230E8" w:rsidRPr="00AA3DCB" w:rsidRDefault="000230E8" w:rsidP="000230E8">
            <w:pPr>
              <w:pStyle w:val="TableRowHead"/>
              <w:rPr>
                <w:rFonts w:ascii="Gill Sans" w:hAnsi="Gill Sans"/>
                <w:sz w:val="24"/>
              </w:rPr>
            </w:pPr>
            <w:r w:rsidRPr="00AA3DCB">
              <w:rPr>
                <w:rFonts w:ascii="Gill Sans" w:hAnsi="Gill Sans"/>
                <w:sz w:val="24"/>
                <w:lang w:val="en-GB" w:eastAsia="en-GB"/>
              </w:rPr>
              <w:t xml:space="preserve">Retained Surplus / (Deficit) On Income </w:t>
            </w:r>
            <w:proofErr w:type="gramStart"/>
            <w:r w:rsidRPr="00AA3DCB">
              <w:rPr>
                <w:rFonts w:ascii="Gill Sans" w:hAnsi="Gill Sans"/>
                <w:sz w:val="24"/>
                <w:lang w:val="en-GB" w:eastAsia="en-GB"/>
              </w:rPr>
              <w:t>And</w:t>
            </w:r>
            <w:proofErr w:type="gramEnd"/>
            <w:r w:rsidRPr="00AA3DCB">
              <w:rPr>
                <w:rFonts w:ascii="Gill Sans" w:hAnsi="Gill Sans"/>
                <w:sz w:val="24"/>
                <w:lang w:val="en-GB" w:eastAsia="en-GB"/>
              </w:rPr>
              <w:t xml:space="preserve"> Expenditure Account</w:t>
            </w:r>
          </w:p>
        </w:tc>
        <w:tc>
          <w:tcPr>
            <w:tcW w:w="1116" w:type="dxa"/>
            <w:vAlign w:val="bottom"/>
          </w:tcPr>
          <w:p w14:paraId="3CB96092" w14:textId="77777777" w:rsidR="000230E8" w:rsidRPr="00AA3DCB" w:rsidRDefault="000230E8" w:rsidP="000230E8">
            <w:pPr>
              <w:spacing w:after="0"/>
              <w:rPr>
                <w:rFonts w:cs="Arial"/>
                <w:sz w:val="24"/>
                <w:lang w:val="en-GB" w:eastAsia="en-GB"/>
              </w:rPr>
            </w:pPr>
          </w:p>
        </w:tc>
        <w:tc>
          <w:tcPr>
            <w:tcW w:w="1476" w:type="dxa"/>
            <w:vAlign w:val="bottom"/>
          </w:tcPr>
          <w:p w14:paraId="2EBA9CA2"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29,413 </w:t>
            </w:r>
          </w:p>
        </w:tc>
        <w:tc>
          <w:tcPr>
            <w:tcW w:w="1476" w:type="dxa"/>
            <w:vAlign w:val="bottom"/>
          </w:tcPr>
          <w:p w14:paraId="4817AC65"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46,019 </w:t>
            </w:r>
          </w:p>
        </w:tc>
      </w:tr>
      <w:tr w:rsidR="000230E8" w:rsidRPr="00994305" w14:paraId="387B5309" w14:textId="77777777" w:rsidTr="007418DE">
        <w:tblPrEx>
          <w:tblCellMar>
            <w:top w:w="0" w:type="dxa"/>
            <w:bottom w:w="0" w:type="dxa"/>
          </w:tblCellMar>
        </w:tblPrEx>
        <w:tc>
          <w:tcPr>
            <w:tcW w:w="4788" w:type="dxa"/>
            <w:shd w:val="clear" w:color="auto" w:fill="auto"/>
          </w:tcPr>
          <w:p w14:paraId="0725A9F9" w14:textId="77777777" w:rsidR="000230E8" w:rsidRPr="00AA3DCB" w:rsidRDefault="000230E8" w:rsidP="000230E8">
            <w:pPr>
              <w:pStyle w:val="TableRowHead"/>
              <w:rPr>
                <w:rFonts w:ascii="Gill Sans" w:hAnsi="Gill Sans"/>
                <w:sz w:val="24"/>
              </w:rPr>
            </w:pPr>
          </w:p>
        </w:tc>
        <w:tc>
          <w:tcPr>
            <w:tcW w:w="1116" w:type="dxa"/>
            <w:vAlign w:val="bottom"/>
          </w:tcPr>
          <w:p w14:paraId="4AF67BAA" w14:textId="77777777" w:rsidR="000230E8" w:rsidRPr="00AA3DCB" w:rsidRDefault="000230E8" w:rsidP="000230E8">
            <w:pPr>
              <w:spacing w:after="0"/>
              <w:jc w:val="center"/>
              <w:rPr>
                <w:rFonts w:cs="Arial"/>
                <w:sz w:val="24"/>
                <w:lang w:val="en-GB" w:eastAsia="en-GB"/>
              </w:rPr>
            </w:pPr>
          </w:p>
        </w:tc>
        <w:tc>
          <w:tcPr>
            <w:tcW w:w="1476" w:type="dxa"/>
            <w:vAlign w:val="bottom"/>
          </w:tcPr>
          <w:p w14:paraId="6CF30A2A"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3,057,279 </w:t>
            </w:r>
          </w:p>
        </w:tc>
        <w:tc>
          <w:tcPr>
            <w:tcW w:w="1476" w:type="dxa"/>
            <w:vAlign w:val="bottom"/>
          </w:tcPr>
          <w:p w14:paraId="42D9CC31" w14:textId="77777777" w:rsidR="000230E8" w:rsidRPr="00AA3DCB" w:rsidRDefault="000230E8" w:rsidP="000230E8">
            <w:pPr>
              <w:spacing w:after="0"/>
              <w:jc w:val="right"/>
              <w:rPr>
                <w:rFonts w:cs="Arial"/>
                <w:sz w:val="24"/>
                <w:lang w:val="en-GB" w:eastAsia="en-GB"/>
              </w:rPr>
            </w:pPr>
            <w:r w:rsidRPr="00AA3DCB">
              <w:rPr>
                <w:rFonts w:cs="Arial"/>
                <w:sz w:val="24"/>
                <w:lang w:val="en-GB" w:eastAsia="en-GB"/>
              </w:rPr>
              <w:t xml:space="preserve">3,157,985 </w:t>
            </w:r>
          </w:p>
        </w:tc>
      </w:tr>
    </w:tbl>
    <w:p w14:paraId="6E2D54F0" w14:textId="77777777" w:rsidR="000230E8" w:rsidRDefault="00BC3842" w:rsidP="000230E8">
      <w:pPr>
        <w:rPr>
          <w:lang w:val="en-GB" w:eastAsia="en-GB"/>
        </w:rPr>
      </w:pPr>
      <w:r>
        <w:rPr>
          <w:lang w:val="en-GB" w:eastAsia="en-GB"/>
        </w:rPr>
        <w:br/>
      </w:r>
      <w:r w:rsidR="000230E8" w:rsidRPr="00AA3DCB">
        <w:rPr>
          <w:lang w:val="en-GB" w:eastAsia="en-GB"/>
        </w:rPr>
        <w:t>The Statement of Accounting Policies, the Cash Flow Statement, and Notes 1 to 16 form part of these Financial Statements.</w:t>
      </w:r>
    </w:p>
    <w:p w14:paraId="5C205EC4" w14:textId="77777777" w:rsidR="006F4DF1" w:rsidRDefault="000230E8" w:rsidP="006F4DF1">
      <w:pPr>
        <w:rPr>
          <w:lang w:val="en-GB" w:eastAsia="en-GB"/>
        </w:rPr>
      </w:pPr>
      <w:r w:rsidRPr="00B634DD">
        <w:rPr>
          <w:b/>
          <w:lang w:val="en-GB" w:eastAsia="en-GB"/>
        </w:rPr>
        <w:t>Signed:</w:t>
      </w:r>
      <w:r w:rsidRPr="00C77852">
        <w:rPr>
          <w:lang w:val="en-GB" w:eastAsia="en-GB"/>
        </w:rPr>
        <w:tab/>
        <w:t xml:space="preserve">Peter </w:t>
      </w:r>
      <w:proofErr w:type="spellStart"/>
      <w:r w:rsidRPr="00C77852">
        <w:rPr>
          <w:lang w:val="en-GB" w:eastAsia="en-GB"/>
        </w:rPr>
        <w:t>McKevitt</w:t>
      </w:r>
      <w:proofErr w:type="spellEnd"/>
      <w:r w:rsidRPr="00C77852">
        <w:rPr>
          <w:lang w:val="en-GB" w:eastAsia="en-GB"/>
        </w:rPr>
        <w:t xml:space="preserve"> (Chairperson)</w:t>
      </w:r>
      <w:r w:rsidR="000E4041">
        <w:rPr>
          <w:lang w:val="en-GB" w:eastAsia="en-GB"/>
        </w:rPr>
        <w:br/>
      </w:r>
      <w:r w:rsidRPr="00B634DD">
        <w:rPr>
          <w:b/>
          <w:lang w:val="en-GB" w:eastAsia="en-GB"/>
        </w:rPr>
        <w:t>Signed:</w:t>
      </w:r>
      <w:r w:rsidRPr="00C77852">
        <w:rPr>
          <w:lang w:val="en-GB" w:eastAsia="en-GB"/>
        </w:rPr>
        <w:t xml:space="preserve"> </w:t>
      </w:r>
      <w:r w:rsidRPr="00C77852">
        <w:rPr>
          <w:lang w:val="en-GB" w:eastAsia="en-GB"/>
        </w:rPr>
        <w:tab/>
        <w:t xml:space="preserve">Frank </w:t>
      </w:r>
      <w:proofErr w:type="spellStart"/>
      <w:r w:rsidRPr="00C77852">
        <w:rPr>
          <w:lang w:val="en-GB" w:eastAsia="en-GB"/>
        </w:rPr>
        <w:t>Cuneen</w:t>
      </w:r>
      <w:proofErr w:type="spellEnd"/>
      <w:r w:rsidRPr="00C77852">
        <w:rPr>
          <w:lang w:val="en-GB" w:eastAsia="en-GB"/>
        </w:rPr>
        <w:t xml:space="preserve"> (Authority Member)</w:t>
      </w:r>
      <w:r w:rsidR="000E4041">
        <w:rPr>
          <w:lang w:val="en-GB" w:eastAsia="en-GB"/>
        </w:rPr>
        <w:br/>
      </w:r>
      <w:r w:rsidRPr="00B634DD">
        <w:rPr>
          <w:b/>
          <w:lang w:val="en-GB" w:eastAsia="en-GB"/>
        </w:rPr>
        <w:t>Signed:</w:t>
      </w:r>
      <w:r>
        <w:rPr>
          <w:lang w:val="en-GB" w:eastAsia="en-GB"/>
        </w:rPr>
        <w:tab/>
        <w:t>Siobhá</w:t>
      </w:r>
      <w:r w:rsidRPr="00C77852">
        <w:rPr>
          <w:lang w:val="en-GB" w:eastAsia="en-GB"/>
        </w:rPr>
        <w:t>n Barron (Director)</w:t>
      </w:r>
      <w:r w:rsidR="000E4041">
        <w:rPr>
          <w:lang w:val="en-GB" w:eastAsia="en-GB"/>
        </w:rPr>
        <w:br/>
      </w:r>
      <w:r w:rsidR="006F4DF1" w:rsidRPr="00B634DD">
        <w:rPr>
          <w:b/>
          <w:lang w:val="en-GB" w:eastAsia="en-GB"/>
        </w:rPr>
        <w:t>Date:</w:t>
      </w:r>
      <w:r w:rsidR="00B634DD">
        <w:rPr>
          <w:b/>
          <w:lang w:val="en-GB" w:eastAsia="en-GB"/>
        </w:rPr>
        <w:tab/>
      </w:r>
      <w:r w:rsidR="00B634DD">
        <w:rPr>
          <w:b/>
          <w:lang w:val="en-GB" w:eastAsia="en-GB"/>
        </w:rPr>
        <w:tab/>
      </w:r>
      <w:r w:rsidR="00B634DD">
        <w:rPr>
          <w:lang w:val="en-GB" w:eastAsia="en-GB"/>
        </w:rPr>
        <w:t>1</w:t>
      </w:r>
      <w:r w:rsidRPr="00C77852">
        <w:rPr>
          <w:lang w:val="en-GB" w:eastAsia="en-GB"/>
        </w:rPr>
        <w:t>0 September 2012</w:t>
      </w:r>
    </w:p>
    <w:p w14:paraId="60E06E7A" w14:textId="77777777" w:rsidR="000230E8" w:rsidRDefault="006F4DF1" w:rsidP="000E4041">
      <w:pPr>
        <w:pStyle w:val="Heading1"/>
        <w:rPr>
          <w:lang w:val="en-GB" w:eastAsia="en-GB"/>
        </w:rPr>
      </w:pPr>
      <w:r>
        <w:rPr>
          <w:lang w:val="en-GB" w:eastAsia="en-GB"/>
        </w:rPr>
        <w:br w:type="page"/>
      </w:r>
      <w:bookmarkStart w:id="237" w:name="_Toc335836392"/>
      <w:bookmarkStart w:id="238" w:name="_Toc335983438"/>
      <w:bookmarkStart w:id="239" w:name="_Toc335986607"/>
      <w:r w:rsidR="000230E8" w:rsidRPr="00A8372F">
        <w:rPr>
          <w:lang w:val="en-GB" w:eastAsia="en-GB"/>
        </w:rPr>
        <w:lastRenderedPageBreak/>
        <w:t>Cash Flow Statement for the year ended 31 December 2011</w:t>
      </w:r>
      <w:bookmarkEnd w:id="237"/>
      <w:bookmarkEnd w:id="238"/>
      <w:bookmarkEnd w:id="23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968"/>
        <w:gridCol w:w="1260"/>
        <w:gridCol w:w="1260"/>
        <w:gridCol w:w="1368"/>
      </w:tblGrid>
      <w:tr w:rsidR="000230E8" w:rsidRPr="00A8372F" w14:paraId="79A3DCE9" w14:textId="77777777" w:rsidTr="007418DE">
        <w:tblPrEx>
          <w:tblCellMar>
            <w:top w:w="0" w:type="dxa"/>
            <w:bottom w:w="0" w:type="dxa"/>
          </w:tblCellMar>
        </w:tblPrEx>
        <w:trPr>
          <w:tblHeader/>
        </w:trPr>
        <w:tc>
          <w:tcPr>
            <w:tcW w:w="4968" w:type="dxa"/>
            <w:shd w:val="clear" w:color="auto" w:fill="auto"/>
            <w:vAlign w:val="bottom"/>
          </w:tcPr>
          <w:p w14:paraId="1CFB2007" w14:textId="77777777" w:rsidR="000230E8" w:rsidRPr="00E8422D" w:rsidRDefault="000230E8" w:rsidP="000230E8">
            <w:pPr>
              <w:pStyle w:val="TableRowHead"/>
              <w:rPr>
                <w:rFonts w:ascii="Gill Sans" w:hAnsi="Gill Sans"/>
                <w:sz w:val="24"/>
                <w:lang w:val="en-GB" w:eastAsia="en-GB"/>
              </w:rPr>
            </w:pPr>
          </w:p>
        </w:tc>
        <w:tc>
          <w:tcPr>
            <w:tcW w:w="1260" w:type="dxa"/>
            <w:shd w:val="clear" w:color="auto" w:fill="auto"/>
            <w:vAlign w:val="bottom"/>
          </w:tcPr>
          <w:p w14:paraId="690880FC" w14:textId="77777777" w:rsidR="000230E8" w:rsidRPr="00E8422D" w:rsidRDefault="000230E8" w:rsidP="000230E8">
            <w:pPr>
              <w:pStyle w:val="TableHead"/>
              <w:jc w:val="right"/>
              <w:rPr>
                <w:sz w:val="24"/>
                <w:lang w:val="en-GB" w:eastAsia="en-GB"/>
              </w:rPr>
            </w:pPr>
            <w:r w:rsidRPr="00E8422D">
              <w:rPr>
                <w:sz w:val="24"/>
                <w:lang w:val="en-GB" w:eastAsia="en-GB"/>
              </w:rPr>
              <w:t>Notes</w:t>
            </w:r>
          </w:p>
        </w:tc>
        <w:tc>
          <w:tcPr>
            <w:tcW w:w="1260" w:type="dxa"/>
            <w:shd w:val="clear" w:color="auto" w:fill="auto"/>
            <w:vAlign w:val="bottom"/>
          </w:tcPr>
          <w:p w14:paraId="06493897" w14:textId="77777777" w:rsidR="000230E8" w:rsidRPr="00E8422D" w:rsidRDefault="000230E8" w:rsidP="000230E8">
            <w:pPr>
              <w:pStyle w:val="TableHead"/>
              <w:jc w:val="right"/>
              <w:rPr>
                <w:bCs/>
                <w:sz w:val="24"/>
                <w:lang w:val="en-GB" w:eastAsia="en-GB"/>
              </w:rPr>
            </w:pPr>
            <w:r w:rsidRPr="00E8422D">
              <w:rPr>
                <w:bCs/>
                <w:sz w:val="24"/>
                <w:lang w:val="en-GB" w:eastAsia="en-GB"/>
              </w:rPr>
              <w:t>2011</w:t>
            </w:r>
          </w:p>
        </w:tc>
        <w:tc>
          <w:tcPr>
            <w:tcW w:w="1368" w:type="dxa"/>
            <w:shd w:val="clear" w:color="auto" w:fill="auto"/>
            <w:vAlign w:val="bottom"/>
          </w:tcPr>
          <w:p w14:paraId="420CA1B1" w14:textId="77777777" w:rsidR="000230E8" w:rsidRPr="00E8422D" w:rsidRDefault="000230E8" w:rsidP="000230E8">
            <w:pPr>
              <w:pStyle w:val="TableHead"/>
              <w:jc w:val="right"/>
              <w:rPr>
                <w:bCs/>
                <w:sz w:val="24"/>
                <w:lang w:val="en-GB" w:eastAsia="en-GB"/>
              </w:rPr>
            </w:pPr>
            <w:r w:rsidRPr="00E8422D">
              <w:rPr>
                <w:bCs/>
                <w:sz w:val="24"/>
                <w:lang w:val="en-GB" w:eastAsia="en-GB"/>
              </w:rPr>
              <w:t>2010</w:t>
            </w:r>
          </w:p>
        </w:tc>
      </w:tr>
      <w:tr w:rsidR="000230E8" w:rsidRPr="00A8372F" w14:paraId="6D07A6D0" w14:textId="77777777" w:rsidTr="007418DE">
        <w:tblPrEx>
          <w:tblCellMar>
            <w:top w:w="0" w:type="dxa"/>
            <w:bottom w:w="0" w:type="dxa"/>
          </w:tblCellMar>
        </w:tblPrEx>
        <w:tc>
          <w:tcPr>
            <w:tcW w:w="4968" w:type="dxa"/>
            <w:shd w:val="clear" w:color="auto" w:fill="auto"/>
            <w:vAlign w:val="bottom"/>
          </w:tcPr>
          <w:p w14:paraId="1E5EE024" w14:textId="77777777" w:rsidR="000230E8" w:rsidRPr="00E8422D" w:rsidRDefault="000230E8" w:rsidP="000230E8">
            <w:pPr>
              <w:pStyle w:val="TableRowHead"/>
              <w:rPr>
                <w:rFonts w:ascii="Gill Sans" w:hAnsi="Gill Sans"/>
                <w:sz w:val="24"/>
                <w:lang w:val="en-GB" w:eastAsia="en-GB"/>
              </w:rPr>
            </w:pPr>
          </w:p>
        </w:tc>
        <w:tc>
          <w:tcPr>
            <w:tcW w:w="1260" w:type="dxa"/>
            <w:shd w:val="clear" w:color="auto" w:fill="auto"/>
            <w:vAlign w:val="bottom"/>
          </w:tcPr>
          <w:p w14:paraId="38C9848B" w14:textId="77777777" w:rsidR="000230E8" w:rsidRPr="00E8422D" w:rsidRDefault="000230E8" w:rsidP="000230E8">
            <w:pPr>
              <w:spacing w:after="0"/>
              <w:jc w:val="center"/>
              <w:rPr>
                <w:rFonts w:ascii="Arial" w:hAnsi="Arial" w:cs="Arial"/>
                <w:sz w:val="24"/>
                <w:lang w:val="en-GB" w:eastAsia="en-GB"/>
              </w:rPr>
            </w:pPr>
          </w:p>
        </w:tc>
        <w:tc>
          <w:tcPr>
            <w:tcW w:w="1260" w:type="dxa"/>
            <w:shd w:val="clear" w:color="auto" w:fill="auto"/>
            <w:vAlign w:val="bottom"/>
          </w:tcPr>
          <w:p w14:paraId="25EE9C91" w14:textId="77777777" w:rsidR="000230E8" w:rsidRPr="00E8422D" w:rsidRDefault="000230E8" w:rsidP="000230E8">
            <w:pPr>
              <w:spacing w:after="0"/>
              <w:jc w:val="right"/>
              <w:rPr>
                <w:rFonts w:ascii="Arial" w:hAnsi="Arial" w:cs="Arial"/>
                <w:sz w:val="24"/>
                <w:lang w:val="en-GB" w:eastAsia="en-GB"/>
              </w:rPr>
            </w:pPr>
            <w:r w:rsidRPr="00E8422D">
              <w:rPr>
                <w:rFonts w:ascii="Arial" w:hAnsi="Arial" w:cs="Arial"/>
                <w:sz w:val="24"/>
                <w:lang w:val="en-GB" w:eastAsia="en-GB"/>
              </w:rPr>
              <w:t xml:space="preserve">        €</w:t>
            </w:r>
          </w:p>
        </w:tc>
        <w:tc>
          <w:tcPr>
            <w:tcW w:w="1368" w:type="dxa"/>
            <w:shd w:val="clear" w:color="auto" w:fill="auto"/>
            <w:vAlign w:val="bottom"/>
          </w:tcPr>
          <w:p w14:paraId="4DF938DF" w14:textId="77777777" w:rsidR="000230E8" w:rsidRPr="00E8422D" w:rsidRDefault="000230E8" w:rsidP="000230E8">
            <w:pPr>
              <w:spacing w:after="0"/>
              <w:jc w:val="right"/>
              <w:rPr>
                <w:rFonts w:ascii="Arial" w:hAnsi="Arial" w:cs="Arial"/>
                <w:sz w:val="24"/>
                <w:lang w:val="en-GB" w:eastAsia="en-GB"/>
              </w:rPr>
            </w:pPr>
            <w:r w:rsidRPr="00E8422D">
              <w:rPr>
                <w:rFonts w:ascii="Arial" w:hAnsi="Arial" w:cs="Arial"/>
                <w:sz w:val="24"/>
                <w:lang w:val="en-GB" w:eastAsia="en-GB"/>
              </w:rPr>
              <w:t xml:space="preserve">        €</w:t>
            </w:r>
          </w:p>
        </w:tc>
      </w:tr>
      <w:tr w:rsidR="000230E8" w:rsidRPr="00A8372F" w14:paraId="7B315595" w14:textId="77777777" w:rsidTr="007418DE">
        <w:tblPrEx>
          <w:tblCellMar>
            <w:top w:w="0" w:type="dxa"/>
            <w:bottom w:w="0" w:type="dxa"/>
          </w:tblCellMar>
        </w:tblPrEx>
        <w:tc>
          <w:tcPr>
            <w:tcW w:w="4968" w:type="dxa"/>
            <w:shd w:val="clear" w:color="auto" w:fill="auto"/>
            <w:vAlign w:val="bottom"/>
          </w:tcPr>
          <w:p w14:paraId="599777AA" w14:textId="77777777" w:rsidR="000230E8" w:rsidRPr="00E8422D" w:rsidRDefault="000230E8" w:rsidP="000230E8">
            <w:pPr>
              <w:pStyle w:val="TableRowHead"/>
              <w:rPr>
                <w:rFonts w:ascii="Gill Sans" w:hAnsi="Gill Sans"/>
                <w:sz w:val="24"/>
                <w:lang w:val="en-GB" w:eastAsia="en-GB"/>
              </w:rPr>
            </w:pPr>
            <w:r w:rsidRPr="00E8422D">
              <w:rPr>
                <w:rFonts w:ascii="Gill Sans" w:hAnsi="Gill Sans"/>
                <w:sz w:val="24"/>
                <w:lang w:val="en-GB" w:eastAsia="en-GB"/>
              </w:rPr>
              <w:t xml:space="preserve">Net Cash Outflow </w:t>
            </w:r>
            <w:proofErr w:type="gramStart"/>
            <w:r w:rsidRPr="00E8422D">
              <w:rPr>
                <w:rFonts w:ascii="Gill Sans" w:hAnsi="Gill Sans"/>
                <w:sz w:val="24"/>
                <w:lang w:val="en-GB" w:eastAsia="en-GB"/>
              </w:rPr>
              <w:t>From</w:t>
            </w:r>
            <w:proofErr w:type="gramEnd"/>
            <w:r w:rsidRPr="00E8422D">
              <w:rPr>
                <w:rFonts w:ascii="Gill Sans" w:hAnsi="Gill Sans"/>
                <w:sz w:val="24"/>
                <w:lang w:val="en-GB" w:eastAsia="en-GB"/>
              </w:rPr>
              <w:t xml:space="preserve"> Operating Activities</w:t>
            </w:r>
          </w:p>
        </w:tc>
        <w:tc>
          <w:tcPr>
            <w:tcW w:w="1260" w:type="dxa"/>
            <w:shd w:val="clear" w:color="auto" w:fill="auto"/>
            <w:vAlign w:val="bottom"/>
          </w:tcPr>
          <w:p w14:paraId="22D6A993" w14:textId="77777777" w:rsidR="000230E8" w:rsidRPr="00E8422D" w:rsidRDefault="000230E8" w:rsidP="000230E8">
            <w:pPr>
              <w:pStyle w:val="TableCell"/>
              <w:rPr>
                <w:sz w:val="24"/>
                <w:lang w:val="en-GB" w:eastAsia="en-GB"/>
              </w:rPr>
            </w:pPr>
            <w:r w:rsidRPr="00E8422D">
              <w:rPr>
                <w:sz w:val="24"/>
                <w:lang w:val="en-GB" w:eastAsia="en-GB"/>
              </w:rPr>
              <w:t>9a</w:t>
            </w:r>
          </w:p>
        </w:tc>
        <w:tc>
          <w:tcPr>
            <w:tcW w:w="1260" w:type="dxa"/>
            <w:shd w:val="clear" w:color="auto" w:fill="auto"/>
            <w:vAlign w:val="bottom"/>
          </w:tcPr>
          <w:p w14:paraId="203426B3" w14:textId="77777777" w:rsidR="000230E8" w:rsidRPr="00E8422D" w:rsidRDefault="000230E8" w:rsidP="000230E8">
            <w:pPr>
              <w:pStyle w:val="TableCell"/>
              <w:rPr>
                <w:sz w:val="24"/>
                <w:lang w:val="en-GB" w:eastAsia="en-GB"/>
              </w:rPr>
            </w:pPr>
            <w:r w:rsidRPr="00E8422D">
              <w:rPr>
                <w:sz w:val="24"/>
                <w:lang w:val="en-GB" w:eastAsia="en-GB"/>
              </w:rPr>
              <w:t xml:space="preserve">9,048 </w:t>
            </w:r>
          </w:p>
        </w:tc>
        <w:tc>
          <w:tcPr>
            <w:tcW w:w="1368" w:type="dxa"/>
            <w:shd w:val="clear" w:color="auto" w:fill="auto"/>
            <w:vAlign w:val="bottom"/>
          </w:tcPr>
          <w:p w14:paraId="0BBD60A5" w14:textId="77777777" w:rsidR="000230E8" w:rsidRPr="00E8422D" w:rsidRDefault="000230E8" w:rsidP="000230E8">
            <w:pPr>
              <w:pStyle w:val="TableCell"/>
              <w:rPr>
                <w:sz w:val="24"/>
                <w:lang w:val="en-GB" w:eastAsia="en-GB"/>
              </w:rPr>
            </w:pPr>
            <w:r w:rsidRPr="00E8422D">
              <w:rPr>
                <w:sz w:val="24"/>
                <w:lang w:val="en-GB" w:eastAsia="en-GB"/>
              </w:rPr>
              <w:t>(27,036)</w:t>
            </w:r>
          </w:p>
        </w:tc>
      </w:tr>
      <w:tr w:rsidR="000230E8" w:rsidRPr="00A8372F" w14:paraId="43826B0B" w14:textId="77777777" w:rsidTr="007418DE">
        <w:tblPrEx>
          <w:tblCellMar>
            <w:top w:w="0" w:type="dxa"/>
            <w:bottom w:w="0" w:type="dxa"/>
          </w:tblCellMar>
        </w:tblPrEx>
        <w:tc>
          <w:tcPr>
            <w:tcW w:w="8856" w:type="dxa"/>
            <w:gridSpan w:val="4"/>
            <w:shd w:val="clear" w:color="auto" w:fill="auto"/>
            <w:vAlign w:val="bottom"/>
          </w:tcPr>
          <w:p w14:paraId="2EAD2573" w14:textId="77777777" w:rsidR="000230E8" w:rsidRPr="00E8422D" w:rsidRDefault="000230E8" w:rsidP="000230E8">
            <w:pPr>
              <w:pStyle w:val="TableCell"/>
              <w:jc w:val="center"/>
              <w:rPr>
                <w:sz w:val="24"/>
                <w:lang w:val="en-GB" w:eastAsia="en-GB"/>
              </w:rPr>
            </w:pPr>
            <w:r w:rsidRPr="00E8422D">
              <w:rPr>
                <w:b/>
                <w:sz w:val="24"/>
                <w:lang w:val="en-GB" w:eastAsia="en-GB"/>
              </w:rPr>
              <w:t xml:space="preserve">Returns On Investments </w:t>
            </w:r>
            <w:proofErr w:type="gramStart"/>
            <w:r w:rsidRPr="00E8422D">
              <w:rPr>
                <w:b/>
                <w:sz w:val="24"/>
                <w:lang w:val="en-GB" w:eastAsia="en-GB"/>
              </w:rPr>
              <w:t>And</w:t>
            </w:r>
            <w:proofErr w:type="gramEnd"/>
            <w:r w:rsidRPr="00E8422D">
              <w:rPr>
                <w:b/>
                <w:sz w:val="24"/>
                <w:lang w:val="en-GB" w:eastAsia="en-GB"/>
              </w:rPr>
              <w:t xml:space="preserve"> Servicing Of Finance</w:t>
            </w:r>
          </w:p>
        </w:tc>
      </w:tr>
      <w:tr w:rsidR="000230E8" w:rsidRPr="00A8372F" w14:paraId="30B8D99A" w14:textId="77777777" w:rsidTr="007418DE">
        <w:tblPrEx>
          <w:tblCellMar>
            <w:top w:w="0" w:type="dxa"/>
            <w:bottom w:w="0" w:type="dxa"/>
          </w:tblCellMar>
        </w:tblPrEx>
        <w:tc>
          <w:tcPr>
            <w:tcW w:w="4968" w:type="dxa"/>
            <w:shd w:val="clear" w:color="auto" w:fill="auto"/>
            <w:vAlign w:val="bottom"/>
          </w:tcPr>
          <w:p w14:paraId="7D515CA9" w14:textId="77777777" w:rsidR="000230E8" w:rsidRPr="00E8422D" w:rsidRDefault="000230E8" w:rsidP="000230E8">
            <w:pPr>
              <w:pStyle w:val="TableRowHead"/>
              <w:rPr>
                <w:rFonts w:ascii="Gill Sans" w:hAnsi="Gill Sans"/>
                <w:sz w:val="24"/>
                <w:lang w:val="en-GB" w:eastAsia="en-GB"/>
              </w:rPr>
            </w:pPr>
            <w:r w:rsidRPr="00E8422D">
              <w:rPr>
                <w:rFonts w:ascii="Gill Sans" w:hAnsi="Gill Sans"/>
                <w:sz w:val="24"/>
                <w:lang w:val="en-GB" w:eastAsia="en-GB"/>
              </w:rPr>
              <w:t xml:space="preserve">Interest Received </w:t>
            </w:r>
          </w:p>
        </w:tc>
        <w:tc>
          <w:tcPr>
            <w:tcW w:w="1260" w:type="dxa"/>
            <w:shd w:val="clear" w:color="auto" w:fill="auto"/>
            <w:vAlign w:val="bottom"/>
          </w:tcPr>
          <w:p w14:paraId="355CAD2A" w14:textId="77777777" w:rsidR="000230E8" w:rsidRPr="00E8422D" w:rsidRDefault="000230E8" w:rsidP="000230E8">
            <w:pPr>
              <w:pStyle w:val="TableCell"/>
              <w:rPr>
                <w:sz w:val="24"/>
                <w:lang w:val="en-GB" w:eastAsia="en-GB"/>
              </w:rPr>
            </w:pPr>
          </w:p>
        </w:tc>
        <w:tc>
          <w:tcPr>
            <w:tcW w:w="1260" w:type="dxa"/>
            <w:shd w:val="clear" w:color="auto" w:fill="auto"/>
            <w:vAlign w:val="bottom"/>
          </w:tcPr>
          <w:p w14:paraId="3F6C0225" w14:textId="77777777" w:rsidR="000230E8" w:rsidRPr="00E8422D" w:rsidRDefault="000230E8" w:rsidP="000230E8">
            <w:pPr>
              <w:pStyle w:val="TableCell"/>
              <w:rPr>
                <w:sz w:val="24"/>
                <w:lang w:val="en-GB" w:eastAsia="en-GB"/>
              </w:rPr>
            </w:pPr>
            <w:r w:rsidRPr="00E8422D">
              <w:rPr>
                <w:sz w:val="24"/>
                <w:lang w:val="en-GB" w:eastAsia="en-GB"/>
              </w:rPr>
              <w:t xml:space="preserve">0 </w:t>
            </w:r>
          </w:p>
        </w:tc>
        <w:tc>
          <w:tcPr>
            <w:tcW w:w="1368" w:type="dxa"/>
            <w:shd w:val="clear" w:color="auto" w:fill="auto"/>
            <w:vAlign w:val="bottom"/>
          </w:tcPr>
          <w:p w14:paraId="2D9B0FC6" w14:textId="77777777" w:rsidR="000230E8" w:rsidRPr="00E8422D" w:rsidRDefault="000230E8" w:rsidP="000230E8">
            <w:pPr>
              <w:pStyle w:val="TableCell"/>
              <w:rPr>
                <w:sz w:val="24"/>
                <w:lang w:val="en-GB" w:eastAsia="en-GB"/>
              </w:rPr>
            </w:pPr>
            <w:r w:rsidRPr="00E8422D">
              <w:rPr>
                <w:sz w:val="24"/>
                <w:lang w:val="en-GB" w:eastAsia="en-GB"/>
              </w:rPr>
              <w:t xml:space="preserve">1 </w:t>
            </w:r>
          </w:p>
        </w:tc>
      </w:tr>
      <w:tr w:rsidR="000230E8" w:rsidRPr="00A8372F" w14:paraId="4404364E" w14:textId="77777777" w:rsidTr="007418DE">
        <w:tblPrEx>
          <w:tblCellMar>
            <w:top w:w="0" w:type="dxa"/>
            <w:bottom w:w="0" w:type="dxa"/>
          </w:tblCellMar>
        </w:tblPrEx>
        <w:tc>
          <w:tcPr>
            <w:tcW w:w="4968" w:type="dxa"/>
            <w:shd w:val="clear" w:color="auto" w:fill="auto"/>
            <w:vAlign w:val="bottom"/>
          </w:tcPr>
          <w:p w14:paraId="3E80A50A" w14:textId="77777777" w:rsidR="000230E8" w:rsidRPr="00E8422D" w:rsidRDefault="000230E8" w:rsidP="000230E8">
            <w:pPr>
              <w:pStyle w:val="TableRowHead"/>
              <w:rPr>
                <w:rFonts w:ascii="Gill Sans" w:hAnsi="Gill Sans"/>
                <w:sz w:val="24"/>
                <w:lang w:val="en-GB" w:eastAsia="en-GB"/>
              </w:rPr>
            </w:pPr>
            <w:r w:rsidRPr="00E8422D">
              <w:rPr>
                <w:rFonts w:ascii="Gill Sans" w:hAnsi="Gill Sans"/>
                <w:sz w:val="24"/>
                <w:lang w:val="en-GB" w:eastAsia="en-GB"/>
              </w:rPr>
              <w:t xml:space="preserve">Net Inflow </w:t>
            </w:r>
            <w:proofErr w:type="gramStart"/>
            <w:r w:rsidRPr="00E8422D">
              <w:rPr>
                <w:rFonts w:ascii="Gill Sans" w:hAnsi="Gill Sans"/>
                <w:sz w:val="24"/>
                <w:lang w:val="en-GB" w:eastAsia="en-GB"/>
              </w:rPr>
              <w:t>From</w:t>
            </w:r>
            <w:proofErr w:type="gramEnd"/>
            <w:r w:rsidRPr="00E8422D">
              <w:rPr>
                <w:rFonts w:ascii="Gill Sans" w:hAnsi="Gill Sans"/>
                <w:sz w:val="24"/>
                <w:lang w:val="en-GB" w:eastAsia="en-GB"/>
              </w:rPr>
              <w:t xml:space="preserve"> Returns On Investments And Servicing Of Finance </w:t>
            </w:r>
          </w:p>
        </w:tc>
        <w:tc>
          <w:tcPr>
            <w:tcW w:w="1260" w:type="dxa"/>
            <w:shd w:val="clear" w:color="auto" w:fill="auto"/>
            <w:vAlign w:val="bottom"/>
          </w:tcPr>
          <w:p w14:paraId="68483E08" w14:textId="77777777" w:rsidR="000230E8" w:rsidRPr="00E8422D" w:rsidRDefault="000230E8" w:rsidP="000230E8">
            <w:pPr>
              <w:pStyle w:val="TableCell"/>
              <w:rPr>
                <w:sz w:val="24"/>
                <w:lang w:val="en-GB" w:eastAsia="en-GB"/>
              </w:rPr>
            </w:pPr>
          </w:p>
        </w:tc>
        <w:tc>
          <w:tcPr>
            <w:tcW w:w="1260" w:type="dxa"/>
            <w:shd w:val="clear" w:color="auto" w:fill="auto"/>
            <w:vAlign w:val="bottom"/>
          </w:tcPr>
          <w:p w14:paraId="3680AB19" w14:textId="77777777" w:rsidR="000230E8" w:rsidRPr="00E8422D" w:rsidRDefault="000230E8" w:rsidP="000230E8">
            <w:pPr>
              <w:pStyle w:val="TableCell"/>
              <w:rPr>
                <w:sz w:val="24"/>
                <w:lang w:val="en-GB" w:eastAsia="en-GB"/>
              </w:rPr>
            </w:pPr>
            <w:r w:rsidRPr="00E8422D">
              <w:rPr>
                <w:sz w:val="24"/>
                <w:lang w:val="en-GB" w:eastAsia="en-GB"/>
              </w:rPr>
              <w:t xml:space="preserve">0 </w:t>
            </w:r>
          </w:p>
        </w:tc>
        <w:tc>
          <w:tcPr>
            <w:tcW w:w="1368" w:type="dxa"/>
            <w:shd w:val="clear" w:color="auto" w:fill="auto"/>
            <w:vAlign w:val="bottom"/>
          </w:tcPr>
          <w:p w14:paraId="0130B108" w14:textId="77777777" w:rsidR="000230E8" w:rsidRPr="00E8422D" w:rsidRDefault="000230E8" w:rsidP="000230E8">
            <w:pPr>
              <w:pStyle w:val="TableCell"/>
              <w:rPr>
                <w:sz w:val="24"/>
                <w:lang w:val="en-GB" w:eastAsia="en-GB"/>
              </w:rPr>
            </w:pPr>
            <w:r w:rsidRPr="00E8422D">
              <w:rPr>
                <w:sz w:val="24"/>
                <w:lang w:val="en-GB" w:eastAsia="en-GB"/>
              </w:rPr>
              <w:t xml:space="preserve">1 </w:t>
            </w:r>
          </w:p>
        </w:tc>
      </w:tr>
      <w:tr w:rsidR="000230E8" w:rsidRPr="00A8372F" w14:paraId="63E86C04" w14:textId="77777777" w:rsidTr="007418DE">
        <w:tblPrEx>
          <w:tblCellMar>
            <w:top w:w="0" w:type="dxa"/>
            <w:bottom w:w="0" w:type="dxa"/>
          </w:tblCellMar>
        </w:tblPrEx>
        <w:tc>
          <w:tcPr>
            <w:tcW w:w="8856" w:type="dxa"/>
            <w:gridSpan w:val="4"/>
            <w:shd w:val="clear" w:color="auto" w:fill="auto"/>
            <w:vAlign w:val="bottom"/>
          </w:tcPr>
          <w:p w14:paraId="70A4233A" w14:textId="77777777" w:rsidR="000230E8" w:rsidRPr="00E8422D" w:rsidRDefault="000230E8" w:rsidP="000230E8">
            <w:pPr>
              <w:pStyle w:val="TableCell"/>
              <w:jc w:val="center"/>
              <w:rPr>
                <w:sz w:val="24"/>
                <w:lang w:val="en-GB" w:eastAsia="en-GB"/>
              </w:rPr>
            </w:pPr>
            <w:r w:rsidRPr="00E8422D">
              <w:rPr>
                <w:b/>
                <w:bCs/>
                <w:sz w:val="24"/>
                <w:lang w:val="en-GB" w:eastAsia="en-GB"/>
              </w:rPr>
              <w:t>Investing Activities</w:t>
            </w:r>
          </w:p>
        </w:tc>
      </w:tr>
      <w:tr w:rsidR="000230E8" w:rsidRPr="00A8372F" w14:paraId="5845CE80" w14:textId="77777777" w:rsidTr="007418DE">
        <w:tblPrEx>
          <w:tblCellMar>
            <w:top w:w="0" w:type="dxa"/>
            <w:bottom w:w="0" w:type="dxa"/>
          </w:tblCellMar>
        </w:tblPrEx>
        <w:tc>
          <w:tcPr>
            <w:tcW w:w="4968" w:type="dxa"/>
            <w:shd w:val="clear" w:color="auto" w:fill="auto"/>
            <w:vAlign w:val="bottom"/>
          </w:tcPr>
          <w:p w14:paraId="6684D0B5" w14:textId="77777777" w:rsidR="000230E8" w:rsidRPr="00E8422D" w:rsidRDefault="000230E8" w:rsidP="000230E8">
            <w:pPr>
              <w:pStyle w:val="TableRowHead"/>
              <w:rPr>
                <w:rFonts w:ascii="Gill Sans" w:hAnsi="Gill Sans"/>
                <w:sz w:val="24"/>
                <w:lang w:val="en-GB" w:eastAsia="en-GB"/>
              </w:rPr>
            </w:pPr>
            <w:r w:rsidRPr="00E8422D">
              <w:rPr>
                <w:rFonts w:ascii="Gill Sans" w:hAnsi="Gill Sans"/>
                <w:sz w:val="24"/>
                <w:lang w:val="en-GB" w:eastAsia="en-GB"/>
              </w:rPr>
              <w:t>Purchase Of Fixed Assets</w:t>
            </w:r>
          </w:p>
        </w:tc>
        <w:tc>
          <w:tcPr>
            <w:tcW w:w="1260" w:type="dxa"/>
            <w:shd w:val="clear" w:color="auto" w:fill="auto"/>
            <w:vAlign w:val="bottom"/>
          </w:tcPr>
          <w:p w14:paraId="1047A83E" w14:textId="77777777" w:rsidR="000230E8" w:rsidRPr="00E8422D" w:rsidRDefault="000230E8" w:rsidP="000230E8">
            <w:pPr>
              <w:pStyle w:val="TableCell"/>
              <w:rPr>
                <w:sz w:val="24"/>
                <w:lang w:val="en-GB" w:eastAsia="en-GB"/>
              </w:rPr>
            </w:pPr>
          </w:p>
        </w:tc>
        <w:tc>
          <w:tcPr>
            <w:tcW w:w="1260" w:type="dxa"/>
            <w:shd w:val="clear" w:color="auto" w:fill="auto"/>
            <w:vAlign w:val="bottom"/>
          </w:tcPr>
          <w:p w14:paraId="280E0900" w14:textId="77777777" w:rsidR="000230E8" w:rsidRPr="00E8422D" w:rsidRDefault="000230E8" w:rsidP="000230E8">
            <w:pPr>
              <w:pStyle w:val="TableCell"/>
              <w:rPr>
                <w:sz w:val="24"/>
                <w:lang w:val="en-GB" w:eastAsia="en-GB"/>
              </w:rPr>
            </w:pPr>
            <w:r w:rsidRPr="00E8422D">
              <w:rPr>
                <w:sz w:val="24"/>
                <w:lang w:val="en-GB" w:eastAsia="en-GB"/>
              </w:rPr>
              <w:t>(9,235)</w:t>
            </w:r>
          </w:p>
        </w:tc>
        <w:tc>
          <w:tcPr>
            <w:tcW w:w="1368" w:type="dxa"/>
            <w:shd w:val="clear" w:color="auto" w:fill="auto"/>
            <w:vAlign w:val="bottom"/>
          </w:tcPr>
          <w:p w14:paraId="3D7BFA80" w14:textId="77777777" w:rsidR="000230E8" w:rsidRPr="00E8422D" w:rsidRDefault="000230E8" w:rsidP="000230E8">
            <w:pPr>
              <w:pStyle w:val="TableCell"/>
              <w:rPr>
                <w:sz w:val="24"/>
                <w:lang w:val="en-GB" w:eastAsia="en-GB"/>
              </w:rPr>
            </w:pPr>
            <w:r w:rsidRPr="00E8422D">
              <w:rPr>
                <w:sz w:val="24"/>
                <w:lang w:val="en-GB" w:eastAsia="en-GB"/>
              </w:rPr>
              <w:t>(3,729)</w:t>
            </w:r>
          </w:p>
        </w:tc>
      </w:tr>
      <w:tr w:rsidR="000230E8" w:rsidRPr="00A8372F" w14:paraId="3163B055" w14:textId="77777777" w:rsidTr="007418DE">
        <w:tblPrEx>
          <w:tblCellMar>
            <w:top w:w="0" w:type="dxa"/>
            <w:bottom w:w="0" w:type="dxa"/>
          </w:tblCellMar>
        </w:tblPrEx>
        <w:tc>
          <w:tcPr>
            <w:tcW w:w="4968" w:type="dxa"/>
            <w:shd w:val="clear" w:color="auto" w:fill="auto"/>
            <w:vAlign w:val="bottom"/>
          </w:tcPr>
          <w:p w14:paraId="090FE1B7" w14:textId="77777777" w:rsidR="000230E8" w:rsidRPr="00E8422D" w:rsidRDefault="000230E8" w:rsidP="000230E8">
            <w:pPr>
              <w:pStyle w:val="TableRowHead"/>
              <w:rPr>
                <w:rFonts w:ascii="Gill Sans" w:hAnsi="Gill Sans"/>
                <w:sz w:val="24"/>
                <w:lang w:val="en-GB" w:eastAsia="en-GB"/>
              </w:rPr>
            </w:pPr>
            <w:r w:rsidRPr="00E8422D">
              <w:rPr>
                <w:rFonts w:ascii="Gill Sans" w:hAnsi="Gill Sans"/>
                <w:sz w:val="24"/>
                <w:lang w:val="en-GB" w:eastAsia="en-GB"/>
              </w:rPr>
              <w:t xml:space="preserve">Proceeds On Disposal </w:t>
            </w:r>
            <w:proofErr w:type="gramStart"/>
            <w:r w:rsidRPr="00E8422D">
              <w:rPr>
                <w:rFonts w:ascii="Gill Sans" w:hAnsi="Gill Sans"/>
                <w:sz w:val="24"/>
                <w:lang w:val="en-GB" w:eastAsia="en-GB"/>
              </w:rPr>
              <w:t>Of</w:t>
            </w:r>
            <w:proofErr w:type="gramEnd"/>
            <w:r w:rsidRPr="00E8422D">
              <w:rPr>
                <w:rFonts w:ascii="Gill Sans" w:hAnsi="Gill Sans"/>
                <w:sz w:val="24"/>
                <w:lang w:val="en-GB" w:eastAsia="en-GB"/>
              </w:rPr>
              <w:t xml:space="preserve"> Fixed Assets </w:t>
            </w:r>
          </w:p>
        </w:tc>
        <w:tc>
          <w:tcPr>
            <w:tcW w:w="1260" w:type="dxa"/>
            <w:shd w:val="clear" w:color="auto" w:fill="auto"/>
            <w:vAlign w:val="bottom"/>
          </w:tcPr>
          <w:p w14:paraId="4152DB75" w14:textId="77777777" w:rsidR="000230E8" w:rsidRPr="00E8422D" w:rsidRDefault="000230E8" w:rsidP="000230E8">
            <w:pPr>
              <w:pStyle w:val="TableCell"/>
              <w:rPr>
                <w:sz w:val="24"/>
                <w:lang w:val="en-GB" w:eastAsia="en-GB"/>
              </w:rPr>
            </w:pPr>
          </w:p>
        </w:tc>
        <w:tc>
          <w:tcPr>
            <w:tcW w:w="1260" w:type="dxa"/>
            <w:shd w:val="clear" w:color="auto" w:fill="auto"/>
            <w:vAlign w:val="bottom"/>
          </w:tcPr>
          <w:p w14:paraId="22B9F744" w14:textId="77777777" w:rsidR="000230E8" w:rsidRPr="00E8422D" w:rsidRDefault="000230E8" w:rsidP="000230E8">
            <w:pPr>
              <w:pStyle w:val="TableCell"/>
              <w:rPr>
                <w:sz w:val="24"/>
                <w:lang w:val="en-GB" w:eastAsia="en-GB"/>
              </w:rPr>
            </w:pPr>
            <w:r w:rsidRPr="00E8422D">
              <w:rPr>
                <w:sz w:val="24"/>
                <w:lang w:val="en-GB" w:eastAsia="en-GB"/>
              </w:rPr>
              <w:t xml:space="preserve">0 </w:t>
            </w:r>
          </w:p>
        </w:tc>
        <w:tc>
          <w:tcPr>
            <w:tcW w:w="1368" w:type="dxa"/>
            <w:shd w:val="clear" w:color="auto" w:fill="auto"/>
            <w:vAlign w:val="bottom"/>
          </w:tcPr>
          <w:p w14:paraId="534FA46C" w14:textId="77777777" w:rsidR="000230E8" w:rsidRPr="00E8422D" w:rsidRDefault="000230E8" w:rsidP="000230E8">
            <w:pPr>
              <w:pStyle w:val="TableCell"/>
              <w:rPr>
                <w:sz w:val="24"/>
                <w:lang w:val="en-GB" w:eastAsia="en-GB"/>
              </w:rPr>
            </w:pPr>
            <w:r w:rsidRPr="00E8422D">
              <w:rPr>
                <w:sz w:val="24"/>
                <w:lang w:val="en-GB" w:eastAsia="en-GB"/>
              </w:rPr>
              <w:t xml:space="preserve">0 </w:t>
            </w:r>
          </w:p>
        </w:tc>
      </w:tr>
      <w:tr w:rsidR="000230E8" w:rsidRPr="00A8372F" w14:paraId="02845E6D" w14:textId="77777777" w:rsidTr="007418DE">
        <w:tblPrEx>
          <w:tblCellMar>
            <w:top w:w="0" w:type="dxa"/>
            <w:bottom w:w="0" w:type="dxa"/>
          </w:tblCellMar>
        </w:tblPrEx>
        <w:tc>
          <w:tcPr>
            <w:tcW w:w="4968" w:type="dxa"/>
            <w:shd w:val="clear" w:color="auto" w:fill="auto"/>
            <w:vAlign w:val="bottom"/>
          </w:tcPr>
          <w:p w14:paraId="58707256" w14:textId="77777777" w:rsidR="000230E8" w:rsidRPr="00E8422D" w:rsidRDefault="000230E8" w:rsidP="000230E8">
            <w:pPr>
              <w:pStyle w:val="TableRowHead"/>
              <w:rPr>
                <w:rFonts w:ascii="Gill Sans" w:hAnsi="Gill Sans"/>
                <w:sz w:val="24"/>
                <w:lang w:val="en-GB" w:eastAsia="en-GB"/>
              </w:rPr>
            </w:pPr>
            <w:r w:rsidRPr="00E8422D">
              <w:rPr>
                <w:rFonts w:ascii="Gill Sans" w:hAnsi="Gill Sans"/>
                <w:sz w:val="24"/>
                <w:lang w:val="en-GB" w:eastAsia="en-GB"/>
              </w:rPr>
              <w:t xml:space="preserve">Net Cash Outflow </w:t>
            </w:r>
            <w:proofErr w:type="gramStart"/>
            <w:r w:rsidRPr="00E8422D">
              <w:rPr>
                <w:rFonts w:ascii="Gill Sans" w:hAnsi="Gill Sans"/>
                <w:sz w:val="24"/>
                <w:lang w:val="en-GB" w:eastAsia="en-GB"/>
              </w:rPr>
              <w:t>From</w:t>
            </w:r>
            <w:proofErr w:type="gramEnd"/>
            <w:r w:rsidRPr="00E8422D">
              <w:rPr>
                <w:rFonts w:ascii="Gill Sans" w:hAnsi="Gill Sans"/>
                <w:sz w:val="24"/>
                <w:lang w:val="en-GB" w:eastAsia="en-GB"/>
              </w:rPr>
              <w:t xml:space="preserve"> Investing Activities</w:t>
            </w:r>
          </w:p>
        </w:tc>
        <w:tc>
          <w:tcPr>
            <w:tcW w:w="1260" w:type="dxa"/>
            <w:shd w:val="clear" w:color="auto" w:fill="auto"/>
            <w:vAlign w:val="bottom"/>
          </w:tcPr>
          <w:p w14:paraId="6CDF35B1" w14:textId="77777777" w:rsidR="000230E8" w:rsidRPr="00E8422D" w:rsidRDefault="000230E8" w:rsidP="000230E8">
            <w:pPr>
              <w:pStyle w:val="TableCell"/>
              <w:rPr>
                <w:sz w:val="24"/>
                <w:lang w:val="en-GB" w:eastAsia="en-GB"/>
              </w:rPr>
            </w:pPr>
          </w:p>
        </w:tc>
        <w:tc>
          <w:tcPr>
            <w:tcW w:w="1260" w:type="dxa"/>
            <w:shd w:val="clear" w:color="auto" w:fill="auto"/>
            <w:vAlign w:val="bottom"/>
          </w:tcPr>
          <w:p w14:paraId="4A1BA915" w14:textId="77777777" w:rsidR="000230E8" w:rsidRPr="00E8422D" w:rsidRDefault="000230E8" w:rsidP="000230E8">
            <w:pPr>
              <w:pStyle w:val="TableCell"/>
              <w:rPr>
                <w:sz w:val="24"/>
                <w:lang w:val="en-GB" w:eastAsia="en-GB"/>
              </w:rPr>
            </w:pPr>
            <w:r w:rsidRPr="00E8422D">
              <w:rPr>
                <w:sz w:val="24"/>
                <w:lang w:val="en-GB" w:eastAsia="en-GB"/>
              </w:rPr>
              <w:t>(9,235)</w:t>
            </w:r>
          </w:p>
        </w:tc>
        <w:tc>
          <w:tcPr>
            <w:tcW w:w="1368" w:type="dxa"/>
            <w:shd w:val="clear" w:color="auto" w:fill="auto"/>
            <w:vAlign w:val="bottom"/>
          </w:tcPr>
          <w:p w14:paraId="2232661E" w14:textId="77777777" w:rsidR="000230E8" w:rsidRPr="00E8422D" w:rsidRDefault="000230E8" w:rsidP="000230E8">
            <w:pPr>
              <w:pStyle w:val="TableCell"/>
              <w:rPr>
                <w:sz w:val="24"/>
                <w:lang w:val="en-GB" w:eastAsia="en-GB"/>
              </w:rPr>
            </w:pPr>
            <w:r w:rsidRPr="00E8422D">
              <w:rPr>
                <w:sz w:val="24"/>
                <w:lang w:val="en-GB" w:eastAsia="en-GB"/>
              </w:rPr>
              <w:t>(3,729)</w:t>
            </w:r>
          </w:p>
        </w:tc>
      </w:tr>
      <w:tr w:rsidR="000230E8" w:rsidRPr="00A8372F" w14:paraId="171DD669" w14:textId="77777777" w:rsidTr="007418DE">
        <w:tblPrEx>
          <w:tblCellMar>
            <w:top w:w="0" w:type="dxa"/>
            <w:bottom w:w="0" w:type="dxa"/>
          </w:tblCellMar>
        </w:tblPrEx>
        <w:tc>
          <w:tcPr>
            <w:tcW w:w="8856" w:type="dxa"/>
            <w:gridSpan w:val="4"/>
            <w:shd w:val="clear" w:color="auto" w:fill="auto"/>
            <w:vAlign w:val="bottom"/>
          </w:tcPr>
          <w:p w14:paraId="2B2720B0" w14:textId="77777777" w:rsidR="000230E8" w:rsidRPr="00E8422D" w:rsidRDefault="000230E8" w:rsidP="000230E8">
            <w:pPr>
              <w:pStyle w:val="TableCell"/>
              <w:rPr>
                <w:sz w:val="24"/>
                <w:lang w:val="en-GB" w:eastAsia="en-GB"/>
              </w:rPr>
            </w:pPr>
          </w:p>
        </w:tc>
      </w:tr>
      <w:tr w:rsidR="000230E8" w:rsidRPr="00A8372F" w14:paraId="635DA39E" w14:textId="77777777" w:rsidTr="007418DE">
        <w:tblPrEx>
          <w:tblCellMar>
            <w:top w:w="0" w:type="dxa"/>
            <w:bottom w:w="0" w:type="dxa"/>
          </w:tblCellMar>
        </w:tblPrEx>
        <w:tc>
          <w:tcPr>
            <w:tcW w:w="4968" w:type="dxa"/>
            <w:shd w:val="clear" w:color="auto" w:fill="auto"/>
            <w:vAlign w:val="bottom"/>
          </w:tcPr>
          <w:p w14:paraId="6EB735C9" w14:textId="77777777" w:rsidR="000230E8" w:rsidRPr="00E8422D" w:rsidRDefault="000230E8" w:rsidP="000230E8">
            <w:pPr>
              <w:pStyle w:val="TableRowHead"/>
              <w:rPr>
                <w:rFonts w:ascii="Gill Sans" w:hAnsi="Gill Sans"/>
                <w:sz w:val="24"/>
                <w:lang w:val="en-GB" w:eastAsia="en-GB"/>
              </w:rPr>
            </w:pPr>
            <w:r w:rsidRPr="00E8422D">
              <w:rPr>
                <w:rFonts w:ascii="Gill Sans" w:hAnsi="Gill Sans"/>
                <w:sz w:val="24"/>
                <w:lang w:val="en-GB" w:eastAsia="en-GB"/>
              </w:rPr>
              <w:t xml:space="preserve">Decrease In Cash </w:t>
            </w:r>
            <w:proofErr w:type="gramStart"/>
            <w:r w:rsidRPr="00E8422D">
              <w:rPr>
                <w:rFonts w:ascii="Gill Sans" w:hAnsi="Gill Sans"/>
                <w:sz w:val="24"/>
                <w:lang w:val="en-GB" w:eastAsia="en-GB"/>
              </w:rPr>
              <w:t>At</w:t>
            </w:r>
            <w:proofErr w:type="gramEnd"/>
            <w:r w:rsidRPr="00E8422D">
              <w:rPr>
                <w:rFonts w:ascii="Gill Sans" w:hAnsi="Gill Sans"/>
                <w:sz w:val="24"/>
                <w:lang w:val="en-GB" w:eastAsia="en-GB"/>
              </w:rPr>
              <w:t xml:space="preserve"> Bank And In Hand</w:t>
            </w:r>
          </w:p>
        </w:tc>
        <w:tc>
          <w:tcPr>
            <w:tcW w:w="1260" w:type="dxa"/>
            <w:shd w:val="clear" w:color="auto" w:fill="auto"/>
            <w:vAlign w:val="bottom"/>
          </w:tcPr>
          <w:p w14:paraId="05975057" w14:textId="77777777" w:rsidR="000230E8" w:rsidRPr="00E8422D" w:rsidRDefault="000230E8" w:rsidP="000230E8">
            <w:pPr>
              <w:pStyle w:val="TableCell"/>
              <w:rPr>
                <w:sz w:val="24"/>
                <w:lang w:val="en-GB" w:eastAsia="en-GB"/>
              </w:rPr>
            </w:pPr>
          </w:p>
        </w:tc>
        <w:tc>
          <w:tcPr>
            <w:tcW w:w="1260" w:type="dxa"/>
            <w:shd w:val="clear" w:color="auto" w:fill="auto"/>
            <w:vAlign w:val="bottom"/>
          </w:tcPr>
          <w:p w14:paraId="18F1D7E0" w14:textId="77777777" w:rsidR="000230E8" w:rsidRPr="00E8422D" w:rsidRDefault="000230E8" w:rsidP="000230E8">
            <w:pPr>
              <w:pStyle w:val="TableCell"/>
              <w:rPr>
                <w:sz w:val="24"/>
                <w:lang w:val="en-GB" w:eastAsia="en-GB"/>
              </w:rPr>
            </w:pPr>
            <w:r w:rsidRPr="00E8422D">
              <w:rPr>
                <w:sz w:val="24"/>
                <w:lang w:val="en-GB" w:eastAsia="en-GB"/>
              </w:rPr>
              <w:t>(187)</w:t>
            </w:r>
          </w:p>
        </w:tc>
        <w:tc>
          <w:tcPr>
            <w:tcW w:w="1368" w:type="dxa"/>
            <w:shd w:val="clear" w:color="auto" w:fill="auto"/>
            <w:vAlign w:val="bottom"/>
          </w:tcPr>
          <w:p w14:paraId="10F35DAE" w14:textId="77777777" w:rsidR="000230E8" w:rsidRPr="00E8422D" w:rsidRDefault="000230E8" w:rsidP="000230E8">
            <w:pPr>
              <w:pStyle w:val="TableCell"/>
              <w:rPr>
                <w:sz w:val="24"/>
                <w:lang w:val="en-GB" w:eastAsia="en-GB"/>
              </w:rPr>
            </w:pPr>
            <w:r w:rsidRPr="00E8422D">
              <w:rPr>
                <w:sz w:val="24"/>
                <w:lang w:val="en-GB" w:eastAsia="en-GB"/>
              </w:rPr>
              <w:t>(30,764)</w:t>
            </w:r>
          </w:p>
        </w:tc>
      </w:tr>
    </w:tbl>
    <w:p w14:paraId="1A5AC236" w14:textId="77777777" w:rsidR="000230E8" w:rsidRDefault="000230E8" w:rsidP="000230E8">
      <w:pPr>
        <w:rPr>
          <w:lang w:val="en-GB" w:eastAsia="en-GB"/>
        </w:rPr>
      </w:pPr>
    </w:p>
    <w:p w14:paraId="26D954FB" w14:textId="77777777" w:rsidR="000230E8" w:rsidRDefault="000230E8" w:rsidP="000230E8">
      <w:pPr>
        <w:rPr>
          <w:lang w:val="en-GB" w:eastAsia="en-GB"/>
        </w:rPr>
      </w:pPr>
      <w:r w:rsidRPr="00A8372F">
        <w:rPr>
          <w:lang w:val="en-GB" w:eastAsia="en-GB"/>
        </w:rPr>
        <w:t>The Statement of Accounting Policies, the Cash Flow Statem</w:t>
      </w:r>
      <w:r>
        <w:rPr>
          <w:lang w:val="en-GB" w:eastAsia="en-GB"/>
        </w:rPr>
        <w:t>ent and Notes 1 to 16 form part of t</w:t>
      </w:r>
      <w:r w:rsidRPr="00A8372F">
        <w:rPr>
          <w:lang w:val="en-GB" w:eastAsia="en-GB"/>
        </w:rPr>
        <w:t>hese Financial Statements.</w:t>
      </w:r>
    </w:p>
    <w:p w14:paraId="7A9DDFF8" w14:textId="77777777" w:rsidR="006F4DF1" w:rsidRDefault="000230E8" w:rsidP="006F4DF1">
      <w:pPr>
        <w:rPr>
          <w:lang w:val="en-GB" w:eastAsia="en-GB"/>
        </w:rPr>
      </w:pPr>
      <w:r w:rsidRPr="007418DE">
        <w:rPr>
          <w:b/>
          <w:lang w:val="en-GB" w:eastAsia="en-GB"/>
        </w:rPr>
        <w:t>Signed:</w:t>
      </w:r>
      <w:r w:rsidRPr="00F9738D">
        <w:rPr>
          <w:lang w:val="en-GB" w:eastAsia="en-GB"/>
        </w:rPr>
        <w:tab/>
        <w:t xml:space="preserve">Peter </w:t>
      </w:r>
      <w:proofErr w:type="spellStart"/>
      <w:r w:rsidRPr="00F9738D">
        <w:rPr>
          <w:lang w:val="en-GB" w:eastAsia="en-GB"/>
        </w:rPr>
        <w:t>McKevitt</w:t>
      </w:r>
      <w:proofErr w:type="spellEnd"/>
      <w:r w:rsidRPr="00F9738D">
        <w:rPr>
          <w:lang w:val="en-GB" w:eastAsia="en-GB"/>
        </w:rPr>
        <w:t xml:space="preserve"> (Chairperson)</w:t>
      </w:r>
      <w:r w:rsidR="006F4DF1">
        <w:rPr>
          <w:lang w:val="en-GB" w:eastAsia="en-GB"/>
        </w:rPr>
        <w:br/>
      </w:r>
      <w:r w:rsidRPr="007418DE">
        <w:rPr>
          <w:b/>
          <w:lang w:val="en-GB" w:eastAsia="en-GB"/>
        </w:rPr>
        <w:t>Signed:</w:t>
      </w:r>
      <w:r w:rsidRPr="00F9738D">
        <w:rPr>
          <w:lang w:val="en-GB" w:eastAsia="en-GB"/>
        </w:rPr>
        <w:t xml:space="preserve"> </w:t>
      </w:r>
      <w:r w:rsidRPr="00F9738D">
        <w:rPr>
          <w:lang w:val="en-GB" w:eastAsia="en-GB"/>
        </w:rPr>
        <w:tab/>
        <w:t xml:space="preserve">Frank </w:t>
      </w:r>
      <w:proofErr w:type="spellStart"/>
      <w:r w:rsidRPr="00F9738D">
        <w:rPr>
          <w:lang w:val="en-GB" w:eastAsia="en-GB"/>
        </w:rPr>
        <w:t>Cuneen</w:t>
      </w:r>
      <w:proofErr w:type="spellEnd"/>
      <w:r w:rsidRPr="00F9738D">
        <w:rPr>
          <w:lang w:val="en-GB" w:eastAsia="en-GB"/>
        </w:rPr>
        <w:t xml:space="preserve"> (Authority Member)</w:t>
      </w:r>
      <w:r w:rsidR="006F4DF1">
        <w:rPr>
          <w:lang w:val="en-GB" w:eastAsia="en-GB"/>
        </w:rPr>
        <w:br/>
      </w:r>
      <w:r w:rsidRPr="007418DE">
        <w:rPr>
          <w:b/>
          <w:lang w:val="en-GB" w:eastAsia="en-GB"/>
        </w:rPr>
        <w:t>Signed:</w:t>
      </w:r>
      <w:r w:rsidRPr="00F9738D">
        <w:rPr>
          <w:lang w:val="en-GB" w:eastAsia="en-GB"/>
        </w:rPr>
        <w:tab/>
        <w:t>Siobhán Barron (Director)</w:t>
      </w:r>
      <w:r w:rsidR="006F4DF1">
        <w:rPr>
          <w:lang w:val="en-GB" w:eastAsia="en-GB"/>
        </w:rPr>
        <w:br/>
      </w:r>
      <w:r w:rsidRPr="007418DE">
        <w:rPr>
          <w:b/>
          <w:lang w:val="en-GB" w:eastAsia="en-GB"/>
        </w:rPr>
        <w:t>Date:</w:t>
      </w:r>
      <w:r w:rsidRPr="00F9738D">
        <w:rPr>
          <w:lang w:val="en-GB" w:eastAsia="en-GB"/>
        </w:rPr>
        <w:tab/>
      </w:r>
      <w:r w:rsidRPr="00F9738D">
        <w:rPr>
          <w:lang w:val="en-GB" w:eastAsia="en-GB"/>
        </w:rPr>
        <w:tab/>
        <w:t>10 September 2012</w:t>
      </w:r>
    </w:p>
    <w:p w14:paraId="15A6358B" w14:textId="77777777" w:rsidR="000230E8" w:rsidRDefault="00BC3842" w:rsidP="006F4DF1">
      <w:pPr>
        <w:pStyle w:val="Heading1"/>
        <w:rPr>
          <w:lang w:val="en-GB" w:eastAsia="en-GB"/>
        </w:rPr>
      </w:pPr>
      <w:bookmarkStart w:id="240" w:name="_Toc335836393"/>
      <w:bookmarkStart w:id="241" w:name="_Toc335983439"/>
      <w:r>
        <w:rPr>
          <w:lang w:val="en-GB" w:eastAsia="en-GB"/>
        </w:rPr>
        <w:br w:type="page"/>
      </w:r>
      <w:bookmarkStart w:id="242" w:name="_Toc335986608"/>
      <w:r w:rsidR="000230E8" w:rsidRPr="003C04D3">
        <w:rPr>
          <w:lang w:val="en-GB" w:eastAsia="en-GB"/>
        </w:rPr>
        <w:lastRenderedPageBreak/>
        <w:t xml:space="preserve">Notes to Financial Statements for the year ended 31st </w:t>
      </w:r>
      <w:proofErr w:type="gramStart"/>
      <w:r w:rsidR="000230E8" w:rsidRPr="003C04D3">
        <w:rPr>
          <w:lang w:val="en-GB" w:eastAsia="en-GB"/>
        </w:rPr>
        <w:t>December,</w:t>
      </w:r>
      <w:proofErr w:type="gramEnd"/>
      <w:r w:rsidR="000230E8" w:rsidRPr="003C04D3">
        <w:rPr>
          <w:lang w:val="en-GB" w:eastAsia="en-GB"/>
        </w:rPr>
        <w:t xml:space="preserve"> 2011</w:t>
      </w:r>
      <w:bookmarkEnd w:id="240"/>
      <w:bookmarkEnd w:id="241"/>
      <w:bookmarkEnd w:id="242"/>
    </w:p>
    <w:p w14:paraId="2460C022" w14:textId="77777777" w:rsidR="000230E8" w:rsidRDefault="000230E8" w:rsidP="000230E8">
      <w:pPr>
        <w:pStyle w:val="Heading2"/>
        <w:rPr>
          <w:lang w:val="en-GB" w:eastAsia="en-GB"/>
        </w:rPr>
      </w:pPr>
      <w:bookmarkStart w:id="243" w:name="_Toc335836394"/>
      <w:r w:rsidRPr="003C04D3">
        <w:rPr>
          <w:lang w:val="en-GB" w:eastAsia="en-GB"/>
        </w:rPr>
        <w:t>1. These Financial Statements cov</w:t>
      </w:r>
      <w:r>
        <w:rPr>
          <w:lang w:val="en-GB" w:eastAsia="en-GB"/>
        </w:rPr>
        <w:t>er the year ended 31</w:t>
      </w:r>
      <w:r w:rsidRPr="002C5C88">
        <w:rPr>
          <w:vertAlign w:val="superscript"/>
          <w:lang w:val="en-GB" w:eastAsia="en-GB"/>
        </w:rPr>
        <w:t>st</w:t>
      </w:r>
      <w:r>
        <w:rPr>
          <w:lang w:val="en-GB" w:eastAsia="en-GB"/>
        </w:rPr>
        <w:t xml:space="preserve"> December</w:t>
      </w:r>
      <w:r w:rsidRPr="003C04D3">
        <w:rPr>
          <w:lang w:val="en-GB" w:eastAsia="en-GB"/>
        </w:rPr>
        <w:t xml:space="preserve"> 201</w:t>
      </w:r>
      <w:r>
        <w:rPr>
          <w:lang w:val="en-GB" w:eastAsia="en-GB"/>
        </w:rPr>
        <w:t>1</w:t>
      </w:r>
      <w:bookmarkEnd w:id="243"/>
    </w:p>
    <w:p w14:paraId="2EB79964" w14:textId="77777777" w:rsidR="000230E8" w:rsidRPr="003C04D3" w:rsidRDefault="000230E8" w:rsidP="000230E8">
      <w:pPr>
        <w:pStyle w:val="Heading2"/>
        <w:rPr>
          <w:lang w:val="en-GB" w:eastAsia="en-GB"/>
        </w:rPr>
      </w:pPr>
      <w:bookmarkStart w:id="244" w:name="_Toc335836395"/>
      <w:r w:rsidRPr="003C04D3">
        <w:rPr>
          <w:lang w:val="en-GB" w:eastAsia="en-GB"/>
        </w:rPr>
        <w:t>2. I</w:t>
      </w:r>
      <w:r>
        <w:rPr>
          <w:lang w:val="en-GB" w:eastAsia="en-GB"/>
        </w:rPr>
        <w:t>ncome</w:t>
      </w:r>
      <w:bookmarkEnd w:id="244"/>
    </w:p>
    <w:tbl>
      <w:tblPr>
        <w:tblW w:w="86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5894"/>
        <w:gridCol w:w="1486"/>
        <w:gridCol w:w="1260"/>
      </w:tblGrid>
      <w:tr w:rsidR="000230E8" w:rsidRPr="003C04D3" w14:paraId="11A808A4" w14:textId="77777777" w:rsidTr="007418DE">
        <w:tblPrEx>
          <w:tblCellMar>
            <w:top w:w="0" w:type="dxa"/>
            <w:bottom w:w="0" w:type="dxa"/>
          </w:tblCellMar>
        </w:tblPrEx>
        <w:trPr>
          <w:tblHeader/>
        </w:trPr>
        <w:tc>
          <w:tcPr>
            <w:tcW w:w="5894" w:type="dxa"/>
            <w:shd w:val="clear" w:color="auto" w:fill="auto"/>
            <w:vAlign w:val="bottom"/>
          </w:tcPr>
          <w:p w14:paraId="54845E47" w14:textId="77777777" w:rsidR="000230E8" w:rsidRPr="003C04D3" w:rsidRDefault="000230E8" w:rsidP="000230E8">
            <w:pPr>
              <w:pStyle w:val="TableRowHead"/>
              <w:rPr>
                <w:rFonts w:ascii="Gill Sans" w:hAnsi="Gill Sans"/>
                <w:sz w:val="24"/>
                <w:lang w:val="en-GB" w:eastAsia="en-GB"/>
              </w:rPr>
            </w:pPr>
          </w:p>
        </w:tc>
        <w:tc>
          <w:tcPr>
            <w:tcW w:w="1486" w:type="dxa"/>
            <w:shd w:val="clear" w:color="auto" w:fill="auto"/>
            <w:vAlign w:val="bottom"/>
          </w:tcPr>
          <w:p w14:paraId="7521B889" w14:textId="77777777" w:rsidR="000230E8" w:rsidRPr="003C04D3" w:rsidRDefault="000230E8" w:rsidP="000230E8">
            <w:pPr>
              <w:pStyle w:val="TableHead"/>
              <w:jc w:val="right"/>
              <w:rPr>
                <w:lang w:val="en-GB" w:eastAsia="en-GB"/>
              </w:rPr>
            </w:pPr>
            <w:r w:rsidRPr="003C04D3">
              <w:rPr>
                <w:lang w:val="en-GB" w:eastAsia="en-GB"/>
              </w:rPr>
              <w:t>2011</w:t>
            </w:r>
          </w:p>
        </w:tc>
        <w:tc>
          <w:tcPr>
            <w:tcW w:w="1260" w:type="dxa"/>
            <w:shd w:val="clear" w:color="auto" w:fill="auto"/>
            <w:vAlign w:val="bottom"/>
          </w:tcPr>
          <w:p w14:paraId="29B14B71" w14:textId="77777777" w:rsidR="000230E8" w:rsidRPr="003C04D3" w:rsidRDefault="000230E8" w:rsidP="000230E8">
            <w:pPr>
              <w:pStyle w:val="TableHead"/>
              <w:jc w:val="right"/>
              <w:rPr>
                <w:lang w:val="en-GB" w:eastAsia="en-GB"/>
              </w:rPr>
            </w:pPr>
            <w:r w:rsidRPr="003C04D3">
              <w:rPr>
                <w:lang w:val="en-GB" w:eastAsia="en-GB"/>
              </w:rPr>
              <w:t>2010</w:t>
            </w:r>
          </w:p>
        </w:tc>
      </w:tr>
      <w:tr w:rsidR="000230E8" w:rsidRPr="003C04D3" w14:paraId="367AC566" w14:textId="77777777" w:rsidTr="007418DE">
        <w:tblPrEx>
          <w:tblCellMar>
            <w:top w:w="0" w:type="dxa"/>
            <w:bottom w:w="0" w:type="dxa"/>
          </w:tblCellMar>
        </w:tblPrEx>
        <w:tc>
          <w:tcPr>
            <w:tcW w:w="5894" w:type="dxa"/>
            <w:shd w:val="clear" w:color="auto" w:fill="auto"/>
            <w:vAlign w:val="bottom"/>
          </w:tcPr>
          <w:p w14:paraId="76604634" w14:textId="77777777" w:rsidR="000230E8" w:rsidRPr="003C04D3" w:rsidRDefault="000230E8" w:rsidP="000230E8">
            <w:pPr>
              <w:pStyle w:val="TableRowHead"/>
              <w:rPr>
                <w:rFonts w:ascii="Gill Sans" w:hAnsi="Gill Sans"/>
                <w:bCs/>
                <w:sz w:val="24"/>
                <w:lang w:val="en-GB" w:eastAsia="en-GB"/>
              </w:rPr>
            </w:pPr>
          </w:p>
        </w:tc>
        <w:tc>
          <w:tcPr>
            <w:tcW w:w="1486" w:type="dxa"/>
            <w:shd w:val="clear" w:color="auto" w:fill="auto"/>
            <w:vAlign w:val="bottom"/>
          </w:tcPr>
          <w:p w14:paraId="667235CB" w14:textId="77777777" w:rsidR="000230E8" w:rsidRPr="003C04D3" w:rsidRDefault="000230E8" w:rsidP="000230E8">
            <w:pPr>
              <w:spacing w:after="0"/>
              <w:jc w:val="right"/>
              <w:rPr>
                <w:rFonts w:cs="Arial"/>
                <w:sz w:val="24"/>
                <w:lang w:val="en-GB" w:eastAsia="en-GB"/>
              </w:rPr>
            </w:pPr>
            <w:r w:rsidRPr="003C04D3">
              <w:rPr>
                <w:rFonts w:ascii="Arial" w:hAnsi="Arial" w:cs="Arial"/>
                <w:sz w:val="24"/>
                <w:lang w:val="en-GB" w:eastAsia="en-GB"/>
              </w:rPr>
              <w:t>€</w:t>
            </w:r>
          </w:p>
        </w:tc>
        <w:tc>
          <w:tcPr>
            <w:tcW w:w="1260" w:type="dxa"/>
            <w:shd w:val="clear" w:color="auto" w:fill="auto"/>
            <w:vAlign w:val="bottom"/>
          </w:tcPr>
          <w:p w14:paraId="4686A528" w14:textId="77777777" w:rsidR="000230E8" w:rsidRPr="003C04D3" w:rsidRDefault="000230E8" w:rsidP="000230E8">
            <w:pPr>
              <w:spacing w:after="0"/>
              <w:jc w:val="right"/>
              <w:rPr>
                <w:rFonts w:cs="Arial"/>
                <w:sz w:val="24"/>
                <w:lang w:val="en-GB" w:eastAsia="en-GB"/>
              </w:rPr>
            </w:pPr>
            <w:r w:rsidRPr="003C04D3">
              <w:rPr>
                <w:rFonts w:ascii="Arial" w:hAnsi="Arial" w:cs="Arial"/>
                <w:sz w:val="24"/>
                <w:lang w:val="en-GB" w:eastAsia="en-GB"/>
              </w:rPr>
              <w:t>€</w:t>
            </w:r>
          </w:p>
        </w:tc>
      </w:tr>
      <w:tr w:rsidR="000230E8" w:rsidRPr="003C04D3" w14:paraId="0734DF43" w14:textId="77777777" w:rsidTr="007418DE">
        <w:tblPrEx>
          <w:tblCellMar>
            <w:top w:w="0" w:type="dxa"/>
            <w:bottom w:w="0" w:type="dxa"/>
          </w:tblCellMar>
        </w:tblPrEx>
        <w:tc>
          <w:tcPr>
            <w:tcW w:w="8640" w:type="dxa"/>
            <w:gridSpan w:val="3"/>
            <w:shd w:val="clear" w:color="auto" w:fill="auto"/>
            <w:vAlign w:val="bottom"/>
          </w:tcPr>
          <w:p w14:paraId="1EF3BA0A" w14:textId="77777777" w:rsidR="000230E8" w:rsidRPr="003C04D3" w:rsidRDefault="000230E8" w:rsidP="000230E8">
            <w:pPr>
              <w:spacing w:after="0"/>
              <w:jc w:val="center"/>
              <w:rPr>
                <w:rFonts w:ascii="Arial" w:hAnsi="Arial" w:cs="Arial"/>
                <w:sz w:val="24"/>
                <w:lang w:val="en-GB" w:eastAsia="en-GB"/>
              </w:rPr>
            </w:pPr>
            <w:r w:rsidRPr="003C04D3">
              <w:rPr>
                <w:b/>
                <w:sz w:val="24"/>
                <w:lang w:val="en-GB" w:eastAsia="en-GB"/>
              </w:rPr>
              <w:t>2 (a) Grant Income</w:t>
            </w:r>
          </w:p>
        </w:tc>
      </w:tr>
      <w:tr w:rsidR="000230E8" w:rsidRPr="003C04D3" w14:paraId="187D1A57" w14:textId="77777777" w:rsidTr="007418DE">
        <w:tblPrEx>
          <w:tblCellMar>
            <w:top w:w="0" w:type="dxa"/>
            <w:bottom w:w="0" w:type="dxa"/>
          </w:tblCellMar>
        </w:tblPrEx>
        <w:tc>
          <w:tcPr>
            <w:tcW w:w="5894" w:type="dxa"/>
            <w:shd w:val="clear" w:color="auto" w:fill="auto"/>
            <w:vAlign w:val="bottom"/>
          </w:tcPr>
          <w:p w14:paraId="1265C7B6" w14:textId="77777777" w:rsidR="000230E8" w:rsidRPr="003C04D3" w:rsidRDefault="000230E8" w:rsidP="000230E8">
            <w:pPr>
              <w:pStyle w:val="TableRowHead"/>
              <w:rPr>
                <w:rFonts w:ascii="Gill Sans" w:hAnsi="Gill Sans"/>
                <w:sz w:val="24"/>
                <w:lang w:val="en-GB" w:eastAsia="en-GB"/>
              </w:rPr>
            </w:pPr>
            <w:r w:rsidRPr="003C04D3">
              <w:rPr>
                <w:rFonts w:ascii="Gill Sans" w:hAnsi="Gill Sans"/>
                <w:sz w:val="24"/>
                <w:lang w:val="en-GB" w:eastAsia="en-GB"/>
              </w:rPr>
              <w:t>Total Amount paid by Department of Justice and Equality on behalf of NDA</w:t>
            </w:r>
          </w:p>
        </w:tc>
        <w:tc>
          <w:tcPr>
            <w:tcW w:w="1486" w:type="dxa"/>
            <w:shd w:val="clear" w:color="auto" w:fill="auto"/>
            <w:vAlign w:val="bottom"/>
          </w:tcPr>
          <w:p w14:paraId="65AB57B3" w14:textId="77777777" w:rsidR="000230E8" w:rsidRPr="003C04D3" w:rsidRDefault="000230E8" w:rsidP="000230E8">
            <w:pPr>
              <w:pStyle w:val="TableCell"/>
              <w:rPr>
                <w:sz w:val="24"/>
                <w:lang w:val="en-GB" w:eastAsia="en-GB"/>
              </w:rPr>
            </w:pPr>
            <w:r w:rsidRPr="003C04D3">
              <w:rPr>
                <w:sz w:val="24"/>
                <w:lang w:val="en-GB" w:eastAsia="en-GB"/>
              </w:rPr>
              <w:t xml:space="preserve">3,334,862 </w:t>
            </w:r>
          </w:p>
        </w:tc>
        <w:tc>
          <w:tcPr>
            <w:tcW w:w="1260" w:type="dxa"/>
            <w:shd w:val="clear" w:color="auto" w:fill="auto"/>
            <w:vAlign w:val="bottom"/>
          </w:tcPr>
          <w:p w14:paraId="79504BE9" w14:textId="77777777" w:rsidR="000230E8" w:rsidRPr="003C04D3" w:rsidRDefault="000230E8" w:rsidP="000230E8">
            <w:pPr>
              <w:pStyle w:val="TableCell"/>
              <w:rPr>
                <w:sz w:val="24"/>
                <w:lang w:val="en-GB" w:eastAsia="en-GB"/>
              </w:rPr>
            </w:pPr>
            <w:r w:rsidRPr="003C04D3">
              <w:rPr>
                <w:sz w:val="24"/>
                <w:lang w:val="en-GB" w:eastAsia="en-GB"/>
              </w:rPr>
              <w:t xml:space="preserve">1,561,795 </w:t>
            </w:r>
          </w:p>
        </w:tc>
      </w:tr>
      <w:tr w:rsidR="000230E8" w:rsidRPr="003C04D3" w14:paraId="1DEBA27A" w14:textId="77777777" w:rsidTr="007418DE">
        <w:tblPrEx>
          <w:tblCellMar>
            <w:top w:w="0" w:type="dxa"/>
            <w:bottom w:w="0" w:type="dxa"/>
          </w:tblCellMar>
        </w:tblPrEx>
        <w:tc>
          <w:tcPr>
            <w:tcW w:w="5894" w:type="dxa"/>
            <w:shd w:val="clear" w:color="auto" w:fill="auto"/>
            <w:vAlign w:val="bottom"/>
          </w:tcPr>
          <w:p w14:paraId="12683647" w14:textId="77777777" w:rsidR="000230E8" w:rsidRPr="003C04D3" w:rsidRDefault="000230E8" w:rsidP="000230E8">
            <w:pPr>
              <w:pStyle w:val="TableRowHead"/>
              <w:rPr>
                <w:rFonts w:ascii="Gill Sans" w:hAnsi="Gill Sans"/>
                <w:sz w:val="24"/>
                <w:lang w:val="en-GB" w:eastAsia="en-GB"/>
              </w:rPr>
            </w:pPr>
            <w:r w:rsidRPr="003C04D3">
              <w:rPr>
                <w:rFonts w:ascii="Gill Sans" w:hAnsi="Gill Sans"/>
                <w:sz w:val="24"/>
                <w:lang w:val="en-GB" w:eastAsia="en-GB"/>
              </w:rPr>
              <w:t>Total Amount Paid by NDA to Department (A in A)</w:t>
            </w:r>
          </w:p>
        </w:tc>
        <w:tc>
          <w:tcPr>
            <w:tcW w:w="1486" w:type="dxa"/>
            <w:shd w:val="clear" w:color="auto" w:fill="auto"/>
            <w:vAlign w:val="bottom"/>
          </w:tcPr>
          <w:p w14:paraId="42F6FDE3" w14:textId="77777777" w:rsidR="000230E8" w:rsidRPr="003C04D3" w:rsidRDefault="000230E8" w:rsidP="000230E8">
            <w:pPr>
              <w:pStyle w:val="TableCell"/>
              <w:rPr>
                <w:sz w:val="24"/>
                <w:lang w:val="en-GB" w:eastAsia="en-GB"/>
              </w:rPr>
            </w:pPr>
            <w:r>
              <w:rPr>
                <w:sz w:val="24"/>
                <w:lang w:val="en-GB" w:eastAsia="en-GB"/>
              </w:rPr>
              <w:t>0</w:t>
            </w:r>
          </w:p>
        </w:tc>
        <w:tc>
          <w:tcPr>
            <w:tcW w:w="1260" w:type="dxa"/>
            <w:shd w:val="clear" w:color="auto" w:fill="auto"/>
            <w:vAlign w:val="bottom"/>
          </w:tcPr>
          <w:p w14:paraId="1876BADE" w14:textId="77777777" w:rsidR="000230E8" w:rsidRPr="003C04D3" w:rsidRDefault="000230E8" w:rsidP="000230E8">
            <w:pPr>
              <w:pStyle w:val="TableCell"/>
              <w:rPr>
                <w:sz w:val="24"/>
                <w:lang w:val="en-GB" w:eastAsia="en-GB"/>
              </w:rPr>
            </w:pPr>
            <w:r w:rsidRPr="003C04D3">
              <w:rPr>
                <w:sz w:val="24"/>
                <w:lang w:val="en-GB" w:eastAsia="en-GB"/>
              </w:rPr>
              <w:t>(36,070)</w:t>
            </w:r>
          </w:p>
        </w:tc>
      </w:tr>
      <w:tr w:rsidR="000230E8" w:rsidRPr="003C04D3" w14:paraId="106A1D7E" w14:textId="77777777" w:rsidTr="007418DE">
        <w:tblPrEx>
          <w:tblCellMar>
            <w:top w:w="0" w:type="dxa"/>
            <w:bottom w:w="0" w:type="dxa"/>
          </w:tblCellMar>
        </w:tblPrEx>
        <w:tc>
          <w:tcPr>
            <w:tcW w:w="5894" w:type="dxa"/>
            <w:shd w:val="clear" w:color="auto" w:fill="auto"/>
            <w:vAlign w:val="bottom"/>
          </w:tcPr>
          <w:p w14:paraId="73C4F543" w14:textId="77777777" w:rsidR="000230E8" w:rsidRPr="003C04D3" w:rsidRDefault="000230E8" w:rsidP="000230E8">
            <w:pPr>
              <w:pStyle w:val="TableRowHead"/>
              <w:rPr>
                <w:rFonts w:ascii="Gill Sans" w:hAnsi="Gill Sans"/>
                <w:sz w:val="24"/>
                <w:lang w:val="en-GB" w:eastAsia="en-GB"/>
              </w:rPr>
            </w:pPr>
            <w:r w:rsidRPr="003C04D3">
              <w:rPr>
                <w:rFonts w:ascii="Gill Sans" w:hAnsi="Gill Sans"/>
                <w:sz w:val="24"/>
                <w:lang w:val="en-GB" w:eastAsia="en-GB"/>
              </w:rPr>
              <w:t>Total Amount paid by Department of Community, Equality and Gaeltach</w:t>
            </w:r>
            <w:r>
              <w:rPr>
                <w:rFonts w:ascii="Gill Sans" w:hAnsi="Gill Sans"/>
                <w:sz w:val="24"/>
                <w:lang w:val="en-GB" w:eastAsia="en-GB"/>
              </w:rPr>
              <w:t>t</w:t>
            </w:r>
            <w:r w:rsidRPr="003C04D3">
              <w:rPr>
                <w:rFonts w:ascii="Gill Sans" w:hAnsi="Gill Sans"/>
                <w:sz w:val="24"/>
                <w:lang w:val="en-GB" w:eastAsia="en-GB"/>
              </w:rPr>
              <w:t xml:space="preserve"> Affairs on behalf of NDA</w:t>
            </w:r>
          </w:p>
        </w:tc>
        <w:tc>
          <w:tcPr>
            <w:tcW w:w="1486" w:type="dxa"/>
            <w:shd w:val="clear" w:color="auto" w:fill="auto"/>
            <w:vAlign w:val="bottom"/>
          </w:tcPr>
          <w:p w14:paraId="66020E76" w14:textId="77777777" w:rsidR="000230E8" w:rsidRPr="003C04D3" w:rsidRDefault="000230E8" w:rsidP="000230E8">
            <w:pPr>
              <w:pStyle w:val="TableCell"/>
              <w:rPr>
                <w:sz w:val="24"/>
                <w:lang w:val="en-GB" w:eastAsia="en-GB"/>
              </w:rPr>
            </w:pPr>
            <w:r w:rsidRPr="003C04D3">
              <w:rPr>
                <w:sz w:val="24"/>
                <w:lang w:val="en-GB" w:eastAsia="en-GB"/>
              </w:rPr>
              <w:t xml:space="preserve">835,520 </w:t>
            </w:r>
          </w:p>
        </w:tc>
        <w:tc>
          <w:tcPr>
            <w:tcW w:w="1260" w:type="dxa"/>
            <w:shd w:val="clear" w:color="auto" w:fill="auto"/>
            <w:vAlign w:val="bottom"/>
          </w:tcPr>
          <w:p w14:paraId="77F1C045" w14:textId="77777777" w:rsidR="000230E8" w:rsidRPr="003C04D3" w:rsidRDefault="000230E8" w:rsidP="000230E8">
            <w:pPr>
              <w:pStyle w:val="TableCell"/>
              <w:rPr>
                <w:sz w:val="24"/>
                <w:lang w:val="en-GB" w:eastAsia="en-GB"/>
              </w:rPr>
            </w:pPr>
            <w:r w:rsidRPr="003C04D3">
              <w:rPr>
                <w:sz w:val="24"/>
                <w:lang w:val="en-GB" w:eastAsia="en-GB"/>
              </w:rPr>
              <w:t xml:space="preserve">2,288,851 </w:t>
            </w:r>
          </w:p>
        </w:tc>
      </w:tr>
      <w:tr w:rsidR="000230E8" w:rsidRPr="003C04D3" w14:paraId="662C8510" w14:textId="77777777" w:rsidTr="007418DE">
        <w:tblPrEx>
          <w:tblCellMar>
            <w:top w:w="0" w:type="dxa"/>
            <w:bottom w:w="0" w:type="dxa"/>
          </w:tblCellMar>
        </w:tblPrEx>
        <w:tc>
          <w:tcPr>
            <w:tcW w:w="5894" w:type="dxa"/>
            <w:shd w:val="clear" w:color="auto" w:fill="auto"/>
            <w:vAlign w:val="bottom"/>
          </w:tcPr>
          <w:p w14:paraId="51FA1927" w14:textId="77777777" w:rsidR="000230E8" w:rsidRPr="003C04D3" w:rsidRDefault="000230E8" w:rsidP="000230E8">
            <w:pPr>
              <w:pStyle w:val="TableRowHead"/>
              <w:rPr>
                <w:rFonts w:ascii="Gill Sans" w:hAnsi="Gill Sans"/>
                <w:sz w:val="24"/>
                <w:lang w:val="en-GB" w:eastAsia="en-GB"/>
              </w:rPr>
            </w:pPr>
          </w:p>
        </w:tc>
        <w:tc>
          <w:tcPr>
            <w:tcW w:w="1486" w:type="dxa"/>
            <w:shd w:val="clear" w:color="auto" w:fill="auto"/>
            <w:vAlign w:val="bottom"/>
          </w:tcPr>
          <w:p w14:paraId="02A3D7B8" w14:textId="77777777" w:rsidR="000230E8" w:rsidRPr="003C04D3" w:rsidRDefault="000230E8" w:rsidP="000230E8">
            <w:pPr>
              <w:pStyle w:val="TableCell"/>
              <w:rPr>
                <w:sz w:val="24"/>
                <w:lang w:val="en-GB" w:eastAsia="en-GB"/>
              </w:rPr>
            </w:pPr>
            <w:r w:rsidRPr="003C04D3">
              <w:rPr>
                <w:sz w:val="24"/>
                <w:lang w:val="en-GB" w:eastAsia="en-GB"/>
              </w:rPr>
              <w:t>4,170,</w:t>
            </w:r>
            <w:r>
              <w:rPr>
                <w:sz w:val="24"/>
                <w:lang w:val="en-GB" w:eastAsia="en-GB"/>
              </w:rPr>
              <w:t>382</w:t>
            </w:r>
            <w:r w:rsidRPr="003C04D3">
              <w:rPr>
                <w:sz w:val="24"/>
                <w:lang w:val="en-GB" w:eastAsia="en-GB"/>
              </w:rPr>
              <w:t xml:space="preserve"> </w:t>
            </w:r>
          </w:p>
        </w:tc>
        <w:tc>
          <w:tcPr>
            <w:tcW w:w="1260" w:type="dxa"/>
            <w:shd w:val="clear" w:color="auto" w:fill="auto"/>
            <w:vAlign w:val="bottom"/>
          </w:tcPr>
          <w:p w14:paraId="62976C8F" w14:textId="77777777" w:rsidR="000230E8" w:rsidRPr="003C04D3" w:rsidRDefault="000230E8" w:rsidP="000230E8">
            <w:pPr>
              <w:pStyle w:val="TableCell"/>
              <w:rPr>
                <w:sz w:val="24"/>
                <w:lang w:val="en-GB" w:eastAsia="en-GB"/>
              </w:rPr>
            </w:pPr>
            <w:r w:rsidRPr="003C04D3">
              <w:rPr>
                <w:sz w:val="24"/>
                <w:lang w:val="en-GB" w:eastAsia="en-GB"/>
              </w:rPr>
              <w:t xml:space="preserve">3,814,576 </w:t>
            </w:r>
          </w:p>
        </w:tc>
      </w:tr>
      <w:tr w:rsidR="000230E8" w:rsidRPr="003C04D3" w14:paraId="07E9A8EB" w14:textId="77777777" w:rsidTr="007418DE">
        <w:tblPrEx>
          <w:tblCellMar>
            <w:top w:w="0" w:type="dxa"/>
            <w:bottom w:w="0" w:type="dxa"/>
          </w:tblCellMar>
        </w:tblPrEx>
        <w:tc>
          <w:tcPr>
            <w:tcW w:w="8640" w:type="dxa"/>
            <w:gridSpan w:val="3"/>
            <w:shd w:val="clear" w:color="auto" w:fill="auto"/>
            <w:vAlign w:val="bottom"/>
          </w:tcPr>
          <w:p w14:paraId="54F9A2DC" w14:textId="77777777" w:rsidR="000230E8" w:rsidRPr="003C04D3" w:rsidRDefault="000230E8" w:rsidP="000230E8">
            <w:pPr>
              <w:pStyle w:val="TableCell"/>
              <w:jc w:val="center"/>
              <w:rPr>
                <w:sz w:val="24"/>
                <w:lang w:val="en-GB" w:eastAsia="en-GB"/>
              </w:rPr>
            </w:pPr>
            <w:r w:rsidRPr="003C04D3">
              <w:rPr>
                <w:b/>
                <w:sz w:val="24"/>
                <w:lang w:val="en-GB" w:eastAsia="en-GB"/>
              </w:rPr>
              <w:t>2 (b) Other Income</w:t>
            </w:r>
          </w:p>
        </w:tc>
      </w:tr>
      <w:tr w:rsidR="000230E8" w:rsidRPr="003C04D3" w14:paraId="403505E0" w14:textId="77777777" w:rsidTr="007418DE">
        <w:tblPrEx>
          <w:tblCellMar>
            <w:top w:w="0" w:type="dxa"/>
            <w:bottom w:w="0" w:type="dxa"/>
          </w:tblCellMar>
        </w:tblPrEx>
        <w:tc>
          <w:tcPr>
            <w:tcW w:w="5894" w:type="dxa"/>
            <w:shd w:val="clear" w:color="auto" w:fill="auto"/>
            <w:vAlign w:val="bottom"/>
          </w:tcPr>
          <w:p w14:paraId="2A01EE6D" w14:textId="77777777" w:rsidR="000230E8" w:rsidRPr="003C04D3" w:rsidRDefault="000230E8" w:rsidP="000230E8">
            <w:pPr>
              <w:pStyle w:val="TableRowHead"/>
              <w:rPr>
                <w:rFonts w:ascii="Gill Sans" w:hAnsi="Gill Sans"/>
                <w:sz w:val="24"/>
                <w:lang w:val="en-GB" w:eastAsia="en-GB"/>
              </w:rPr>
            </w:pPr>
            <w:r w:rsidRPr="003C04D3">
              <w:rPr>
                <w:rFonts w:ascii="Gill Sans" w:hAnsi="Gill Sans"/>
                <w:sz w:val="24"/>
                <w:lang w:val="en-GB" w:eastAsia="en-GB"/>
              </w:rPr>
              <w:lastRenderedPageBreak/>
              <w:t>Bank Interest</w:t>
            </w:r>
          </w:p>
        </w:tc>
        <w:tc>
          <w:tcPr>
            <w:tcW w:w="1486" w:type="dxa"/>
            <w:shd w:val="clear" w:color="auto" w:fill="auto"/>
            <w:vAlign w:val="bottom"/>
          </w:tcPr>
          <w:p w14:paraId="2724A823" w14:textId="77777777" w:rsidR="000230E8" w:rsidRPr="003C04D3" w:rsidRDefault="000230E8" w:rsidP="000230E8">
            <w:pPr>
              <w:pStyle w:val="TableCell"/>
              <w:rPr>
                <w:sz w:val="24"/>
                <w:lang w:val="en-GB" w:eastAsia="en-GB"/>
              </w:rPr>
            </w:pPr>
            <w:r w:rsidRPr="003C04D3">
              <w:rPr>
                <w:sz w:val="24"/>
                <w:lang w:val="en-GB" w:eastAsia="en-GB"/>
              </w:rPr>
              <w:t xml:space="preserve">0 </w:t>
            </w:r>
          </w:p>
        </w:tc>
        <w:tc>
          <w:tcPr>
            <w:tcW w:w="1260" w:type="dxa"/>
            <w:shd w:val="clear" w:color="auto" w:fill="auto"/>
            <w:vAlign w:val="bottom"/>
          </w:tcPr>
          <w:p w14:paraId="445306B4" w14:textId="77777777" w:rsidR="000230E8" w:rsidRPr="003C04D3" w:rsidRDefault="000230E8" w:rsidP="000230E8">
            <w:pPr>
              <w:pStyle w:val="TableCell"/>
              <w:rPr>
                <w:sz w:val="24"/>
                <w:lang w:val="en-GB" w:eastAsia="en-GB"/>
              </w:rPr>
            </w:pPr>
            <w:r w:rsidRPr="003C04D3">
              <w:rPr>
                <w:sz w:val="24"/>
                <w:lang w:val="en-GB" w:eastAsia="en-GB"/>
              </w:rPr>
              <w:t xml:space="preserve">1 </w:t>
            </w:r>
          </w:p>
        </w:tc>
      </w:tr>
      <w:tr w:rsidR="000230E8" w:rsidRPr="003C04D3" w14:paraId="46ED35BE" w14:textId="77777777" w:rsidTr="007418DE">
        <w:tblPrEx>
          <w:tblCellMar>
            <w:top w:w="0" w:type="dxa"/>
            <w:bottom w:w="0" w:type="dxa"/>
          </w:tblCellMar>
        </w:tblPrEx>
        <w:tc>
          <w:tcPr>
            <w:tcW w:w="5894" w:type="dxa"/>
            <w:shd w:val="clear" w:color="auto" w:fill="auto"/>
            <w:vAlign w:val="bottom"/>
          </w:tcPr>
          <w:p w14:paraId="4D2F3E16" w14:textId="77777777" w:rsidR="000230E8" w:rsidRPr="003C04D3" w:rsidRDefault="000230E8" w:rsidP="000230E8">
            <w:pPr>
              <w:pStyle w:val="TableRowHead"/>
              <w:rPr>
                <w:rFonts w:ascii="Gill Sans" w:hAnsi="Gill Sans"/>
                <w:sz w:val="24"/>
                <w:lang w:val="en-GB" w:eastAsia="en-GB"/>
              </w:rPr>
            </w:pPr>
            <w:r w:rsidRPr="003C04D3">
              <w:rPr>
                <w:rFonts w:ascii="Gill Sans" w:hAnsi="Gill Sans"/>
                <w:sz w:val="24"/>
                <w:lang w:val="en-GB" w:eastAsia="en-GB"/>
              </w:rPr>
              <w:t>DSFA Receipts</w:t>
            </w:r>
          </w:p>
        </w:tc>
        <w:tc>
          <w:tcPr>
            <w:tcW w:w="1486" w:type="dxa"/>
            <w:shd w:val="clear" w:color="auto" w:fill="auto"/>
            <w:vAlign w:val="bottom"/>
          </w:tcPr>
          <w:p w14:paraId="286DB86C" w14:textId="77777777" w:rsidR="000230E8" w:rsidRPr="003C04D3" w:rsidRDefault="000230E8" w:rsidP="000230E8">
            <w:pPr>
              <w:pStyle w:val="TableCell"/>
              <w:rPr>
                <w:sz w:val="24"/>
                <w:lang w:val="en-GB" w:eastAsia="en-GB"/>
              </w:rPr>
            </w:pPr>
            <w:r w:rsidRPr="003C04D3">
              <w:rPr>
                <w:sz w:val="24"/>
                <w:lang w:val="en-GB" w:eastAsia="en-GB"/>
              </w:rPr>
              <w:t xml:space="preserve">18,440 </w:t>
            </w:r>
          </w:p>
        </w:tc>
        <w:tc>
          <w:tcPr>
            <w:tcW w:w="1260" w:type="dxa"/>
            <w:shd w:val="clear" w:color="auto" w:fill="auto"/>
            <w:vAlign w:val="bottom"/>
          </w:tcPr>
          <w:p w14:paraId="1448C654" w14:textId="77777777" w:rsidR="000230E8" w:rsidRPr="003C04D3" w:rsidRDefault="000230E8" w:rsidP="000230E8">
            <w:pPr>
              <w:pStyle w:val="TableCell"/>
              <w:rPr>
                <w:sz w:val="24"/>
                <w:lang w:val="en-GB" w:eastAsia="en-GB"/>
              </w:rPr>
            </w:pPr>
            <w:r w:rsidRPr="003C04D3">
              <w:rPr>
                <w:sz w:val="24"/>
                <w:lang w:val="en-GB" w:eastAsia="en-GB"/>
              </w:rPr>
              <w:t xml:space="preserve">17,470 </w:t>
            </w:r>
          </w:p>
        </w:tc>
      </w:tr>
      <w:tr w:rsidR="000230E8" w:rsidRPr="003C04D3" w14:paraId="016CFA26" w14:textId="77777777" w:rsidTr="007418DE">
        <w:tblPrEx>
          <w:tblCellMar>
            <w:top w:w="0" w:type="dxa"/>
            <w:bottom w:w="0" w:type="dxa"/>
          </w:tblCellMar>
        </w:tblPrEx>
        <w:tc>
          <w:tcPr>
            <w:tcW w:w="5894" w:type="dxa"/>
            <w:shd w:val="clear" w:color="auto" w:fill="auto"/>
            <w:vAlign w:val="bottom"/>
          </w:tcPr>
          <w:p w14:paraId="1533A0D4" w14:textId="77777777" w:rsidR="000230E8" w:rsidRPr="003C04D3" w:rsidRDefault="000230E8" w:rsidP="000230E8">
            <w:pPr>
              <w:pStyle w:val="TableRowHead"/>
              <w:rPr>
                <w:rFonts w:ascii="Gill Sans" w:hAnsi="Gill Sans"/>
                <w:sz w:val="24"/>
                <w:lang w:val="en-GB" w:eastAsia="en-GB"/>
              </w:rPr>
            </w:pPr>
            <w:r w:rsidRPr="003C04D3">
              <w:rPr>
                <w:rFonts w:ascii="Gill Sans" w:hAnsi="Gill Sans"/>
                <w:sz w:val="24"/>
                <w:lang w:val="en-GB" w:eastAsia="en-GB"/>
              </w:rPr>
              <w:t>Sundry</w:t>
            </w:r>
          </w:p>
        </w:tc>
        <w:tc>
          <w:tcPr>
            <w:tcW w:w="1486" w:type="dxa"/>
            <w:shd w:val="clear" w:color="auto" w:fill="auto"/>
            <w:vAlign w:val="bottom"/>
          </w:tcPr>
          <w:p w14:paraId="78ADA095" w14:textId="77777777" w:rsidR="000230E8" w:rsidRPr="003C04D3" w:rsidRDefault="000230E8" w:rsidP="000230E8">
            <w:pPr>
              <w:pStyle w:val="TableCell"/>
              <w:rPr>
                <w:sz w:val="24"/>
                <w:lang w:val="en-GB" w:eastAsia="en-GB"/>
              </w:rPr>
            </w:pPr>
            <w:r w:rsidRPr="003C04D3">
              <w:rPr>
                <w:sz w:val="24"/>
                <w:lang w:val="en-GB" w:eastAsia="en-GB"/>
              </w:rPr>
              <w:t xml:space="preserve">430 </w:t>
            </w:r>
          </w:p>
        </w:tc>
        <w:tc>
          <w:tcPr>
            <w:tcW w:w="1260" w:type="dxa"/>
            <w:shd w:val="clear" w:color="auto" w:fill="auto"/>
            <w:vAlign w:val="bottom"/>
          </w:tcPr>
          <w:p w14:paraId="37F65D7B" w14:textId="77777777" w:rsidR="000230E8" w:rsidRPr="003C04D3" w:rsidRDefault="000230E8" w:rsidP="000230E8">
            <w:pPr>
              <w:pStyle w:val="TableCell"/>
              <w:rPr>
                <w:sz w:val="24"/>
                <w:lang w:val="en-GB" w:eastAsia="en-GB"/>
              </w:rPr>
            </w:pPr>
            <w:r w:rsidRPr="003C04D3">
              <w:rPr>
                <w:sz w:val="24"/>
                <w:lang w:val="en-GB" w:eastAsia="en-GB"/>
              </w:rPr>
              <w:t xml:space="preserve">2,684 </w:t>
            </w:r>
          </w:p>
        </w:tc>
      </w:tr>
      <w:tr w:rsidR="000230E8" w:rsidRPr="003C04D3" w14:paraId="1DDDD82F" w14:textId="77777777" w:rsidTr="007418DE">
        <w:tblPrEx>
          <w:tblCellMar>
            <w:top w:w="0" w:type="dxa"/>
            <w:bottom w:w="0" w:type="dxa"/>
          </w:tblCellMar>
        </w:tblPrEx>
        <w:tc>
          <w:tcPr>
            <w:tcW w:w="5894" w:type="dxa"/>
            <w:shd w:val="clear" w:color="auto" w:fill="auto"/>
            <w:vAlign w:val="bottom"/>
          </w:tcPr>
          <w:p w14:paraId="4CC53BB3" w14:textId="77777777" w:rsidR="000230E8" w:rsidRPr="003C04D3" w:rsidRDefault="000230E8" w:rsidP="000230E8">
            <w:pPr>
              <w:pStyle w:val="TableRowHead"/>
              <w:rPr>
                <w:rFonts w:ascii="Gill Sans" w:hAnsi="Gill Sans"/>
                <w:sz w:val="24"/>
                <w:lang w:val="en-GB" w:eastAsia="en-GB"/>
              </w:rPr>
            </w:pPr>
          </w:p>
        </w:tc>
        <w:tc>
          <w:tcPr>
            <w:tcW w:w="1486" w:type="dxa"/>
            <w:shd w:val="clear" w:color="auto" w:fill="auto"/>
            <w:vAlign w:val="bottom"/>
          </w:tcPr>
          <w:p w14:paraId="45902F33" w14:textId="77777777" w:rsidR="000230E8" w:rsidRPr="003C04D3" w:rsidRDefault="000230E8" w:rsidP="000230E8">
            <w:pPr>
              <w:pStyle w:val="TableCell"/>
              <w:rPr>
                <w:sz w:val="24"/>
                <w:lang w:val="en-GB" w:eastAsia="en-GB"/>
              </w:rPr>
            </w:pPr>
            <w:r w:rsidRPr="003C04D3">
              <w:rPr>
                <w:sz w:val="24"/>
                <w:lang w:val="en-GB" w:eastAsia="en-GB"/>
              </w:rPr>
              <w:t>18,</w:t>
            </w:r>
            <w:r>
              <w:rPr>
                <w:sz w:val="24"/>
                <w:lang w:val="en-GB" w:eastAsia="en-GB"/>
              </w:rPr>
              <w:t>870</w:t>
            </w:r>
            <w:r w:rsidRPr="003C04D3">
              <w:rPr>
                <w:sz w:val="24"/>
                <w:lang w:val="en-GB" w:eastAsia="en-GB"/>
              </w:rPr>
              <w:t xml:space="preserve"> </w:t>
            </w:r>
          </w:p>
        </w:tc>
        <w:tc>
          <w:tcPr>
            <w:tcW w:w="1260" w:type="dxa"/>
            <w:shd w:val="clear" w:color="auto" w:fill="auto"/>
            <w:vAlign w:val="bottom"/>
          </w:tcPr>
          <w:p w14:paraId="476F8F6B" w14:textId="77777777" w:rsidR="000230E8" w:rsidRPr="003C04D3" w:rsidRDefault="000230E8" w:rsidP="000230E8">
            <w:pPr>
              <w:pStyle w:val="TableCell"/>
              <w:rPr>
                <w:sz w:val="24"/>
                <w:lang w:val="en-GB" w:eastAsia="en-GB"/>
              </w:rPr>
            </w:pPr>
            <w:r w:rsidRPr="003C04D3">
              <w:rPr>
                <w:sz w:val="24"/>
                <w:lang w:val="en-GB" w:eastAsia="en-GB"/>
              </w:rPr>
              <w:t xml:space="preserve">20,155 </w:t>
            </w:r>
          </w:p>
        </w:tc>
      </w:tr>
    </w:tbl>
    <w:p w14:paraId="62BB5485" w14:textId="77777777" w:rsidR="000230E8" w:rsidRDefault="000230E8" w:rsidP="000230E8">
      <w:pPr>
        <w:pStyle w:val="Heading2"/>
      </w:pPr>
      <w:bookmarkStart w:id="245" w:name="_Toc335836396"/>
      <w:r w:rsidRPr="00D12562">
        <w:t xml:space="preserve">3. </w:t>
      </w:r>
      <w:r>
        <w:t>Projects a</w:t>
      </w:r>
      <w:r w:rsidRPr="00D12562">
        <w:t>nd Commissioned Work</w:t>
      </w:r>
      <w:bookmarkEnd w:id="245"/>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6048"/>
        <w:gridCol w:w="1440"/>
        <w:gridCol w:w="1260"/>
      </w:tblGrid>
      <w:tr w:rsidR="000230E8" w:rsidRPr="00D12562" w14:paraId="398F1669" w14:textId="77777777" w:rsidTr="007418DE">
        <w:tblPrEx>
          <w:tblCellMar>
            <w:top w:w="0" w:type="dxa"/>
            <w:bottom w:w="0" w:type="dxa"/>
          </w:tblCellMar>
        </w:tblPrEx>
        <w:trPr>
          <w:tblHeader/>
        </w:trPr>
        <w:tc>
          <w:tcPr>
            <w:tcW w:w="6048" w:type="dxa"/>
            <w:vAlign w:val="bottom"/>
          </w:tcPr>
          <w:p w14:paraId="47A65D2A" w14:textId="77777777" w:rsidR="000230E8" w:rsidRPr="009A0453" w:rsidRDefault="000230E8" w:rsidP="000230E8">
            <w:pPr>
              <w:pStyle w:val="TableRowHead"/>
              <w:rPr>
                <w:rFonts w:ascii="Gill Sans" w:hAnsi="Gill Sans"/>
                <w:sz w:val="24"/>
                <w:lang w:val="en-GB" w:eastAsia="en-GB"/>
              </w:rPr>
            </w:pPr>
          </w:p>
        </w:tc>
        <w:tc>
          <w:tcPr>
            <w:tcW w:w="1440" w:type="dxa"/>
            <w:vAlign w:val="bottom"/>
          </w:tcPr>
          <w:p w14:paraId="5450EED8" w14:textId="77777777" w:rsidR="000230E8" w:rsidRPr="00D12562" w:rsidRDefault="000230E8" w:rsidP="000230E8">
            <w:pPr>
              <w:pStyle w:val="TableHead"/>
              <w:jc w:val="right"/>
              <w:rPr>
                <w:lang w:val="en-GB" w:eastAsia="en-GB"/>
              </w:rPr>
            </w:pPr>
            <w:r w:rsidRPr="00D12562">
              <w:rPr>
                <w:lang w:val="en-GB" w:eastAsia="en-GB"/>
              </w:rPr>
              <w:t>2011</w:t>
            </w:r>
          </w:p>
        </w:tc>
        <w:tc>
          <w:tcPr>
            <w:tcW w:w="1260" w:type="dxa"/>
            <w:vAlign w:val="bottom"/>
          </w:tcPr>
          <w:p w14:paraId="3FE7C576" w14:textId="77777777" w:rsidR="000230E8" w:rsidRPr="00D12562" w:rsidRDefault="000230E8" w:rsidP="000230E8">
            <w:pPr>
              <w:pStyle w:val="TableHead"/>
              <w:jc w:val="right"/>
              <w:rPr>
                <w:lang w:val="en-GB" w:eastAsia="en-GB"/>
              </w:rPr>
            </w:pPr>
            <w:r w:rsidRPr="00D12562">
              <w:rPr>
                <w:lang w:val="en-GB" w:eastAsia="en-GB"/>
              </w:rPr>
              <w:t>2010</w:t>
            </w:r>
          </w:p>
        </w:tc>
      </w:tr>
      <w:tr w:rsidR="000230E8" w:rsidRPr="00D12562" w14:paraId="16FB1A3C" w14:textId="77777777" w:rsidTr="007418DE">
        <w:tblPrEx>
          <w:tblCellMar>
            <w:top w:w="0" w:type="dxa"/>
            <w:bottom w:w="0" w:type="dxa"/>
          </w:tblCellMar>
        </w:tblPrEx>
        <w:tc>
          <w:tcPr>
            <w:tcW w:w="6048" w:type="dxa"/>
            <w:vAlign w:val="bottom"/>
          </w:tcPr>
          <w:p w14:paraId="415B8C1E" w14:textId="77777777" w:rsidR="000230E8" w:rsidRPr="009A0453" w:rsidRDefault="000230E8" w:rsidP="000230E8">
            <w:pPr>
              <w:pStyle w:val="TableRowHead"/>
              <w:rPr>
                <w:rFonts w:ascii="Gill Sans" w:hAnsi="Gill Sans"/>
                <w:sz w:val="24"/>
                <w:lang w:val="en-GB" w:eastAsia="en-GB"/>
              </w:rPr>
            </w:pPr>
          </w:p>
        </w:tc>
        <w:tc>
          <w:tcPr>
            <w:tcW w:w="1440" w:type="dxa"/>
            <w:vAlign w:val="bottom"/>
          </w:tcPr>
          <w:p w14:paraId="701B29CC" w14:textId="77777777" w:rsidR="000230E8" w:rsidRPr="00D12562" w:rsidRDefault="000230E8" w:rsidP="000230E8">
            <w:pPr>
              <w:pStyle w:val="TableCell"/>
              <w:rPr>
                <w:sz w:val="24"/>
                <w:lang w:val="en-GB" w:eastAsia="en-GB"/>
              </w:rPr>
            </w:pPr>
            <w:r w:rsidRPr="00D12562">
              <w:rPr>
                <w:rFonts w:ascii="Arial" w:hAnsi="Arial" w:cs="Arial"/>
                <w:sz w:val="24"/>
                <w:lang w:val="en-GB" w:eastAsia="en-GB"/>
              </w:rPr>
              <w:t>€</w:t>
            </w:r>
          </w:p>
        </w:tc>
        <w:tc>
          <w:tcPr>
            <w:tcW w:w="1260" w:type="dxa"/>
            <w:vAlign w:val="bottom"/>
          </w:tcPr>
          <w:p w14:paraId="5D1F5B36" w14:textId="77777777" w:rsidR="000230E8" w:rsidRPr="00D12562" w:rsidRDefault="000230E8" w:rsidP="000230E8">
            <w:pPr>
              <w:pStyle w:val="TableCell"/>
              <w:rPr>
                <w:sz w:val="24"/>
                <w:lang w:val="en-GB" w:eastAsia="en-GB"/>
              </w:rPr>
            </w:pPr>
            <w:r w:rsidRPr="00D12562">
              <w:rPr>
                <w:rFonts w:ascii="Arial" w:hAnsi="Arial" w:cs="Arial"/>
                <w:sz w:val="24"/>
                <w:lang w:val="en-GB" w:eastAsia="en-GB"/>
              </w:rPr>
              <w:t>€</w:t>
            </w:r>
          </w:p>
        </w:tc>
      </w:tr>
      <w:tr w:rsidR="000230E8" w:rsidRPr="00D12562" w14:paraId="09B02828" w14:textId="77777777" w:rsidTr="007418DE">
        <w:tblPrEx>
          <w:tblCellMar>
            <w:top w:w="0" w:type="dxa"/>
            <w:bottom w:w="0" w:type="dxa"/>
          </w:tblCellMar>
        </w:tblPrEx>
        <w:tc>
          <w:tcPr>
            <w:tcW w:w="6048" w:type="dxa"/>
            <w:vAlign w:val="bottom"/>
          </w:tcPr>
          <w:p w14:paraId="3A2A2DB0"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Natural Community Supports </w:t>
            </w:r>
          </w:p>
        </w:tc>
        <w:tc>
          <w:tcPr>
            <w:tcW w:w="1440" w:type="dxa"/>
            <w:vAlign w:val="bottom"/>
          </w:tcPr>
          <w:p w14:paraId="7F27941F" w14:textId="77777777" w:rsidR="000230E8" w:rsidRPr="00D12562" w:rsidRDefault="000230E8" w:rsidP="000230E8">
            <w:pPr>
              <w:pStyle w:val="TableCell"/>
              <w:rPr>
                <w:sz w:val="24"/>
                <w:lang w:val="en-GB" w:eastAsia="en-GB"/>
              </w:rPr>
            </w:pPr>
            <w:r w:rsidRPr="00D12562">
              <w:rPr>
                <w:sz w:val="24"/>
                <w:lang w:val="en-GB" w:eastAsia="en-GB"/>
              </w:rPr>
              <w:t xml:space="preserve">101,695 </w:t>
            </w:r>
          </w:p>
        </w:tc>
        <w:tc>
          <w:tcPr>
            <w:tcW w:w="1260" w:type="dxa"/>
            <w:vAlign w:val="bottom"/>
          </w:tcPr>
          <w:p w14:paraId="2C6A6BA3"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3ACA9076" w14:textId="77777777" w:rsidTr="007418DE">
        <w:tblPrEx>
          <w:tblCellMar>
            <w:top w:w="0" w:type="dxa"/>
            <w:bottom w:w="0" w:type="dxa"/>
          </w:tblCellMar>
        </w:tblPrEx>
        <w:tc>
          <w:tcPr>
            <w:tcW w:w="6048" w:type="dxa"/>
            <w:vAlign w:val="bottom"/>
          </w:tcPr>
          <w:p w14:paraId="46013523"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State of Evidence Paper</w:t>
            </w:r>
          </w:p>
        </w:tc>
        <w:tc>
          <w:tcPr>
            <w:tcW w:w="1440" w:type="dxa"/>
            <w:vAlign w:val="bottom"/>
          </w:tcPr>
          <w:p w14:paraId="376058CE" w14:textId="77777777" w:rsidR="000230E8" w:rsidRPr="00D12562" w:rsidRDefault="000230E8" w:rsidP="000230E8">
            <w:pPr>
              <w:pStyle w:val="TableCell"/>
              <w:rPr>
                <w:sz w:val="24"/>
                <w:lang w:val="en-GB" w:eastAsia="en-GB"/>
              </w:rPr>
            </w:pPr>
            <w:r w:rsidRPr="00D12562">
              <w:rPr>
                <w:sz w:val="24"/>
                <w:lang w:val="en-GB" w:eastAsia="en-GB"/>
              </w:rPr>
              <w:t xml:space="preserve">81,761 </w:t>
            </w:r>
          </w:p>
        </w:tc>
        <w:tc>
          <w:tcPr>
            <w:tcW w:w="1260" w:type="dxa"/>
            <w:vAlign w:val="bottom"/>
          </w:tcPr>
          <w:p w14:paraId="063BAF8E"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3CF5A592" w14:textId="77777777" w:rsidTr="007418DE">
        <w:tblPrEx>
          <w:tblCellMar>
            <w:top w:w="0" w:type="dxa"/>
            <w:bottom w:w="0" w:type="dxa"/>
          </w:tblCellMar>
        </w:tblPrEx>
        <w:tc>
          <w:tcPr>
            <w:tcW w:w="6048" w:type="dxa"/>
            <w:vAlign w:val="bottom"/>
          </w:tcPr>
          <w:p w14:paraId="0814C95A"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Research Promotion Scheme </w:t>
            </w:r>
          </w:p>
        </w:tc>
        <w:tc>
          <w:tcPr>
            <w:tcW w:w="1440" w:type="dxa"/>
            <w:vAlign w:val="bottom"/>
          </w:tcPr>
          <w:p w14:paraId="207D23F1" w14:textId="77777777" w:rsidR="000230E8" w:rsidRPr="00D12562" w:rsidRDefault="000230E8" w:rsidP="000230E8">
            <w:pPr>
              <w:pStyle w:val="TableCell"/>
              <w:rPr>
                <w:sz w:val="24"/>
                <w:lang w:val="en-GB" w:eastAsia="en-GB"/>
              </w:rPr>
            </w:pPr>
            <w:r w:rsidRPr="00D12562">
              <w:rPr>
                <w:sz w:val="24"/>
                <w:lang w:val="en-GB" w:eastAsia="en-GB"/>
              </w:rPr>
              <w:t xml:space="preserve">79,732 </w:t>
            </w:r>
          </w:p>
        </w:tc>
        <w:tc>
          <w:tcPr>
            <w:tcW w:w="1260" w:type="dxa"/>
            <w:vAlign w:val="bottom"/>
          </w:tcPr>
          <w:p w14:paraId="7BD88866" w14:textId="77777777" w:rsidR="000230E8" w:rsidRPr="00D12562" w:rsidRDefault="000230E8" w:rsidP="000230E8">
            <w:pPr>
              <w:pStyle w:val="TableCell"/>
              <w:rPr>
                <w:sz w:val="24"/>
                <w:lang w:val="en-GB" w:eastAsia="en-GB"/>
              </w:rPr>
            </w:pPr>
            <w:r w:rsidRPr="00D12562">
              <w:rPr>
                <w:sz w:val="24"/>
                <w:lang w:val="en-GB" w:eastAsia="en-GB"/>
              </w:rPr>
              <w:t xml:space="preserve">8,318 </w:t>
            </w:r>
          </w:p>
        </w:tc>
      </w:tr>
      <w:tr w:rsidR="000230E8" w:rsidRPr="00D12562" w14:paraId="31C4A64C" w14:textId="77777777" w:rsidTr="007418DE">
        <w:tblPrEx>
          <w:tblCellMar>
            <w:top w:w="0" w:type="dxa"/>
            <w:bottom w:w="0" w:type="dxa"/>
          </w:tblCellMar>
        </w:tblPrEx>
        <w:tc>
          <w:tcPr>
            <w:tcW w:w="6048" w:type="dxa"/>
            <w:vAlign w:val="bottom"/>
          </w:tcPr>
          <w:p w14:paraId="36DD96E6"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Building For Everyone</w:t>
            </w:r>
          </w:p>
        </w:tc>
        <w:tc>
          <w:tcPr>
            <w:tcW w:w="1440" w:type="dxa"/>
            <w:vAlign w:val="bottom"/>
          </w:tcPr>
          <w:p w14:paraId="6DF2CC9E" w14:textId="77777777" w:rsidR="000230E8" w:rsidRPr="00D12562" w:rsidRDefault="000230E8" w:rsidP="000230E8">
            <w:pPr>
              <w:pStyle w:val="TableCell"/>
              <w:rPr>
                <w:sz w:val="24"/>
                <w:lang w:val="en-GB" w:eastAsia="en-GB"/>
              </w:rPr>
            </w:pPr>
            <w:r w:rsidRPr="00D12562">
              <w:rPr>
                <w:sz w:val="24"/>
                <w:lang w:val="en-GB" w:eastAsia="en-GB"/>
              </w:rPr>
              <w:t xml:space="preserve">84,027 </w:t>
            </w:r>
          </w:p>
        </w:tc>
        <w:tc>
          <w:tcPr>
            <w:tcW w:w="1260" w:type="dxa"/>
            <w:vAlign w:val="bottom"/>
          </w:tcPr>
          <w:p w14:paraId="16A0CC27" w14:textId="77777777" w:rsidR="000230E8" w:rsidRPr="00D12562" w:rsidRDefault="000230E8" w:rsidP="000230E8">
            <w:pPr>
              <w:pStyle w:val="TableCell"/>
              <w:rPr>
                <w:sz w:val="24"/>
                <w:lang w:val="en-GB" w:eastAsia="en-GB"/>
              </w:rPr>
            </w:pPr>
            <w:r w:rsidRPr="00D12562">
              <w:rPr>
                <w:sz w:val="24"/>
                <w:lang w:val="en-GB" w:eastAsia="en-GB"/>
              </w:rPr>
              <w:t xml:space="preserve">19,887 </w:t>
            </w:r>
          </w:p>
        </w:tc>
      </w:tr>
      <w:tr w:rsidR="000230E8" w:rsidRPr="00D12562" w14:paraId="29256AC4" w14:textId="77777777" w:rsidTr="007418DE">
        <w:tblPrEx>
          <w:tblCellMar>
            <w:top w:w="0" w:type="dxa"/>
            <w:bottom w:w="0" w:type="dxa"/>
          </w:tblCellMar>
        </w:tblPrEx>
        <w:tc>
          <w:tcPr>
            <w:tcW w:w="6048" w:type="dxa"/>
            <w:vAlign w:val="bottom"/>
          </w:tcPr>
          <w:p w14:paraId="602C78F1"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E Learning</w:t>
            </w:r>
          </w:p>
        </w:tc>
        <w:tc>
          <w:tcPr>
            <w:tcW w:w="1440" w:type="dxa"/>
            <w:vAlign w:val="bottom"/>
          </w:tcPr>
          <w:p w14:paraId="25288C65" w14:textId="77777777" w:rsidR="000230E8" w:rsidRPr="00D12562" w:rsidRDefault="000230E8" w:rsidP="000230E8">
            <w:pPr>
              <w:pStyle w:val="TableCell"/>
              <w:rPr>
                <w:sz w:val="24"/>
                <w:lang w:val="en-GB" w:eastAsia="en-GB"/>
              </w:rPr>
            </w:pPr>
            <w:r w:rsidRPr="00D12562">
              <w:rPr>
                <w:sz w:val="24"/>
                <w:lang w:val="en-GB" w:eastAsia="en-GB"/>
              </w:rPr>
              <w:t xml:space="preserve">81,663 </w:t>
            </w:r>
          </w:p>
        </w:tc>
        <w:tc>
          <w:tcPr>
            <w:tcW w:w="1260" w:type="dxa"/>
            <w:vAlign w:val="bottom"/>
          </w:tcPr>
          <w:p w14:paraId="1F9EC62D" w14:textId="77777777" w:rsidR="000230E8" w:rsidRPr="00D12562" w:rsidRDefault="000230E8" w:rsidP="000230E8">
            <w:pPr>
              <w:pStyle w:val="TableCell"/>
              <w:rPr>
                <w:sz w:val="24"/>
                <w:lang w:val="en-GB" w:eastAsia="en-GB"/>
              </w:rPr>
            </w:pPr>
            <w:r w:rsidRPr="00D12562">
              <w:rPr>
                <w:sz w:val="24"/>
                <w:lang w:val="en-GB" w:eastAsia="en-GB"/>
              </w:rPr>
              <w:t xml:space="preserve">48,402 </w:t>
            </w:r>
          </w:p>
        </w:tc>
      </w:tr>
      <w:tr w:rsidR="000230E8" w:rsidRPr="00D12562" w14:paraId="350042D5" w14:textId="77777777" w:rsidTr="007418DE">
        <w:tblPrEx>
          <w:tblCellMar>
            <w:top w:w="0" w:type="dxa"/>
            <w:bottom w:w="0" w:type="dxa"/>
          </w:tblCellMar>
        </w:tblPrEx>
        <w:tc>
          <w:tcPr>
            <w:tcW w:w="6048" w:type="dxa"/>
            <w:vAlign w:val="bottom"/>
          </w:tcPr>
          <w:p w14:paraId="1B7DA072"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New Materials - Library</w:t>
            </w:r>
          </w:p>
        </w:tc>
        <w:tc>
          <w:tcPr>
            <w:tcW w:w="1440" w:type="dxa"/>
            <w:vAlign w:val="bottom"/>
          </w:tcPr>
          <w:p w14:paraId="3D80F494" w14:textId="77777777" w:rsidR="000230E8" w:rsidRPr="00D12562" w:rsidRDefault="000230E8" w:rsidP="000230E8">
            <w:pPr>
              <w:pStyle w:val="TableCell"/>
              <w:rPr>
                <w:sz w:val="24"/>
                <w:lang w:val="en-GB" w:eastAsia="en-GB"/>
              </w:rPr>
            </w:pPr>
            <w:r w:rsidRPr="00D12562">
              <w:rPr>
                <w:sz w:val="24"/>
                <w:lang w:val="en-GB" w:eastAsia="en-GB"/>
              </w:rPr>
              <w:t xml:space="preserve">45,222 </w:t>
            </w:r>
          </w:p>
        </w:tc>
        <w:tc>
          <w:tcPr>
            <w:tcW w:w="1260" w:type="dxa"/>
            <w:vAlign w:val="bottom"/>
          </w:tcPr>
          <w:p w14:paraId="1733B054" w14:textId="77777777" w:rsidR="000230E8" w:rsidRPr="00D12562" w:rsidRDefault="000230E8" w:rsidP="000230E8">
            <w:pPr>
              <w:pStyle w:val="TableCell"/>
              <w:rPr>
                <w:sz w:val="24"/>
                <w:lang w:val="en-GB" w:eastAsia="en-GB"/>
              </w:rPr>
            </w:pPr>
            <w:r w:rsidRPr="00D12562">
              <w:rPr>
                <w:sz w:val="24"/>
                <w:lang w:val="en-GB" w:eastAsia="en-GB"/>
              </w:rPr>
              <w:t xml:space="preserve">55,821 </w:t>
            </w:r>
          </w:p>
        </w:tc>
      </w:tr>
      <w:tr w:rsidR="000230E8" w:rsidRPr="00D12562" w14:paraId="19BC1E9C" w14:textId="77777777" w:rsidTr="007418DE">
        <w:tblPrEx>
          <w:tblCellMar>
            <w:top w:w="0" w:type="dxa"/>
            <w:bottom w:w="0" w:type="dxa"/>
          </w:tblCellMar>
        </w:tblPrEx>
        <w:tc>
          <w:tcPr>
            <w:tcW w:w="6048" w:type="dxa"/>
            <w:vAlign w:val="bottom"/>
          </w:tcPr>
          <w:p w14:paraId="6610C7AF"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Irish Size Statistical research </w:t>
            </w:r>
          </w:p>
        </w:tc>
        <w:tc>
          <w:tcPr>
            <w:tcW w:w="1440" w:type="dxa"/>
            <w:vAlign w:val="bottom"/>
          </w:tcPr>
          <w:p w14:paraId="2CC96A67" w14:textId="77777777" w:rsidR="000230E8" w:rsidRPr="00D12562" w:rsidRDefault="000230E8" w:rsidP="000230E8">
            <w:pPr>
              <w:pStyle w:val="TableCell"/>
              <w:rPr>
                <w:sz w:val="24"/>
                <w:lang w:val="en-GB" w:eastAsia="en-GB"/>
              </w:rPr>
            </w:pPr>
            <w:r w:rsidRPr="00D12562">
              <w:rPr>
                <w:sz w:val="24"/>
                <w:lang w:val="en-GB" w:eastAsia="en-GB"/>
              </w:rPr>
              <w:t xml:space="preserve">56,187 </w:t>
            </w:r>
          </w:p>
        </w:tc>
        <w:tc>
          <w:tcPr>
            <w:tcW w:w="1260" w:type="dxa"/>
            <w:vAlign w:val="bottom"/>
          </w:tcPr>
          <w:p w14:paraId="4603C57D"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1A3D7950" w14:textId="77777777" w:rsidTr="007418DE">
        <w:tblPrEx>
          <w:tblCellMar>
            <w:top w:w="0" w:type="dxa"/>
            <w:bottom w:w="0" w:type="dxa"/>
          </w:tblCellMar>
        </w:tblPrEx>
        <w:tc>
          <w:tcPr>
            <w:tcW w:w="6048" w:type="dxa"/>
            <w:vAlign w:val="bottom"/>
          </w:tcPr>
          <w:p w14:paraId="60EF041D"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Assistive Technology </w:t>
            </w:r>
          </w:p>
        </w:tc>
        <w:tc>
          <w:tcPr>
            <w:tcW w:w="1440" w:type="dxa"/>
            <w:vAlign w:val="bottom"/>
          </w:tcPr>
          <w:p w14:paraId="4C7DA447" w14:textId="77777777" w:rsidR="000230E8" w:rsidRPr="00D12562" w:rsidRDefault="000230E8" w:rsidP="000230E8">
            <w:pPr>
              <w:pStyle w:val="TableCell"/>
              <w:rPr>
                <w:sz w:val="24"/>
                <w:lang w:val="en-GB" w:eastAsia="en-GB"/>
              </w:rPr>
            </w:pPr>
            <w:r w:rsidRPr="00D12562">
              <w:rPr>
                <w:sz w:val="24"/>
                <w:lang w:val="en-GB" w:eastAsia="en-GB"/>
              </w:rPr>
              <w:t xml:space="preserve">43,869 </w:t>
            </w:r>
          </w:p>
        </w:tc>
        <w:tc>
          <w:tcPr>
            <w:tcW w:w="1260" w:type="dxa"/>
            <w:vAlign w:val="bottom"/>
          </w:tcPr>
          <w:p w14:paraId="0B14062C"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34E1434C" w14:textId="77777777" w:rsidTr="007418DE">
        <w:tblPrEx>
          <w:tblCellMar>
            <w:top w:w="0" w:type="dxa"/>
            <w:bottom w:w="0" w:type="dxa"/>
          </w:tblCellMar>
        </w:tblPrEx>
        <w:tc>
          <w:tcPr>
            <w:tcW w:w="6048" w:type="dxa"/>
            <w:vAlign w:val="bottom"/>
          </w:tcPr>
          <w:p w14:paraId="4363B5CC"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IRCSET</w:t>
            </w:r>
          </w:p>
        </w:tc>
        <w:tc>
          <w:tcPr>
            <w:tcW w:w="1440" w:type="dxa"/>
            <w:vAlign w:val="bottom"/>
          </w:tcPr>
          <w:p w14:paraId="634234BD" w14:textId="77777777" w:rsidR="000230E8" w:rsidRPr="00D12562" w:rsidRDefault="000230E8" w:rsidP="000230E8">
            <w:pPr>
              <w:pStyle w:val="TableCell"/>
              <w:rPr>
                <w:sz w:val="24"/>
                <w:lang w:val="en-GB" w:eastAsia="en-GB"/>
              </w:rPr>
            </w:pPr>
            <w:r w:rsidRPr="00D12562">
              <w:rPr>
                <w:sz w:val="24"/>
                <w:lang w:val="en-GB" w:eastAsia="en-GB"/>
              </w:rPr>
              <w:t xml:space="preserve">39,125 </w:t>
            </w:r>
          </w:p>
        </w:tc>
        <w:tc>
          <w:tcPr>
            <w:tcW w:w="1260" w:type="dxa"/>
            <w:vAlign w:val="bottom"/>
          </w:tcPr>
          <w:p w14:paraId="7DEE2A7F"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23C83C3F" w14:textId="77777777" w:rsidTr="007418DE">
        <w:tblPrEx>
          <w:tblCellMar>
            <w:top w:w="0" w:type="dxa"/>
            <w:bottom w:w="0" w:type="dxa"/>
          </w:tblCellMar>
        </w:tblPrEx>
        <w:tc>
          <w:tcPr>
            <w:tcW w:w="6048" w:type="dxa"/>
            <w:vAlign w:val="bottom"/>
          </w:tcPr>
          <w:p w14:paraId="40DF8982"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Attitudes Survey</w:t>
            </w:r>
          </w:p>
        </w:tc>
        <w:tc>
          <w:tcPr>
            <w:tcW w:w="1440" w:type="dxa"/>
            <w:vAlign w:val="bottom"/>
          </w:tcPr>
          <w:p w14:paraId="5AAB2454" w14:textId="77777777" w:rsidR="000230E8" w:rsidRPr="00D12562" w:rsidRDefault="000230E8" w:rsidP="000230E8">
            <w:pPr>
              <w:pStyle w:val="TableCell"/>
              <w:rPr>
                <w:sz w:val="24"/>
                <w:lang w:val="en-GB" w:eastAsia="en-GB"/>
              </w:rPr>
            </w:pPr>
            <w:r w:rsidRPr="00D12562">
              <w:rPr>
                <w:sz w:val="24"/>
                <w:lang w:val="en-GB" w:eastAsia="en-GB"/>
              </w:rPr>
              <w:t xml:space="preserve">42,961 </w:t>
            </w:r>
          </w:p>
        </w:tc>
        <w:tc>
          <w:tcPr>
            <w:tcW w:w="1260" w:type="dxa"/>
            <w:vAlign w:val="bottom"/>
          </w:tcPr>
          <w:p w14:paraId="729D9E21"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073ED98D" w14:textId="77777777" w:rsidTr="007418DE">
        <w:tblPrEx>
          <w:tblCellMar>
            <w:top w:w="0" w:type="dxa"/>
            <w:bottom w:w="0" w:type="dxa"/>
          </w:tblCellMar>
        </w:tblPrEx>
        <w:tc>
          <w:tcPr>
            <w:tcW w:w="6048" w:type="dxa"/>
            <w:vAlign w:val="bottom"/>
          </w:tcPr>
          <w:p w14:paraId="53BBF1DC"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UD curriculum for students in transition year</w:t>
            </w:r>
          </w:p>
        </w:tc>
        <w:tc>
          <w:tcPr>
            <w:tcW w:w="1440" w:type="dxa"/>
            <w:vAlign w:val="bottom"/>
          </w:tcPr>
          <w:p w14:paraId="6C3A6EDE" w14:textId="77777777" w:rsidR="000230E8" w:rsidRPr="00D12562" w:rsidRDefault="000230E8" w:rsidP="000230E8">
            <w:pPr>
              <w:pStyle w:val="TableCell"/>
              <w:rPr>
                <w:sz w:val="24"/>
                <w:lang w:val="en-GB" w:eastAsia="en-GB"/>
              </w:rPr>
            </w:pPr>
            <w:r w:rsidRPr="00D12562">
              <w:rPr>
                <w:sz w:val="24"/>
                <w:lang w:val="en-GB" w:eastAsia="en-GB"/>
              </w:rPr>
              <w:t xml:space="preserve">36,755 </w:t>
            </w:r>
          </w:p>
        </w:tc>
        <w:tc>
          <w:tcPr>
            <w:tcW w:w="1260" w:type="dxa"/>
            <w:vAlign w:val="bottom"/>
          </w:tcPr>
          <w:p w14:paraId="18BC34B6" w14:textId="77777777" w:rsidR="000230E8" w:rsidRPr="00D12562" w:rsidRDefault="000230E8" w:rsidP="000230E8">
            <w:pPr>
              <w:pStyle w:val="TableCell"/>
              <w:rPr>
                <w:sz w:val="24"/>
                <w:lang w:val="en-GB" w:eastAsia="en-GB"/>
              </w:rPr>
            </w:pPr>
            <w:r w:rsidRPr="00D12562">
              <w:rPr>
                <w:sz w:val="24"/>
                <w:lang w:val="en-GB" w:eastAsia="en-GB"/>
              </w:rPr>
              <w:t xml:space="preserve">3,303 </w:t>
            </w:r>
          </w:p>
        </w:tc>
      </w:tr>
      <w:tr w:rsidR="000230E8" w:rsidRPr="00D12562" w14:paraId="2EE1F204" w14:textId="77777777" w:rsidTr="007418DE">
        <w:tblPrEx>
          <w:tblCellMar>
            <w:top w:w="0" w:type="dxa"/>
            <w:bottom w:w="0" w:type="dxa"/>
          </w:tblCellMar>
        </w:tblPrEx>
        <w:tc>
          <w:tcPr>
            <w:tcW w:w="6048" w:type="dxa"/>
            <w:vAlign w:val="bottom"/>
          </w:tcPr>
          <w:p w14:paraId="112CA8E1"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Health Services research </w:t>
            </w:r>
          </w:p>
        </w:tc>
        <w:tc>
          <w:tcPr>
            <w:tcW w:w="1440" w:type="dxa"/>
            <w:vAlign w:val="bottom"/>
          </w:tcPr>
          <w:p w14:paraId="79576B1E" w14:textId="77777777" w:rsidR="000230E8" w:rsidRPr="00D12562" w:rsidRDefault="000230E8" w:rsidP="000230E8">
            <w:pPr>
              <w:pStyle w:val="TableCell"/>
              <w:rPr>
                <w:sz w:val="24"/>
                <w:lang w:val="en-GB" w:eastAsia="en-GB"/>
              </w:rPr>
            </w:pPr>
            <w:r w:rsidRPr="00D12562">
              <w:rPr>
                <w:sz w:val="24"/>
                <w:lang w:val="en-GB" w:eastAsia="en-GB"/>
              </w:rPr>
              <w:t xml:space="preserve">31,805 </w:t>
            </w:r>
          </w:p>
        </w:tc>
        <w:tc>
          <w:tcPr>
            <w:tcW w:w="1260" w:type="dxa"/>
            <w:vAlign w:val="bottom"/>
          </w:tcPr>
          <w:p w14:paraId="29B5649F"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630D96AC" w14:textId="77777777" w:rsidTr="007418DE">
        <w:tblPrEx>
          <w:tblCellMar>
            <w:top w:w="0" w:type="dxa"/>
            <w:bottom w:w="0" w:type="dxa"/>
          </w:tblCellMar>
        </w:tblPrEx>
        <w:tc>
          <w:tcPr>
            <w:tcW w:w="6048" w:type="dxa"/>
            <w:vAlign w:val="bottom"/>
          </w:tcPr>
          <w:p w14:paraId="2D0E5D85"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Disability indicators </w:t>
            </w:r>
          </w:p>
        </w:tc>
        <w:tc>
          <w:tcPr>
            <w:tcW w:w="1440" w:type="dxa"/>
            <w:vAlign w:val="bottom"/>
          </w:tcPr>
          <w:p w14:paraId="1B267788" w14:textId="77777777" w:rsidR="000230E8" w:rsidRPr="00D12562" w:rsidRDefault="000230E8" w:rsidP="000230E8">
            <w:pPr>
              <w:pStyle w:val="TableCell"/>
              <w:rPr>
                <w:sz w:val="24"/>
                <w:lang w:val="en-GB" w:eastAsia="en-GB"/>
              </w:rPr>
            </w:pPr>
            <w:r w:rsidRPr="00D12562">
              <w:rPr>
                <w:sz w:val="24"/>
                <w:lang w:val="en-GB" w:eastAsia="en-GB"/>
              </w:rPr>
              <w:t xml:space="preserve">24,853 </w:t>
            </w:r>
          </w:p>
        </w:tc>
        <w:tc>
          <w:tcPr>
            <w:tcW w:w="1260" w:type="dxa"/>
            <w:vAlign w:val="bottom"/>
          </w:tcPr>
          <w:p w14:paraId="2DC4696F"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04970055" w14:textId="77777777" w:rsidTr="007418DE">
        <w:tblPrEx>
          <w:tblCellMar>
            <w:top w:w="0" w:type="dxa"/>
            <w:bottom w:w="0" w:type="dxa"/>
          </w:tblCellMar>
        </w:tblPrEx>
        <w:tc>
          <w:tcPr>
            <w:tcW w:w="6048" w:type="dxa"/>
            <w:vAlign w:val="bottom"/>
          </w:tcPr>
          <w:p w14:paraId="1B5A2C0A"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Development of UD curriculum modules in 3 areas</w:t>
            </w:r>
          </w:p>
        </w:tc>
        <w:tc>
          <w:tcPr>
            <w:tcW w:w="1440" w:type="dxa"/>
            <w:vAlign w:val="bottom"/>
          </w:tcPr>
          <w:p w14:paraId="6D583028" w14:textId="77777777" w:rsidR="000230E8" w:rsidRPr="00D12562" w:rsidRDefault="000230E8" w:rsidP="000230E8">
            <w:pPr>
              <w:pStyle w:val="TableCell"/>
              <w:rPr>
                <w:sz w:val="24"/>
                <w:lang w:val="en-GB" w:eastAsia="en-GB"/>
              </w:rPr>
            </w:pPr>
            <w:r w:rsidRPr="00D12562">
              <w:rPr>
                <w:sz w:val="24"/>
                <w:lang w:val="en-GB" w:eastAsia="en-GB"/>
              </w:rPr>
              <w:t xml:space="preserve">24,704 </w:t>
            </w:r>
          </w:p>
        </w:tc>
        <w:tc>
          <w:tcPr>
            <w:tcW w:w="1260" w:type="dxa"/>
            <w:vAlign w:val="bottom"/>
          </w:tcPr>
          <w:p w14:paraId="6B3C5508"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07B13459" w14:textId="77777777" w:rsidTr="007418DE">
        <w:tblPrEx>
          <w:tblCellMar>
            <w:top w:w="0" w:type="dxa"/>
            <w:bottom w:w="0" w:type="dxa"/>
          </w:tblCellMar>
        </w:tblPrEx>
        <w:tc>
          <w:tcPr>
            <w:tcW w:w="6048" w:type="dxa"/>
            <w:vAlign w:val="bottom"/>
          </w:tcPr>
          <w:p w14:paraId="2FF46A10"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Web Accessibility</w:t>
            </w:r>
          </w:p>
        </w:tc>
        <w:tc>
          <w:tcPr>
            <w:tcW w:w="1440" w:type="dxa"/>
            <w:vAlign w:val="bottom"/>
          </w:tcPr>
          <w:p w14:paraId="4E95AF98" w14:textId="77777777" w:rsidR="000230E8" w:rsidRPr="00D12562" w:rsidRDefault="000230E8" w:rsidP="000230E8">
            <w:pPr>
              <w:pStyle w:val="TableCell"/>
              <w:rPr>
                <w:sz w:val="24"/>
                <w:lang w:val="en-GB" w:eastAsia="en-GB"/>
              </w:rPr>
            </w:pPr>
            <w:r w:rsidRPr="00D12562">
              <w:rPr>
                <w:sz w:val="24"/>
                <w:lang w:val="en-GB" w:eastAsia="en-GB"/>
              </w:rPr>
              <w:t xml:space="preserve">24,502 </w:t>
            </w:r>
          </w:p>
        </w:tc>
        <w:tc>
          <w:tcPr>
            <w:tcW w:w="1260" w:type="dxa"/>
            <w:vAlign w:val="bottom"/>
          </w:tcPr>
          <w:p w14:paraId="5F7E3481"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5704BC67" w14:textId="77777777" w:rsidTr="007418DE">
        <w:tblPrEx>
          <w:tblCellMar>
            <w:top w:w="0" w:type="dxa"/>
            <w:bottom w:w="0" w:type="dxa"/>
          </w:tblCellMar>
        </w:tblPrEx>
        <w:tc>
          <w:tcPr>
            <w:tcW w:w="6048" w:type="dxa"/>
            <w:vAlign w:val="bottom"/>
          </w:tcPr>
          <w:p w14:paraId="3431FAFF"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Annual Research Conference</w:t>
            </w:r>
          </w:p>
        </w:tc>
        <w:tc>
          <w:tcPr>
            <w:tcW w:w="1440" w:type="dxa"/>
            <w:vAlign w:val="bottom"/>
          </w:tcPr>
          <w:p w14:paraId="7C76D91B" w14:textId="77777777" w:rsidR="000230E8" w:rsidRPr="00D12562" w:rsidRDefault="000230E8" w:rsidP="000230E8">
            <w:pPr>
              <w:pStyle w:val="TableCell"/>
              <w:rPr>
                <w:sz w:val="24"/>
                <w:lang w:val="en-GB" w:eastAsia="en-GB"/>
              </w:rPr>
            </w:pPr>
            <w:r w:rsidRPr="00D12562">
              <w:rPr>
                <w:sz w:val="24"/>
                <w:lang w:val="en-GB" w:eastAsia="en-GB"/>
              </w:rPr>
              <w:t xml:space="preserve">24,185 </w:t>
            </w:r>
          </w:p>
        </w:tc>
        <w:tc>
          <w:tcPr>
            <w:tcW w:w="1260" w:type="dxa"/>
            <w:vAlign w:val="bottom"/>
          </w:tcPr>
          <w:p w14:paraId="7673E428" w14:textId="77777777" w:rsidR="000230E8" w:rsidRPr="00D12562" w:rsidRDefault="000230E8" w:rsidP="000230E8">
            <w:pPr>
              <w:pStyle w:val="TableCell"/>
              <w:rPr>
                <w:sz w:val="24"/>
                <w:lang w:val="en-GB" w:eastAsia="en-GB"/>
              </w:rPr>
            </w:pPr>
            <w:r w:rsidRPr="00D12562">
              <w:rPr>
                <w:sz w:val="24"/>
                <w:lang w:val="en-GB" w:eastAsia="en-GB"/>
              </w:rPr>
              <w:t xml:space="preserve">19,402 </w:t>
            </w:r>
          </w:p>
        </w:tc>
      </w:tr>
      <w:tr w:rsidR="000230E8" w:rsidRPr="00D12562" w14:paraId="3D9F9A6D" w14:textId="77777777" w:rsidTr="007418DE">
        <w:tblPrEx>
          <w:tblCellMar>
            <w:top w:w="0" w:type="dxa"/>
            <w:bottom w:w="0" w:type="dxa"/>
          </w:tblCellMar>
        </w:tblPrEx>
        <w:tc>
          <w:tcPr>
            <w:tcW w:w="6048" w:type="dxa"/>
            <w:vAlign w:val="bottom"/>
          </w:tcPr>
          <w:p w14:paraId="6BBCAE95"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Digital Terrestrial TV</w:t>
            </w:r>
          </w:p>
        </w:tc>
        <w:tc>
          <w:tcPr>
            <w:tcW w:w="1440" w:type="dxa"/>
            <w:vAlign w:val="bottom"/>
          </w:tcPr>
          <w:p w14:paraId="40826AF0" w14:textId="77777777" w:rsidR="000230E8" w:rsidRPr="00D12562" w:rsidRDefault="000230E8" w:rsidP="000230E8">
            <w:pPr>
              <w:pStyle w:val="TableCell"/>
              <w:rPr>
                <w:sz w:val="24"/>
                <w:lang w:val="en-GB" w:eastAsia="en-GB"/>
              </w:rPr>
            </w:pPr>
            <w:r w:rsidRPr="00D12562">
              <w:rPr>
                <w:sz w:val="24"/>
                <w:lang w:val="en-GB" w:eastAsia="en-GB"/>
              </w:rPr>
              <w:t xml:space="preserve">20,500 </w:t>
            </w:r>
          </w:p>
        </w:tc>
        <w:tc>
          <w:tcPr>
            <w:tcW w:w="1260" w:type="dxa"/>
            <w:vAlign w:val="bottom"/>
          </w:tcPr>
          <w:p w14:paraId="664D46BC" w14:textId="77777777" w:rsidR="000230E8" w:rsidRPr="00D12562" w:rsidRDefault="000230E8" w:rsidP="000230E8">
            <w:pPr>
              <w:pStyle w:val="TableCell"/>
              <w:rPr>
                <w:sz w:val="24"/>
                <w:lang w:val="en-GB" w:eastAsia="en-GB"/>
              </w:rPr>
            </w:pPr>
            <w:r w:rsidRPr="00D12562">
              <w:rPr>
                <w:sz w:val="24"/>
                <w:lang w:val="en-GB" w:eastAsia="en-GB"/>
              </w:rPr>
              <w:t xml:space="preserve">20,500 </w:t>
            </w:r>
          </w:p>
        </w:tc>
      </w:tr>
      <w:tr w:rsidR="000230E8" w:rsidRPr="00D12562" w14:paraId="302A19D5" w14:textId="77777777" w:rsidTr="007418DE">
        <w:tblPrEx>
          <w:tblCellMar>
            <w:top w:w="0" w:type="dxa"/>
            <w:bottom w:w="0" w:type="dxa"/>
          </w:tblCellMar>
        </w:tblPrEx>
        <w:tc>
          <w:tcPr>
            <w:tcW w:w="6048" w:type="dxa"/>
            <w:vAlign w:val="bottom"/>
          </w:tcPr>
          <w:p w14:paraId="2EF4124D"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24 hr Challenge</w:t>
            </w:r>
          </w:p>
        </w:tc>
        <w:tc>
          <w:tcPr>
            <w:tcW w:w="1440" w:type="dxa"/>
            <w:vAlign w:val="bottom"/>
          </w:tcPr>
          <w:p w14:paraId="646EF17B" w14:textId="77777777" w:rsidR="000230E8" w:rsidRPr="00D12562" w:rsidRDefault="000230E8" w:rsidP="000230E8">
            <w:pPr>
              <w:pStyle w:val="TableCell"/>
              <w:rPr>
                <w:sz w:val="24"/>
                <w:lang w:val="en-GB" w:eastAsia="en-GB"/>
              </w:rPr>
            </w:pPr>
            <w:r w:rsidRPr="00D12562">
              <w:rPr>
                <w:sz w:val="24"/>
                <w:lang w:val="en-GB" w:eastAsia="en-GB"/>
              </w:rPr>
              <w:t xml:space="preserve">17,053 </w:t>
            </w:r>
          </w:p>
        </w:tc>
        <w:tc>
          <w:tcPr>
            <w:tcW w:w="1260" w:type="dxa"/>
            <w:vAlign w:val="bottom"/>
          </w:tcPr>
          <w:p w14:paraId="0F32EFE7" w14:textId="77777777" w:rsidR="000230E8" w:rsidRPr="00D12562" w:rsidRDefault="000230E8" w:rsidP="000230E8">
            <w:pPr>
              <w:pStyle w:val="TableCell"/>
              <w:rPr>
                <w:sz w:val="24"/>
                <w:lang w:val="en-GB" w:eastAsia="en-GB"/>
              </w:rPr>
            </w:pPr>
            <w:r w:rsidRPr="00D12562">
              <w:rPr>
                <w:sz w:val="24"/>
                <w:lang w:val="en-GB" w:eastAsia="en-GB"/>
              </w:rPr>
              <w:t xml:space="preserve">32,778 </w:t>
            </w:r>
          </w:p>
        </w:tc>
      </w:tr>
      <w:tr w:rsidR="000230E8" w:rsidRPr="00D12562" w14:paraId="77EA0920" w14:textId="77777777" w:rsidTr="007418DE">
        <w:tblPrEx>
          <w:tblCellMar>
            <w:top w:w="0" w:type="dxa"/>
            <w:bottom w:w="0" w:type="dxa"/>
          </w:tblCellMar>
        </w:tblPrEx>
        <w:tc>
          <w:tcPr>
            <w:tcW w:w="6048" w:type="dxa"/>
            <w:vAlign w:val="bottom"/>
          </w:tcPr>
          <w:p w14:paraId="5A2DBA99"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Resource Allocation Feasibility Study</w:t>
            </w:r>
          </w:p>
        </w:tc>
        <w:tc>
          <w:tcPr>
            <w:tcW w:w="1440" w:type="dxa"/>
            <w:vAlign w:val="bottom"/>
          </w:tcPr>
          <w:p w14:paraId="275C5E98" w14:textId="77777777" w:rsidR="000230E8" w:rsidRPr="00D12562" w:rsidRDefault="000230E8" w:rsidP="000230E8">
            <w:pPr>
              <w:pStyle w:val="TableCell"/>
              <w:rPr>
                <w:sz w:val="24"/>
                <w:lang w:val="en-GB" w:eastAsia="en-GB"/>
              </w:rPr>
            </w:pPr>
            <w:r w:rsidRPr="00D12562">
              <w:rPr>
                <w:sz w:val="24"/>
                <w:lang w:val="en-GB" w:eastAsia="en-GB"/>
              </w:rPr>
              <w:t xml:space="preserve">25,227 </w:t>
            </w:r>
          </w:p>
        </w:tc>
        <w:tc>
          <w:tcPr>
            <w:tcW w:w="1260" w:type="dxa"/>
            <w:vAlign w:val="bottom"/>
          </w:tcPr>
          <w:p w14:paraId="1DA5ACFC"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2C79B858" w14:textId="77777777" w:rsidTr="007418DE">
        <w:tblPrEx>
          <w:tblCellMar>
            <w:top w:w="0" w:type="dxa"/>
            <w:bottom w:w="0" w:type="dxa"/>
          </w:tblCellMar>
        </w:tblPrEx>
        <w:tc>
          <w:tcPr>
            <w:tcW w:w="6048" w:type="dxa"/>
            <w:vAlign w:val="bottom"/>
          </w:tcPr>
          <w:p w14:paraId="686CF8B3"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Development of detailed guidelines on Lifetime Homes</w:t>
            </w:r>
          </w:p>
        </w:tc>
        <w:tc>
          <w:tcPr>
            <w:tcW w:w="1440" w:type="dxa"/>
            <w:vAlign w:val="bottom"/>
          </w:tcPr>
          <w:p w14:paraId="378DD068" w14:textId="77777777" w:rsidR="000230E8" w:rsidRPr="00D12562" w:rsidRDefault="000230E8" w:rsidP="000230E8">
            <w:pPr>
              <w:pStyle w:val="TableCell"/>
              <w:rPr>
                <w:sz w:val="24"/>
                <w:lang w:val="en-GB" w:eastAsia="en-GB"/>
              </w:rPr>
            </w:pPr>
            <w:r w:rsidRPr="00D12562">
              <w:rPr>
                <w:sz w:val="24"/>
                <w:lang w:val="en-GB" w:eastAsia="en-GB"/>
              </w:rPr>
              <w:t xml:space="preserve">12,745 </w:t>
            </w:r>
          </w:p>
        </w:tc>
        <w:tc>
          <w:tcPr>
            <w:tcW w:w="1260" w:type="dxa"/>
            <w:vAlign w:val="bottom"/>
          </w:tcPr>
          <w:p w14:paraId="5680F667"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027139B7" w14:textId="77777777" w:rsidTr="007418DE">
        <w:tblPrEx>
          <w:tblCellMar>
            <w:top w:w="0" w:type="dxa"/>
            <w:bottom w:w="0" w:type="dxa"/>
          </w:tblCellMar>
        </w:tblPrEx>
        <w:tc>
          <w:tcPr>
            <w:tcW w:w="6048" w:type="dxa"/>
            <w:vAlign w:val="bottom"/>
          </w:tcPr>
          <w:p w14:paraId="54A1C329"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Project with DCC to guide UD approach in urban design</w:t>
            </w:r>
          </w:p>
        </w:tc>
        <w:tc>
          <w:tcPr>
            <w:tcW w:w="1440" w:type="dxa"/>
            <w:vAlign w:val="bottom"/>
          </w:tcPr>
          <w:p w14:paraId="5CC8E8C4" w14:textId="77777777" w:rsidR="000230E8" w:rsidRPr="00D12562" w:rsidRDefault="000230E8" w:rsidP="000230E8">
            <w:pPr>
              <w:pStyle w:val="TableCell"/>
              <w:rPr>
                <w:sz w:val="24"/>
                <w:lang w:val="en-GB" w:eastAsia="en-GB"/>
              </w:rPr>
            </w:pPr>
            <w:r w:rsidRPr="00D12562">
              <w:rPr>
                <w:sz w:val="24"/>
                <w:lang w:val="en-GB" w:eastAsia="en-GB"/>
              </w:rPr>
              <w:t xml:space="preserve">10,930 </w:t>
            </w:r>
          </w:p>
        </w:tc>
        <w:tc>
          <w:tcPr>
            <w:tcW w:w="1260" w:type="dxa"/>
            <w:vAlign w:val="bottom"/>
          </w:tcPr>
          <w:p w14:paraId="22967E1F"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65CDC735" w14:textId="77777777" w:rsidTr="007418DE">
        <w:tblPrEx>
          <w:tblCellMar>
            <w:top w:w="0" w:type="dxa"/>
            <w:bottom w:w="0" w:type="dxa"/>
          </w:tblCellMar>
        </w:tblPrEx>
        <w:tc>
          <w:tcPr>
            <w:tcW w:w="6048" w:type="dxa"/>
            <w:vAlign w:val="bottom"/>
          </w:tcPr>
          <w:p w14:paraId="4CBFDBC6"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Heritage Code </w:t>
            </w:r>
            <w:proofErr w:type="gramStart"/>
            <w:r w:rsidRPr="009A0453">
              <w:rPr>
                <w:rFonts w:ascii="Gill Sans" w:hAnsi="Gill Sans"/>
                <w:sz w:val="24"/>
                <w:lang w:val="en-GB" w:eastAsia="en-GB"/>
              </w:rPr>
              <w:t>Of</w:t>
            </w:r>
            <w:proofErr w:type="gramEnd"/>
            <w:r w:rsidRPr="009A0453">
              <w:rPr>
                <w:rFonts w:ascii="Gill Sans" w:hAnsi="Gill Sans"/>
                <w:sz w:val="24"/>
                <w:lang w:val="en-GB" w:eastAsia="en-GB"/>
              </w:rPr>
              <w:t xml:space="preserve"> Practice</w:t>
            </w:r>
          </w:p>
        </w:tc>
        <w:tc>
          <w:tcPr>
            <w:tcW w:w="1440" w:type="dxa"/>
            <w:vAlign w:val="bottom"/>
          </w:tcPr>
          <w:p w14:paraId="775F20E8" w14:textId="77777777" w:rsidR="000230E8" w:rsidRPr="00D12562" w:rsidRDefault="000230E8" w:rsidP="000230E8">
            <w:pPr>
              <w:pStyle w:val="TableCell"/>
              <w:rPr>
                <w:sz w:val="24"/>
                <w:lang w:val="en-GB" w:eastAsia="en-GB"/>
              </w:rPr>
            </w:pPr>
            <w:r w:rsidRPr="00D12562">
              <w:rPr>
                <w:sz w:val="24"/>
                <w:lang w:val="en-GB" w:eastAsia="en-GB"/>
              </w:rPr>
              <w:t xml:space="preserve">7,944 </w:t>
            </w:r>
          </w:p>
        </w:tc>
        <w:tc>
          <w:tcPr>
            <w:tcW w:w="1260" w:type="dxa"/>
            <w:vAlign w:val="bottom"/>
          </w:tcPr>
          <w:p w14:paraId="177E5D4B"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17B9CC28" w14:textId="77777777" w:rsidTr="007418DE">
        <w:tblPrEx>
          <w:tblCellMar>
            <w:top w:w="0" w:type="dxa"/>
            <w:bottom w:w="0" w:type="dxa"/>
          </w:tblCellMar>
        </w:tblPrEx>
        <w:tc>
          <w:tcPr>
            <w:tcW w:w="6048" w:type="dxa"/>
            <w:vAlign w:val="bottom"/>
          </w:tcPr>
          <w:p w14:paraId="2260289A"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Disability book</w:t>
            </w:r>
          </w:p>
        </w:tc>
        <w:tc>
          <w:tcPr>
            <w:tcW w:w="1440" w:type="dxa"/>
            <w:vAlign w:val="bottom"/>
          </w:tcPr>
          <w:p w14:paraId="5E026872" w14:textId="77777777" w:rsidR="000230E8" w:rsidRPr="00D12562" w:rsidRDefault="000230E8" w:rsidP="000230E8">
            <w:pPr>
              <w:pStyle w:val="TableCell"/>
              <w:rPr>
                <w:sz w:val="24"/>
                <w:lang w:val="en-GB" w:eastAsia="en-GB"/>
              </w:rPr>
            </w:pPr>
            <w:r w:rsidRPr="00D12562">
              <w:rPr>
                <w:sz w:val="24"/>
                <w:lang w:val="en-GB" w:eastAsia="en-GB"/>
              </w:rPr>
              <w:t xml:space="preserve">7,321 </w:t>
            </w:r>
          </w:p>
        </w:tc>
        <w:tc>
          <w:tcPr>
            <w:tcW w:w="1260" w:type="dxa"/>
            <w:vAlign w:val="bottom"/>
          </w:tcPr>
          <w:p w14:paraId="1D6DC8B7" w14:textId="77777777" w:rsidR="000230E8" w:rsidRPr="00D12562" w:rsidRDefault="000230E8" w:rsidP="000230E8">
            <w:pPr>
              <w:pStyle w:val="TableCell"/>
              <w:rPr>
                <w:sz w:val="24"/>
                <w:lang w:val="en-GB" w:eastAsia="en-GB"/>
              </w:rPr>
            </w:pPr>
            <w:r w:rsidRPr="00D12562">
              <w:rPr>
                <w:sz w:val="24"/>
                <w:lang w:val="en-GB" w:eastAsia="en-GB"/>
              </w:rPr>
              <w:t xml:space="preserve">11,314 </w:t>
            </w:r>
          </w:p>
        </w:tc>
      </w:tr>
      <w:tr w:rsidR="000230E8" w:rsidRPr="00D12562" w14:paraId="22C33D62" w14:textId="77777777" w:rsidTr="007418DE">
        <w:tblPrEx>
          <w:tblCellMar>
            <w:top w:w="0" w:type="dxa"/>
            <w:bottom w:w="0" w:type="dxa"/>
          </w:tblCellMar>
        </w:tblPrEx>
        <w:tc>
          <w:tcPr>
            <w:tcW w:w="6048" w:type="dxa"/>
            <w:vAlign w:val="bottom"/>
          </w:tcPr>
          <w:p w14:paraId="4DD9CC6F"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NSAI standards for services</w:t>
            </w:r>
          </w:p>
        </w:tc>
        <w:tc>
          <w:tcPr>
            <w:tcW w:w="1440" w:type="dxa"/>
            <w:vAlign w:val="bottom"/>
          </w:tcPr>
          <w:p w14:paraId="3784971D" w14:textId="77777777" w:rsidR="000230E8" w:rsidRPr="00D12562" w:rsidRDefault="000230E8" w:rsidP="000230E8">
            <w:pPr>
              <w:pStyle w:val="TableCell"/>
              <w:rPr>
                <w:sz w:val="24"/>
                <w:lang w:val="en-GB" w:eastAsia="en-GB"/>
              </w:rPr>
            </w:pPr>
            <w:r w:rsidRPr="00D12562">
              <w:rPr>
                <w:sz w:val="24"/>
                <w:lang w:val="en-GB" w:eastAsia="en-GB"/>
              </w:rPr>
              <w:t xml:space="preserve">6,001 </w:t>
            </w:r>
          </w:p>
        </w:tc>
        <w:tc>
          <w:tcPr>
            <w:tcW w:w="1260" w:type="dxa"/>
            <w:vAlign w:val="bottom"/>
          </w:tcPr>
          <w:p w14:paraId="74A616BD"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2163D277" w14:textId="77777777" w:rsidTr="007418DE">
        <w:tblPrEx>
          <w:tblCellMar>
            <w:top w:w="0" w:type="dxa"/>
            <w:bottom w:w="0" w:type="dxa"/>
          </w:tblCellMar>
        </w:tblPrEx>
        <w:tc>
          <w:tcPr>
            <w:tcW w:w="6048" w:type="dxa"/>
            <w:vAlign w:val="bottom"/>
          </w:tcPr>
          <w:p w14:paraId="3716A1A8"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Review of Corporate Governance Manual</w:t>
            </w:r>
          </w:p>
        </w:tc>
        <w:tc>
          <w:tcPr>
            <w:tcW w:w="1440" w:type="dxa"/>
            <w:vAlign w:val="bottom"/>
          </w:tcPr>
          <w:p w14:paraId="7A4487B0" w14:textId="77777777" w:rsidR="000230E8" w:rsidRPr="00D12562" w:rsidRDefault="000230E8" w:rsidP="000230E8">
            <w:pPr>
              <w:pStyle w:val="TableCell"/>
              <w:rPr>
                <w:sz w:val="24"/>
                <w:lang w:val="en-GB" w:eastAsia="en-GB"/>
              </w:rPr>
            </w:pPr>
            <w:r w:rsidRPr="00D12562">
              <w:rPr>
                <w:sz w:val="24"/>
                <w:lang w:val="en-GB" w:eastAsia="en-GB"/>
              </w:rPr>
              <w:t xml:space="preserve">4,800 </w:t>
            </w:r>
          </w:p>
        </w:tc>
        <w:tc>
          <w:tcPr>
            <w:tcW w:w="1260" w:type="dxa"/>
            <w:vAlign w:val="bottom"/>
          </w:tcPr>
          <w:p w14:paraId="32166D17"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0A473846" w14:textId="77777777" w:rsidTr="007418DE">
        <w:tblPrEx>
          <w:tblCellMar>
            <w:top w:w="0" w:type="dxa"/>
            <w:bottom w:w="0" w:type="dxa"/>
          </w:tblCellMar>
        </w:tblPrEx>
        <w:tc>
          <w:tcPr>
            <w:tcW w:w="6048" w:type="dxa"/>
            <w:vAlign w:val="bottom"/>
          </w:tcPr>
          <w:p w14:paraId="0D8DE12C"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Review Internal Financial Controls</w:t>
            </w:r>
          </w:p>
        </w:tc>
        <w:tc>
          <w:tcPr>
            <w:tcW w:w="1440" w:type="dxa"/>
            <w:vAlign w:val="bottom"/>
          </w:tcPr>
          <w:p w14:paraId="17040278" w14:textId="77777777" w:rsidR="000230E8" w:rsidRPr="00D12562" w:rsidRDefault="000230E8" w:rsidP="000230E8">
            <w:pPr>
              <w:pStyle w:val="TableCell"/>
              <w:rPr>
                <w:sz w:val="24"/>
                <w:lang w:val="en-GB" w:eastAsia="en-GB"/>
              </w:rPr>
            </w:pPr>
            <w:r w:rsidRPr="00D12562">
              <w:rPr>
                <w:sz w:val="24"/>
                <w:lang w:val="en-GB" w:eastAsia="en-GB"/>
              </w:rPr>
              <w:t xml:space="preserve">4,790 </w:t>
            </w:r>
          </w:p>
        </w:tc>
        <w:tc>
          <w:tcPr>
            <w:tcW w:w="1260" w:type="dxa"/>
            <w:vAlign w:val="bottom"/>
          </w:tcPr>
          <w:p w14:paraId="0FDF72E3" w14:textId="77777777" w:rsidR="000230E8" w:rsidRPr="00D12562" w:rsidRDefault="000230E8" w:rsidP="000230E8">
            <w:pPr>
              <w:pStyle w:val="TableCell"/>
              <w:rPr>
                <w:sz w:val="24"/>
                <w:lang w:val="en-GB" w:eastAsia="en-GB"/>
              </w:rPr>
            </w:pPr>
            <w:r w:rsidRPr="00D12562">
              <w:rPr>
                <w:sz w:val="24"/>
                <w:lang w:val="en-GB" w:eastAsia="en-GB"/>
              </w:rPr>
              <w:t xml:space="preserve">3,279 </w:t>
            </w:r>
          </w:p>
        </w:tc>
      </w:tr>
      <w:tr w:rsidR="000230E8" w:rsidRPr="00D12562" w14:paraId="28E9AF6A" w14:textId="77777777" w:rsidTr="007418DE">
        <w:tblPrEx>
          <w:tblCellMar>
            <w:top w:w="0" w:type="dxa"/>
            <w:bottom w:w="0" w:type="dxa"/>
          </w:tblCellMar>
        </w:tblPrEx>
        <w:tc>
          <w:tcPr>
            <w:tcW w:w="6048" w:type="dxa"/>
            <w:vAlign w:val="bottom"/>
          </w:tcPr>
          <w:p w14:paraId="694685AE"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Excellence through Accessibility Award &amp; Monitoring Scheme</w:t>
            </w:r>
          </w:p>
        </w:tc>
        <w:tc>
          <w:tcPr>
            <w:tcW w:w="1440" w:type="dxa"/>
            <w:vAlign w:val="bottom"/>
          </w:tcPr>
          <w:p w14:paraId="51836383" w14:textId="77777777" w:rsidR="000230E8" w:rsidRPr="00D12562" w:rsidRDefault="000230E8" w:rsidP="000230E8">
            <w:pPr>
              <w:pStyle w:val="TableCell"/>
              <w:rPr>
                <w:sz w:val="24"/>
                <w:lang w:val="en-GB" w:eastAsia="en-GB"/>
              </w:rPr>
            </w:pPr>
            <w:r w:rsidRPr="00D12562">
              <w:rPr>
                <w:sz w:val="24"/>
                <w:lang w:val="en-GB" w:eastAsia="en-GB"/>
              </w:rPr>
              <w:t xml:space="preserve">4,252 </w:t>
            </w:r>
          </w:p>
        </w:tc>
        <w:tc>
          <w:tcPr>
            <w:tcW w:w="1260" w:type="dxa"/>
            <w:vAlign w:val="bottom"/>
          </w:tcPr>
          <w:p w14:paraId="388D89BB" w14:textId="77777777" w:rsidR="000230E8" w:rsidRPr="00D12562" w:rsidRDefault="000230E8" w:rsidP="000230E8">
            <w:pPr>
              <w:pStyle w:val="TableCell"/>
              <w:rPr>
                <w:sz w:val="24"/>
                <w:lang w:val="en-GB" w:eastAsia="en-GB"/>
              </w:rPr>
            </w:pPr>
            <w:r w:rsidRPr="00D12562">
              <w:rPr>
                <w:sz w:val="24"/>
                <w:lang w:val="en-GB" w:eastAsia="en-GB"/>
              </w:rPr>
              <w:t xml:space="preserve">74,320 </w:t>
            </w:r>
          </w:p>
        </w:tc>
      </w:tr>
      <w:tr w:rsidR="000230E8" w:rsidRPr="00D12562" w14:paraId="4156F4E5" w14:textId="77777777" w:rsidTr="007418DE">
        <w:tblPrEx>
          <w:tblCellMar>
            <w:top w:w="0" w:type="dxa"/>
            <w:bottom w:w="0" w:type="dxa"/>
          </w:tblCellMar>
        </w:tblPrEx>
        <w:tc>
          <w:tcPr>
            <w:tcW w:w="6048" w:type="dxa"/>
            <w:vAlign w:val="bottom"/>
          </w:tcPr>
          <w:p w14:paraId="27FB3F3D"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Research Scholarships </w:t>
            </w:r>
          </w:p>
        </w:tc>
        <w:tc>
          <w:tcPr>
            <w:tcW w:w="1440" w:type="dxa"/>
            <w:vAlign w:val="bottom"/>
          </w:tcPr>
          <w:p w14:paraId="6CB5D6CE" w14:textId="77777777" w:rsidR="000230E8" w:rsidRPr="00D12562" w:rsidRDefault="000230E8" w:rsidP="000230E8">
            <w:pPr>
              <w:pStyle w:val="TableCell"/>
              <w:rPr>
                <w:sz w:val="24"/>
                <w:lang w:val="en-GB" w:eastAsia="en-GB"/>
              </w:rPr>
            </w:pPr>
            <w:r w:rsidRPr="00D12562">
              <w:rPr>
                <w:sz w:val="24"/>
                <w:lang w:val="en-GB" w:eastAsia="en-GB"/>
              </w:rPr>
              <w:t xml:space="preserve">4,087 </w:t>
            </w:r>
          </w:p>
        </w:tc>
        <w:tc>
          <w:tcPr>
            <w:tcW w:w="1260" w:type="dxa"/>
            <w:vAlign w:val="bottom"/>
          </w:tcPr>
          <w:p w14:paraId="16FEA043" w14:textId="77777777" w:rsidR="000230E8" w:rsidRPr="00D12562" w:rsidRDefault="000230E8" w:rsidP="000230E8">
            <w:pPr>
              <w:pStyle w:val="TableCell"/>
              <w:rPr>
                <w:sz w:val="24"/>
                <w:lang w:val="en-GB" w:eastAsia="en-GB"/>
              </w:rPr>
            </w:pPr>
            <w:r w:rsidRPr="00D12562">
              <w:rPr>
                <w:sz w:val="24"/>
                <w:lang w:val="en-GB" w:eastAsia="en-GB"/>
              </w:rPr>
              <w:t xml:space="preserve">5,802 </w:t>
            </w:r>
          </w:p>
        </w:tc>
      </w:tr>
      <w:tr w:rsidR="000230E8" w:rsidRPr="00D12562" w14:paraId="1FA19AFB" w14:textId="77777777" w:rsidTr="007418DE">
        <w:tblPrEx>
          <w:tblCellMar>
            <w:top w:w="0" w:type="dxa"/>
            <w:bottom w:w="0" w:type="dxa"/>
          </w:tblCellMar>
        </w:tblPrEx>
        <w:tc>
          <w:tcPr>
            <w:tcW w:w="6048" w:type="dxa"/>
            <w:vAlign w:val="bottom"/>
          </w:tcPr>
          <w:p w14:paraId="3FFDC4C4"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Strategic Planning </w:t>
            </w:r>
          </w:p>
        </w:tc>
        <w:tc>
          <w:tcPr>
            <w:tcW w:w="1440" w:type="dxa"/>
            <w:vAlign w:val="bottom"/>
          </w:tcPr>
          <w:p w14:paraId="0572694D" w14:textId="77777777" w:rsidR="000230E8" w:rsidRPr="00D12562" w:rsidRDefault="000230E8" w:rsidP="000230E8">
            <w:pPr>
              <w:pStyle w:val="TableCell"/>
              <w:rPr>
                <w:sz w:val="24"/>
                <w:lang w:val="en-GB" w:eastAsia="en-GB"/>
              </w:rPr>
            </w:pPr>
            <w:r w:rsidRPr="00D12562">
              <w:rPr>
                <w:sz w:val="24"/>
                <w:lang w:val="en-GB" w:eastAsia="en-GB"/>
              </w:rPr>
              <w:t xml:space="preserve">3,328 </w:t>
            </w:r>
          </w:p>
        </w:tc>
        <w:tc>
          <w:tcPr>
            <w:tcW w:w="1260" w:type="dxa"/>
            <w:vAlign w:val="bottom"/>
          </w:tcPr>
          <w:p w14:paraId="113E5723"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0D42169A" w14:textId="77777777" w:rsidTr="007418DE">
        <w:tblPrEx>
          <w:tblCellMar>
            <w:top w:w="0" w:type="dxa"/>
            <w:bottom w:w="0" w:type="dxa"/>
          </w:tblCellMar>
        </w:tblPrEx>
        <w:tc>
          <w:tcPr>
            <w:tcW w:w="6048" w:type="dxa"/>
            <w:vAlign w:val="bottom"/>
          </w:tcPr>
          <w:p w14:paraId="15C34AAE"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Job retention Guidelines</w:t>
            </w:r>
          </w:p>
        </w:tc>
        <w:tc>
          <w:tcPr>
            <w:tcW w:w="1440" w:type="dxa"/>
            <w:vAlign w:val="bottom"/>
          </w:tcPr>
          <w:p w14:paraId="0014B13C" w14:textId="77777777" w:rsidR="000230E8" w:rsidRPr="00D12562" w:rsidRDefault="000230E8" w:rsidP="000230E8">
            <w:pPr>
              <w:pStyle w:val="TableCell"/>
              <w:rPr>
                <w:sz w:val="24"/>
                <w:lang w:val="en-GB" w:eastAsia="en-GB"/>
              </w:rPr>
            </w:pPr>
            <w:r w:rsidRPr="00D12562">
              <w:rPr>
                <w:sz w:val="24"/>
                <w:lang w:val="en-GB" w:eastAsia="en-GB"/>
              </w:rPr>
              <w:t xml:space="preserve">3,291 </w:t>
            </w:r>
          </w:p>
        </w:tc>
        <w:tc>
          <w:tcPr>
            <w:tcW w:w="1260" w:type="dxa"/>
            <w:vAlign w:val="bottom"/>
          </w:tcPr>
          <w:p w14:paraId="34DFEADE"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01D517F3" w14:textId="77777777" w:rsidTr="007418DE">
        <w:tblPrEx>
          <w:tblCellMar>
            <w:top w:w="0" w:type="dxa"/>
            <w:bottom w:w="0" w:type="dxa"/>
          </w:tblCellMar>
        </w:tblPrEx>
        <w:tc>
          <w:tcPr>
            <w:tcW w:w="6048" w:type="dxa"/>
            <w:vAlign w:val="bottom"/>
          </w:tcPr>
          <w:p w14:paraId="3B69CBCA"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Misc Speaker Travel</w:t>
            </w:r>
          </w:p>
        </w:tc>
        <w:tc>
          <w:tcPr>
            <w:tcW w:w="1440" w:type="dxa"/>
            <w:vAlign w:val="bottom"/>
          </w:tcPr>
          <w:p w14:paraId="64BBE6E9" w14:textId="77777777" w:rsidR="000230E8" w:rsidRPr="00D12562" w:rsidRDefault="000230E8" w:rsidP="000230E8">
            <w:pPr>
              <w:pStyle w:val="TableCell"/>
              <w:rPr>
                <w:sz w:val="24"/>
                <w:lang w:val="en-GB" w:eastAsia="en-GB"/>
              </w:rPr>
            </w:pPr>
            <w:r w:rsidRPr="00D12562">
              <w:rPr>
                <w:sz w:val="24"/>
                <w:lang w:val="en-GB" w:eastAsia="en-GB"/>
              </w:rPr>
              <w:t xml:space="preserve">2,894 </w:t>
            </w:r>
          </w:p>
        </w:tc>
        <w:tc>
          <w:tcPr>
            <w:tcW w:w="1260" w:type="dxa"/>
            <w:vAlign w:val="bottom"/>
          </w:tcPr>
          <w:p w14:paraId="17967361"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4F309606" w14:textId="77777777" w:rsidTr="007418DE">
        <w:tblPrEx>
          <w:tblCellMar>
            <w:top w:w="0" w:type="dxa"/>
            <w:bottom w:w="0" w:type="dxa"/>
          </w:tblCellMar>
        </w:tblPrEx>
        <w:tc>
          <w:tcPr>
            <w:tcW w:w="6048" w:type="dxa"/>
            <w:vAlign w:val="bottom"/>
          </w:tcPr>
          <w:p w14:paraId="6704723B"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Monitoring of the Implementation of Codes of Practice on Accessible Public Services</w:t>
            </w:r>
          </w:p>
        </w:tc>
        <w:tc>
          <w:tcPr>
            <w:tcW w:w="1440" w:type="dxa"/>
            <w:vAlign w:val="bottom"/>
          </w:tcPr>
          <w:p w14:paraId="309F410A" w14:textId="77777777" w:rsidR="000230E8" w:rsidRPr="00D12562" w:rsidRDefault="000230E8" w:rsidP="000230E8">
            <w:pPr>
              <w:pStyle w:val="TableCell"/>
              <w:rPr>
                <w:sz w:val="24"/>
                <w:lang w:val="en-GB" w:eastAsia="en-GB"/>
              </w:rPr>
            </w:pPr>
            <w:r w:rsidRPr="00D12562">
              <w:rPr>
                <w:sz w:val="24"/>
                <w:lang w:val="en-GB" w:eastAsia="en-GB"/>
              </w:rPr>
              <w:t xml:space="preserve">2,054 </w:t>
            </w:r>
          </w:p>
        </w:tc>
        <w:tc>
          <w:tcPr>
            <w:tcW w:w="1260" w:type="dxa"/>
            <w:vAlign w:val="bottom"/>
          </w:tcPr>
          <w:p w14:paraId="688EF3EC" w14:textId="77777777" w:rsidR="000230E8" w:rsidRPr="00D12562" w:rsidRDefault="000230E8" w:rsidP="000230E8">
            <w:pPr>
              <w:pStyle w:val="TableCell"/>
              <w:rPr>
                <w:sz w:val="24"/>
                <w:lang w:val="en-GB" w:eastAsia="en-GB"/>
              </w:rPr>
            </w:pPr>
            <w:r w:rsidRPr="00D12562">
              <w:rPr>
                <w:sz w:val="24"/>
                <w:lang w:val="en-GB" w:eastAsia="en-GB"/>
              </w:rPr>
              <w:t xml:space="preserve">318 </w:t>
            </w:r>
          </w:p>
        </w:tc>
      </w:tr>
      <w:tr w:rsidR="000230E8" w:rsidRPr="00D12562" w14:paraId="48601C48" w14:textId="77777777" w:rsidTr="007418DE">
        <w:tblPrEx>
          <w:tblCellMar>
            <w:top w:w="0" w:type="dxa"/>
            <w:bottom w:w="0" w:type="dxa"/>
          </w:tblCellMar>
        </w:tblPrEx>
        <w:tc>
          <w:tcPr>
            <w:tcW w:w="6048" w:type="dxa"/>
            <w:vAlign w:val="bottom"/>
          </w:tcPr>
          <w:p w14:paraId="15F85699"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World Report on Disability</w:t>
            </w:r>
          </w:p>
        </w:tc>
        <w:tc>
          <w:tcPr>
            <w:tcW w:w="1440" w:type="dxa"/>
            <w:vAlign w:val="bottom"/>
          </w:tcPr>
          <w:p w14:paraId="731EED11" w14:textId="77777777" w:rsidR="000230E8" w:rsidRPr="00D12562" w:rsidRDefault="000230E8" w:rsidP="000230E8">
            <w:pPr>
              <w:pStyle w:val="TableCell"/>
              <w:rPr>
                <w:sz w:val="24"/>
                <w:lang w:val="en-GB" w:eastAsia="en-GB"/>
              </w:rPr>
            </w:pPr>
            <w:r w:rsidRPr="00D12562">
              <w:rPr>
                <w:sz w:val="24"/>
                <w:lang w:val="en-GB" w:eastAsia="en-GB"/>
              </w:rPr>
              <w:t xml:space="preserve">1,900 </w:t>
            </w:r>
          </w:p>
        </w:tc>
        <w:tc>
          <w:tcPr>
            <w:tcW w:w="1260" w:type="dxa"/>
            <w:vAlign w:val="bottom"/>
          </w:tcPr>
          <w:p w14:paraId="04799BF1"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44A734F7" w14:textId="77777777" w:rsidTr="007418DE">
        <w:tblPrEx>
          <w:tblCellMar>
            <w:top w:w="0" w:type="dxa"/>
            <w:bottom w:w="0" w:type="dxa"/>
          </w:tblCellMar>
        </w:tblPrEx>
        <w:tc>
          <w:tcPr>
            <w:tcW w:w="6048" w:type="dxa"/>
            <w:vAlign w:val="bottom"/>
          </w:tcPr>
          <w:p w14:paraId="2A29C4AF"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NDA Annual Report </w:t>
            </w:r>
          </w:p>
        </w:tc>
        <w:tc>
          <w:tcPr>
            <w:tcW w:w="1440" w:type="dxa"/>
            <w:vAlign w:val="bottom"/>
          </w:tcPr>
          <w:p w14:paraId="1F6B2ED7" w14:textId="77777777" w:rsidR="000230E8" w:rsidRPr="00D12562" w:rsidRDefault="000230E8" w:rsidP="000230E8">
            <w:pPr>
              <w:pStyle w:val="TableCell"/>
              <w:rPr>
                <w:sz w:val="24"/>
                <w:lang w:val="en-GB" w:eastAsia="en-GB"/>
              </w:rPr>
            </w:pPr>
            <w:r w:rsidRPr="00D12562">
              <w:rPr>
                <w:sz w:val="24"/>
                <w:lang w:val="en-GB" w:eastAsia="en-GB"/>
              </w:rPr>
              <w:t xml:space="preserve">1,639 </w:t>
            </w:r>
          </w:p>
        </w:tc>
        <w:tc>
          <w:tcPr>
            <w:tcW w:w="1260" w:type="dxa"/>
            <w:vAlign w:val="bottom"/>
          </w:tcPr>
          <w:p w14:paraId="6DF0A999" w14:textId="77777777" w:rsidR="000230E8" w:rsidRPr="00D12562" w:rsidRDefault="000230E8" w:rsidP="000230E8">
            <w:pPr>
              <w:pStyle w:val="TableCell"/>
              <w:rPr>
                <w:sz w:val="24"/>
                <w:lang w:val="en-GB" w:eastAsia="en-GB"/>
              </w:rPr>
            </w:pPr>
            <w:r w:rsidRPr="00D12562">
              <w:rPr>
                <w:sz w:val="24"/>
                <w:lang w:val="en-GB" w:eastAsia="en-GB"/>
              </w:rPr>
              <w:t xml:space="preserve">3,688 </w:t>
            </w:r>
          </w:p>
        </w:tc>
      </w:tr>
      <w:tr w:rsidR="000230E8" w:rsidRPr="00D12562" w14:paraId="4A1B3F23" w14:textId="77777777" w:rsidTr="007418DE">
        <w:tblPrEx>
          <w:tblCellMar>
            <w:top w:w="0" w:type="dxa"/>
            <w:bottom w:w="0" w:type="dxa"/>
          </w:tblCellMar>
        </w:tblPrEx>
        <w:tc>
          <w:tcPr>
            <w:tcW w:w="6048" w:type="dxa"/>
            <w:vAlign w:val="bottom"/>
          </w:tcPr>
          <w:p w14:paraId="5DA7AE3D" w14:textId="77777777" w:rsidR="000230E8" w:rsidRPr="009A0453" w:rsidRDefault="000230E8" w:rsidP="000230E8">
            <w:pPr>
              <w:pStyle w:val="TableRowHead"/>
              <w:rPr>
                <w:rFonts w:ascii="Gill Sans" w:hAnsi="Gill Sans"/>
                <w:sz w:val="24"/>
                <w:lang w:val="en-GB" w:eastAsia="en-GB"/>
              </w:rPr>
            </w:pPr>
            <w:proofErr w:type="spellStart"/>
            <w:r w:rsidRPr="009A0453">
              <w:rPr>
                <w:rFonts w:ascii="Gill Sans" w:hAnsi="Gill Sans"/>
                <w:sz w:val="24"/>
                <w:lang w:val="en-GB" w:eastAsia="en-GB"/>
              </w:rPr>
              <w:t>eNewsletter</w:t>
            </w:r>
            <w:proofErr w:type="spellEnd"/>
          </w:p>
        </w:tc>
        <w:tc>
          <w:tcPr>
            <w:tcW w:w="1440" w:type="dxa"/>
            <w:vAlign w:val="bottom"/>
          </w:tcPr>
          <w:p w14:paraId="04D43115" w14:textId="77777777" w:rsidR="000230E8" w:rsidRPr="00D12562" w:rsidRDefault="000230E8" w:rsidP="000230E8">
            <w:pPr>
              <w:pStyle w:val="TableCell"/>
              <w:rPr>
                <w:sz w:val="24"/>
                <w:lang w:val="en-GB" w:eastAsia="en-GB"/>
              </w:rPr>
            </w:pPr>
            <w:r w:rsidRPr="00D12562">
              <w:rPr>
                <w:sz w:val="24"/>
                <w:lang w:val="en-GB" w:eastAsia="en-GB"/>
              </w:rPr>
              <w:t xml:space="preserve">1,258 </w:t>
            </w:r>
          </w:p>
        </w:tc>
        <w:tc>
          <w:tcPr>
            <w:tcW w:w="1260" w:type="dxa"/>
            <w:vAlign w:val="bottom"/>
          </w:tcPr>
          <w:p w14:paraId="5B6B9AB7"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52A2D64C" w14:textId="77777777" w:rsidTr="007418DE">
        <w:tblPrEx>
          <w:tblCellMar>
            <w:top w:w="0" w:type="dxa"/>
            <w:bottom w:w="0" w:type="dxa"/>
          </w:tblCellMar>
        </w:tblPrEx>
        <w:tc>
          <w:tcPr>
            <w:tcW w:w="6048" w:type="dxa"/>
            <w:vAlign w:val="bottom"/>
          </w:tcPr>
          <w:p w14:paraId="125207B2"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Employment Seminars</w:t>
            </w:r>
          </w:p>
        </w:tc>
        <w:tc>
          <w:tcPr>
            <w:tcW w:w="1440" w:type="dxa"/>
            <w:vAlign w:val="bottom"/>
          </w:tcPr>
          <w:p w14:paraId="6FFDF34E" w14:textId="77777777" w:rsidR="000230E8" w:rsidRPr="00D12562" w:rsidRDefault="000230E8" w:rsidP="000230E8">
            <w:pPr>
              <w:pStyle w:val="TableCell"/>
              <w:rPr>
                <w:sz w:val="24"/>
                <w:lang w:val="en-GB" w:eastAsia="en-GB"/>
              </w:rPr>
            </w:pPr>
            <w:r w:rsidRPr="00D12562">
              <w:rPr>
                <w:sz w:val="24"/>
                <w:lang w:val="en-GB" w:eastAsia="en-GB"/>
              </w:rPr>
              <w:t xml:space="preserve">701 </w:t>
            </w:r>
          </w:p>
        </w:tc>
        <w:tc>
          <w:tcPr>
            <w:tcW w:w="1260" w:type="dxa"/>
            <w:vAlign w:val="bottom"/>
          </w:tcPr>
          <w:p w14:paraId="7C6BE7A6"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3623372B" w14:textId="77777777" w:rsidTr="007418DE">
        <w:tblPrEx>
          <w:tblCellMar>
            <w:top w:w="0" w:type="dxa"/>
            <w:bottom w:w="0" w:type="dxa"/>
          </w:tblCellMar>
        </w:tblPrEx>
        <w:tc>
          <w:tcPr>
            <w:tcW w:w="6048" w:type="dxa"/>
            <w:vAlign w:val="bottom"/>
          </w:tcPr>
          <w:p w14:paraId="4C03F95A"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Part 5 Disability Act - Statutory Report    </w:t>
            </w:r>
          </w:p>
        </w:tc>
        <w:tc>
          <w:tcPr>
            <w:tcW w:w="1440" w:type="dxa"/>
            <w:vAlign w:val="bottom"/>
          </w:tcPr>
          <w:p w14:paraId="4F81C012" w14:textId="77777777" w:rsidR="000230E8" w:rsidRPr="00D12562" w:rsidRDefault="000230E8" w:rsidP="000230E8">
            <w:pPr>
              <w:pStyle w:val="TableCell"/>
              <w:rPr>
                <w:sz w:val="24"/>
                <w:lang w:val="en-GB" w:eastAsia="en-GB"/>
              </w:rPr>
            </w:pPr>
            <w:r w:rsidRPr="00D12562">
              <w:rPr>
                <w:sz w:val="24"/>
                <w:lang w:val="en-GB" w:eastAsia="en-GB"/>
              </w:rPr>
              <w:t xml:space="preserve">685 </w:t>
            </w:r>
          </w:p>
        </w:tc>
        <w:tc>
          <w:tcPr>
            <w:tcW w:w="1260" w:type="dxa"/>
            <w:vAlign w:val="bottom"/>
          </w:tcPr>
          <w:p w14:paraId="3FB24C3B" w14:textId="77777777" w:rsidR="000230E8" w:rsidRPr="00D12562" w:rsidRDefault="000230E8" w:rsidP="000230E8">
            <w:pPr>
              <w:pStyle w:val="TableCell"/>
              <w:rPr>
                <w:sz w:val="24"/>
                <w:lang w:val="en-GB" w:eastAsia="en-GB"/>
              </w:rPr>
            </w:pPr>
            <w:r w:rsidRPr="00D12562">
              <w:rPr>
                <w:sz w:val="24"/>
                <w:lang w:val="en-GB" w:eastAsia="en-GB"/>
              </w:rPr>
              <w:t xml:space="preserve">2,287 </w:t>
            </w:r>
          </w:p>
        </w:tc>
      </w:tr>
      <w:tr w:rsidR="000230E8" w:rsidRPr="00D12562" w14:paraId="3FA56EA1" w14:textId="77777777" w:rsidTr="007418DE">
        <w:tblPrEx>
          <w:tblCellMar>
            <w:top w:w="0" w:type="dxa"/>
            <w:bottom w:w="0" w:type="dxa"/>
          </w:tblCellMar>
        </w:tblPrEx>
        <w:tc>
          <w:tcPr>
            <w:tcW w:w="6048" w:type="dxa"/>
            <w:vAlign w:val="bottom"/>
          </w:tcPr>
          <w:p w14:paraId="00084E42"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Mandate 376</w:t>
            </w:r>
          </w:p>
        </w:tc>
        <w:tc>
          <w:tcPr>
            <w:tcW w:w="1440" w:type="dxa"/>
            <w:vAlign w:val="bottom"/>
          </w:tcPr>
          <w:p w14:paraId="59AEE117" w14:textId="77777777" w:rsidR="000230E8" w:rsidRPr="00D12562" w:rsidRDefault="000230E8" w:rsidP="000230E8">
            <w:pPr>
              <w:pStyle w:val="TableCell"/>
              <w:rPr>
                <w:sz w:val="24"/>
                <w:lang w:val="en-GB" w:eastAsia="en-GB"/>
              </w:rPr>
            </w:pPr>
            <w:r w:rsidRPr="00D12562">
              <w:rPr>
                <w:sz w:val="24"/>
                <w:lang w:val="en-GB" w:eastAsia="en-GB"/>
              </w:rPr>
              <w:t xml:space="preserve">657 </w:t>
            </w:r>
          </w:p>
        </w:tc>
        <w:tc>
          <w:tcPr>
            <w:tcW w:w="1260" w:type="dxa"/>
            <w:vAlign w:val="bottom"/>
          </w:tcPr>
          <w:p w14:paraId="24FE0228"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3E13BC3F" w14:textId="77777777" w:rsidTr="007418DE">
        <w:tblPrEx>
          <w:tblCellMar>
            <w:top w:w="0" w:type="dxa"/>
            <w:bottom w:w="0" w:type="dxa"/>
          </w:tblCellMar>
        </w:tblPrEx>
        <w:tc>
          <w:tcPr>
            <w:tcW w:w="6048" w:type="dxa"/>
            <w:vAlign w:val="bottom"/>
          </w:tcPr>
          <w:p w14:paraId="4891F5DF"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lastRenderedPageBreak/>
              <w:t>Commissioning Seminar</w:t>
            </w:r>
          </w:p>
        </w:tc>
        <w:tc>
          <w:tcPr>
            <w:tcW w:w="1440" w:type="dxa"/>
            <w:vAlign w:val="bottom"/>
          </w:tcPr>
          <w:p w14:paraId="22924E9F" w14:textId="77777777" w:rsidR="000230E8" w:rsidRPr="00D12562" w:rsidRDefault="000230E8" w:rsidP="000230E8">
            <w:pPr>
              <w:pStyle w:val="TableCell"/>
              <w:rPr>
                <w:sz w:val="24"/>
                <w:lang w:val="en-GB" w:eastAsia="en-GB"/>
              </w:rPr>
            </w:pPr>
            <w:r w:rsidRPr="00D12562">
              <w:rPr>
                <w:sz w:val="24"/>
                <w:lang w:val="en-GB" w:eastAsia="en-GB"/>
              </w:rPr>
              <w:t xml:space="preserve">553 </w:t>
            </w:r>
          </w:p>
        </w:tc>
        <w:tc>
          <w:tcPr>
            <w:tcW w:w="1260" w:type="dxa"/>
            <w:vAlign w:val="bottom"/>
          </w:tcPr>
          <w:p w14:paraId="61DEDEBC"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279ACC9C" w14:textId="77777777" w:rsidTr="007418DE">
        <w:tblPrEx>
          <w:tblCellMar>
            <w:top w:w="0" w:type="dxa"/>
            <w:bottom w:w="0" w:type="dxa"/>
          </w:tblCellMar>
        </w:tblPrEx>
        <w:tc>
          <w:tcPr>
            <w:tcW w:w="6048" w:type="dxa"/>
            <w:vAlign w:val="bottom"/>
          </w:tcPr>
          <w:p w14:paraId="16299096"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 xml:space="preserve">UD Standards arising from continued work with NSAI etc        </w:t>
            </w:r>
          </w:p>
        </w:tc>
        <w:tc>
          <w:tcPr>
            <w:tcW w:w="1440" w:type="dxa"/>
            <w:vAlign w:val="bottom"/>
          </w:tcPr>
          <w:p w14:paraId="539C79D9" w14:textId="77777777" w:rsidR="000230E8" w:rsidRPr="00D12562" w:rsidRDefault="000230E8" w:rsidP="000230E8">
            <w:pPr>
              <w:pStyle w:val="TableCell"/>
              <w:rPr>
                <w:sz w:val="24"/>
                <w:lang w:val="en-GB" w:eastAsia="en-GB"/>
              </w:rPr>
            </w:pPr>
            <w:r w:rsidRPr="00D12562">
              <w:rPr>
                <w:sz w:val="24"/>
                <w:lang w:val="en-GB" w:eastAsia="en-GB"/>
              </w:rPr>
              <w:t xml:space="preserve">471 </w:t>
            </w:r>
          </w:p>
        </w:tc>
        <w:tc>
          <w:tcPr>
            <w:tcW w:w="1260" w:type="dxa"/>
            <w:vAlign w:val="bottom"/>
          </w:tcPr>
          <w:p w14:paraId="34FB4BE1"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1CD78CF9" w14:textId="77777777" w:rsidTr="007418DE">
        <w:tblPrEx>
          <w:tblCellMar>
            <w:top w:w="0" w:type="dxa"/>
            <w:bottom w:w="0" w:type="dxa"/>
          </w:tblCellMar>
        </w:tblPrEx>
        <w:tc>
          <w:tcPr>
            <w:tcW w:w="6048" w:type="dxa"/>
            <w:vAlign w:val="bottom"/>
          </w:tcPr>
          <w:p w14:paraId="78A8364A"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Accessible Disability Resource Pack</w:t>
            </w:r>
          </w:p>
        </w:tc>
        <w:tc>
          <w:tcPr>
            <w:tcW w:w="1440" w:type="dxa"/>
            <w:vAlign w:val="bottom"/>
          </w:tcPr>
          <w:p w14:paraId="6837A8DF" w14:textId="77777777" w:rsidR="000230E8" w:rsidRPr="00D12562" w:rsidRDefault="000230E8" w:rsidP="000230E8">
            <w:pPr>
              <w:pStyle w:val="TableCell"/>
              <w:rPr>
                <w:sz w:val="24"/>
                <w:lang w:val="en-GB" w:eastAsia="en-GB"/>
              </w:rPr>
            </w:pPr>
            <w:r w:rsidRPr="00D12562">
              <w:rPr>
                <w:sz w:val="24"/>
                <w:lang w:val="en-GB" w:eastAsia="en-GB"/>
              </w:rPr>
              <w:t xml:space="preserve">89 </w:t>
            </w:r>
          </w:p>
        </w:tc>
        <w:tc>
          <w:tcPr>
            <w:tcW w:w="1260" w:type="dxa"/>
            <w:vAlign w:val="bottom"/>
          </w:tcPr>
          <w:p w14:paraId="3A5653BF" w14:textId="77777777" w:rsidR="000230E8" w:rsidRPr="00D12562" w:rsidRDefault="000230E8" w:rsidP="000230E8">
            <w:pPr>
              <w:pStyle w:val="TableCell"/>
              <w:rPr>
                <w:sz w:val="24"/>
                <w:lang w:val="en-GB" w:eastAsia="en-GB"/>
              </w:rPr>
            </w:pPr>
            <w:r w:rsidRPr="00D12562">
              <w:rPr>
                <w:sz w:val="24"/>
                <w:lang w:val="en-GB" w:eastAsia="en-GB"/>
              </w:rPr>
              <w:t xml:space="preserve">0 </w:t>
            </w:r>
          </w:p>
        </w:tc>
      </w:tr>
      <w:tr w:rsidR="000230E8" w:rsidRPr="00D12562" w14:paraId="5A9D3E37" w14:textId="77777777" w:rsidTr="007418DE">
        <w:tblPrEx>
          <w:tblCellMar>
            <w:top w:w="0" w:type="dxa"/>
            <w:bottom w:w="0" w:type="dxa"/>
          </w:tblCellMar>
        </w:tblPrEx>
        <w:tc>
          <w:tcPr>
            <w:tcW w:w="6048" w:type="dxa"/>
            <w:vAlign w:val="bottom"/>
          </w:tcPr>
          <w:p w14:paraId="1447E3FB"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Report on views of individuals with disabilities gathered through focus groups on independent/community living</w:t>
            </w:r>
          </w:p>
        </w:tc>
        <w:tc>
          <w:tcPr>
            <w:tcW w:w="1440" w:type="dxa"/>
            <w:vAlign w:val="bottom"/>
          </w:tcPr>
          <w:p w14:paraId="2501DE84"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53C2289F" w14:textId="77777777" w:rsidR="000230E8" w:rsidRPr="00D12562" w:rsidRDefault="000230E8" w:rsidP="000230E8">
            <w:pPr>
              <w:pStyle w:val="TableCell"/>
              <w:rPr>
                <w:sz w:val="24"/>
                <w:lang w:val="en-GB" w:eastAsia="en-GB"/>
              </w:rPr>
            </w:pPr>
            <w:r w:rsidRPr="00D12562">
              <w:rPr>
                <w:sz w:val="24"/>
                <w:lang w:val="en-GB" w:eastAsia="en-GB"/>
              </w:rPr>
              <w:t xml:space="preserve">42,750 </w:t>
            </w:r>
          </w:p>
        </w:tc>
      </w:tr>
      <w:tr w:rsidR="000230E8" w:rsidRPr="00D12562" w14:paraId="45BEC6DC" w14:textId="77777777" w:rsidTr="007418DE">
        <w:tblPrEx>
          <w:tblCellMar>
            <w:top w:w="0" w:type="dxa"/>
            <w:bottom w:w="0" w:type="dxa"/>
          </w:tblCellMar>
        </w:tblPrEx>
        <w:tc>
          <w:tcPr>
            <w:tcW w:w="6048" w:type="dxa"/>
            <w:vAlign w:val="bottom"/>
          </w:tcPr>
          <w:p w14:paraId="5D68B7BE"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Research re funding for PWD</w:t>
            </w:r>
          </w:p>
        </w:tc>
        <w:tc>
          <w:tcPr>
            <w:tcW w:w="1440" w:type="dxa"/>
            <w:vAlign w:val="bottom"/>
          </w:tcPr>
          <w:p w14:paraId="155DE638"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4E559EED" w14:textId="77777777" w:rsidR="000230E8" w:rsidRPr="00D12562" w:rsidRDefault="000230E8" w:rsidP="000230E8">
            <w:pPr>
              <w:pStyle w:val="TableCell"/>
              <w:rPr>
                <w:sz w:val="24"/>
                <w:lang w:val="en-GB" w:eastAsia="en-GB"/>
              </w:rPr>
            </w:pPr>
            <w:r w:rsidRPr="00D12562">
              <w:rPr>
                <w:sz w:val="24"/>
                <w:lang w:val="en-GB" w:eastAsia="en-GB"/>
              </w:rPr>
              <w:t xml:space="preserve">21,152 </w:t>
            </w:r>
          </w:p>
        </w:tc>
      </w:tr>
      <w:tr w:rsidR="000230E8" w:rsidRPr="00D12562" w14:paraId="4A68A507" w14:textId="77777777" w:rsidTr="007418DE">
        <w:tblPrEx>
          <w:tblCellMar>
            <w:top w:w="0" w:type="dxa"/>
            <w:bottom w:w="0" w:type="dxa"/>
          </w:tblCellMar>
        </w:tblPrEx>
        <w:tc>
          <w:tcPr>
            <w:tcW w:w="6048" w:type="dxa"/>
            <w:vAlign w:val="bottom"/>
          </w:tcPr>
          <w:p w14:paraId="42DFBAD1"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Research into health services for pregnant women with disabilities</w:t>
            </w:r>
          </w:p>
        </w:tc>
        <w:tc>
          <w:tcPr>
            <w:tcW w:w="1440" w:type="dxa"/>
            <w:vAlign w:val="bottom"/>
          </w:tcPr>
          <w:p w14:paraId="1C0EB60D"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7B6AC731" w14:textId="77777777" w:rsidR="000230E8" w:rsidRPr="00D12562" w:rsidRDefault="000230E8" w:rsidP="000230E8">
            <w:pPr>
              <w:pStyle w:val="TableCell"/>
              <w:rPr>
                <w:sz w:val="24"/>
                <w:lang w:val="en-GB" w:eastAsia="en-GB"/>
              </w:rPr>
            </w:pPr>
            <w:r w:rsidRPr="00D12562">
              <w:rPr>
                <w:sz w:val="24"/>
                <w:lang w:val="en-GB" w:eastAsia="en-GB"/>
              </w:rPr>
              <w:t xml:space="preserve">17,081 </w:t>
            </w:r>
          </w:p>
        </w:tc>
      </w:tr>
      <w:tr w:rsidR="000230E8" w:rsidRPr="00D12562" w14:paraId="2B8620E2" w14:textId="77777777" w:rsidTr="007418DE">
        <w:tblPrEx>
          <w:tblCellMar>
            <w:top w:w="0" w:type="dxa"/>
            <w:bottom w:w="0" w:type="dxa"/>
          </w:tblCellMar>
        </w:tblPrEx>
        <w:tc>
          <w:tcPr>
            <w:tcW w:w="6048" w:type="dxa"/>
            <w:vAlign w:val="bottom"/>
          </w:tcPr>
          <w:p w14:paraId="2B8FCBB2"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Abuse Project</w:t>
            </w:r>
          </w:p>
        </w:tc>
        <w:tc>
          <w:tcPr>
            <w:tcW w:w="1440" w:type="dxa"/>
            <w:vAlign w:val="bottom"/>
          </w:tcPr>
          <w:p w14:paraId="46863073"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24FD7BE1" w14:textId="77777777" w:rsidR="000230E8" w:rsidRPr="00D12562" w:rsidRDefault="000230E8" w:rsidP="000230E8">
            <w:pPr>
              <w:pStyle w:val="TableCell"/>
              <w:rPr>
                <w:sz w:val="24"/>
                <w:lang w:val="en-GB" w:eastAsia="en-GB"/>
              </w:rPr>
            </w:pPr>
            <w:r w:rsidRPr="00D12562">
              <w:rPr>
                <w:sz w:val="24"/>
                <w:lang w:val="en-GB" w:eastAsia="en-GB"/>
              </w:rPr>
              <w:t xml:space="preserve">12,960 </w:t>
            </w:r>
          </w:p>
        </w:tc>
      </w:tr>
      <w:tr w:rsidR="000230E8" w:rsidRPr="00D12562" w14:paraId="75A6B683" w14:textId="77777777" w:rsidTr="007418DE">
        <w:tblPrEx>
          <w:tblCellMar>
            <w:top w:w="0" w:type="dxa"/>
            <w:bottom w:w="0" w:type="dxa"/>
          </w:tblCellMar>
        </w:tblPrEx>
        <w:tc>
          <w:tcPr>
            <w:tcW w:w="6048" w:type="dxa"/>
            <w:vAlign w:val="bottom"/>
          </w:tcPr>
          <w:p w14:paraId="53A85624"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Research attitudes to Mental Health</w:t>
            </w:r>
          </w:p>
        </w:tc>
        <w:tc>
          <w:tcPr>
            <w:tcW w:w="1440" w:type="dxa"/>
            <w:vAlign w:val="bottom"/>
          </w:tcPr>
          <w:p w14:paraId="7BFD8D53"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492398B8" w14:textId="77777777" w:rsidR="000230E8" w:rsidRPr="00D12562" w:rsidRDefault="000230E8" w:rsidP="000230E8">
            <w:pPr>
              <w:pStyle w:val="TableCell"/>
              <w:rPr>
                <w:sz w:val="24"/>
                <w:lang w:val="en-GB" w:eastAsia="en-GB"/>
              </w:rPr>
            </w:pPr>
            <w:r w:rsidRPr="00D12562">
              <w:rPr>
                <w:sz w:val="24"/>
                <w:lang w:val="en-GB" w:eastAsia="en-GB"/>
              </w:rPr>
              <w:t xml:space="preserve">12,750 </w:t>
            </w:r>
          </w:p>
        </w:tc>
      </w:tr>
      <w:tr w:rsidR="000230E8" w:rsidRPr="00D12562" w14:paraId="388B6464" w14:textId="77777777" w:rsidTr="007418DE">
        <w:tblPrEx>
          <w:tblCellMar>
            <w:top w:w="0" w:type="dxa"/>
            <w:bottom w:w="0" w:type="dxa"/>
          </w:tblCellMar>
        </w:tblPrEx>
        <w:tc>
          <w:tcPr>
            <w:tcW w:w="6048" w:type="dxa"/>
            <w:vAlign w:val="bottom"/>
          </w:tcPr>
          <w:p w14:paraId="17B4C078"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Evacuation Related Upgrades</w:t>
            </w:r>
          </w:p>
        </w:tc>
        <w:tc>
          <w:tcPr>
            <w:tcW w:w="1440" w:type="dxa"/>
            <w:vAlign w:val="bottom"/>
          </w:tcPr>
          <w:p w14:paraId="0C487F42"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5446BB47" w14:textId="77777777" w:rsidR="000230E8" w:rsidRPr="00D12562" w:rsidRDefault="000230E8" w:rsidP="000230E8">
            <w:pPr>
              <w:pStyle w:val="TableCell"/>
              <w:rPr>
                <w:sz w:val="24"/>
                <w:lang w:val="en-GB" w:eastAsia="en-GB"/>
              </w:rPr>
            </w:pPr>
            <w:r w:rsidRPr="00D12562">
              <w:rPr>
                <w:sz w:val="24"/>
                <w:lang w:val="en-GB" w:eastAsia="en-GB"/>
              </w:rPr>
              <w:t xml:space="preserve">12,596 </w:t>
            </w:r>
          </w:p>
        </w:tc>
      </w:tr>
      <w:tr w:rsidR="000230E8" w:rsidRPr="00D12562" w14:paraId="1F00A285" w14:textId="77777777" w:rsidTr="007418DE">
        <w:tblPrEx>
          <w:tblCellMar>
            <w:top w:w="0" w:type="dxa"/>
            <w:bottom w:w="0" w:type="dxa"/>
          </w:tblCellMar>
        </w:tblPrEx>
        <w:tc>
          <w:tcPr>
            <w:tcW w:w="6048" w:type="dxa"/>
            <w:vAlign w:val="bottom"/>
          </w:tcPr>
          <w:p w14:paraId="569722C0"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Need to Knowledge Project</w:t>
            </w:r>
          </w:p>
        </w:tc>
        <w:tc>
          <w:tcPr>
            <w:tcW w:w="1440" w:type="dxa"/>
            <w:vAlign w:val="bottom"/>
          </w:tcPr>
          <w:p w14:paraId="7F1CF218"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14807476" w14:textId="77777777" w:rsidR="000230E8" w:rsidRPr="00D12562" w:rsidRDefault="000230E8" w:rsidP="000230E8">
            <w:pPr>
              <w:pStyle w:val="TableCell"/>
              <w:rPr>
                <w:sz w:val="24"/>
                <w:lang w:val="en-GB" w:eastAsia="en-GB"/>
              </w:rPr>
            </w:pPr>
            <w:r w:rsidRPr="00D12562">
              <w:rPr>
                <w:sz w:val="24"/>
                <w:lang w:val="en-GB" w:eastAsia="en-GB"/>
              </w:rPr>
              <w:t xml:space="preserve">10,000 </w:t>
            </w:r>
          </w:p>
        </w:tc>
      </w:tr>
      <w:tr w:rsidR="000230E8" w:rsidRPr="00D12562" w14:paraId="190E973B" w14:textId="77777777" w:rsidTr="007418DE">
        <w:tblPrEx>
          <w:tblCellMar>
            <w:top w:w="0" w:type="dxa"/>
            <w:bottom w:w="0" w:type="dxa"/>
          </w:tblCellMar>
        </w:tblPrEx>
        <w:tc>
          <w:tcPr>
            <w:tcW w:w="6048" w:type="dxa"/>
            <w:vAlign w:val="bottom"/>
          </w:tcPr>
          <w:p w14:paraId="76677F03"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UD In National Legislation workshop</w:t>
            </w:r>
          </w:p>
        </w:tc>
        <w:tc>
          <w:tcPr>
            <w:tcW w:w="1440" w:type="dxa"/>
            <w:vAlign w:val="bottom"/>
          </w:tcPr>
          <w:p w14:paraId="7B8086DB"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0CC267A3" w14:textId="77777777" w:rsidR="000230E8" w:rsidRPr="00D12562" w:rsidRDefault="000230E8" w:rsidP="000230E8">
            <w:pPr>
              <w:pStyle w:val="TableCell"/>
              <w:rPr>
                <w:sz w:val="24"/>
                <w:lang w:val="en-GB" w:eastAsia="en-GB"/>
              </w:rPr>
            </w:pPr>
            <w:r w:rsidRPr="00D12562">
              <w:rPr>
                <w:sz w:val="24"/>
                <w:lang w:val="en-GB" w:eastAsia="en-GB"/>
              </w:rPr>
              <w:t xml:space="preserve">9,685 </w:t>
            </w:r>
          </w:p>
        </w:tc>
      </w:tr>
      <w:tr w:rsidR="000230E8" w:rsidRPr="00D12562" w14:paraId="52CA2007" w14:textId="77777777" w:rsidTr="007418DE">
        <w:tblPrEx>
          <w:tblCellMar>
            <w:top w:w="0" w:type="dxa"/>
            <w:bottom w:w="0" w:type="dxa"/>
          </w:tblCellMar>
        </w:tblPrEx>
        <w:tc>
          <w:tcPr>
            <w:tcW w:w="6048" w:type="dxa"/>
            <w:vAlign w:val="bottom"/>
          </w:tcPr>
          <w:p w14:paraId="5FCC830E"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Shared Space Seminar &amp; Policy Paper</w:t>
            </w:r>
          </w:p>
        </w:tc>
        <w:tc>
          <w:tcPr>
            <w:tcW w:w="1440" w:type="dxa"/>
            <w:vAlign w:val="bottom"/>
          </w:tcPr>
          <w:p w14:paraId="43CC9B02"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1B637D49" w14:textId="77777777" w:rsidR="000230E8" w:rsidRPr="00D12562" w:rsidRDefault="000230E8" w:rsidP="000230E8">
            <w:pPr>
              <w:pStyle w:val="TableCell"/>
              <w:rPr>
                <w:sz w:val="24"/>
                <w:lang w:val="en-GB" w:eastAsia="en-GB"/>
              </w:rPr>
            </w:pPr>
            <w:r w:rsidRPr="00D12562">
              <w:rPr>
                <w:sz w:val="24"/>
                <w:lang w:val="en-GB" w:eastAsia="en-GB"/>
              </w:rPr>
              <w:t xml:space="preserve">4,930 </w:t>
            </w:r>
          </w:p>
        </w:tc>
      </w:tr>
      <w:tr w:rsidR="000230E8" w:rsidRPr="00D12562" w14:paraId="1D79339C" w14:textId="77777777" w:rsidTr="007418DE">
        <w:tblPrEx>
          <w:tblCellMar>
            <w:top w:w="0" w:type="dxa"/>
            <w:bottom w:w="0" w:type="dxa"/>
          </w:tblCellMar>
        </w:tblPrEx>
        <w:tc>
          <w:tcPr>
            <w:tcW w:w="6048" w:type="dxa"/>
            <w:vAlign w:val="bottom"/>
          </w:tcPr>
          <w:p w14:paraId="2F3B8376"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Communications Project</w:t>
            </w:r>
          </w:p>
        </w:tc>
        <w:tc>
          <w:tcPr>
            <w:tcW w:w="1440" w:type="dxa"/>
            <w:vAlign w:val="bottom"/>
          </w:tcPr>
          <w:p w14:paraId="192F1452"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3E2B4815" w14:textId="77777777" w:rsidR="000230E8" w:rsidRPr="00D12562" w:rsidRDefault="000230E8" w:rsidP="000230E8">
            <w:pPr>
              <w:pStyle w:val="TableCell"/>
              <w:rPr>
                <w:sz w:val="24"/>
                <w:lang w:val="en-GB" w:eastAsia="en-GB"/>
              </w:rPr>
            </w:pPr>
            <w:r w:rsidRPr="00D12562">
              <w:rPr>
                <w:sz w:val="24"/>
                <w:lang w:val="en-GB" w:eastAsia="en-GB"/>
              </w:rPr>
              <w:t xml:space="preserve">4,254 </w:t>
            </w:r>
          </w:p>
        </w:tc>
      </w:tr>
      <w:tr w:rsidR="000230E8" w:rsidRPr="00D12562" w14:paraId="0BE71999" w14:textId="77777777" w:rsidTr="007418DE">
        <w:tblPrEx>
          <w:tblCellMar>
            <w:top w:w="0" w:type="dxa"/>
            <w:bottom w:w="0" w:type="dxa"/>
          </w:tblCellMar>
        </w:tblPrEx>
        <w:tc>
          <w:tcPr>
            <w:tcW w:w="6048" w:type="dxa"/>
            <w:vAlign w:val="bottom"/>
          </w:tcPr>
          <w:p w14:paraId="4DBDA350"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BFE Seminar for Planners</w:t>
            </w:r>
          </w:p>
        </w:tc>
        <w:tc>
          <w:tcPr>
            <w:tcW w:w="1440" w:type="dxa"/>
            <w:vAlign w:val="bottom"/>
          </w:tcPr>
          <w:p w14:paraId="7F2F2460"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4E9381CB" w14:textId="77777777" w:rsidR="000230E8" w:rsidRPr="00D12562" w:rsidRDefault="000230E8" w:rsidP="000230E8">
            <w:pPr>
              <w:pStyle w:val="TableCell"/>
              <w:rPr>
                <w:sz w:val="24"/>
                <w:lang w:val="en-GB" w:eastAsia="en-GB"/>
              </w:rPr>
            </w:pPr>
            <w:r w:rsidRPr="00D12562">
              <w:rPr>
                <w:sz w:val="24"/>
                <w:lang w:val="en-GB" w:eastAsia="en-GB"/>
              </w:rPr>
              <w:t xml:space="preserve">3,956 </w:t>
            </w:r>
          </w:p>
        </w:tc>
      </w:tr>
      <w:tr w:rsidR="000230E8" w:rsidRPr="00D12562" w14:paraId="694CF0E1" w14:textId="77777777" w:rsidTr="007418DE">
        <w:tblPrEx>
          <w:tblCellMar>
            <w:top w:w="0" w:type="dxa"/>
            <w:bottom w:w="0" w:type="dxa"/>
          </w:tblCellMar>
        </w:tblPrEx>
        <w:tc>
          <w:tcPr>
            <w:tcW w:w="6048" w:type="dxa"/>
            <w:vAlign w:val="bottom"/>
          </w:tcPr>
          <w:p w14:paraId="3BCDB5AF"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Guidelines on Crisis Pregnancy Counselling</w:t>
            </w:r>
          </w:p>
        </w:tc>
        <w:tc>
          <w:tcPr>
            <w:tcW w:w="1440" w:type="dxa"/>
            <w:vAlign w:val="bottom"/>
          </w:tcPr>
          <w:p w14:paraId="5DBFCFC4"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22928033" w14:textId="77777777" w:rsidR="000230E8" w:rsidRPr="00D12562" w:rsidRDefault="000230E8" w:rsidP="000230E8">
            <w:pPr>
              <w:pStyle w:val="TableCell"/>
              <w:rPr>
                <w:sz w:val="24"/>
                <w:lang w:val="en-GB" w:eastAsia="en-GB"/>
              </w:rPr>
            </w:pPr>
            <w:r w:rsidRPr="00D12562">
              <w:rPr>
                <w:sz w:val="24"/>
                <w:lang w:val="en-GB" w:eastAsia="en-GB"/>
              </w:rPr>
              <w:t xml:space="preserve">2,439 </w:t>
            </w:r>
          </w:p>
        </w:tc>
      </w:tr>
      <w:tr w:rsidR="000230E8" w:rsidRPr="00D12562" w14:paraId="34305D06" w14:textId="77777777" w:rsidTr="007418DE">
        <w:tblPrEx>
          <w:tblCellMar>
            <w:top w:w="0" w:type="dxa"/>
            <w:bottom w:w="0" w:type="dxa"/>
          </w:tblCellMar>
        </w:tblPrEx>
        <w:tc>
          <w:tcPr>
            <w:tcW w:w="6048" w:type="dxa"/>
            <w:vAlign w:val="bottom"/>
          </w:tcPr>
          <w:p w14:paraId="47C1C519"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CEUD Advertisement</w:t>
            </w:r>
          </w:p>
        </w:tc>
        <w:tc>
          <w:tcPr>
            <w:tcW w:w="1440" w:type="dxa"/>
            <w:vAlign w:val="bottom"/>
          </w:tcPr>
          <w:p w14:paraId="6FB3365B"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49393EF0" w14:textId="77777777" w:rsidR="000230E8" w:rsidRPr="00D12562" w:rsidRDefault="000230E8" w:rsidP="000230E8">
            <w:pPr>
              <w:pStyle w:val="TableCell"/>
              <w:rPr>
                <w:sz w:val="24"/>
                <w:lang w:val="en-GB" w:eastAsia="en-GB"/>
              </w:rPr>
            </w:pPr>
            <w:r w:rsidRPr="00D12562">
              <w:rPr>
                <w:sz w:val="24"/>
                <w:lang w:val="en-GB" w:eastAsia="en-GB"/>
              </w:rPr>
              <w:t xml:space="preserve">2,420 </w:t>
            </w:r>
          </w:p>
        </w:tc>
      </w:tr>
      <w:tr w:rsidR="000230E8" w:rsidRPr="00D12562" w14:paraId="4D7279EF" w14:textId="77777777" w:rsidTr="007418DE">
        <w:tblPrEx>
          <w:tblCellMar>
            <w:top w:w="0" w:type="dxa"/>
            <w:bottom w:w="0" w:type="dxa"/>
          </w:tblCellMar>
        </w:tblPrEx>
        <w:tc>
          <w:tcPr>
            <w:tcW w:w="6048" w:type="dxa"/>
            <w:vAlign w:val="bottom"/>
          </w:tcPr>
          <w:p w14:paraId="3E6D6EDF"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Secondary School Guidance</w:t>
            </w:r>
          </w:p>
        </w:tc>
        <w:tc>
          <w:tcPr>
            <w:tcW w:w="1440" w:type="dxa"/>
            <w:vAlign w:val="bottom"/>
          </w:tcPr>
          <w:p w14:paraId="074323A0"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35BA76F6" w14:textId="77777777" w:rsidR="000230E8" w:rsidRPr="00D12562" w:rsidRDefault="000230E8" w:rsidP="000230E8">
            <w:pPr>
              <w:pStyle w:val="TableCell"/>
              <w:rPr>
                <w:sz w:val="24"/>
                <w:lang w:val="en-GB" w:eastAsia="en-GB"/>
              </w:rPr>
            </w:pPr>
            <w:r w:rsidRPr="00D12562">
              <w:rPr>
                <w:sz w:val="24"/>
                <w:lang w:val="en-GB" w:eastAsia="en-GB"/>
              </w:rPr>
              <w:t xml:space="preserve">1,758 </w:t>
            </w:r>
          </w:p>
        </w:tc>
      </w:tr>
      <w:tr w:rsidR="000230E8" w:rsidRPr="00D12562" w14:paraId="415637A7" w14:textId="77777777" w:rsidTr="007418DE">
        <w:tblPrEx>
          <w:tblCellMar>
            <w:top w:w="0" w:type="dxa"/>
            <w:bottom w:w="0" w:type="dxa"/>
          </w:tblCellMar>
        </w:tblPrEx>
        <w:tc>
          <w:tcPr>
            <w:tcW w:w="6048" w:type="dxa"/>
            <w:vAlign w:val="bottom"/>
          </w:tcPr>
          <w:p w14:paraId="3BBC9300"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NDA Advertisement</w:t>
            </w:r>
          </w:p>
        </w:tc>
        <w:tc>
          <w:tcPr>
            <w:tcW w:w="1440" w:type="dxa"/>
            <w:vAlign w:val="bottom"/>
          </w:tcPr>
          <w:p w14:paraId="4C604449"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242883D5" w14:textId="77777777" w:rsidR="000230E8" w:rsidRPr="00D12562" w:rsidRDefault="000230E8" w:rsidP="000230E8">
            <w:pPr>
              <w:pStyle w:val="TableCell"/>
              <w:rPr>
                <w:sz w:val="24"/>
                <w:lang w:val="en-GB" w:eastAsia="en-GB"/>
              </w:rPr>
            </w:pPr>
            <w:r w:rsidRPr="00D12562">
              <w:rPr>
                <w:sz w:val="24"/>
                <w:lang w:val="en-GB" w:eastAsia="en-GB"/>
              </w:rPr>
              <w:t xml:space="preserve">1,453 </w:t>
            </w:r>
          </w:p>
        </w:tc>
      </w:tr>
      <w:tr w:rsidR="000230E8" w:rsidRPr="00D12562" w14:paraId="77559458" w14:textId="77777777" w:rsidTr="007418DE">
        <w:tblPrEx>
          <w:tblCellMar>
            <w:top w:w="0" w:type="dxa"/>
            <w:bottom w:w="0" w:type="dxa"/>
          </w:tblCellMar>
        </w:tblPrEx>
        <w:tc>
          <w:tcPr>
            <w:tcW w:w="6048" w:type="dxa"/>
            <w:vAlign w:val="bottom"/>
          </w:tcPr>
          <w:p w14:paraId="23A1E121"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Rehabilitation International Roundtable</w:t>
            </w:r>
          </w:p>
        </w:tc>
        <w:tc>
          <w:tcPr>
            <w:tcW w:w="1440" w:type="dxa"/>
            <w:vAlign w:val="bottom"/>
          </w:tcPr>
          <w:p w14:paraId="14467234"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6D97E5BE" w14:textId="77777777" w:rsidR="000230E8" w:rsidRPr="00D12562" w:rsidRDefault="000230E8" w:rsidP="000230E8">
            <w:pPr>
              <w:pStyle w:val="TableCell"/>
              <w:rPr>
                <w:sz w:val="24"/>
                <w:lang w:val="en-GB" w:eastAsia="en-GB"/>
              </w:rPr>
            </w:pPr>
            <w:r w:rsidRPr="00D12562">
              <w:rPr>
                <w:sz w:val="24"/>
                <w:lang w:val="en-GB" w:eastAsia="en-GB"/>
              </w:rPr>
              <w:t xml:space="preserve">196 </w:t>
            </w:r>
          </w:p>
        </w:tc>
      </w:tr>
      <w:tr w:rsidR="000230E8" w:rsidRPr="00D12562" w14:paraId="3B1EB066" w14:textId="77777777" w:rsidTr="007418DE">
        <w:tblPrEx>
          <w:tblCellMar>
            <w:top w:w="0" w:type="dxa"/>
            <w:bottom w:w="0" w:type="dxa"/>
          </w:tblCellMar>
        </w:tblPrEx>
        <w:tc>
          <w:tcPr>
            <w:tcW w:w="6048" w:type="dxa"/>
            <w:vAlign w:val="bottom"/>
          </w:tcPr>
          <w:p w14:paraId="2928EA95"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Guidance on UD for Local Authorities</w:t>
            </w:r>
          </w:p>
        </w:tc>
        <w:tc>
          <w:tcPr>
            <w:tcW w:w="1440" w:type="dxa"/>
            <w:vAlign w:val="bottom"/>
          </w:tcPr>
          <w:p w14:paraId="21BC1E49"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48E2AD49" w14:textId="77777777" w:rsidR="000230E8" w:rsidRPr="00D12562" w:rsidRDefault="000230E8" w:rsidP="000230E8">
            <w:pPr>
              <w:pStyle w:val="TableCell"/>
              <w:rPr>
                <w:sz w:val="24"/>
                <w:lang w:val="en-GB" w:eastAsia="en-GB"/>
              </w:rPr>
            </w:pPr>
            <w:r w:rsidRPr="00D12562">
              <w:rPr>
                <w:sz w:val="24"/>
                <w:lang w:val="en-GB" w:eastAsia="en-GB"/>
              </w:rPr>
              <w:t xml:space="preserve">64 </w:t>
            </w:r>
          </w:p>
        </w:tc>
      </w:tr>
      <w:tr w:rsidR="000230E8" w:rsidRPr="00D12562" w14:paraId="72E41303" w14:textId="77777777" w:rsidTr="007418DE">
        <w:tblPrEx>
          <w:tblCellMar>
            <w:top w:w="0" w:type="dxa"/>
            <w:bottom w:w="0" w:type="dxa"/>
          </w:tblCellMar>
        </w:tblPrEx>
        <w:tc>
          <w:tcPr>
            <w:tcW w:w="6048" w:type="dxa"/>
            <w:vAlign w:val="bottom"/>
          </w:tcPr>
          <w:p w14:paraId="2361FB98" w14:textId="77777777" w:rsidR="000230E8" w:rsidRPr="009A0453" w:rsidRDefault="000230E8" w:rsidP="000230E8">
            <w:pPr>
              <w:pStyle w:val="TableRowHead"/>
              <w:rPr>
                <w:rFonts w:ascii="Gill Sans" w:hAnsi="Gill Sans"/>
                <w:sz w:val="24"/>
                <w:lang w:val="en-GB" w:eastAsia="en-GB"/>
              </w:rPr>
            </w:pPr>
            <w:r w:rsidRPr="009A0453">
              <w:rPr>
                <w:rFonts w:ascii="Gill Sans" w:hAnsi="Gill Sans"/>
                <w:sz w:val="24"/>
                <w:lang w:val="en-GB" w:eastAsia="en-GB"/>
              </w:rPr>
              <w:t>Publication of Health &amp; Safety Guidelines for Egress</w:t>
            </w:r>
          </w:p>
        </w:tc>
        <w:tc>
          <w:tcPr>
            <w:tcW w:w="1440" w:type="dxa"/>
            <w:vAlign w:val="bottom"/>
          </w:tcPr>
          <w:p w14:paraId="00FDB516" w14:textId="77777777" w:rsidR="000230E8" w:rsidRPr="00D12562" w:rsidRDefault="000230E8" w:rsidP="000230E8">
            <w:pPr>
              <w:pStyle w:val="TableCell"/>
              <w:rPr>
                <w:sz w:val="24"/>
                <w:lang w:val="en-GB" w:eastAsia="en-GB"/>
              </w:rPr>
            </w:pPr>
            <w:r w:rsidRPr="00D12562">
              <w:rPr>
                <w:sz w:val="24"/>
                <w:lang w:val="en-GB" w:eastAsia="en-GB"/>
              </w:rPr>
              <w:t xml:space="preserve">0 </w:t>
            </w:r>
          </w:p>
        </w:tc>
        <w:tc>
          <w:tcPr>
            <w:tcW w:w="1260" w:type="dxa"/>
            <w:vAlign w:val="bottom"/>
          </w:tcPr>
          <w:p w14:paraId="2018CFAE" w14:textId="77777777" w:rsidR="000230E8" w:rsidRPr="00D12562" w:rsidRDefault="000230E8" w:rsidP="000230E8">
            <w:pPr>
              <w:pStyle w:val="TableCell"/>
              <w:rPr>
                <w:sz w:val="24"/>
                <w:lang w:val="en-GB" w:eastAsia="en-GB"/>
              </w:rPr>
            </w:pPr>
            <w:r w:rsidRPr="00D12562">
              <w:rPr>
                <w:sz w:val="24"/>
                <w:lang w:val="en-GB" w:eastAsia="en-GB"/>
              </w:rPr>
              <w:t>(1,000)</w:t>
            </w:r>
          </w:p>
        </w:tc>
      </w:tr>
      <w:tr w:rsidR="000230E8" w:rsidRPr="00D12562" w14:paraId="65AA9E2D" w14:textId="77777777" w:rsidTr="007418DE">
        <w:tblPrEx>
          <w:tblCellMar>
            <w:top w:w="0" w:type="dxa"/>
            <w:bottom w:w="0" w:type="dxa"/>
          </w:tblCellMar>
        </w:tblPrEx>
        <w:tc>
          <w:tcPr>
            <w:tcW w:w="6048" w:type="dxa"/>
            <w:vAlign w:val="bottom"/>
          </w:tcPr>
          <w:p w14:paraId="32BA4666" w14:textId="77777777" w:rsidR="000230E8" w:rsidRPr="009A0453" w:rsidRDefault="000230E8" w:rsidP="000230E8">
            <w:pPr>
              <w:pStyle w:val="TableRowHead"/>
              <w:rPr>
                <w:rFonts w:ascii="Gill Sans" w:hAnsi="Gill Sans"/>
                <w:sz w:val="24"/>
                <w:lang w:val="en-GB" w:eastAsia="en-GB"/>
              </w:rPr>
            </w:pPr>
          </w:p>
        </w:tc>
        <w:tc>
          <w:tcPr>
            <w:tcW w:w="1440" w:type="dxa"/>
            <w:vAlign w:val="bottom"/>
          </w:tcPr>
          <w:p w14:paraId="2F2B934B" w14:textId="77777777" w:rsidR="000230E8" w:rsidRPr="004961A0" w:rsidRDefault="000230E8" w:rsidP="000230E8">
            <w:pPr>
              <w:pStyle w:val="TableCell"/>
              <w:rPr>
                <w:b/>
                <w:sz w:val="24"/>
                <w:lang w:val="en-GB" w:eastAsia="en-GB"/>
              </w:rPr>
            </w:pPr>
            <w:r w:rsidRPr="004961A0">
              <w:rPr>
                <w:b/>
                <w:sz w:val="24"/>
                <w:lang w:val="en-GB" w:eastAsia="en-GB"/>
              </w:rPr>
              <w:t xml:space="preserve">968,216 </w:t>
            </w:r>
          </w:p>
        </w:tc>
        <w:tc>
          <w:tcPr>
            <w:tcW w:w="1260" w:type="dxa"/>
            <w:vAlign w:val="bottom"/>
          </w:tcPr>
          <w:p w14:paraId="35BE6EBA" w14:textId="77777777" w:rsidR="000230E8" w:rsidRPr="004961A0" w:rsidRDefault="000230E8" w:rsidP="000230E8">
            <w:pPr>
              <w:pStyle w:val="TableCell"/>
              <w:rPr>
                <w:b/>
                <w:sz w:val="24"/>
                <w:lang w:val="en-GB" w:eastAsia="en-GB"/>
              </w:rPr>
            </w:pPr>
            <w:r w:rsidRPr="004961A0">
              <w:rPr>
                <w:b/>
                <w:sz w:val="24"/>
                <w:lang w:val="en-GB" w:eastAsia="en-GB"/>
              </w:rPr>
              <w:t xml:space="preserve">468,863 </w:t>
            </w:r>
          </w:p>
        </w:tc>
      </w:tr>
    </w:tbl>
    <w:p w14:paraId="5D82FE8F" w14:textId="77777777" w:rsidR="000230E8" w:rsidRDefault="000230E8" w:rsidP="000230E8">
      <w:pPr>
        <w:pStyle w:val="Heading2"/>
        <w:rPr>
          <w:lang w:val="en-GB" w:eastAsia="en-GB"/>
        </w:rPr>
      </w:pPr>
      <w:r>
        <w:rPr>
          <w:lang w:val="en-GB" w:eastAsia="en-GB"/>
        </w:rPr>
        <w:br w:type="page"/>
      </w:r>
      <w:bookmarkStart w:id="246" w:name="_Toc335836397"/>
      <w:r w:rsidRPr="009A0453">
        <w:rPr>
          <w:lang w:val="en-GB" w:eastAsia="en-GB"/>
        </w:rPr>
        <w:lastRenderedPageBreak/>
        <w:t>4. Payroll Costs</w:t>
      </w:r>
      <w:bookmarkEnd w:id="24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6048"/>
        <w:gridCol w:w="1440"/>
        <w:gridCol w:w="1368"/>
      </w:tblGrid>
      <w:tr w:rsidR="000230E8" w:rsidRPr="004961A0" w14:paraId="2BAF58BB" w14:textId="77777777" w:rsidTr="007418DE">
        <w:tblPrEx>
          <w:tblCellMar>
            <w:top w:w="0" w:type="dxa"/>
            <w:bottom w:w="0" w:type="dxa"/>
          </w:tblCellMar>
        </w:tblPrEx>
        <w:trPr>
          <w:tblHeader/>
        </w:trPr>
        <w:tc>
          <w:tcPr>
            <w:tcW w:w="6048" w:type="dxa"/>
            <w:shd w:val="clear" w:color="auto" w:fill="auto"/>
            <w:vAlign w:val="bottom"/>
          </w:tcPr>
          <w:p w14:paraId="056CA877" w14:textId="77777777" w:rsidR="000230E8" w:rsidRPr="004961A0" w:rsidRDefault="000230E8" w:rsidP="000230E8">
            <w:pPr>
              <w:spacing w:after="0"/>
              <w:rPr>
                <w:rFonts w:cs="Arial"/>
                <w:sz w:val="24"/>
                <w:lang w:val="en-GB" w:eastAsia="en-GB"/>
              </w:rPr>
            </w:pPr>
          </w:p>
        </w:tc>
        <w:tc>
          <w:tcPr>
            <w:tcW w:w="1440" w:type="dxa"/>
            <w:shd w:val="clear" w:color="auto" w:fill="auto"/>
            <w:vAlign w:val="bottom"/>
          </w:tcPr>
          <w:p w14:paraId="3487A204" w14:textId="77777777" w:rsidR="000230E8" w:rsidRPr="004961A0" w:rsidRDefault="000230E8" w:rsidP="000230E8">
            <w:pPr>
              <w:pStyle w:val="TableHead"/>
              <w:jc w:val="right"/>
              <w:rPr>
                <w:lang w:val="en-GB" w:eastAsia="en-GB"/>
              </w:rPr>
            </w:pPr>
            <w:r w:rsidRPr="004961A0">
              <w:rPr>
                <w:lang w:val="en-GB" w:eastAsia="en-GB"/>
              </w:rPr>
              <w:t>2011</w:t>
            </w:r>
          </w:p>
        </w:tc>
        <w:tc>
          <w:tcPr>
            <w:tcW w:w="1368" w:type="dxa"/>
            <w:shd w:val="clear" w:color="auto" w:fill="auto"/>
            <w:vAlign w:val="bottom"/>
          </w:tcPr>
          <w:p w14:paraId="525F438D" w14:textId="77777777" w:rsidR="000230E8" w:rsidRPr="004961A0" w:rsidRDefault="000230E8" w:rsidP="000230E8">
            <w:pPr>
              <w:pStyle w:val="TableHead"/>
              <w:jc w:val="right"/>
              <w:rPr>
                <w:lang w:val="en-GB" w:eastAsia="en-GB"/>
              </w:rPr>
            </w:pPr>
            <w:r w:rsidRPr="004961A0">
              <w:rPr>
                <w:lang w:val="en-GB" w:eastAsia="en-GB"/>
              </w:rPr>
              <w:t>2010</w:t>
            </w:r>
          </w:p>
        </w:tc>
      </w:tr>
      <w:tr w:rsidR="000230E8" w:rsidRPr="004961A0" w14:paraId="6C65A936" w14:textId="77777777" w:rsidTr="007418DE">
        <w:tblPrEx>
          <w:tblCellMar>
            <w:top w:w="0" w:type="dxa"/>
            <w:bottom w:w="0" w:type="dxa"/>
          </w:tblCellMar>
        </w:tblPrEx>
        <w:tc>
          <w:tcPr>
            <w:tcW w:w="6048" w:type="dxa"/>
            <w:shd w:val="clear" w:color="auto" w:fill="auto"/>
            <w:vAlign w:val="bottom"/>
          </w:tcPr>
          <w:p w14:paraId="00EBD5FA" w14:textId="77777777" w:rsidR="000230E8" w:rsidRPr="004961A0" w:rsidRDefault="000230E8" w:rsidP="000230E8">
            <w:pPr>
              <w:spacing w:after="0"/>
              <w:rPr>
                <w:rFonts w:cs="Arial"/>
                <w:sz w:val="24"/>
                <w:lang w:val="en-GB" w:eastAsia="en-GB"/>
              </w:rPr>
            </w:pPr>
          </w:p>
        </w:tc>
        <w:tc>
          <w:tcPr>
            <w:tcW w:w="1440" w:type="dxa"/>
            <w:shd w:val="clear" w:color="auto" w:fill="auto"/>
            <w:vAlign w:val="bottom"/>
          </w:tcPr>
          <w:p w14:paraId="727C9BB4" w14:textId="77777777" w:rsidR="000230E8" w:rsidRPr="004961A0" w:rsidRDefault="000230E8" w:rsidP="000230E8">
            <w:pPr>
              <w:spacing w:after="0"/>
              <w:jc w:val="right"/>
              <w:rPr>
                <w:rFonts w:cs="Arial"/>
                <w:sz w:val="24"/>
                <w:lang w:val="en-GB" w:eastAsia="en-GB"/>
              </w:rPr>
            </w:pPr>
            <w:r w:rsidRPr="004961A0">
              <w:rPr>
                <w:rFonts w:ascii="Arial" w:hAnsi="Arial" w:cs="Arial"/>
                <w:sz w:val="24"/>
                <w:lang w:val="en-GB" w:eastAsia="en-GB"/>
              </w:rPr>
              <w:t>€</w:t>
            </w:r>
          </w:p>
        </w:tc>
        <w:tc>
          <w:tcPr>
            <w:tcW w:w="1368" w:type="dxa"/>
            <w:shd w:val="clear" w:color="auto" w:fill="auto"/>
            <w:vAlign w:val="bottom"/>
          </w:tcPr>
          <w:p w14:paraId="316E37F6" w14:textId="77777777" w:rsidR="000230E8" w:rsidRPr="004961A0" w:rsidRDefault="000230E8" w:rsidP="000230E8">
            <w:pPr>
              <w:spacing w:after="0"/>
              <w:jc w:val="right"/>
              <w:rPr>
                <w:rFonts w:cs="Arial"/>
                <w:sz w:val="24"/>
                <w:lang w:val="en-GB" w:eastAsia="en-GB"/>
              </w:rPr>
            </w:pPr>
            <w:r w:rsidRPr="004961A0">
              <w:rPr>
                <w:rFonts w:ascii="Arial" w:hAnsi="Arial" w:cs="Arial"/>
                <w:sz w:val="24"/>
                <w:lang w:val="en-GB" w:eastAsia="en-GB"/>
              </w:rPr>
              <w:t>€</w:t>
            </w:r>
          </w:p>
        </w:tc>
      </w:tr>
      <w:tr w:rsidR="000230E8" w:rsidRPr="004961A0" w14:paraId="2455FE79" w14:textId="77777777" w:rsidTr="007418DE">
        <w:tblPrEx>
          <w:tblCellMar>
            <w:top w:w="0" w:type="dxa"/>
            <w:bottom w:w="0" w:type="dxa"/>
          </w:tblCellMar>
        </w:tblPrEx>
        <w:tc>
          <w:tcPr>
            <w:tcW w:w="6048" w:type="dxa"/>
            <w:shd w:val="clear" w:color="auto" w:fill="auto"/>
            <w:vAlign w:val="bottom"/>
          </w:tcPr>
          <w:p w14:paraId="13197C73" w14:textId="77777777" w:rsidR="000230E8" w:rsidRPr="004961A0" w:rsidRDefault="000230E8" w:rsidP="000230E8">
            <w:pPr>
              <w:pStyle w:val="TableRowHead"/>
              <w:rPr>
                <w:rFonts w:ascii="Gill Sans" w:hAnsi="Gill Sans"/>
                <w:sz w:val="24"/>
                <w:lang w:val="en-GB" w:eastAsia="en-GB"/>
              </w:rPr>
            </w:pPr>
            <w:r w:rsidRPr="004961A0">
              <w:rPr>
                <w:rFonts w:ascii="Gill Sans" w:hAnsi="Gill Sans"/>
                <w:sz w:val="24"/>
                <w:lang w:val="en-GB" w:eastAsia="en-GB"/>
              </w:rPr>
              <w:t>NDA Staff Pay</w:t>
            </w:r>
          </w:p>
        </w:tc>
        <w:tc>
          <w:tcPr>
            <w:tcW w:w="1440" w:type="dxa"/>
            <w:shd w:val="clear" w:color="auto" w:fill="auto"/>
            <w:vAlign w:val="bottom"/>
          </w:tcPr>
          <w:p w14:paraId="53C7F6C2" w14:textId="77777777" w:rsidR="000230E8" w:rsidRPr="00821780" w:rsidRDefault="000230E8" w:rsidP="000230E8">
            <w:pPr>
              <w:pStyle w:val="TableCell"/>
              <w:rPr>
                <w:sz w:val="24"/>
                <w:lang w:val="en-GB" w:eastAsia="en-GB"/>
              </w:rPr>
            </w:pPr>
            <w:r w:rsidRPr="00821780">
              <w:rPr>
                <w:sz w:val="24"/>
                <w:lang w:val="en-GB" w:eastAsia="en-GB"/>
              </w:rPr>
              <w:t>2,097,591</w:t>
            </w:r>
          </w:p>
        </w:tc>
        <w:tc>
          <w:tcPr>
            <w:tcW w:w="1368" w:type="dxa"/>
            <w:shd w:val="clear" w:color="auto" w:fill="auto"/>
            <w:vAlign w:val="bottom"/>
          </w:tcPr>
          <w:p w14:paraId="3952460C" w14:textId="77777777" w:rsidR="000230E8" w:rsidRPr="004961A0" w:rsidRDefault="000230E8" w:rsidP="000230E8">
            <w:pPr>
              <w:pStyle w:val="TableCell"/>
              <w:rPr>
                <w:sz w:val="24"/>
                <w:lang w:val="en-GB" w:eastAsia="en-GB"/>
              </w:rPr>
            </w:pPr>
            <w:r w:rsidRPr="004961A0">
              <w:rPr>
                <w:sz w:val="24"/>
                <w:lang w:val="en-GB" w:eastAsia="en-GB"/>
              </w:rPr>
              <w:t xml:space="preserve">2,230,067 </w:t>
            </w:r>
          </w:p>
        </w:tc>
      </w:tr>
      <w:tr w:rsidR="000230E8" w:rsidRPr="004961A0" w14:paraId="52675853" w14:textId="77777777" w:rsidTr="007418DE">
        <w:tblPrEx>
          <w:tblCellMar>
            <w:top w:w="0" w:type="dxa"/>
            <w:bottom w:w="0" w:type="dxa"/>
          </w:tblCellMar>
        </w:tblPrEx>
        <w:tc>
          <w:tcPr>
            <w:tcW w:w="6048" w:type="dxa"/>
            <w:shd w:val="clear" w:color="auto" w:fill="auto"/>
            <w:vAlign w:val="bottom"/>
          </w:tcPr>
          <w:p w14:paraId="12101FB5" w14:textId="77777777" w:rsidR="000230E8" w:rsidRPr="004961A0" w:rsidRDefault="000230E8" w:rsidP="000230E8">
            <w:pPr>
              <w:pStyle w:val="TableRowHead"/>
              <w:rPr>
                <w:rFonts w:ascii="Gill Sans" w:hAnsi="Gill Sans"/>
                <w:sz w:val="24"/>
                <w:lang w:val="en-GB" w:eastAsia="en-GB"/>
              </w:rPr>
            </w:pPr>
            <w:r w:rsidRPr="004961A0">
              <w:rPr>
                <w:rFonts w:ascii="Gill Sans" w:hAnsi="Gill Sans"/>
                <w:sz w:val="24"/>
                <w:lang w:val="en-GB" w:eastAsia="en-GB"/>
              </w:rPr>
              <w:t>Agency Staff</w:t>
            </w:r>
          </w:p>
        </w:tc>
        <w:tc>
          <w:tcPr>
            <w:tcW w:w="1440" w:type="dxa"/>
            <w:shd w:val="clear" w:color="auto" w:fill="auto"/>
            <w:vAlign w:val="bottom"/>
          </w:tcPr>
          <w:p w14:paraId="0F9D1BA1" w14:textId="77777777" w:rsidR="000230E8" w:rsidRPr="004961A0" w:rsidRDefault="000230E8" w:rsidP="000230E8">
            <w:pPr>
              <w:pStyle w:val="TableCell"/>
              <w:rPr>
                <w:sz w:val="24"/>
                <w:lang w:val="en-GB" w:eastAsia="en-GB"/>
              </w:rPr>
            </w:pPr>
            <w:r w:rsidRPr="004961A0">
              <w:rPr>
                <w:sz w:val="24"/>
                <w:lang w:val="en-GB" w:eastAsia="en-GB"/>
              </w:rPr>
              <w:t xml:space="preserve">1,639 </w:t>
            </w:r>
          </w:p>
        </w:tc>
        <w:tc>
          <w:tcPr>
            <w:tcW w:w="1368" w:type="dxa"/>
            <w:shd w:val="clear" w:color="auto" w:fill="auto"/>
            <w:vAlign w:val="bottom"/>
          </w:tcPr>
          <w:p w14:paraId="19399DCC" w14:textId="77777777" w:rsidR="000230E8" w:rsidRPr="004961A0" w:rsidRDefault="000230E8" w:rsidP="000230E8">
            <w:pPr>
              <w:pStyle w:val="TableCell"/>
              <w:rPr>
                <w:sz w:val="24"/>
                <w:lang w:val="en-GB" w:eastAsia="en-GB"/>
              </w:rPr>
            </w:pPr>
            <w:r w:rsidRPr="004961A0">
              <w:rPr>
                <w:sz w:val="24"/>
                <w:lang w:val="en-GB" w:eastAsia="en-GB"/>
              </w:rPr>
              <w:t xml:space="preserve">5,471 </w:t>
            </w:r>
          </w:p>
        </w:tc>
      </w:tr>
      <w:tr w:rsidR="000230E8" w:rsidRPr="004961A0" w14:paraId="02B72F22" w14:textId="77777777" w:rsidTr="007418DE">
        <w:tblPrEx>
          <w:tblCellMar>
            <w:top w:w="0" w:type="dxa"/>
            <w:bottom w:w="0" w:type="dxa"/>
          </w:tblCellMar>
        </w:tblPrEx>
        <w:tc>
          <w:tcPr>
            <w:tcW w:w="6048" w:type="dxa"/>
            <w:shd w:val="clear" w:color="auto" w:fill="auto"/>
            <w:vAlign w:val="bottom"/>
          </w:tcPr>
          <w:p w14:paraId="61B4515A" w14:textId="77777777" w:rsidR="000230E8" w:rsidRPr="004961A0" w:rsidRDefault="000230E8" w:rsidP="000230E8">
            <w:pPr>
              <w:spacing w:after="0"/>
              <w:rPr>
                <w:rFonts w:cs="Arial"/>
                <w:sz w:val="24"/>
                <w:lang w:val="en-GB" w:eastAsia="en-GB"/>
              </w:rPr>
            </w:pPr>
          </w:p>
        </w:tc>
        <w:tc>
          <w:tcPr>
            <w:tcW w:w="1440" w:type="dxa"/>
            <w:shd w:val="clear" w:color="auto" w:fill="auto"/>
            <w:vAlign w:val="bottom"/>
          </w:tcPr>
          <w:p w14:paraId="5DA1C46F" w14:textId="77777777" w:rsidR="000230E8" w:rsidRPr="004961A0" w:rsidRDefault="000230E8" w:rsidP="000230E8">
            <w:pPr>
              <w:pStyle w:val="TableCell"/>
              <w:rPr>
                <w:b/>
                <w:sz w:val="24"/>
                <w:lang w:val="en-GB" w:eastAsia="en-GB"/>
              </w:rPr>
            </w:pPr>
            <w:r w:rsidRPr="004961A0">
              <w:rPr>
                <w:b/>
                <w:sz w:val="24"/>
                <w:lang w:val="en-GB" w:eastAsia="en-GB"/>
              </w:rPr>
              <w:t>2,0</w:t>
            </w:r>
            <w:r>
              <w:rPr>
                <w:b/>
                <w:sz w:val="24"/>
                <w:lang w:val="en-GB" w:eastAsia="en-GB"/>
              </w:rPr>
              <w:t>99</w:t>
            </w:r>
            <w:r w:rsidRPr="004961A0">
              <w:rPr>
                <w:b/>
                <w:sz w:val="24"/>
                <w:lang w:val="en-GB" w:eastAsia="en-GB"/>
              </w:rPr>
              <w:t>,</w:t>
            </w:r>
            <w:r>
              <w:rPr>
                <w:b/>
                <w:sz w:val="24"/>
                <w:lang w:val="en-GB" w:eastAsia="en-GB"/>
              </w:rPr>
              <w:t>230</w:t>
            </w:r>
            <w:r w:rsidRPr="004961A0">
              <w:rPr>
                <w:b/>
                <w:sz w:val="24"/>
                <w:lang w:val="en-GB" w:eastAsia="en-GB"/>
              </w:rPr>
              <w:t xml:space="preserve"> </w:t>
            </w:r>
          </w:p>
        </w:tc>
        <w:tc>
          <w:tcPr>
            <w:tcW w:w="1368" w:type="dxa"/>
            <w:shd w:val="clear" w:color="auto" w:fill="auto"/>
            <w:vAlign w:val="bottom"/>
          </w:tcPr>
          <w:p w14:paraId="21F9AEE4" w14:textId="77777777" w:rsidR="000230E8" w:rsidRPr="004961A0" w:rsidRDefault="000230E8" w:rsidP="000230E8">
            <w:pPr>
              <w:pStyle w:val="TableCell"/>
              <w:rPr>
                <w:b/>
                <w:sz w:val="24"/>
                <w:lang w:val="en-GB" w:eastAsia="en-GB"/>
              </w:rPr>
            </w:pPr>
            <w:r w:rsidRPr="004961A0">
              <w:rPr>
                <w:b/>
                <w:sz w:val="24"/>
                <w:lang w:val="en-GB" w:eastAsia="en-GB"/>
              </w:rPr>
              <w:t xml:space="preserve">2,235,538 </w:t>
            </w:r>
          </w:p>
        </w:tc>
      </w:tr>
    </w:tbl>
    <w:p w14:paraId="4897D7B5" w14:textId="77777777" w:rsidR="000230E8" w:rsidRDefault="000230E8" w:rsidP="000230E8">
      <w:pPr>
        <w:rPr>
          <w:lang w:val="en-GB" w:eastAsia="en-GB"/>
        </w:rPr>
      </w:pPr>
      <w:r w:rsidRPr="009A0453">
        <w:rPr>
          <w:lang w:val="en-GB" w:eastAsia="en-GB"/>
        </w:rPr>
        <w:t>The average number of staff employed by the Authority in the year was 32.5 (2010: 36)</w:t>
      </w:r>
    </w:p>
    <w:p w14:paraId="043B28FB" w14:textId="77777777" w:rsidR="000230E8" w:rsidRPr="004961A0" w:rsidRDefault="000230E8" w:rsidP="000230E8">
      <w:pPr>
        <w:pStyle w:val="Heading3"/>
      </w:pPr>
      <w:bookmarkStart w:id="247" w:name="_Toc335836398"/>
      <w:r w:rsidRPr="009A0453">
        <w:rPr>
          <w:lang w:val="en-GB" w:eastAsia="en-GB"/>
        </w:rPr>
        <w:t>Director's Remuneration</w:t>
      </w:r>
      <w:bookmarkEnd w:id="247"/>
    </w:p>
    <w:p w14:paraId="6C9FD0B7" w14:textId="77777777" w:rsidR="000230E8" w:rsidRDefault="000230E8" w:rsidP="000230E8">
      <w:pPr>
        <w:rPr>
          <w:lang w:val="en-GB" w:eastAsia="en-GB"/>
        </w:rPr>
      </w:pPr>
      <w:r w:rsidRPr="004961A0">
        <w:t xml:space="preserve">The Director was paid a salary in 2011 of </w:t>
      </w:r>
      <w:r w:rsidRPr="004961A0">
        <w:rPr>
          <w:rFonts w:ascii="Arial" w:hAnsi="Arial" w:cs="Arial"/>
        </w:rPr>
        <w:t>€</w:t>
      </w:r>
      <w:r w:rsidRPr="004961A0">
        <w:rPr>
          <w:rFonts w:cs="Gill Sans"/>
        </w:rPr>
        <w:t xml:space="preserve">99,236 (2010: </w:t>
      </w:r>
      <w:r w:rsidRPr="004961A0">
        <w:rPr>
          <w:rFonts w:ascii="Arial" w:hAnsi="Arial" w:cs="Arial"/>
        </w:rPr>
        <w:t>€</w:t>
      </w:r>
      <w:r w:rsidRPr="004961A0">
        <w:rPr>
          <w:rFonts w:cs="Gill Sans"/>
        </w:rPr>
        <w:t xml:space="preserve">98,054 including arrears of </w:t>
      </w:r>
      <w:r w:rsidRPr="004961A0">
        <w:rPr>
          <w:rFonts w:ascii="Arial" w:hAnsi="Arial" w:cs="Arial"/>
        </w:rPr>
        <w:t>€</w:t>
      </w:r>
      <w:r>
        <w:rPr>
          <w:rFonts w:cs="Gill Sans"/>
        </w:rPr>
        <w:t xml:space="preserve">5,035) </w:t>
      </w:r>
      <w:r w:rsidRPr="004961A0">
        <w:rPr>
          <w:rFonts w:cs="Gill Sans"/>
        </w:rPr>
        <w:t xml:space="preserve">on the Civil Service Principal Officer Scale. No other payment was made in the year to the Director </w:t>
      </w:r>
      <w:proofErr w:type="gramStart"/>
      <w:r w:rsidRPr="004961A0">
        <w:rPr>
          <w:rFonts w:cs="Gill Sans"/>
        </w:rPr>
        <w:t>in the nature of pay</w:t>
      </w:r>
      <w:proofErr w:type="gramEnd"/>
      <w:r w:rsidRPr="004961A0">
        <w:rPr>
          <w:rFonts w:cs="Gill Sans"/>
        </w:rPr>
        <w:t xml:space="preserve">. </w:t>
      </w:r>
      <w:r w:rsidRPr="00C31B12">
        <w:rPr>
          <w:lang w:val="en-GB" w:eastAsia="en-GB"/>
        </w:rPr>
        <w:t>The Director is a member of an unfunded defined benefit public sector scheme and her entitlements do not extend beyond the standard entitlements available under such a scheme.</w:t>
      </w:r>
    </w:p>
    <w:p w14:paraId="4A16EAC6" w14:textId="77777777" w:rsidR="000230E8" w:rsidRDefault="000230E8" w:rsidP="000230E8">
      <w:pPr>
        <w:pStyle w:val="Heading2"/>
        <w:rPr>
          <w:lang w:val="en-GB" w:eastAsia="en-GB"/>
        </w:rPr>
      </w:pPr>
      <w:r>
        <w:rPr>
          <w:lang w:val="en-GB" w:eastAsia="en-GB"/>
        </w:rPr>
        <w:br w:type="page"/>
      </w:r>
      <w:bookmarkStart w:id="248" w:name="_Toc335836399"/>
      <w:r w:rsidRPr="004961A0">
        <w:rPr>
          <w:lang w:val="en-GB" w:eastAsia="en-GB"/>
        </w:rPr>
        <w:lastRenderedPageBreak/>
        <w:t>5. Administration Costs</w:t>
      </w:r>
      <w:bookmarkEnd w:id="248"/>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428"/>
        <w:gridCol w:w="1500"/>
        <w:gridCol w:w="1500"/>
        <w:gridCol w:w="1500"/>
      </w:tblGrid>
      <w:tr w:rsidR="000230E8" w:rsidRPr="004961A0" w14:paraId="493DA407" w14:textId="77777777" w:rsidTr="007418DE">
        <w:tblPrEx>
          <w:tblCellMar>
            <w:top w:w="0" w:type="dxa"/>
            <w:bottom w:w="0" w:type="dxa"/>
          </w:tblCellMar>
        </w:tblPrEx>
        <w:trPr>
          <w:tblHeader/>
        </w:trPr>
        <w:tc>
          <w:tcPr>
            <w:tcW w:w="4428" w:type="dxa"/>
            <w:shd w:val="clear" w:color="auto" w:fill="auto"/>
          </w:tcPr>
          <w:p w14:paraId="6C399627" w14:textId="77777777" w:rsidR="000230E8" w:rsidRPr="004961A0" w:rsidRDefault="000230E8" w:rsidP="000230E8">
            <w:pPr>
              <w:pStyle w:val="TableHead"/>
              <w:jc w:val="right"/>
            </w:pPr>
          </w:p>
        </w:tc>
        <w:tc>
          <w:tcPr>
            <w:tcW w:w="1500" w:type="dxa"/>
            <w:shd w:val="clear" w:color="auto" w:fill="auto"/>
          </w:tcPr>
          <w:p w14:paraId="78424968" w14:textId="77777777" w:rsidR="000230E8" w:rsidRPr="0055051C" w:rsidRDefault="000230E8" w:rsidP="000230E8">
            <w:pPr>
              <w:pStyle w:val="TableHead"/>
              <w:jc w:val="right"/>
              <w:rPr>
                <w:sz w:val="24"/>
              </w:rPr>
            </w:pPr>
            <w:r w:rsidRPr="0055051C">
              <w:rPr>
                <w:sz w:val="24"/>
              </w:rPr>
              <w:t>Notes</w:t>
            </w:r>
          </w:p>
        </w:tc>
        <w:tc>
          <w:tcPr>
            <w:tcW w:w="1500" w:type="dxa"/>
            <w:shd w:val="clear" w:color="auto" w:fill="auto"/>
            <w:vAlign w:val="bottom"/>
          </w:tcPr>
          <w:p w14:paraId="220702B5" w14:textId="77777777" w:rsidR="000230E8" w:rsidRPr="004961A0" w:rsidRDefault="000230E8" w:rsidP="000230E8">
            <w:pPr>
              <w:pStyle w:val="TableHead"/>
              <w:jc w:val="right"/>
              <w:rPr>
                <w:rFonts w:cs="Arial"/>
                <w:bCs/>
                <w:sz w:val="24"/>
                <w:lang w:val="en-GB" w:eastAsia="en-GB"/>
              </w:rPr>
            </w:pPr>
            <w:r w:rsidRPr="004961A0">
              <w:rPr>
                <w:rFonts w:cs="Arial"/>
                <w:bCs/>
                <w:sz w:val="24"/>
                <w:lang w:val="en-GB" w:eastAsia="en-GB"/>
              </w:rPr>
              <w:t>2011</w:t>
            </w:r>
          </w:p>
        </w:tc>
        <w:tc>
          <w:tcPr>
            <w:tcW w:w="1500" w:type="dxa"/>
            <w:shd w:val="clear" w:color="auto" w:fill="auto"/>
            <w:vAlign w:val="bottom"/>
          </w:tcPr>
          <w:p w14:paraId="01FFB133" w14:textId="77777777" w:rsidR="000230E8" w:rsidRPr="004961A0" w:rsidRDefault="000230E8" w:rsidP="000230E8">
            <w:pPr>
              <w:pStyle w:val="TableHead"/>
              <w:jc w:val="right"/>
              <w:rPr>
                <w:rFonts w:cs="Arial"/>
                <w:bCs/>
                <w:sz w:val="24"/>
                <w:lang w:val="en-GB" w:eastAsia="en-GB"/>
              </w:rPr>
            </w:pPr>
            <w:r w:rsidRPr="004961A0">
              <w:rPr>
                <w:rFonts w:cs="Arial"/>
                <w:bCs/>
                <w:sz w:val="24"/>
                <w:lang w:val="en-GB" w:eastAsia="en-GB"/>
              </w:rPr>
              <w:t>2010</w:t>
            </w:r>
          </w:p>
        </w:tc>
      </w:tr>
      <w:tr w:rsidR="000230E8" w:rsidRPr="004961A0" w14:paraId="1F9B3B66" w14:textId="77777777" w:rsidTr="007418DE">
        <w:tblPrEx>
          <w:tblCellMar>
            <w:top w:w="0" w:type="dxa"/>
            <w:bottom w:w="0" w:type="dxa"/>
          </w:tblCellMar>
        </w:tblPrEx>
        <w:tc>
          <w:tcPr>
            <w:tcW w:w="4428" w:type="dxa"/>
            <w:shd w:val="clear" w:color="auto" w:fill="auto"/>
          </w:tcPr>
          <w:p w14:paraId="5CCA8AB8" w14:textId="77777777" w:rsidR="000230E8" w:rsidRPr="004961A0" w:rsidRDefault="000230E8" w:rsidP="000230E8">
            <w:pPr>
              <w:pStyle w:val="TableRowHead"/>
            </w:pPr>
          </w:p>
        </w:tc>
        <w:tc>
          <w:tcPr>
            <w:tcW w:w="1500" w:type="dxa"/>
            <w:shd w:val="clear" w:color="auto" w:fill="auto"/>
          </w:tcPr>
          <w:p w14:paraId="61388E15" w14:textId="77777777" w:rsidR="000230E8" w:rsidRPr="004961A0" w:rsidRDefault="000230E8" w:rsidP="000230E8">
            <w:pPr>
              <w:pStyle w:val="TableCell"/>
            </w:pPr>
          </w:p>
        </w:tc>
        <w:tc>
          <w:tcPr>
            <w:tcW w:w="1500" w:type="dxa"/>
            <w:shd w:val="clear" w:color="auto" w:fill="auto"/>
            <w:vAlign w:val="bottom"/>
          </w:tcPr>
          <w:p w14:paraId="51AFA248" w14:textId="77777777" w:rsidR="000230E8" w:rsidRPr="004961A0" w:rsidRDefault="000230E8" w:rsidP="000230E8">
            <w:pPr>
              <w:spacing w:after="0"/>
              <w:jc w:val="right"/>
              <w:rPr>
                <w:rFonts w:cs="Arial"/>
                <w:sz w:val="24"/>
                <w:lang w:val="en-GB" w:eastAsia="en-GB"/>
              </w:rPr>
            </w:pPr>
            <w:r w:rsidRPr="004961A0">
              <w:rPr>
                <w:rFonts w:cs="Arial"/>
                <w:sz w:val="24"/>
                <w:lang w:val="en-GB" w:eastAsia="en-GB"/>
              </w:rPr>
              <w:t xml:space="preserve">     </w:t>
            </w:r>
            <w:r w:rsidRPr="004961A0">
              <w:rPr>
                <w:rFonts w:ascii="Arial" w:hAnsi="Arial" w:cs="Arial"/>
                <w:sz w:val="24"/>
                <w:lang w:val="en-GB" w:eastAsia="en-GB"/>
              </w:rPr>
              <w:t>€</w:t>
            </w:r>
          </w:p>
        </w:tc>
        <w:tc>
          <w:tcPr>
            <w:tcW w:w="1500" w:type="dxa"/>
            <w:shd w:val="clear" w:color="auto" w:fill="auto"/>
            <w:vAlign w:val="bottom"/>
          </w:tcPr>
          <w:p w14:paraId="59F17826" w14:textId="77777777" w:rsidR="000230E8" w:rsidRPr="004961A0" w:rsidRDefault="000230E8" w:rsidP="000230E8">
            <w:pPr>
              <w:spacing w:after="0"/>
              <w:jc w:val="right"/>
              <w:rPr>
                <w:rFonts w:cs="Arial"/>
                <w:sz w:val="24"/>
                <w:lang w:val="en-GB" w:eastAsia="en-GB"/>
              </w:rPr>
            </w:pPr>
            <w:r w:rsidRPr="004961A0">
              <w:rPr>
                <w:rFonts w:cs="Arial"/>
                <w:sz w:val="24"/>
                <w:lang w:val="en-GB" w:eastAsia="en-GB"/>
              </w:rPr>
              <w:t xml:space="preserve">     </w:t>
            </w:r>
            <w:r w:rsidRPr="004961A0">
              <w:rPr>
                <w:rFonts w:ascii="Arial" w:hAnsi="Arial" w:cs="Arial"/>
                <w:sz w:val="24"/>
                <w:lang w:val="en-GB" w:eastAsia="en-GB"/>
              </w:rPr>
              <w:t>€</w:t>
            </w:r>
          </w:p>
        </w:tc>
      </w:tr>
      <w:tr w:rsidR="000230E8" w:rsidRPr="004961A0" w14:paraId="53EFFA19" w14:textId="77777777" w:rsidTr="007418DE">
        <w:tblPrEx>
          <w:tblCellMar>
            <w:top w:w="0" w:type="dxa"/>
            <w:bottom w:w="0" w:type="dxa"/>
          </w:tblCellMar>
        </w:tblPrEx>
        <w:tc>
          <w:tcPr>
            <w:tcW w:w="4428" w:type="dxa"/>
            <w:shd w:val="clear" w:color="auto" w:fill="auto"/>
            <w:vAlign w:val="bottom"/>
          </w:tcPr>
          <w:p w14:paraId="2142799F"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Travel</w:t>
            </w:r>
          </w:p>
        </w:tc>
        <w:tc>
          <w:tcPr>
            <w:tcW w:w="1500" w:type="dxa"/>
            <w:shd w:val="clear" w:color="auto" w:fill="auto"/>
            <w:vAlign w:val="bottom"/>
          </w:tcPr>
          <w:p w14:paraId="0E4079C5"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5A8C2619" w14:textId="77777777" w:rsidR="000230E8" w:rsidRPr="0055051C" w:rsidRDefault="000230E8" w:rsidP="000230E8">
            <w:pPr>
              <w:pStyle w:val="TableCell"/>
              <w:rPr>
                <w:sz w:val="24"/>
                <w:lang w:val="en-GB" w:eastAsia="en-GB"/>
              </w:rPr>
            </w:pPr>
            <w:r w:rsidRPr="0055051C">
              <w:rPr>
                <w:sz w:val="24"/>
                <w:lang w:val="en-GB" w:eastAsia="en-GB"/>
              </w:rPr>
              <w:t>28,001</w:t>
            </w:r>
          </w:p>
        </w:tc>
        <w:tc>
          <w:tcPr>
            <w:tcW w:w="1500" w:type="dxa"/>
            <w:shd w:val="clear" w:color="auto" w:fill="auto"/>
            <w:vAlign w:val="bottom"/>
          </w:tcPr>
          <w:p w14:paraId="4D9E7B60" w14:textId="77777777" w:rsidR="000230E8" w:rsidRPr="0055051C" w:rsidRDefault="000230E8" w:rsidP="000230E8">
            <w:pPr>
              <w:pStyle w:val="TableCell"/>
              <w:rPr>
                <w:sz w:val="24"/>
                <w:lang w:val="en-GB" w:eastAsia="en-GB"/>
              </w:rPr>
            </w:pPr>
            <w:r w:rsidRPr="0055051C">
              <w:rPr>
                <w:sz w:val="24"/>
                <w:lang w:val="en-GB" w:eastAsia="en-GB"/>
              </w:rPr>
              <w:t>28,612</w:t>
            </w:r>
          </w:p>
        </w:tc>
      </w:tr>
      <w:tr w:rsidR="000230E8" w:rsidRPr="004961A0" w14:paraId="3DA7BF76" w14:textId="77777777" w:rsidTr="007418DE">
        <w:tblPrEx>
          <w:tblCellMar>
            <w:top w:w="0" w:type="dxa"/>
            <w:bottom w:w="0" w:type="dxa"/>
          </w:tblCellMar>
        </w:tblPrEx>
        <w:tc>
          <w:tcPr>
            <w:tcW w:w="4428" w:type="dxa"/>
            <w:shd w:val="clear" w:color="auto" w:fill="auto"/>
            <w:vAlign w:val="bottom"/>
          </w:tcPr>
          <w:p w14:paraId="385A8453"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Training</w:t>
            </w:r>
          </w:p>
        </w:tc>
        <w:tc>
          <w:tcPr>
            <w:tcW w:w="1500" w:type="dxa"/>
            <w:shd w:val="clear" w:color="auto" w:fill="auto"/>
            <w:vAlign w:val="bottom"/>
          </w:tcPr>
          <w:p w14:paraId="03932592"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3F14F51B" w14:textId="77777777" w:rsidR="000230E8" w:rsidRPr="0055051C" w:rsidRDefault="000230E8" w:rsidP="000230E8">
            <w:pPr>
              <w:pStyle w:val="TableCell"/>
              <w:rPr>
                <w:sz w:val="24"/>
                <w:lang w:val="en-GB" w:eastAsia="en-GB"/>
              </w:rPr>
            </w:pPr>
            <w:r w:rsidRPr="0055051C">
              <w:rPr>
                <w:sz w:val="24"/>
                <w:lang w:val="en-GB" w:eastAsia="en-GB"/>
              </w:rPr>
              <w:t>23,729</w:t>
            </w:r>
          </w:p>
        </w:tc>
        <w:tc>
          <w:tcPr>
            <w:tcW w:w="1500" w:type="dxa"/>
            <w:shd w:val="clear" w:color="auto" w:fill="auto"/>
            <w:vAlign w:val="bottom"/>
          </w:tcPr>
          <w:p w14:paraId="220BE6F3" w14:textId="77777777" w:rsidR="000230E8" w:rsidRPr="0055051C" w:rsidRDefault="000230E8" w:rsidP="000230E8">
            <w:pPr>
              <w:pStyle w:val="TableCell"/>
              <w:rPr>
                <w:sz w:val="24"/>
                <w:lang w:val="en-GB" w:eastAsia="en-GB"/>
              </w:rPr>
            </w:pPr>
            <w:r w:rsidRPr="0055051C">
              <w:rPr>
                <w:sz w:val="24"/>
                <w:lang w:val="en-GB" w:eastAsia="en-GB"/>
              </w:rPr>
              <w:t>17,331</w:t>
            </w:r>
          </w:p>
        </w:tc>
      </w:tr>
      <w:tr w:rsidR="000230E8" w:rsidRPr="004961A0" w14:paraId="32F46F13" w14:textId="77777777" w:rsidTr="007418DE">
        <w:tblPrEx>
          <w:tblCellMar>
            <w:top w:w="0" w:type="dxa"/>
            <w:bottom w:w="0" w:type="dxa"/>
          </w:tblCellMar>
        </w:tblPrEx>
        <w:tc>
          <w:tcPr>
            <w:tcW w:w="4428" w:type="dxa"/>
            <w:shd w:val="clear" w:color="auto" w:fill="auto"/>
            <w:vAlign w:val="bottom"/>
          </w:tcPr>
          <w:p w14:paraId="6768DAC5"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Conference / Seminar Fees</w:t>
            </w:r>
          </w:p>
        </w:tc>
        <w:tc>
          <w:tcPr>
            <w:tcW w:w="1500" w:type="dxa"/>
            <w:shd w:val="clear" w:color="auto" w:fill="auto"/>
            <w:vAlign w:val="bottom"/>
          </w:tcPr>
          <w:p w14:paraId="3C9DADA7"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081BC3B3" w14:textId="77777777" w:rsidR="000230E8" w:rsidRPr="0055051C" w:rsidRDefault="000230E8" w:rsidP="000230E8">
            <w:pPr>
              <w:pStyle w:val="TableCell"/>
              <w:rPr>
                <w:sz w:val="24"/>
                <w:lang w:val="en-GB" w:eastAsia="en-GB"/>
              </w:rPr>
            </w:pPr>
            <w:r w:rsidRPr="0055051C">
              <w:rPr>
                <w:sz w:val="24"/>
                <w:lang w:val="en-GB" w:eastAsia="en-GB"/>
              </w:rPr>
              <w:t>5,022</w:t>
            </w:r>
          </w:p>
        </w:tc>
        <w:tc>
          <w:tcPr>
            <w:tcW w:w="1500" w:type="dxa"/>
            <w:shd w:val="clear" w:color="auto" w:fill="auto"/>
            <w:vAlign w:val="bottom"/>
          </w:tcPr>
          <w:p w14:paraId="2C2F7050" w14:textId="77777777" w:rsidR="000230E8" w:rsidRPr="0055051C" w:rsidRDefault="000230E8" w:rsidP="000230E8">
            <w:pPr>
              <w:pStyle w:val="TableCell"/>
              <w:rPr>
                <w:sz w:val="24"/>
                <w:lang w:val="en-GB" w:eastAsia="en-GB"/>
              </w:rPr>
            </w:pPr>
            <w:r w:rsidRPr="0055051C">
              <w:rPr>
                <w:sz w:val="24"/>
                <w:lang w:val="en-GB" w:eastAsia="en-GB"/>
              </w:rPr>
              <w:t>6,707</w:t>
            </w:r>
          </w:p>
        </w:tc>
      </w:tr>
      <w:tr w:rsidR="000230E8" w:rsidRPr="004961A0" w14:paraId="05C9609E" w14:textId="77777777" w:rsidTr="007418DE">
        <w:tblPrEx>
          <w:tblCellMar>
            <w:top w:w="0" w:type="dxa"/>
            <w:bottom w:w="0" w:type="dxa"/>
          </w:tblCellMar>
        </w:tblPrEx>
        <w:tc>
          <w:tcPr>
            <w:tcW w:w="4428" w:type="dxa"/>
            <w:shd w:val="clear" w:color="auto" w:fill="auto"/>
            <w:vAlign w:val="bottom"/>
          </w:tcPr>
          <w:p w14:paraId="665606B7"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Authority Fees &amp; Expenses</w:t>
            </w:r>
          </w:p>
        </w:tc>
        <w:tc>
          <w:tcPr>
            <w:tcW w:w="1500" w:type="dxa"/>
            <w:shd w:val="clear" w:color="auto" w:fill="auto"/>
            <w:vAlign w:val="bottom"/>
          </w:tcPr>
          <w:p w14:paraId="0D4C7A04" w14:textId="77777777" w:rsidR="000230E8" w:rsidRPr="0055051C" w:rsidRDefault="000230E8" w:rsidP="000230E8">
            <w:pPr>
              <w:pStyle w:val="TableCell"/>
              <w:rPr>
                <w:sz w:val="24"/>
                <w:lang w:val="en-GB" w:eastAsia="en-GB"/>
              </w:rPr>
            </w:pPr>
            <w:r w:rsidRPr="0055051C">
              <w:rPr>
                <w:sz w:val="24"/>
                <w:lang w:val="en-GB" w:eastAsia="en-GB"/>
              </w:rPr>
              <w:t>6</w:t>
            </w:r>
          </w:p>
        </w:tc>
        <w:tc>
          <w:tcPr>
            <w:tcW w:w="1500" w:type="dxa"/>
            <w:shd w:val="clear" w:color="auto" w:fill="auto"/>
            <w:vAlign w:val="bottom"/>
          </w:tcPr>
          <w:p w14:paraId="49F1B5A2" w14:textId="77777777" w:rsidR="000230E8" w:rsidRPr="0055051C" w:rsidRDefault="000230E8" w:rsidP="000230E8">
            <w:pPr>
              <w:pStyle w:val="TableCell"/>
              <w:rPr>
                <w:sz w:val="24"/>
                <w:lang w:val="en-GB" w:eastAsia="en-GB"/>
              </w:rPr>
            </w:pPr>
            <w:r w:rsidRPr="0055051C">
              <w:rPr>
                <w:sz w:val="24"/>
                <w:lang w:val="en-GB" w:eastAsia="en-GB"/>
              </w:rPr>
              <w:t>85,721</w:t>
            </w:r>
          </w:p>
        </w:tc>
        <w:tc>
          <w:tcPr>
            <w:tcW w:w="1500" w:type="dxa"/>
            <w:shd w:val="clear" w:color="auto" w:fill="auto"/>
            <w:vAlign w:val="bottom"/>
          </w:tcPr>
          <w:p w14:paraId="58D1DAF2" w14:textId="77777777" w:rsidR="000230E8" w:rsidRPr="0055051C" w:rsidRDefault="000230E8" w:rsidP="000230E8">
            <w:pPr>
              <w:pStyle w:val="TableCell"/>
              <w:rPr>
                <w:sz w:val="24"/>
                <w:lang w:val="en-GB" w:eastAsia="en-GB"/>
              </w:rPr>
            </w:pPr>
            <w:r w:rsidRPr="0055051C">
              <w:rPr>
                <w:sz w:val="24"/>
                <w:lang w:val="en-GB" w:eastAsia="en-GB"/>
              </w:rPr>
              <w:t>70,736</w:t>
            </w:r>
          </w:p>
        </w:tc>
      </w:tr>
      <w:tr w:rsidR="000230E8" w:rsidRPr="004961A0" w14:paraId="675B54A1" w14:textId="77777777" w:rsidTr="007418DE">
        <w:tblPrEx>
          <w:tblCellMar>
            <w:top w:w="0" w:type="dxa"/>
            <w:bottom w:w="0" w:type="dxa"/>
          </w:tblCellMar>
        </w:tblPrEx>
        <w:tc>
          <w:tcPr>
            <w:tcW w:w="4428" w:type="dxa"/>
            <w:shd w:val="clear" w:color="auto" w:fill="auto"/>
            <w:vAlign w:val="bottom"/>
          </w:tcPr>
          <w:p w14:paraId="198C33B1"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Audit fee</w:t>
            </w:r>
          </w:p>
        </w:tc>
        <w:tc>
          <w:tcPr>
            <w:tcW w:w="1500" w:type="dxa"/>
            <w:shd w:val="clear" w:color="auto" w:fill="auto"/>
            <w:vAlign w:val="bottom"/>
          </w:tcPr>
          <w:p w14:paraId="32A7B9CF"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67900FFD" w14:textId="77777777" w:rsidR="000230E8" w:rsidRPr="0055051C" w:rsidRDefault="000230E8" w:rsidP="000230E8">
            <w:pPr>
              <w:pStyle w:val="TableCell"/>
              <w:rPr>
                <w:sz w:val="24"/>
                <w:lang w:val="en-GB" w:eastAsia="en-GB"/>
              </w:rPr>
            </w:pPr>
            <w:r w:rsidRPr="0055051C">
              <w:rPr>
                <w:sz w:val="24"/>
                <w:lang w:val="en-GB" w:eastAsia="en-GB"/>
              </w:rPr>
              <w:t>17,240</w:t>
            </w:r>
          </w:p>
        </w:tc>
        <w:tc>
          <w:tcPr>
            <w:tcW w:w="1500" w:type="dxa"/>
            <w:shd w:val="clear" w:color="auto" w:fill="auto"/>
            <w:vAlign w:val="bottom"/>
          </w:tcPr>
          <w:p w14:paraId="1CC25C4A" w14:textId="77777777" w:rsidR="000230E8" w:rsidRPr="0055051C" w:rsidRDefault="000230E8" w:rsidP="000230E8">
            <w:pPr>
              <w:pStyle w:val="TableCell"/>
              <w:rPr>
                <w:sz w:val="24"/>
                <w:lang w:val="en-GB" w:eastAsia="en-GB"/>
              </w:rPr>
            </w:pPr>
            <w:r w:rsidRPr="0055051C">
              <w:rPr>
                <w:sz w:val="24"/>
                <w:lang w:val="en-GB" w:eastAsia="en-GB"/>
              </w:rPr>
              <w:t>18,620</w:t>
            </w:r>
          </w:p>
        </w:tc>
      </w:tr>
      <w:tr w:rsidR="000230E8" w:rsidRPr="004961A0" w14:paraId="18A26E75" w14:textId="77777777" w:rsidTr="007418DE">
        <w:tblPrEx>
          <w:tblCellMar>
            <w:top w:w="0" w:type="dxa"/>
            <w:bottom w:w="0" w:type="dxa"/>
          </w:tblCellMar>
        </w:tblPrEx>
        <w:tc>
          <w:tcPr>
            <w:tcW w:w="4428" w:type="dxa"/>
            <w:shd w:val="clear" w:color="auto" w:fill="auto"/>
            <w:vAlign w:val="bottom"/>
          </w:tcPr>
          <w:p w14:paraId="35CA84D9"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Bank Interest / Charges</w:t>
            </w:r>
          </w:p>
        </w:tc>
        <w:tc>
          <w:tcPr>
            <w:tcW w:w="1500" w:type="dxa"/>
            <w:shd w:val="clear" w:color="auto" w:fill="auto"/>
            <w:vAlign w:val="bottom"/>
          </w:tcPr>
          <w:p w14:paraId="355742F0"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6FAFBD50" w14:textId="77777777" w:rsidR="000230E8" w:rsidRPr="0055051C" w:rsidRDefault="000230E8" w:rsidP="000230E8">
            <w:pPr>
              <w:pStyle w:val="TableCell"/>
              <w:rPr>
                <w:sz w:val="24"/>
                <w:lang w:val="en-GB" w:eastAsia="en-GB"/>
              </w:rPr>
            </w:pPr>
            <w:r w:rsidRPr="0055051C">
              <w:rPr>
                <w:sz w:val="24"/>
                <w:lang w:val="en-GB" w:eastAsia="en-GB"/>
              </w:rPr>
              <w:t>585</w:t>
            </w:r>
          </w:p>
        </w:tc>
        <w:tc>
          <w:tcPr>
            <w:tcW w:w="1500" w:type="dxa"/>
            <w:shd w:val="clear" w:color="auto" w:fill="auto"/>
            <w:vAlign w:val="bottom"/>
          </w:tcPr>
          <w:p w14:paraId="43FE94E2" w14:textId="77777777" w:rsidR="000230E8" w:rsidRPr="0055051C" w:rsidRDefault="000230E8" w:rsidP="000230E8">
            <w:pPr>
              <w:pStyle w:val="TableCell"/>
              <w:rPr>
                <w:sz w:val="24"/>
                <w:lang w:val="en-GB" w:eastAsia="en-GB"/>
              </w:rPr>
            </w:pPr>
            <w:r w:rsidRPr="0055051C">
              <w:rPr>
                <w:sz w:val="24"/>
                <w:lang w:val="en-GB" w:eastAsia="en-GB"/>
              </w:rPr>
              <w:t>497</w:t>
            </w:r>
          </w:p>
        </w:tc>
      </w:tr>
      <w:tr w:rsidR="000230E8" w:rsidRPr="004961A0" w14:paraId="05B4A3F6" w14:textId="77777777" w:rsidTr="007418DE">
        <w:tblPrEx>
          <w:tblCellMar>
            <w:top w:w="0" w:type="dxa"/>
            <w:bottom w:w="0" w:type="dxa"/>
          </w:tblCellMar>
        </w:tblPrEx>
        <w:tc>
          <w:tcPr>
            <w:tcW w:w="4428" w:type="dxa"/>
            <w:shd w:val="clear" w:color="auto" w:fill="auto"/>
            <w:vAlign w:val="bottom"/>
          </w:tcPr>
          <w:p w14:paraId="2A743581"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Canteen/meals</w:t>
            </w:r>
          </w:p>
        </w:tc>
        <w:tc>
          <w:tcPr>
            <w:tcW w:w="1500" w:type="dxa"/>
            <w:shd w:val="clear" w:color="auto" w:fill="auto"/>
            <w:vAlign w:val="bottom"/>
          </w:tcPr>
          <w:p w14:paraId="473555C7"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64288ACF" w14:textId="77777777" w:rsidR="000230E8" w:rsidRPr="0055051C" w:rsidRDefault="000230E8" w:rsidP="000230E8">
            <w:pPr>
              <w:pStyle w:val="TableCell"/>
              <w:rPr>
                <w:sz w:val="24"/>
                <w:lang w:val="en-GB" w:eastAsia="en-GB"/>
              </w:rPr>
            </w:pPr>
            <w:r w:rsidRPr="0055051C">
              <w:rPr>
                <w:sz w:val="24"/>
                <w:lang w:val="en-GB" w:eastAsia="en-GB"/>
              </w:rPr>
              <w:t>59,563</w:t>
            </w:r>
          </w:p>
        </w:tc>
        <w:tc>
          <w:tcPr>
            <w:tcW w:w="1500" w:type="dxa"/>
            <w:shd w:val="clear" w:color="auto" w:fill="auto"/>
            <w:vAlign w:val="bottom"/>
          </w:tcPr>
          <w:p w14:paraId="02620709" w14:textId="77777777" w:rsidR="000230E8" w:rsidRPr="0055051C" w:rsidRDefault="000230E8" w:rsidP="000230E8">
            <w:pPr>
              <w:pStyle w:val="TableCell"/>
              <w:rPr>
                <w:sz w:val="24"/>
                <w:lang w:val="en-GB" w:eastAsia="en-GB"/>
              </w:rPr>
            </w:pPr>
            <w:r w:rsidRPr="0055051C">
              <w:rPr>
                <w:sz w:val="24"/>
                <w:lang w:val="en-GB" w:eastAsia="en-GB"/>
              </w:rPr>
              <w:t>80,654</w:t>
            </w:r>
          </w:p>
        </w:tc>
      </w:tr>
      <w:tr w:rsidR="000230E8" w:rsidRPr="004961A0" w14:paraId="69F1F4FB" w14:textId="77777777" w:rsidTr="007418DE">
        <w:tblPrEx>
          <w:tblCellMar>
            <w:top w:w="0" w:type="dxa"/>
            <w:bottom w:w="0" w:type="dxa"/>
          </w:tblCellMar>
        </w:tblPrEx>
        <w:tc>
          <w:tcPr>
            <w:tcW w:w="4428" w:type="dxa"/>
            <w:shd w:val="clear" w:color="auto" w:fill="auto"/>
            <w:vAlign w:val="bottom"/>
          </w:tcPr>
          <w:p w14:paraId="7E02D6FA"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Cleaning / Domestic</w:t>
            </w:r>
          </w:p>
        </w:tc>
        <w:tc>
          <w:tcPr>
            <w:tcW w:w="1500" w:type="dxa"/>
            <w:shd w:val="clear" w:color="auto" w:fill="auto"/>
            <w:vAlign w:val="bottom"/>
          </w:tcPr>
          <w:p w14:paraId="4DFE3803"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2CB797BE" w14:textId="77777777" w:rsidR="000230E8" w:rsidRPr="0055051C" w:rsidRDefault="000230E8" w:rsidP="000230E8">
            <w:pPr>
              <w:pStyle w:val="TableCell"/>
              <w:rPr>
                <w:sz w:val="24"/>
                <w:lang w:val="en-GB" w:eastAsia="en-GB"/>
              </w:rPr>
            </w:pPr>
            <w:r w:rsidRPr="0055051C">
              <w:rPr>
                <w:sz w:val="24"/>
                <w:lang w:val="en-GB" w:eastAsia="en-GB"/>
              </w:rPr>
              <w:t>56,522</w:t>
            </w:r>
          </w:p>
        </w:tc>
        <w:tc>
          <w:tcPr>
            <w:tcW w:w="1500" w:type="dxa"/>
            <w:shd w:val="clear" w:color="auto" w:fill="auto"/>
            <w:vAlign w:val="bottom"/>
          </w:tcPr>
          <w:p w14:paraId="1A4526E6" w14:textId="77777777" w:rsidR="000230E8" w:rsidRPr="0055051C" w:rsidRDefault="000230E8" w:rsidP="000230E8">
            <w:pPr>
              <w:pStyle w:val="TableCell"/>
              <w:rPr>
                <w:sz w:val="24"/>
                <w:lang w:val="en-GB" w:eastAsia="en-GB"/>
              </w:rPr>
            </w:pPr>
            <w:r w:rsidRPr="0055051C">
              <w:rPr>
                <w:sz w:val="24"/>
                <w:lang w:val="en-GB" w:eastAsia="en-GB"/>
              </w:rPr>
              <w:t>50,508</w:t>
            </w:r>
          </w:p>
        </w:tc>
      </w:tr>
      <w:tr w:rsidR="000230E8" w:rsidRPr="004961A0" w14:paraId="2E91BCC3" w14:textId="77777777" w:rsidTr="007418DE">
        <w:tblPrEx>
          <w:tblCellMar>
            <w:top w:w="0" w:type="dxa"/>
            <w:bottom w:w="0" w:type="dxa"/>
          </w:tblCellMar>
        </w:tblPrEx>
        <w:tc>
          <w:tcPr>
            <w:tcW w:w="4428" w:type="dxa"/>
            <w:shd w:val="clear" w:color="auto" w:fill="auto"/>
            <w:vAlign w:val="bottom"/>
          </w:tcPr>
          <w:p w14:paraId="02504091"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 xml:space="preserve">Computer Software </w:t>
            </w:r>
            <w:proofErr w:type="gramStart"/>
            <w:r w:rsidRPr="0055051C">
              <w:rPr>
                <w:rFonts w:ascii="Gill Sans" w:hAnsi="Gill Sans"/>
                <w:sz w:val="24"/>
                <w:lang w:val="en-GB" w:eastAsia="en-GB"/>
              </w:rPr>
              <w:t>Non Capital</w:t>
            </w:r>
            <w:proofErr w:type="gramEnd"/>
          </w:p>
        </w:tc>
        <w:tc>
          <w:tcPr>
            <w:tcW w:w="1500" w:type="dxa"/>
            <w:shd w:val="clear" w:color="auto" w:fill="auto"/>
            <w:vAlign w:val="bottom"/>
          </w:tcPr>
          <w:p w14:paraId="5BC9A60F"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61F46DCF" w14:textId="77777777" w:rsidR="000230E8" w:rsidRPr="0055051C" w:rsidRDefault="000230E8" w:rsidP="000230E8">
            <w:pPr>
              <w:pStyle w:val="TableCell"/>
              <w:rPr>
                <w:sz w:val="24"/>
                <w:lang w:val="en-GB" w:eastAsia="en-GB"/>
              </w:rPr>
            </w:pPr>
            <w:r w:rsidRPr="0055051C">
              <w:rPr>
                <w:sz w:val="24"/>
                <w:lang w:val="en-GB" w:eastAsia="en-GB"/>
              </w:rPr>
              <w:t>11,211</w:t>
            </w:r>
          </w:p>
        </w:tc>
        <w:tc>
          <w:tcPr>
            <w:tcW w:w="1500" w:type="dxa"/>
            <w:shd w:val="clear" w:color="auto" w:fill="auto"/>
            <w:vAlign w:val="bottom"/>
          </w:tcPr>
          <w:p w14:paraId="79257F4E" w14:textId="77777777" w:rsidR="000230E8" w:rsidRPr="0055051C" w:rsidRDefault="000230E8" w:rsidP="000230E8">
            <w:pPr>
              <w:pStyle w:val="TableCell"/>
              <w:rPr>
                <w:sz w:val="24"/>
                <w:lang w:val="en-GB" w:eastAsia="en-GB"/>
              </w:rPr>
            </w:pPr>
            <w:r w:rsidRPr="0055051C">
              <w:rPr>
                <w:sz w:val="24"/>
                <w:lang w:val="en-GB" w:eastAsia="en-GB"/>
              </w:rPr>
              <w:t>15,763</w:t>
            </w:r>
          </w:p>
        </w:tc>
      </w:tr>
      <w:tr w:rsidR="000230E8" w:rsidRPr="004961A0" w14:paraId="70B38793" w14:textId="77777777" w:rsidTr="007418DE">
        <w:tblPrEx>
          <w:tblCellMar>
            <w:top w:w="0" w:type="dxa"/>
            <w:bottom w:w="0" w:type="dxa"/>
          </w:tblCellMar>
        </w:tblPrEx>
        <w:tc>
          <w:tcPr>
            <w:tcW w:w="4428" w:type="dxa"/>
            <w:shd w:val="clear" w:color="auto" w:fill="auto"/>
            <w:vAlign w:val="bottom"/>
          </w:tcPr>
          <w:p w14:paraId="28034E32"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Computer supplies</w:t>
            </w:r>
          </w:p>
        </w:tc>
        <w:tc>
          <w:tcPr>
            <w:tcW w:w="1500" w:type="dxa"/>
            <w:shd w:val="clear" w:color="auto" w:fill="auto"/>
            <w:vAlign w:val="bottom"/>
          </w:tcPr>
          <w:p w14:paraId="21DBA756"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02AF598D" w14:textId="77777777" w:rsidR="000230E8" w:rsidRPr="0055051C" w:rsidRDefault="000230E8" w:rsidP="000230E8">
            <w:pPr>
              <w:pStyle w:val="TableCell"/>
              <w:rPr>
                <w:sz w:val="24"/>
                <w:lang w:val="en-GB" w:eastAsia="en-GB"/>
              </w:rPr>
            </w:pPr>
            <w:r w:rsidRPr="0055051C">
              <w:rPr>
                <w:sz w:val="24"/>
                <w:lang w:val="en-GB" w:eastAsia="en-GB"/>
              </w:rPr>
              <w:t>2,107</w:t>
            </w:r>
          </w:p>
        </w:tc>
        <w:tc>
          <w:tcPr>
            <w:tcW w:w="1500" w:type="dxa"/>
            <w:shd w:val="clear" w:color="auto" w:fill="auto"/>
            <w:vAlign w:val="bottom"/>
          </w:tcPr>
          <w:p w14:paraId="1C0B1864" w14:textId="77777777" w:rsidR="000230E8" w:rsidRPr="0055051C" w:rsidRDefault="000230E8" w:rsidP="000230E8">
            <w:pPr>
              <w:pStyle w:val="TableCell"/>
              <w:rPr>
                <w:sz w:val="24"/>
                <w:lang w:val="en-GB" w:eastAsia="en-GB"/>
              </w:rPr>
            </w:pPr>
            <w:r w:rsidRPr="0055051C">
              <w:rPr>
                <w:sz w:val="24"/>
                <w:lang w:val="en-GB" w:eastAsia="en-GB"/>
              </w:rPr>
              <w:t>868</w:t>
            </w:r>
          </w:p>
        </w:tc>
      </w:tr>
      <w:tr w:rsidR="000230E8" w:rsidRPr="004961A0" w14:paraId="2F3FBD88" w14:textId="77777777" w:rsidTr="007418DE">
        <w:tblPrEx>
          <w:tblCellMar>
            <w:top w:w="0" w:type="dxa"/>
            <w:bottom w:w="0" w:type="dxa"/>
          </w:tblCellMar>
        </w:tblPrEx>
        <w:tc>
          <w:tcPr>
            <w:tcW w:w="4428" w:type="dxa"/>
            <w:shd w:val="clear" w:color="auto" w:fill="auto"/>
            <w:vAlign w:val="bottom"/>
          </w:tcPr>
          <w:p w14:paraId="3264FBAE"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Consultancy fees</w:t>
            </w:r>
          </w:p>
        </w:tc>
        <w:tc>
          <w:tcPr>
            <w:tcW w:w="1500" w:type="dxa"/>
            <w:shd w:val="clear" w:color="auto" w:fill="auto"/>
            <w:vAlign w:val="bottom"/>
          </w:tcPr>
          <w:p w14:paraId="6717FDA1"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1E69E4E7" w14:textId="77777777" w:rsidR="000230E8" w:rsidRPr="0055051C" w:rsidRDefault="000230E8" w:rsidP="000230E8">
            <w:pPr>
              <w:pStyle w:val="TableCell"/>
              <w:rPr>
                <w:sz w:val="24"/>
                <w:lang w:val="en-GB" w:eastAsia="en-GB"/>
              </w:rPr>
            </w:pPr>
            <w:r w:rsidRPr="0055051C">
              <w:rPr>
                <w:sz w:val="24"/>
                <w:lang w:val="en-GB" w:eastAsia="en-GB"/>
              </w:rPr>
              <w:t>4,341</w:t>
            </w:r>
          </w:p>
        </w:tc>
        <w:tc>
          <w:tcPr>
            <w:tcW w:w="1500" w:type="dxa"/>
            <w:shd w:val="clear" w:color="auto" w:fill="auto"/>
            <w:vAlign w:val="bottom"/>
          </w:tcPr>
          <w:p w14:paraId="5F7F3C78" w14:textId="77777777" w:rsidR="000230E8" w:rsidRPr="0055051C" w:rsidRDefault="000230E8" w:rsidP="000230E8">
            <w:pPr>
              <w:pStyle w:val="TableCell"/>
              <w:rPr>
                <w:sz w:val="24"/>
                <w:lang w:val="en-GB" w:eastAsia="en-GB"/>
              </w:rPr>
            </w:pPr>
            <w:r w:rsidRPr="0055051C">
              <w:rPr>
                <w:sz w:val="24"/>
                <w:lang w:val="en-GB" w:eastAsia="en-GB"/>
              </w:rPr>
              <w:t>1,809</w:t>
            </w:r>
          </w:p>
        </w:tc>
      </w:tr>
      <w:tr w:rsidR="000230E8" w:rsidRPr="004961A0" w14:paraId="4C0FEEAE" w14:textId="77777777" w:rsidTr="007418DE">
        <w:tblPrEx>
          <w:tblCellMar>
            <w:top w:w="0" w:type="dxa"/>
            <w:bottom w:w="0" w:type="dxa"/>
          </w:tblCellMar>
        </w:tblPrEx>
        <w:tc>
          <w:tcPr>
            <w:tcW w:w="4428" w:type="dxa"/>
            <w:shd w:val="clear" w:color="auto" w:fill="auto"/>
            <w:vAlign w:val="bottom"/>
          </w:tcPr>
          <w:p w14:paraId="3B56E080"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Couriers</w:t>
            </w:r>
          </w:p>
        </w:tc>
        <w:tc>
          <w:tcPr>
            <w:tcW w:w="1500" w:type="dxa"/>
            <w:shd w:val="clear" w:color="auto" w:fill="auto"/>
            <w:vAlign w:val="bottom"/>
          </w:tcPr>
          <w:p w14:paraId="0EEF5D07"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0FD096CF" w14:textId="77777777" w:rsidR="000230E8" w:rsidRPr="0055051C" w:rsidRDefault="000230E8" w:rsidP="000230E8">
            <w:pPr>
              <w:pStyle w:val="TableCell"/>
              <w:rPr>
                <w:sz w:val="24"/>
                <w:lang w:val="en-GB" w:eastAsia="en-GB"/>
              </w:rPr>
            </w:pPr>
            <w:r w:rsidRPr="0055051C">
              <w:rPr>
                <w:sz w:val="24"/>
                <w:lang w:val="en-GB" w:eastAsia="en-GB"/>
              </w:rPr>
              <w:t>1,753</w:t>
            </w:r>
          </w:p>
        </w:tc>
        <w:tc>
          <w:tcPr>
            <w:tcW w:w="1500" w:type="dxa"/>
            <w:shd w:val="clear" w:color="auto" w:fill="auto"/>
            <w:vAlign w:val="bottom"/>
          </w:tcPr>
          <w:p w14:paraId="50363EB1" w14:textId="77777777" w:rsidR="000230E8" w:rsidRPr="0055051C" w:rsidRDefault="000230E8" w:rsidP="000230E8">
            <w:pPr>
              <w:pStyle w:val="TableCell"/>
              <w:rPr>
                <w:sz w:val="24"/>
                <w:lang w:val="en-GB" w:eastAsia="en-GB"/>
              </w:rPr>
            </w:pPr>
            <w:r w:rsidRPr="0055051C">
              <w:rPr>
                <w:sz w:val="24"/>
                <w:lang w:val="en-GB" w:eastAsia="en-GB"/>
              </w:rPr>
              <w:t>2,863</w:t>
            </w:r>
          </w:p>
        </w:tc>
      </w:tr>
      <w:tr w:rsidR="000230E8" w:rsidRPr="004961A0" w14:paraId="43183FAB" w14:textId="77777777" w:rsidTr="007418DE">
        <w:tblPrEx>
          <w:tblCellMar>
            <w:top w:w="0" w:type="dxa"/>
            <w:bottom w:w="0" w:type="dxa"/>
          </w:tblCellMar>
        </w:tblPrEx>
        <w:tc>
          <w:tcPr>
            <w:tcW w:w="4428" w:type="dxa"/>
            <w:shd w:val="clear" w:color="auto" w:fill="auto"/>
            <w:vAlign w:val="bottom"/>
          </w:tcPr>
          <w:p w14:paraId="1A447602"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Gas / electricity</w:t>
            </w:r>
          </w:p>
        </w:tc>
        <w:tc>
          <w:tcPr>
            <w:tcW w:w="1500" w:type="dxa"/>
            <w:shd w:val="clear" w:color="auto" w:fill="auto"/>
            <w:vAlign w:val="bottom"/>
          </w:tcPr>
          <w:p w14:paraId="4F6FFAAD"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15F0916C" w14:textId="77777777" w:rsidR="000230E8" w:rsidRPr="0055051C" w:rsidRDefault="000230E8" w:rsidP="000230E8">
            <w:pPr>
              <w:pStyle w:val="TableCell"/>
              <w:rPr>
                <w:sz w:val="24"/>
                <w:lang w:val="en-GB" w:eastAsia="en-GB"/>
              </w:rPr>
            </w:pPr>
            <w:r w:rsidRPr="0055051C">
              <w:rPr>
                <w:sz w:val="24"/>
                <w:lang w:val="en-GB" w:eastAsia="en-GB"/>
              </w:rPr>
              <w:t>39,002</w:t>
            </w:r>
          </w:p>
        </w:tc>
        <w:tc>
          <w:tcPr>
            <w:tcW w:w="1500" w:type="dxa"/>
            <w:shd w:val="clear" w:color="auto" w:fill="auto"/>
            <w:vAlign w:val="bottom"/>
          </w:tcPr>
          <w:p w14:paraId="49079627" w14:textId="77777777" w:rsidR="000230E8" w:rsidRPr="0055051C" w:rsidRDefault="000230E8" w:rsidP="000230E8">
            <w:pPr>
              <w:pStyle w:val="TableCell"/>
              <w:rPr>
                <w:sz w:val="24"/>
                <w:lang w:val="en-GB" w:eastAsia="en-GB"/>
              </w:rPr>
            </w:pPr>
            <w:r w:rsidRPr="0055051C">
              <w:rPr>
                <w:sz w:val="24"/>
                <w:lang w:val="en-GB" w:eastAsia="en-GB"/>
              </w:rPr>
              <w:t>41,234</w:t>
            </w:r>
          </w:p>
        </w:tc>
      </w:tr>
      <w:tr w:rsidR="000230E8" w:rsidRPr="004961A0" w14:paraId="7CDA7E4D" w14:textId="77777777" w:rsidTr="007418DE">
        <w:tblPrEx>
          <w:tblCellMar>
            <w:top w:w="0" w:type="dxa"/>
            <w:bottom w:w="0" w:type="dxa"/>
          </w:tblCellMar>
        </w:tblPrEx>
        <w:tc>
          <w:tcPr>
            <w:tcW w:w="4428" w:type="dxa"/>
            <w:shd w:val="clear" w:color="auto" w:fill="auto"/>
            <w:vAlign w:val="bottom"/>
          </w:tcPr>
          <w:p w14:paraId="144F535F"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 xml:space="preserve">Health </w:t>
            </w:r>
            <w:proofErr w:type="gramStart"/>
            <w:r w:rsidRPr="0055051C">
              <w:rPr>
                <w:rFonts w:ascii="Gill Sans" w:hAnsi="Gill Sans"/>
                <w:sz w:val="24"/>
                <w:lang w:val="en-GB" w:eastAsia="en-GB"/>
              </w:rPr>
              <w:t>&amp;  Safety</w:t>
            </w:r>
            <w:proofErr w:type="gramEnd"/>
          </w:p>
        </w:tc>
        <w:tc>
          <w:tcPr>
            <w:tcW w:w="1500" w:type="dxa"/>
            <w:shd w:val="clear" w:color="auto" w:fill="auto"/>
            <w:vAlign w:val="bottom"/>
          </w:tcPr>
          <w:p w14:paraId="423E2B98"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661B3604" w14:textId="77777777" w:rsidR="000230E8" w:rsidRPr="0055051C" w:rsidRDefault="000230E8" w:rsidP="000230E8">
            <w:pPr>
              <w:pStyle w:val="TableCell"/>
              <w:rPr>
                <w:sz w:val="24"/>
                <w:lang w:val="en-GB" w:eastAsia="en-GB"/>
              </w:rPr>
            </w:pPr>
            <w:r w:rsidRPr="0055051C">
              <w:rPr>
                <w:sz w:val="24"/>
                <w:lang w:val="en-GB" w:eastAsia="en-GB"/>
              </w:rPr>
              <w:t>1,503</w:t>
            </w:r>
          </w:p>
        </w:tc>
        <w:tc>
          <w:tcPr>
            <w:tcW w:w="1500" w:type="dxa"/>
            <w:shd w:val="clear" w:color="auto" w:fill="auto"/>
            <w:vAlign w:val="bottom"/>
          </w:tcPr>
          <w:p w14:paraId="3CF42274" w14:textId="77777777" w:rsidR="000230E8" w:rsidRPr="0055051C" w:rsidRDefault="000230E8" w:rsidP="000230E8">
            <w:pPr>
              <w:pStyle w:val="TableCell"/>
              <w:rPr>
                <w:sz w:val="24"/>
                <w:lang w:val="en-GB" w:eastAsia="en-GB"/>
              </w:rPr>
            </w:pPr>
            <w:r w:rsidRPr="0055051C">
              <w:rPr>
                <w:sz w:val="24"/>
                <w:lang w:val="en-GB" w:eastAsia="en-GB"/>
              </w:rPr>
              <w:t>1,315</w:t>
            </w:r>
          </w:p>
        </w:tc>
      </w:tr>
      <w:tr w:rsidR="000230E8" w:rsidRPr="004961A0" w14:paraId="4DDAEC16" w14:textId="77777777" w:rsidTr="007418DE">
        <w:tblPrEx>
          <w:tblCellMar>
            <w:top w:w="0" w:type="dxa"/>
            <w:bottom w:w="0" w:type="dxa"/>
          </w:tblCellMar>
        </w:tblPrEx>
        <w:tc>
          <w:tcPr>
            <w:tcW w:w="4428" w:type="dxa"/>
            <w:shd w:val="clear" w:color="auto" w:fill="auto"/>
            <w:vAlign w:val="bottom"/>
          </w:tcPr>
          <w:p w14:paraId="652C38B8"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Insurance</w:t>
            </w:r>
          </w:p>
        </w:tc>
        <w:tc>
          <w:tcPr>
            <w:tcW w:w="1500" w:type="dxa"/>
            <w:shd w:val="clear" w:color="auto" w:fill="auto"/>
            <w:vAlign w:val="bottom"/>
          </w:tcPr>
          <w:p w14:paraId="6C88E8A5"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5B52012B" w14:textId="77777777" w:rsidR="000230E8" w:rsidRPr="0055051C" w:rsidRDefault="000230E8" w:rsidP="000230E8">
            <w:pPr>
              <w:pStyle w:val="TableCell"/>
              <w:rPr>
                <w:sz w:val="24"/>
                <w:lang w:val="en-GB" w:eastAsia="en-GB"/>
              </w:rPr>
            </w:pPr>
            <w:r w:rsidRPr="0055051C">
              <w:rPr>
                <w:sz w:val="24"/>
                <w:lang w:val="en-GB" w:eastAsia="en-GB"/>
              </w:rPr>
              <w:t>14,380</w:t>
            </w:r>
          </w:p>
        </w:tc>
        <w:tc>
          <w:tcPr>
            <w:tcW w:w="1500" w:type="dxa"/>
            <w:shd w:val="clear" w:color="auto" w:fill="auto"/>
            <w:vAlign w:val="bottom"/>
          </w:tcPr>
          <w:p w14:paraId="7403B8F1" w14:textId="77777777" w:rsidR="000230E8" w:rsidRPr="0055051C" w:rsidRDefault="000230E8" w:rsidP="000230E8">
            <w:pPr>
              <w:pStyle w:val="TableCell"/>
              <w:rPr>
                <w:sz w:val="24"/>
                <w:lang w:val="en-GB" w:eastAsia="en-GB"/>
              </w:rPr>
            </w:pPr>
            <w:r w:rsidRPr="0055051C">
              <w:rPr>
                <w:sz w:val="24"/>
                <w:lang w:val="en-GB" w:eastAsia="en-GB"/>
              </w:rPr>
              <w:t>14,509</w:t>
            </w:r>
          </w:p>
        </w:tc>
      </w:tr>
      <w:tr w:rsidR="000230E8" w:rsidRPr="004961A0" w14:paraId="59732C7C" w14:textId="77777777" w:rsidTr="007418DE">
        <w:tblPrEx>
          <w:tblCellMar>
            <w:top w:w="0" w:type="dxa"/>
            <w:bottom w:w="0" w:type="dxa"/>
          </w:tblCellMar>
        </w:tblPrEx>
        <w:tc>
          <w:tcPr>
            <w:tcW w:w="4428" w:type="dxa"/>
            <w:shd w:val="clear" w:color="auto" w:fill="auto"/>
            <w:vAlign w:val="bottom"/>
          </w:tcPr>
          <w:p w14:paraId="629FEF9E"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IT Support</w:t>
            </w:r>
          </w:p>
        </w:tc>
        <w:tc>
          <w:tcPr>
            <w:tcW w:w="1500" w:type="dxa"/>
            <w:shd w:val="clear" w:color="auto" w:fill="auto"/>
            <w:vAlign w:val="bottom"/>
          </w:tcPr>
          <w:p w14:paraId="2CB86242"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389E39FF" w14:textId="77777777" w:rsidR="000230E8" w:rsidRPr="0055051C" w:rsidRDefault="000230E8" w:rsidP="000230E8">
            <w:pPr>
              <w:pStyle w:val="TableCell"/>
              <w:rPr>
                <w:sz w:val="24"/>
                <w:lang w:val="en-GB" w:eastAsia="en-GB"/>
              </w:rPr>
            </w:pPr>
            <w:r w:rsidRPr="0055051C">
              <w:rPr>
                <w:sz w:val="24"/>
                <w:lang w:val="en-GB" w:eastAsia="en-GB"/>
              </w:rPr>
              <w:t>80,483</w:t>
            </w:r>
          </w:p>
        </w:tc>
        <w:tc>
          <w:tcPr>
            <w:tcW w:w="1500" w:type="dxa"/>
            <w:shd w:val="clear" w:color="auto" w:fill="auto"/>
            <w:vAlign w:val="bottom"/>
          </w:tcPr>
          <w:p w14:paraId="2923B212" w14:textId="77777777" w:rsidR="000230E8" w:rsidRPr="0055051C" w:rsidRDefault="000230E8" w:rsidP="000230E8">
            <w:pPr>
              <w:pStyle w:val="TableCell"/>
              <w:rPr>
                <w:sz w:val="24"/>
                <w:lang w:val="en-GB" w:eastAsia="en-GB"/>
              </w:rPr>
            </w:pPr>
            <w:r w:rsidRPr="0055051C">
              <w:rPr>
                <w:sz w:val="24"/>
                <w:lang w:val="en-GB" w:eastAsia="en-GB"/>
              </w:rPr>
              <w:t>64,203</w:t>
            </w:r>
          </w:p>
        </w:tc>
      </w:tr>
      <w:tr w:rsidR="000230E8" w:rsidRPr="004961A0" w14:paraId="0B280929" w14:textId="77777777" w:rsidTr="007418DE">
        <w:tblPrEx>
          <w:tblCellMar>
            <w:top w:w="0" w:type="dxa"/>
            <w:bottom w:w="0" w:type="dxa"/>
          </w:tblCellMar>
        </w:tblPrEx>
        <w:tc>
          <w:tcPr>
            <w:tcW w:w="4428" w:type="dxa"/>
            <w:shd w:val="clear" w:color="auto" w:fill="auto"/>
            <w:vAlign w:val="bottom"/>
          </w:tcPr>
          <w:p w14:paraId="327E89FB"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Late Payment Interest</w:t>
            </w:r>
          </w:p>
        </w:tc>
        <w:tc>
          <w:tcPr>
            <w:tcW w:w="1500" w:type="dxa"/>
            <w:shd w:val="clear" w:color="auto" w:fill="auto"/>
            <w:vAlign w:val="bottom"/>
          </w:tcPr>
          <w:p w14:paraId="3B804278"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4282B8BB" w14:textId="77777777" w:rsidR="000230E8" w:rsidRPr="0055051C" w:rsidRDefault="000230E8" w:rsidP="000230E8">
            <w:pPr>
              <w:pStyle w:val="TableCell"/>
              <w:rPr>
                <w:sz w:val="24"/>
                <w:lang w:val="en-GB" w:eastAsia="en-GB"/>
              </w:rPr>
            </w:pPr>
            <w:r w:rsidRPr="0055051C">
              <w:rPr>
                <w:sz w:val="24"/>
                <w:lang w:val="en-GB" w:eastAsia="en-GB"/>
              </w:rPr>
              <w:t>66</w:t>
            </w:r>
          </w:p>
        </w:tc>
        <w:tc>
          <w:tcPr>
            <w:tcW w:w="1500" w:type="dxa"/>
            <w:shd w:val="clear" w:color="auto" w:fill="auto"/>
            <w:vAlign w:val="bottom"/>
          </w:tcPr>
          <w:p w14:paraId="2BF5AE2F" w14:textId="77777777" w:rsidR="000230E8" w:rsidRPr="0055051C" w:rsidRDefault="000230E8" w:rsidP="000230E8">
            <w:pPr>
              <w:pStyle w:val="TableCell"/>
              <w:rPr>
                <w:sz w:val="24"/>
                <w:lang w:val="en-GB" w:eastAsia="en-GB"/>
              </w:rPr>
            </w:pPr>
            <w:r w:rsidRPr="0055051C">
              <w:rPr>
                <w:sz w:val="24"/>
                <w:lang w:val="en-GB" w:eastAsia="en-GB"/>
              </w:rPr>
              <w:t>28</w:t>
            </w:r>
          </w:p>
        </w:tc>
      </w:tr>
      <w:tr w:rsidR="000230E8" w:rsidRPr="004961A0" w14:paraId="53A0C6F6" w14:textId="77777777" w:rsidTr="007418DE">
        <w:tblPrEx>
          <w:tblCellMar>
            <w:top w:w="0" w:type="dxa"/>
            <w:bottom w:w="0" w:type="dxa"/>
          </w:tblCellMar>
        </w:tblPrEx>
        <w:tc>
          <w:tcPr>
            <w:tcW w:w="4428" w:type="dxa"/>
            <w:shd w:val="clear" w:color="auto" w:fill="auto"/>
            <w:vAlign w:val="bottom"/>
          </w:tcPr>
          <w:p w14:paraId="19F41355"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Legal/Professional Fees</w:t>
            </w:r>
          </w:p>
        </w:tc>
        <w:tc>
          <w:tcPr>
            <w:tcW w:w="1500" w:type="dxa"/>
            <w:shd w:val="clear" w:color="auto" w:fill="auto"/>
            <w:vAlign w:val="bottom"/>
          </w:tcPr>
          <w:p w14:paraId="43966883"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7C34521D" w14:textId="77777777" w:rsidR="000230E8" w:rsidRPr="0055051C" w:rsidRDefault="000230E8" w:rsidP="000230E8">
            <w:pPr>
              <w:pStyle w:val="TableCell"/>
              <w:rPr>
                <w:sz w:val="24"/>
                <w:lang w:val="en-GB" w:eastAsia="en-GB"/>
              </w:rPr>
            </w:pPr>
            <w:r w:rsidRPr="0055051C">
              <w:rPr>
                <w:sz w:val="24"/>
                <w:lang w:val="en-GB" w:eastAsia="en-GB"/>
              </w:rPr>
              <w:t>12,876</w:t>
            </w:r>
          </w:p>
        </w:tc>
        <w:tc>
          <w:tcPr>
            <w:tcW w:w="1500" w:type="dxa"/>
            <w:shd w:val="clear" w:color="auto" w:fill="auto"/>
            <w:vAlign w:val="bottom"/>
          </w:tcPr>
          <w:p w14:paraId="7E3F0B48" w14:textId="77777777" w:rsidR="000230E8" w:rsidRPr="0055051C" w:rsidRDefault="000230E8" w:rsidP="000230E8">
            <w:pPr>
              <w:pStyle w:val="TableCell"/>
              <w:rPr>
                <w:sz w:val="24"/>
                <w:lang w:val="en-GB" w:eastAsia="en-GB"/>
              </w:rPr>
            </w:pPr>
            <w:r w:rsidRPr="0055051C">
              <w:rPr>
                <w:sz w:val="24"/>
                <w:lang w:val="en-GB" w:eastAsia="en-GB"/>
              </w:rPr>
              <w:t>6,194</w:t>
            </w:r>
          </w:p>
        </w:tc>
      </w:tr>
      <w:tr w:rsidR="000230E8" w:rsidRPr="004961A0" w14:paraId="0F79496A" w14:textId="77777777" w:rsidTr="007418DE">
        <w:tblPrEx>
          <w:tblCellMar>
            <w:top w:w="0" w:type="dxa"/>
            <w:bottom w:w="0" w:type="dxa"/>
          </w:tblCellMar>
        </w:tblPrEx>
        <w:tc>
          <w:tcPr>
            <w:tcW w:w="4428" w:type="dxa"/>
            <w:shd w:val="clear" w:color="auto" w:fill="auto"/>
            <w:vAlign w:val="bottom"/>
          </w:tcPr>
          <w:p w14:paraId="59FDA44E"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Maintenance</w:t>
            </w:r>
          </w:p>
        </w:tc>
        <w:tc>
          <w:tcPr>
            <w:tcW w:w="1500" w:type="dxa"/>
            <w:shd w:val="clear" w:color="auto" w:fill="auto"/>
            <w:vAlign w:val="bottom"/>
          </w:tcPr>
          <w:p w14:paraId="7295357A"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61316DCC" w14:textId="77777777" w:rsidR="000230E8" w:rsidRPr="0055051C" w:rsidRDefault="000230E8" w:rsidP="000230E8">
            <w:pPr>
              <w:pStyle w:val="TableCell"/>
              <w:rPr>
                <w:sz w:val="24"/>
                <w:lang w:val="en-GB" w:eastAsia="en-GB"/>
              </w:rPr>
            </w:pPr>
            <w:r w:rsidRPr="0055051C">
              <w:rPr>
                <w:sz w:val="24"/>
                <w:lang w:val="en-GB" w:eastAsia="en-GB"/>
              </w:rPr>
              <w:t>65,164</w:t>
            </w:r>
          </w:p>
        </w:tc>
        <w:tc>
          <w:tcPr>
            <w:tcW w:w="1500" w:type="dxa"/>
            <w:shd w:val="clear" w:color="auto" w:fill="auto"/>
            <w:vAlign w:val="bottom"/>
          </w:tcPr>
          <w:p w14:paraId="404E1B47" w14:textId="77777777" w:rsidR="000230E8" w:rsidRPr="0055051C" w:rsidRDefault="000230E8" w:rsidP="000230E8">
            <w:pPr>
              <w:pStyle w:val="TableCell"/>
              <w:rPr>
                <w:sz w:val="24"/>
                <w:lang w:val="en-GB" w:eastAsia="en-GB"/>
              </w:rPr>
            </w:pPr>
            <w:r w:rsidRPr="0055051C">
              <w:rPr>
                <w:sz w:val="24"/>
                <w:lang w:val="en-GB" w:eastAsia="en-GB"/>
              </w:rPr>
              <w:t>25,044</w:t>
            </w:r>
          </w:p>
        </w:tc>
      </w:tr>
      <w:tr w:rsidR="000230E8" w:rsidRPr="004961A0" w14:paraId="53DDA201" w14:textId="77777777" w:rsidTr="007418DE">
        <w:tblPrEx>
          <w:tblCellMar>
            <w:top w:w="0" w:type="dxa"/>
            <w:bottom w:w="0" w:type="dxa"/>
          </w:tblCellMar>
        </w:tblPrEx>
        <w:tc>
          <w:tcPr>
            <w:tcW w:w="4428" w:type="dxa"/>
            <w:shd w:val="clear" w:color="auto" w:fill="auto"/>
            <w:vAlign w:val="bottom"/>
          </w:tcPr>
          <w:p w14:paraId="3B021A16" w14:textId="77777777" w:rsidR="000230E8" w:rsidRPr="0055051C" w:rsidRDefault="000230E8" w:rsidP="000230E8">
            <w:pPr>
              <w:pStyle w:val="TableRowHead"/>
              <w:rPr>
                <w:rFonts w:ascii="Gill Sans" w:hAnsi="Gill Sans"/>
                <w:sz w:val="24"/>
                <w:lang w:val="en-GB" w:eastAsia="en-GB"/>
              </w:rPr>
            </w:pPr>
            <w:r>
              <w:rPr>
                <w:rFonts w:ascii="Gill Sans" w:hAnsi="Gill Sans"/>
                <w:sz w:val="24"/>
                <w:lang w:val="en-GB" w:eastAsia="en-GB"/>
              </w:rPr>
              <w:t>Office furniture/</w:t>
            </w:r>
            <w:r w:rsidRPr="0055051C">
              <w:rPr>
                <w:rFonts w:ascii="Gill Sans" w:hAnsi="Gill Sans"/>
                <w:sz w:val="24"/>
                <w:lang w:val="en-GB" w:eastAsia="en-GB"/>
              </w:rPr>
              <w:t xml:space="preserve">equipment </w:t>
            </w:r>
            <w:proofErr w:type="gramStart"/>
            <w:r w:rsidRPr="0055051C">
              <w:rPr>
                <w:rFonts w:ascii="Gill Sans" w:hAnsi="Gill Sans"/>
                <w:sz w:val="24"/>
                <w:lang w:val="en-GB" w:eastAsia="en-GB"/>
              </w:rPr>
              <w:t>Non</w:t>
            </w:r>
            <w:r>
              <w:rPr>
                <w:rFonts w:ascii="Gill Sans" w:hAnsi="Gill Sans"/>
                <w:sz w:val="24"/>
                <w:lang w:val="en-GB" w:eastAsia="en-GB"/>
              </w:rPr>
              <w:t xml:space="preserve"> Capital</w:t>
            </w:r>
            <w:proofErr w:type="gramEnd"/>
          </w:p>
        </w:tc>
        <w:tc>
          <w:tcPr>
            <w:tcW w:w="1500" w:type="dxa"/>
            <w:shd w:val="clear" w:color="auto" w:fill="auto"/>
            <w:vAlign w:val="bottom"/>
          </w:tcPr>
          <w:p w14:paraId="5AAF88C5"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1B1ED20C" w14:textId="77777777" w:rsidR="000230E8" w:rsidRPr="0055051C" w:rsidRDefault="000230E8" w:rsidP="000230E8">
            <w:pPr>
              <w:pStyle w:val="TableCell"/>
              <w:rPr>
                <w:sz w:val="24"/>
                <w:lang w:val="en-GB" w:eastAsia="en-GB"/>
              </w:rPr>
            </w:pPr>
            <w:r w:rsidRPr="0055051C">
              <w:rPr>
                <w:sz w:val="24"/>
                <w:lang w:val="en-GB" w:eastAsia="en-GB"/>
              </w:rPr>
              <w:t>976</w:t>
            </w:r>
          </w:p>
        </w:tc>
        <w:tc>
          <w:tcPr>
            <w:tcW w:w="1500" w:type="dxa"/>
            <w:shd w:val="clear" w:color="auto" w:fill="auto"/>
            <w:vAlign w:val="bottom"/>
          </w:tcPr>
          <w:p w14:paraId="086CE018" w14:textId="77777777" w:rsidR="000230E8" w:rsidRPr="0055051C" w:rsidRDefault="000230E8" w:rsidP="000230E8">
            <w:pPr>
              <w:pStyle w:val="TableCell"/>
              <w:rPr>
                <w:sz w:val="24"/>
                <w:lang w:val="en-GB" w:eastAsia="en-GB"/>
              </w:rPr>
            </w:pPr>
            <w:r w:rsidRPr="0055051C">
              <w:rPr>
                <w:sz w:val="24"/>
                <w:lang w:val="en-GB" w:eastAsia="en-GB"/>
              </w:rPr>
              <w:t>430</w:t>
            </w:r>
          </w:p>
        </w:tc>
      </w:tr>
      <w:tr w:rsidR="000230E8" w:rsidRPr="004961A0" w14:paraId="7FF7F5E8" w14:textId="77777777" w:rsidTr="007418DE">
        <w:tblPrEx>
          <w:tblCellMar>
            <w:top w:w="0" w:type="dxa"/>
            <w:bottom w:w="0" w:type="dxa"/>
          </w:tblCellMar>
        </w:tblPrEx>
        <w:tc>
          <w:tcPr>
            <w:tcW w:w="4428" w:type="dxa"/>
            <w:shd w:val="clear" w:color="auto" w:fill="auto"/>
            <w:vAlign w:val="bottom"/>
          </w:tcPr>
          <w:p w14:paraId="789CDD6C"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Office supplies</w:t>
            </w:r>
          </w:p>
        </w:tc>
        <w:tc>
          <w:tcPr>
            <w:tcW w:w="1500" w:type="dxa"/>
            <w:shd w:val="clear" w:color="auto" w:fill="auto"/>
            <w:vAlign w:val="bottom"/>
          </w:tcPr>
          <w:p w14:paraId="34E76901"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2CB40D14" w14:textId="77777777" w:rsidR="000230E8" w:rsidRPr="0055051C" w:rsidRDefault="000230E8" w:rsidP="000230E8">
            <w:pPr>
              <w:pStyle w:val="TableCell"/>
              <w:rPr>
                <w:sz w:val="24"/>
                <w:lang w:val="en-GB" w:eastAsia="en-GB"/>
              </w:rPr>
            </w:pPr>
            <w:r w:rsidRPr="0055051C">
              <w:rPr>
                <w:sz w:val="24"/>
                <w:lang w:val="en-GB" w:eastAsia="en-GB"/>
              </w:rPr>
              <w:t>8,182</w:t>
            </w:r>
          </w:p>
        </w:tc>
        <w:tc>
          <w:tcPr>
            <w:tcW w:w="1500" w:type="dxa"/>
            <w:shd w:val="clear" w:color="auto" w:fill="auto"/>
            <w:vAlign w:val="bottom"/>
          </w:tcPr>
          <w:p w14:paraId="12667735" w14:textId="77777777" w:rsidR="000230E8" w:rsidRPr="0055051C" w:rsidRDefault="000230E8" w:rsidP="000230E8">
            <w:pPr>
              <w:pStyle w:val="TableCell"/>
              <w:rPr>
                <w:sz w:val="24"/>
                <w:lang w:val="en-GB" w:eastAsia="en-GB"/>
              </w:rPr>
            </w:pPr>
            <w:r w:rsidRPr="0055051C">
              <w:rPr>
                <w:sz w:val="24"/>
                <w:lang w:val="en-GB" w:eastAsia="en-GB"/>
              </w:rPr>
              <w:t>10,102</w:t>
            </w:r>
          </w:p>
        </w:tc>
      </w:tr>
      <w:tr w:rsidR="000230E8" w:rsidRPr="004961A0" w14:paraId="271365EA" w14:textId="77777777" w:rsidTr="007418DE">
        <w:tblPrEx>
          <w:tblCellMar>
            <w:top w:w="0" w:type="dxa"/>
            <w:bottom w:w="0" w:type="dxa"/>
          </w:tblCellMar>
        </w:tblPrEx>
        <w:tc>
          <w:tcPr>
            <w:tcW w:w="4428" w:type="dxa"/>
            <w:shd w:val="clear" w:color="auto" w:fill="auto"/>
            <w:vAlign w:val="bottom"/>
          </w:tcPr>
          <w:p w14:paraId="66A1B453"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Postage and Telephones</w:t>
            </w:r>
          </w:p>
        </w:tc>
        <w:tc>
          <w:tcPr>
            <w:tcW w:w="1500" w:type="dxa"/>
            <w:shd w:val="clear" w:color="auto" w:fill="auto"/>
            <w:vAlign w:val="bottom"/>
          </w:tcPr>
          <w:p w14:paraId="648FB57B"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78322E02" w14:textId="77777777" w:rsidR="000230E8" w:rsidRPr="0055051C" w:rsidRDefault="000230E8" w:rsidP="000230E8">
            <w:pPr>
              <w:pStyle w:val="TableCell"/>
              <w:rPr>
                <w:sz w:val="24"/>
                <w:lang w:val="en-GB" w:eastAsia="en-GB"/>
              </w:rPr>
            </w:pPr>
            <w:r w:rsidRPr="0055051C">
              <w:rPr>
                <w:sz w:val="24"/>
                <w:lang w:val="en-GB" w:eastAsia="en-GB"/>
              </w:rPr>
              <w:t>24,806</w:t>
            </w:r>
          </w:p>
        </w:tc>
        <w:tc>
          <w:tcPr>
            <w:tcW w:w="1500" w:type="dxa"/>
            <w:shd w:val="clear" w:color="auto" w:fill="auto"/>
            <w:vAlign w:val="bottom"/>
          </w:tcPr>
          <w:p w14:paraId="381C0C5F" w14:textId="77777777" w:rsidR="000230E8" w:rsidRPr="0055051C" w:rsidRDefault="000230E8" w:rsidP="000230E8">
            <w:pPr>
              <w:pStyle w:val="TableCell"/>
              <w:rPr>
                <w:sz w:val="24"/>
                <w:lang w:val="en-GB" w:eastAsia="en-GB"/>
              </w:rPr>
            </w:pPr>
            <w:r w:rsidRPr="0055051C">
              <w:rPr>
                <w:sz w:val="24"/>
                <w:lang w:val="en-GB" w:eastAsia="en-GB"/>
              </w:rPr>
              <w:t>33,766</w:t>
            </w:r>
          </w:p>
        </w:tc>
      </w:tr>
      <w:tr w:rsidR="000230E8" w:rsidRPr="004961A0" w14:paraId="73394798" w14:textId="77777777" w:rsidTr="007418DE">
        <w:tblPrEx>
          <w:tblCellMar>
            <w:top w:w="0" w:type="dxa"/>
            <w:bottom w:w="0" w:type="dxa"/>
          </w:tblCellMar>
        </w:tblPrEx>
        <w:tc>
          <w:tcPr>
            <w:tcW w:w="4428" w:type="dxa"/>
            <w:shd w:val="clear" w:color="auto" w:fill="auto"/>
            <w:vAlign w:val="bottom"/>
          </w:tcPr>
          <w:p w14:paraId="2E398DD6"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Printing / photocopying</w:t>
            </w:r>
          </w:p>
        </w:tc>
        <w:tc>
          <w:tcPr>
            <w:tcW w:w="1500" w:type="dxa"/>
            <w:shd w:val="clear" w:color="auto" w:fill="auto"/>
            <w:vAlign w:val="bottom"/>
          </w:tcPr>
          <w:p w14:paraId="71031DAF"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1F96C5B3" w14:textId="77777777" w:rsidR="000230E8" w:rsidRPr="0055051C" w:rsidRDefault="000230E8" w:rsidP="000230E8">
            <w:pPr>
              <w:pStyle w:val="TableCell"/>
              <w:rPr>
                <w:sz w:val="24"/>
                <w:lang w:val="en-GB" w:eastAsia="en-GB"/>
              </w:rPr>
            </w:pPr>
            <w:r w:rsidRPr="0055051C">
              <w:rPr>
                <w:sz w:val="24"/>
                <w:lang w:val="en-GB" w:eastAsia="en-GB"/>
              </w:rPr>
              <w:t>20,362</w:t>
            </w:r>
          </w:p>
        </w:tc>
        <w:tc>
          <w:tcPr>
            <w:tcW w:w="1500" w:type="dxa"/>
            <w:shd w:val="clear" w:color="auto" w:fill="auto"/>
            <w:vAlign w:val="bottom"/>
          </w:tcPr>
          <w:p w14:paraId="762B3911" w14:textId="77777777" w:rsidR="000230E8" w:rsidRPr="0055051C" w:rsidRDefault="000230E8" w:rsidP="000230E8">
            <w:pPr>
              <w:pStyle w:val="TableCell"/>
              <w:rPr>
                <w:sz w:val="24"/>
                <w:lang w:val="en-GB" w:eastAsia="en-GB"/>
              </w:rPr>
            </w:pPr>
            <w:r w:rsidRPr="0055051C">
              <w:rPr>
                <w:sz w:val="24"/>
                <w:lang w:val="en-GB" w:eastAsia="en-GB"/>
              </w:rPr>
              <w:t>14,704</w:t>
            </w:r>
          </w:p>
        </w:tc>
      </w:tr>
      <w:tr w:rsidR="000230E8" w:rsidRPr="004961A0" w14:paraId="1E4AE043" w14:textId="77777777" w:rsidTr="007418DE">
        <w:tblPrEx>
          <w:tblCellMar>
            <w:top w:w="0" w:type="dxa"/>
            <w:bottom w:w="0" w:type="dxa"/>
          </w:tblCellMar>
        </w:tblPrEx>
        <w:tc>
          <w:tcPr>
            <w:tcW w:w="4428" w:type="dxa"/>
            <w:shd w:val="clear" w:color="auto" w:fill="auto"/>
            <w:vAlign w:val="bottom"/>
          </w:tcPr>
          <w:p w14:paraId="777C8D53"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Print Management</w:t>
            </w:r>
          </w:p>
        </w:tc>
        <w:tc>
          <w:tcPr>
            <w:tcW w:w="1500" w:type="dxa"/>
            <w:shd w:val="clear" w:color="auto" w:fill="auto"/>
            <w:vAlign w:val="bottom"/>
          </w:tcPr>
          <w:p w14:paraId="004693C8"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2E9FFF0D" w14:textId="77777777" w:rsidR="000230E8" w:rsidRPr="0055051C" w:rsidRDefault="000230E8" w:rsidP="000230E8">
            <w:pPr>
              <w:pStyle w:val="TableCell"/>
              <w:rPr>
                <w:sz w:val="24"/>
                <w:lang w:val="en-GB" w:eastAsia="en-GB"/>
              </w:rPr>
            </w:pPr>
            <w:r w:rsidRPr="0055051C">
              <w:rPr>
                <w:sz w:val="24"/>
                <w:lang w:val="en-GB" w:eastAsia="en-GB"/>
              </w:rPr>
              <w:t>2,189</w:t>
            </w:r>
          </w:p>
        </w:tc>
        <w:tc>
          <w:tcPr>
            <w:tcW w:w="1500" w:type="dxa"/>
            <w:shd w:val="clear" w:color="auto" w:fill="auto"/>
            <w:vAlign w:val="bottom"/>
          </w:tcPr>
          <w:p w14:paraId="4B0873AF" w14:textId="77777777" w:rsidR="000230E8" w:rsidRPr="0055051C" w:rsidRDefault="000230E8" w:rsidP="000230E8">
            <w:pPr>
              <w:pStyle w:val="TableCell"/>
              <w:rPr>
                <w:sz w:val="24"/>
                <w:lang w:val="en-GB" w:eastAsia="en-GB"/>
              </w:rPr>
            </w:pPr>
            <w:r w:rsidRPr="0055051C">
              <w:rPr>
                <w:sz w:val="24"/>
                <w:lang w:val="en-GB" w:eastAsia="en-GB"/>
              </w:rPr>
              <w:t>12,187</w:t>
            </w:r>
          </w:p>
        </w:tc>
      </w:tr>
      <w:tr w:rsidR="000230E8" w:rsidRPr="004961A0" w14:paraId="4E427AD8" w14:textId="77777777" w:rsidTr="007418DE">
        <w:tblPrEx>
          <w:tblCellMar>
            <w:top w:w="0" w:type="dxa"/>
            <w:bottom w:w="0" w:type="dxa"/>
          </w:tblCellMar>
        </w:tblPrEx>
        <w:tc>
          <w:tcPr>
            <w:tcW w:w="4428" w:type="dxa"/>
            <w:shd w:val="clear" w:color="auto" w:fill="auto"/>
            <w:vAlign w:val="bottom"/>
          </w:tcPr>
          <w:p w14:paraId="398A1C18"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Publications / periodicals</w:t>
            </w:r>
          </w:p>
        </w:tc>
        <w:tc>
          <w:tcPr>
            <w:tcW w:w="1500" w:type="dxa"/>
            <w:shd w:val="clear" w:color="auto" w:fill="auto"/>
            <w:vAlign w:val="bottom"/>
          </w:tcPr>
          <w:p w14:paraId="02648F94"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66E4BF7C" w14:textId="77777777" w:rsidR="000230E8" w:rsidRPr="0055051C" w:rsidRDefault="000230E8" w:rsidP="000230E8">
            <w:pPr>
              <w:pStyle w:val="TableCell"/>
              <w:rPr>
                <w:sz w:val="24"/>
                <w:lang w:val="en-GB" w:eastAsia="en-GB"/>
              </w:rPr>
            </w:pPr>
            <w:r w:rsidRPr="0055051C">
              <w:rPr>
                <w:sz w:val="24"/>
                <w:lang w:val="en-GB" w:eastAsia="en-GB"/>
              </w:rPr>
              <w:t>60</w:t>
            </w:r>
          </w:p>
        </w:tc>
        <w:tc>
          <w:tcPr>
            <w:tcW w:w="1500" w:type="dxa"/>
            <w:shd w:val="clear" w:color="auto" w:fill="auto"/>
            <w:vAlign w:val="bottom"/>
          </w:tcPr>
          <w:p w14:paraId="7092E405" w14:textId="77777777" w:rsidR="000230E8" w:rsidRPr="0055051C" w:rsidRDefault="000230E8" w:rsidP="000230E8">
            <w:pPr>
              <w:pStyle w:val="TableCell"/>
              <w:rPr>
                <w:sz w:val="24"/>
                <w:lang w:val="en-GB" w:eastAsia="en-GB"/>
              </w:rPr>
            </w:pPr>
            <w:r w:rsidRPr="0055051C">
              <w:rPr>
                <w:sz w:val="24"/>
                <w:lang w:val="en-GB" w:eastAsia="en-GB"/>
              </w:rPr>
              <w:t>239</w:t>
            </w:r>
          </w:p>
        </w:tc>
      </w:tr>
      <w:tr w:rsidR="000230E8" w:rsidRPr="004961A0" w14:paraId="1681B071" w14:textId="77777777" w:rsidTr="007418DE">
        <w:tblPrEx>
          <w:tblCellMar>
            <w:top w:w="0" w:type="dxa"/>
            <w:bottom w:w="0" w:type="dxa"/>
          </w:tblCellMar>
        </w:tblPrEx>
        <w:tc>
          <w:tcPr>
            <w:tcW w:w="4428" w:type="dxa"/>
            <w:shd w:val="clear" w:color="auto" w:fill="auto"/>
            <w:vAlign w:val="bottom"/>
          </w:tcPr>
          <w:p w14:paraId="676F8104"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Rates</w:t>
            </w:r>
          </w:p>
        </w:tc>
        <w:tc>
          <w:tcPr>
            <w:tcW w:w="1500" w:type="dxa"/>
            <w:shd w:val="clear" w:color="auto" w:fill="auto"/>
            <w:vAlign w:val="bottom"/>
          </w:tcPr>
          <w:p w14:paraId="3BB55A68"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375A2D76" w14:textId="77777777" w:rsidR="000230E8" w:rsidRPr="0055051C" w:rsidRDefault="000230E8" w:rsidP="000230E8">
            <w:pPr>
              <w:pStyle w:val="TableCell"/>
              <w:rPr>
                <w:sz w:val="24"/>
                <w:lang w:val="en-GB" w:eastAsia="en-GB"/>
              </w:rPr>
            </w:pPr>
            <w:r w:rsidRPr="0055051C">
              <w:rPr>
                <w:sz w:val="24"/>
                <w:lang w:val="en-GB" w:eastAsia="en-GB"/>
              </w:rPr>
              <w:t>70,031</w:t>
            </w:r>
          </w:p>
        </w:tc>
        <w:tc>
          <w:tcPr>
            <w:tcW w:w="1500" w:type="dxa"/>
            <w:shd w:val="clear" w:color="auto" w:fill="auto"/>
            <w:vAlign w:val="bottom"/>
          </w:tcPr>
          <w:p w14:paraId="198ECE01" w14:textId="77777777" w:rsidR="000230E8" w:rsidRPr="0055051C" w:rsidRDefault="000230E8" w:rsidP="000230E8">
            <w:pPr>
              <w:pStyle w:val="TableCell"/>
              <w:rPr>
                <w:sz w:val="24"/>
                <w:lang w:val="en-GB" w:eastAsia="en-GB"/>
              </w:rPr>
            </w:pPr>
            <w:r w:rsidRPr="0055051C">
              <w:rPr>
                <w:sz w:val="24"/>
                <w:lang w:val="en-GB" w:eastAsia="en-GB"/>
              </w:rPr>
              <w:t>70,459</w:t>
            </w:r>
          </w:p>
        </w:tc>
      </w:tr>
      <w:tr w:rsidR="000230E8" w:rsidRPr="004961A0" w14:paraId="4EE1BA4C" w14:textId="77777777" w:rsidTr="007418DE">
        <w:tblPrEx>
          <w:tblCellMar>
            <w:top w:w="0" w:type="dxa"/>
            <w:bottom w:w="0" w:type="dxa"/>
          </w:tblCellMar>
        </w:tblPrEx>
        <w:tc>
          <w:tcPr>
            <w:tcW w:w="4428" w:type="dxa"/>
            <w:shd w:val="clear" w:color="auto" w:fill="auto"/>
            <w:vAlign w:val="bottom"/>
          </w:tcPr>
          <w:p w14:paraId="085A9BBF"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Representations</w:t>
            </w:r>
          </w:p>
        </w:tc>
        <w:tc>
          <w:tcPr>
            <w:tcW w:w="1500" w:type="dxa"/>
            <w:shd w:val="clear" w:color="auto" w:fill="auto"/>
            <w:vAlign w:val="bottom"/>
          </w:tcPr>
          <w:p w14:paraId="1715A6D0"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34AD246C" w14:textId="77777777" w:rsidR="000230E8" w:rsidRPr="0055051C" w:rsidRDefault="000230E8" w:rsidP="000230E8">
            <w:pPr>
              <w:pStyle w:val="TableCell"/>
              <w:rPr>
                <w:sz w:val="24"/>
                <w:lang w:val="en-GB" w:eastAsia="en-GB"/>
              </w:rPr>
            </w:pPr>
            <w:r w:rsidRPr="0055051C">
              <w:rPr>
                <w:sz w:val="24"/>
                <w:lang w:val="en-GB" w:eastAsia="en-GB"/>
              </w:rPr>
              <w:t>112</w:t>
            </w:r>
          </w:p>
        </w:tc>
        <w:tc>
          <w:tcPr>
            <w:tcW w:w="1500" w:type="dxa"/>
            <w:shd w:val="clear" w:color="auto" w:fill="auto"/>
            <w:vAlign w:val="bottom"/>
          </w:tcPr>
          <w:p w14:paraId="715B192D" w14:textId="77777777" w:rsidR="000230E8" w:rsidRPr="0055051C" w:rsidRDefault="000230E8" w:rsidP="000230E8">
            <w:pPr>
              <w:pStyle w:val="TableCell"/>
              <w:rPr>
                <w:sz w:val="24"/>
                <w:lang w:val="en-GB" w:eastAsia="en-GB"/>
              </w:rPr>
            </w:pPr>
            <w:r w:rsidRPr="0055051C">
              <w:rPr>
                <w:sz w:val="24"/>
                <w:lang w:val="en-GB" w:eastAsia="en-GB"/>
              </w:rPr>
              <w:t>0</w:t>
            </w:r>
          </w:p>
        </w:tc>
      </w:tr>
      <w:tr w:rsidR="000230E8" w:rsidRPr="004961A0" w14:paraId="1144D5AE" w14:textId="77777777" w:rsidTr="007418DE">
        <w:tblPrEx>
          <w:tblCellMar>
            <w:top w:w="0" w:type="dxa"/>
            <w:bottom w:w="0" w:type="dxa"/>
          </w:tblCellMar>
        </w:tblPrEx>
        <w:tc>
          <w:tcPr>
            <w:tcW w:w="4428" w:type="dxa"/>
            <w:shd w:val="clear" w:color="auto" w:fill="auto"/>
            <w:vAlign w:val="bottom"/>
          </w:tcPr>
          <w:p w14:paraId="44B4E5A1"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Security</w:t>
            </w:r>
          </w:p>
        </w:tc>
        <w:tc>
          <w:tcPr>
            <w:tcW w:w="1500" w:type="dxa"/>
            <w:shd w:val="clear" w:color="auto" w:fill="auto"/>
            <w:vAlign w:val="bottom"/>
          </w:tcPr>
          <w:p w14:paraId="6ADA1A2B"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4C2AC4CD" w14:textId="77777777" w:rsidR="000230E8" w:rsidRPr="0055051C" w:rsidRDefault="000230E8" w:rsidP="000230E8">
            <w:pPr>
              <w:pStyle w:val="TableCell"/>
              <w:rPr>
                <w:sz w:val="24"/>
                <w:lang w:val="en-GB" w:eastAsia="en-GB"/>
              </w:rPr>
            </w:pPr>
            <w:r w:rsidRPr="0055051C">
              <w:rPr>
                <w:sz w:val="24"/>
                <w:lang w:val="en-GB" w:eastAsia="en-GB"/>
              </w:rPr>
              <w:t>17,531</w:t>
            </w:r>
          </w:p>
        </w:tc>
        <w:tc>
          <w:tcPr>
            <w:tcW w:w="1500" w:type="dxa"/>
            <w:shd w:val="clear" w:color="auto" w:fill="auto"/>
            <w:vAlign w:val="bottom"/>
          </w:tcPr>
          <w:p w14:paraId="1FCCDCF1" w14:textId="77777777" w:rsidR="000230E8" w:rsidRPr="0055051C" w:rsidRDefault="000230E8" w:rsidP="000230E8">
            <w:pPr>
              <w:pStyle w:val="TableCell"/>
              <w:rPr>
                <w:sz w:val="24"/>
                <w:lang w:val="en-GB" w:eastAsia="en-GB"/>
              </w:rPr>
            </w:pPr>
            <w:r w:rsidRPr="0055051C">
              <w:rPr>
                <w:sz w:val="24"/>
                <w:lang w:val="en-GB" w:eastAsia="en-GB"/>
              </w:rPr>
              <w:t>11,649</w:t>
            </w:r>
          </w:p>
        </w:tc>
      </w:tr>
      <w:tr w:rsidR="000230E8" w:rsidRPr="004961A0" w14:paraId="21FE14B5" w14:textId="77777777" w:rsidTr="007418DE">
        <w:tblPrEx>
          <w:tblCellMar>
            <w:top w:w="0" w:type="dxa"/>
            <w:bottom w:w="0" w:type="dxa"/>
          </w:tblCellMar>
        </w:tblPrEx>
        <w:tc>
          <w:tcPr>
            <w:tcW w:w="4428" w:type="dxa"/>
            <w:shd w:val="clear" w:color="auto" w:fill="auto"/>
            <w:vAlign w:val="bottom"/>
          </w:tcPr>
          <w:p w14:paraId="18C63CAB"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Subscriptions / Donations</w:t>
            </w:r>
          </w:p>
        </w:tc>
        <w:tc>
          <w:tcPr>
            <w:tcW w:w="1500" w:type="dxa"/>
            <w:shd w:val="clear" w:color="auto" w:fill="auto"/>
            <w:vAlign w:val="bottom"/>
          </w:tcPr>
          <w:p w14:paraId="08123867"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3E0A7773" w14:textId="77777777" w:rsidR="000230E8" w:rsidRPr="0055051C" w:rsidRDefault="000230E8" w:rsidP="000230E8">
            <w:pPr>
              <w:pStyle w:val="TableCell"/>
              <w:rPr>
                <w:sz w:val="24"/>
                <w:lang w:val="en-GB" w:eastAsia="en-GB"/>
              </w:rPr>
            </w:pPr>
            <w:r w:rsidRPr="0055051C">
              <w:rPr>
                <w:sz w:val="24"/>
                <w:lang w:val="en-GB" w:eastAsia="en-GB"/>
              </w:rPr>
              <w:t>21,857</w:t>
            </w:r>
          </w:p>
        </w:tc>
        <w:tc>
          <w:tcPr>
            <w:tcW w:w="1500" w:type="dxa"/>
            <w:shd w:val="clear" w:color="auto" w:fill="auto"/>
            <w:vAlign w:val="bottom"/>
          </w:tcPr>
          <w:p w14:paraId="32953AD0" w14:textId="77777777" w:rsidR="000230E8" w:rsidRPr="0055051C" w:rsidRDefault="000230E8" w:rsidP="000230E8">
            <w:pPr>
              <w:pStyle w:val="TableCell"/>
              <w:rPr>
                <w:sz w:val="24"/>
                <w:lang w:val="en-GB" w:eastAsia="en-GB"/>
              </w:rPr>
            </w:pPr>
            <w:r w:rsidRPr="0055051C">
              <w:rPr>
                <w:sz w:val="24"/>
                <w:lang w:val="en-GB" w:eastAsia="en-GB"/>
              </w:rPr>
              <w:t>11,290</w:t>
            </w:r>
          </w:p>
        </w:tc>
      </w:tr>
      <w:tr w:rsidR="000230E8" w:rsidRPr="004961A0" w14:paraId="4F67DABA" w14:textId="77777777" w:rsidTr="007418DE">
        <w:tblPrEx>
          <w:tblCellMar>
            <w:top w:w="0" w:type="dxa"/>
            <w:bottom w:w="0" w:type="dxa"/>
          </w:tblCellMar>
        </w:tblPrEx>
        <w:tc>
          <w:tcPr>
            <w:tcW w:w="4428" w:type="dxa"/>
            <w:shd w:val="clear" w:color="auto" w:fill="auto"/>
            <w:vAlign w:val="bottom"/>
          </w:tcPr>
          <w:p w14:paraId="2B6D20BF"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Sundry</w:t>
            </w:r>
          </w:p>
        </w:tc>
        <w:tc>
          <w:tcPr>
            <w:tcW w:w="1500" w:type="dxa"/>
            <w:shd w:val="clear" w:color="auto" w:fill="auto"/>
            <w:vAlign w:val="bottom"/>
          </w:tcPr>
          <w:p w14:paraId="148E13AF"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2995E150" w14:textId="77777777" w:rsidR="000230E8" w:rsidRPr="0055051C" w:rsidRDefault="000230E8" w:rsidP="000230E8">
            <w:pPr>
              <w:pStyle w:val="TableCell"/>
              <w:rPr>
                <w:sz w:val="24"/>
                <w:lang w:val="en-GB" w:eastAsia="en-GB"/>
              </w:rPr>
            </w:pPr>
            <w:r w:rsidRPr="0055051C">
              <w:rPr>
                <w:sz w:val="24"/>
                <w:lang w:val="en-GB" w:eastAsia="en-GB"/>
              </w:rPr>
              <w:t>-488</w:t>
            </w:r>
          </w:p>
        </w:tc>
        <w:tc>
          <w:tcPr>
            <w:tcW w:w="1500" w:type="dxa"/>
            <w:shd w:val="clear" w:color="auto" w:fill="auto"/>
            <w:vAlign w:val="bottom"/>
          </w:tcPr>
          <w:p w14:paraId="75F19180" w14:textId="77777777" w:rsidR="000230E8" w:rsidRPr="0055051C" w:rsidRDefault="000230E8" w:rsidP="000230E8">
            <w:pPr>
              <w:pStyle w:val="TableCell"/>
              <w:rPr>
                <w:sz w:val="24"/>
                <w:lang w:val="en-GB" w:eastAsia="en-GB"/>
              </w:rPr>
            </w:pPr>
            <w:r w:rsidRPr="0055051C">
              <w:rPr>
                <w:sz w:val="24"/>
                <w:lang w:val="en-GB" w:eastAsia="en-GB"/>
              </w:rPr>
              <w:t>2,833</w:t>
            </w:r>
          </w:p>
        </w:tc>
      </w:tr>
      <w:tr w:rsidR="000230E8" w:rsidRPr="004961A0" w14:paraId="0E42D39A" w14:textId="77777777" w:rsidTr="007418DE">
        <w:tblPrEx>
          <w:tblCellMar>
            <w:top w:w="0" w:type="dxa"/>
            <w:bottom w:w="0" w:type="dxa"/>
          </w:tblCellMar>
        </w:tblPrEx>
        <w:tc>
          <w:tcPr>
            <w:tcW w:w="4428" w:type="dxa"/>
            <w:shd w:val="clear" w:color="auto" w:fill="auto"/>
            <w:vAlign w:val="bottom"/>
          </w:tcPr>
          <w:p w14:paraId="5E3EFBE4"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Translations / Interpreters</w:t>
            </w:r>
          </w:p>
        </w:tc>
        <w:tc>
          <w:tcPr>
            <w:tcW w:w="1500" w:type="dxa"/>
            <w:shd w:val="clear" w:color="auto" w:fill="auto"/>
            <w:vAlign w:val="bottom"/>
          </w:tcPr>
          <w:p w14:paraId="3152505E"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3DE1E743" w14:textId="77777777" w:rsidR="000230E8" w:rsidRPr="0055051C" w:rsidRDefault="000230E8" w:rsidP="000230E8">
            <w:pPr>
              <w:pStyle w:val="TableCell"/>
              <w:rPr>
                <w:sz w:val="24"/>
                <w:lang w:val="en-GB" w:eastAsia="en-GB"/>
              </w:rPr>
            </w:pPr>
            <w:r w:rsidRPr="0055051C">
              <w:rPr>
                <w:sz w:val="24"/>
                <w:lang w:val="en-GB" w:eastAsia="en-GB"/>
              </w:rPr>
              <w:t>181</w:t>
            </w:r>
          </w:p>
        </w:tc>
        <w:tc>
          <w:tcPr>
            <w:tcW w:w="1500" w:type="dxa"/>
            <w:shd w:val="clear" w:color="auto" w:fill="auto"/>
            <w:vAlign w:val="bottom"/>
          </w:tcPr>
          <w:p w14:paraId="1E71C943" w14:textId="77777777" w:rsidR="000230E8" w:rsidRPr="0055051C" w:rsidRDefault="000230E8" w:rsidP="000230E8">
            <w:pPr>
              <w:pStyle w:val="TableCell"/>
              <w:rPr>
                <w:sz w:val="24"/>
                <w:lang w:val="en-GB" w:eastAsia="en-GB"/>
              </w:rPr>
            </w:pPr>
            <w:r w:rsidRPr="0055051C">
              <w:rPr>
                <w:sz w:val="24"/>
                <w:lang w:val="en-GB" w:eastAsia="en-GB"/>
              </w:rPr>
              <w:t>0</w:t>
            </w:r>
          </w:p>
        </w:tc>
      </w:tr>
      <w:tr w:rsidR="000230E8" w:rsidRPr="004961A0" w14:paraId="6CC45789" w14:textId="77777777" w:rsidTr="007418DE">
        <w:tblPrEx>
          <w:tblCellMar>
            <w:top w:w="0" w:type="dxa"/>
            <w:bottom w:w="0" w:type="dxa"/>
          </w:tblCellMar>
        </w:tblPrEx>
        <w:tc>
          <w:tcPr>
            <w:tcW w:w="4428" w:type="dxa"/>
            <w:shd w:val="clear" w:color="auto" w:fill="auto"/>
            <w:vAlign w:val="bottom"/>
          </w:tcPr>
          <w:p w14:paraId="34BC80A1" w14:textId="77777777" w:rsidR="000230E8" w:rsidRPr="0055051C" w:rsidRDefault="000230E8" w:rsidP="000230E8">
            <w:pPr>
              <w:pStyle w:val="TableRowHead"/>
              <w:rPr>
                <w:rFonts w:ascii="Gill Sans" w:hAnsi="Gill Sans"/>
                <w:sz w:val="24"/>
                <w:lang w:val="en-GB" w:eastAsia="en-GB"/>
              </w:rPr>
            </w:pPr>
            <w:r w:rsidRPr="0055051C">
              <w:rPr>
                <w:rFonts w:ascii="Gill Sans" w:hAnsi="Gill Sans"/>
                <w:sz w:val="24"/>
                <w:lang w:val="en-GB" w:eastAsia="en-GB"/>
              </w:rPr>
              <w:t>Telephone Maintenance</w:t>
            </w:r>
          </w:p>
        </w:tc>
        <w:tc>
          <w:tcPr>
            <w:tcW w:w="1500" w:type="dxa"/>
            <w:shd w:val="clear" w:color="auto" w:fill="auto"/>
            <w:vAlign w:val="bottom"/>
          </w:tcPr>
          <w:p w14:paraId="3E9F777B"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06B77F1B" w14:textId="77777777" w:rsidR="000230E8" w:rsidRPr="0055051C" w:rsidRDefault="000230E8" w:rsidP="000230E8">
            <w:pPr>
              <w:pStyle w:val="TableCell"/>
              <w:rPr>
                <w:sz w:val="24"/>
                <w:lang w:val="en-GB" w:eastAsia="en-GB"/>
              </w:rPr>
            </w:pPr>
            <w:r w:rsidRPr="0055051C">
              <w:rPr>
                <w:sz w:val="24"/>
                <w:lang w:val="en-GB" w:eastAsia="en-GB"/>
              </w:rPr>
              <w:t>2,107</w:t>
            </w:r>
          </w:p>
        </w:tc>
        <w:tc>
          <w:tcPr>
            <w:tcW w:w="1500" w:type="dxa"/>
            <w:shd w:val="clear" w:color="auto" w:fill="auto"/>
            <w:vAlign w:val="bottom"/>
          </w:tcPr>
          <w:p w14:paraId="4893E4FB" w14:textId="77777777" w:rsidR="000230E8" w:rsidRPr="0055051C" w:rsidRDefault="000230E8" w:rsidP="000230E8">
            <w:pPr>
              <w:pStyle w:val="TableCell"/>
              <w:rPr>
                <w:sz w:val="24"/>
                <w:lang w:val="en-GB" w:eastAsia="en-GB"/>
              </w:rPr>
            </w:pPr>
            <w:r w:rsidRPr="0055051C">
              <w:rPr>
                <w:sz w:val="24"/>
                <w:lang w:val="en-GB" w:eastAsia="en-GB"/>
              </w:rPr>
              <w:t>2,885</w:t>
            </w:r>
          </w:p>
        </w:tc>
      </w:tr>
      <w:tr w:rsidR="000230E8" w:rsidRPr="004961A0" w14:paraId="7843C722" w14:textId="77777777" w:rsidTr="007418DE">
        <w:tblPrEx>
          <w:tblCellMar>
            <w:top w:w="0" w:type="dxa"/>
            <w:bottom w:w="0" w:type="dxa"/>
          </w:tblCellMar>
        </w:tblPrEx>
        <w:tc>
          <w:tcPr>
            <w:tcW w:w="4428" w:type="dxa"/>
            <w:shd w:val="clear" w:color="auto" w:fill="auto"/>
            <w:vAlign w:val="bottom"/>
          </w:tcPr>
          <w:p w14:paraId="435F0141" w14:textId="77777777" w:rsidR="000230E8" w:rsidRPr="0055051C" w:rsidRDefault="000230E8" w:rsidP="000230E8">
            <w:pPr>
              <w:pStyle w:val="TableRowHead"/>
              <w:rPr>
                <w:rFonts w:ascii="Gill Sans" w:hAnsi="Gill Sans"/>
                <w:sz w:val="24"/>
                <w:lang w:val="en-GB" w:eastAsia="en-GB"/>
              </w:rPr>
            </w:pPr>
          </w:p>
        </w:tc>
        <w:tc>
          <w:tcPr>
            <w:tcW w:w="1500" w:type="dxa"/>
            <w:shd w:val="clear" w:color="auto" w:fill="auto"/>
            <w:vAlign w:val="bottom"/>
          </w:tcPr>
          <w:p w14:paraId="2EBFF667" w14:textId="77777777" w:rsidR="000230E8" w:rsidRPr="0055051C" w:rsidRDefault="000230E8" w:rsidP="000230E8">
            <w:pPr>
              <w:pStyle w:val="TableCell"/>
              <w:rPr>
                <w:sz w:val="24"/>
                <w:lang w:val="en-GB" w:eastAsia="en-GB"/>
              </w:rPr>
            </w:pPr>
          </w:p>
        </w:tc>
        <w:tc>
          <w:tcPr>
            <w:tcW w:w="1500" w:type="dxa"/>
            <w:shd w:val="clear" w:color="auto" w:fill="auto"/>
            <w:vAlign w:val="bottom"/>
          </w:tcPr>
          <w:p w14:paraId="155C9474" w14:textId="77777777" w:rsidR="000230E8" w:rsidRPr="0055051C" w:rsidRDefault="000230E8" w:rsidP="000230E8">
            <w:pPr>
              <w:pStyle w:val="TableCell"/>
              <w:rPr>
                <w:sz w:val="24"/>
                <w:lang w:val="en-GB" w:eastAsia="en-GB"/>
              </w:rPr>
            </w:pPr>
            <w:r w:rsidRPr="0055051C">
              <w:rPr>
                <w:sz w:val="24"/>
                <w:lang w:val="en-GB" w:eastAsia="en-GB"/>
              </w:rPr>
              <w:t>677,175</w:t>
            </w:r>
          </w:p>
        </w:tc>
        <w:tc>
          <w:tcPr>
            <w:tcW w:w="1500" w:type="dxa"/>
            <w:shd w:val="clear" w:color="auto" w:fill="auto"/>
            <w:vAlign w:val="bottom"/>
          </w:tcPr>
          <w:p w14:paraId="1BB7E11D" w14:textId="77777777" w:rsidR="000230E8" w:rsidRPr="0055051C" w:rsidRDefault="000230E8" w:rsidP="000230E8">
            <w:pPr>
              <w:pStyle w:val="TableCell"/>
              <w:rPr>
                <w:sz w:val="24"/>
                <w:lang w:val="en-GB" w:eastAsia="en-GB"/>
              </w:rPr>
            </w:pPr>
            <w:r w:rsidRPr="0055051C">
              <w:rPr>
                <w:sz w:val="24"/>
                <w:lang w:val="en-GB" w:eastAsia="en-GB"/>
              </w:rPr>
              <w:t>618,039</w:t>
            </w:r>
          </w:p>
        </w:tc>
      </w:tr>
    </w:tbl>
    <w:p w14:paraId="5B3B6CFE" w14:textId="77777777" w:rsidR="00BC3842" w:rsidRDefault="000230E8" w:rsidP="000230E8">
      <w:pPr>
        <w:pStyle w:val="Heading2"/>
      </w:pPr>
      <w:r>
        <w:br/>
      </w:r>
      <w:bookmarkStart w:id="249" w:name="_Toc335836400"/>
    </w:p>
    <w:p w14:paraId="11D1400A" w14:textId="77777777" w:rsidR="000230E8" w:rsidRPr="0055051C" w:rsidRDefault="00BC3842" w:rsidP="000230E8">
      <w:pPr>
        <w:pStyle w:val="Heading2"/>
        <w:rPr>
          <w:lang w:val="en-GB" w:eastAsia="en-GB"/>
        </w:rPr>
      </w:pPr>
      <w:r>
        <w:br w:type="page"/>
      </w:r>
      <w:r w:rsidR="000230E8" w:rsidRPr="0055051C">
        <w:rPr>
          <w:lang w:val="en-GB" w:eastAsia="en-GB"/>
        </w:rPr>
        <w:lastRenderedPageBreak/>
        <w:t xml:space="preserve">6. </w:t>
      </w:r>
      <w:r w:rsidR="000230E8">
        <w:rPr>
          <w:lang w:val="en-GB" w:eastAsia="en-GB"/>
        </w:rPr>
        <w:t>Authority Fees and Expenses</w:t>
      </w:r>
      <w:bookmarkEnd w:id="249"/>
    </w:p>
    <w:p w14:paraId="23928B76" w14:textId="77777777" w:rsidR="000230E8" w:rsidRDefault="000230E8" w:rsidP="000230E8">
      <w:pPr>
        <w:rPr>
          <w:rFonts w:cs="Gill Sans"/>
          <w:lang w:val="en-GB" w:eastAsia="en-GB"/>
        </w:rPr>
      </w:pPr>
      <w:r w:rsidRPr="0055051C">
        <w:rPr>
          <w:lang w:val="en-GB" w:eastAsia="en-GB"/>
        </w:rPr>
        <w:t xml:space="preserve">Expenditure of </w:t>
      </w:r>
      <w:r w:rsidRPr="0055051C">
        <w:rPr>
          <w:rFonts w:ascii="Arial" w:hAnsi="Arial" w:cs="Arial"/>
          <w:lang w:val="en-GB" w:eastAsia="en-GB"/>
        </w:rPr>
        <w:t>€</w:t>
      </w:r>
      <w:r w:rsidRPr="0055051C">
        <w:rPr>
          <w:lang w:val="en-GB" w:eastAsia="en-GB"/>
        </w:rPr>
        <w:t>73,316.75 (</w:t>
      </w:r>
      <w:r w:rsidRPr="0055051C">
        <w:rPr>
          <w:rFonts w:ascii="Arial" w:hAnsi="Arial" w:cs="Arial"/>
          <w:lang w:val="en-GB" w:eastAsia="en-GB"/>
        </w:rPr>
        <w:t>€</w:t>
      </w:r>
      <w:r w:rsidRPr="0055051C">
        <w:rPr>
          <w:rFonts w:cs="Gill Sans"/>
          <w:lang w:val="en-GB" w:eastAsia="en-GB"/>
        </w:rPr>
        <w:t>62,843 in 2010) in respect of the Authority Fees was paid.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168"/>
        <w:gridCol w:w="1896"/>
        <w:gridCol w:w="1896"/>
        <w:gridCol w:w="1896"/>
      </w:tblGrid>
      <w:tr w:rsidR="000230E8" w:rsidRPr="008358AD" w14:paraId="1B540686" w14:textId="77777777" w:rsidTr="007418DE">
        <w:tblPrEx>
          <w:tblCellMar>
            <w:top w:w="0" w:type="dxa"/>
            <w:bottom w:w="0" w:type="dxa"/>
          </w:tblCellMar>
        </w:tblPrEx>
        <w:trPr>
          <w:tblHeader/>
        </w:trPr>
        <w:tc>
          <w:tcPr>
            <w:tcW w:w="3168" w:type="dxa"/>
            <w:shd w:val="clear" w:color="auto" w:fill="auto"/>
          </w:tcPr>
          <w:p w14:paraId="47FD00D0" w14:textId="77777777" w:rsidR="000230E8" w:rsidRPr="008358AD" w:rsidRDefault="000230E8" w:rsidP="000230E8">
            <w:pPr>
              <w:pStyle w:val="TableHead"/>
              <w:rPr>
                <w:lang w:val="en-GB" w:eastAsia="en-GB"/>
              </w:rPr>
            </w:pPr>
            <w:r w:rsidRPr="008358AD">
              <w:rPr>
                <w:lang w:val="en-GB" w:eastAsia="en-GB"/>
              </w:rPr>
              <w:t>Authority Member</w:t>
            </w:r>
          </w:p>
        </w:tc>
        <w:tc>
          <w:tcPr>
            <w:tcW w:w="1896" w:type="dxa"/>
            <w:shd w:val="clear" w:color="auto" w:fill="auto"/>
          </w:tcPr>
          <w:p w14:paraId="50150853" w14:textId="77777777" w:rsidR="000230E8" w:rsidRPr="008358AD" w:rsidRDefault="000230E8" w:rsidP="000230E8">
            <w:pPr>
              <w:pStyle w:val="TableHead"/>
              <w:rPr>
                <w:lang w:val="en-GB" w:eastAsia="en-GB"/>
              </w:rPr>
            </w:pPr>
            <w:r w:rsidRPr="008358AD">
              <w:rPr>
                <w:lang w:val="en-GB" w:eastAsia="en-GB"/>
              </w:rPr>
              <w:t>Fees</w:t>
            </w:r>
          </w:p>
        </w:tc>
        <w:tc>
          <w:tcPr>
            <w:tcW w:w="1896" w:type="dxa"/>
            <w:shd w:val="clear" w:color="auto" w:fill="auto"/>
          </w:tcPr>
          <w:p w14:paraId="51ED2D0C" w14:textId="77777777" w:rsidR="000230E8" w:rsidRPr="008358AD" w:rsidRDefault="000230E8" w:rsidP="000230E8">
            <w:pPr>
              <w:pStyle w:val="TableHead"/>
              <w:rPr>
                <w:lang w:val="en-GB" w:eastAsia="en-GB"/>
              </w:rPr>
            </w:pPr>
            <w:r w:rsidRPr="008358AD">
              <w:rPr>
                <w:lang w:val="en-GB" w:eastAsia="en-GB"/>
              </w:rPr>
              <w:t>Expenses paid to or on behalf of</w:t>
            </w:r>
          </w:p>
        </w:tc>
        <w:tc>
          <w:tcPr>
            <w:tcW w:w="1896" w:type="dxa"/>
            <w:shd w:val="clear" w:color="auto" w:fill="auto"/>
          </w:tcPr>
          <w:p w14:paraId="12E5F77C" w14:textId="77777777" w:rsidR="000230E8" w:rsidRPr="008358AD" w:rsidRDefault="000230E8" w:rsidP="000230E8">
            <w:pPr>
              <w:pStyle w:val="TableHead"/>
              <w:rPr>
                <w:lang w:val="en-GB" w:eastAsia="en-GB"/>
              </w:rPr>
            </w:pPr>
            <w:r>
              <w:rPr>
                <w:lang w:val="en-GB" w:eastAsia="en-GB"/>
              </w:rPr>
              <w:t>Total</w:t>
            </w:r>
          </w:p>
        </w:tc>
      </w:tr>
      <w:tr w:rsidR="000230E8" w:rsidRPr="008358AD" w14:paraId="197FE088" w14:textId="77777777" w:rsidTr="007418DE">
        <w:tblPrEx>
          <w:tblCellMar>
            <w:top w:w="0" w:type="dxa"/>
            <w:bottom w:w="0" w:type="dxa"/>
          </w:tblCellMar>
        </w:tblPrEx>
        <w:tc>
          <w:tcPr>
            <w:tcW w:w="3168" w:type="dxa"/>
            <w:shd w:val="clear" w:color="auto" w:fill="auto"/>
            <w:vAlign w:val="bottom"/>
          </w:tcPr>
          <w:p w14:paraId="018AF82F"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 xml:space="preserve">Peter </w:t>
            </w:r>
            <w:proofErr w:type="spellStart"/>
            <w:r w:rsidRPr="00081AA4">
              <w:rPr>
                <w:rFonts w:ascii="Gill Sans" w:hAnsi="Gill Sans"/>
                <w:sz w:val="24"/>
                <w:lang w:val="en-GB" w:eastAsia="en-GB"/>
              </w:rPr>
              <w:t>McKevitt</w:t>
            </w:r>
            <w:proofErr w:type="spellEnd"/>
          </w:p>
        </w:tc>
        <w:tc>
          <w:tcPr>
            <w:tcW w:w="1896" w:type="dxa"/>
            <w:shd w:val="clear" w:color="auto" w:fill="auto"/>
          </w:tcPr>
          <w:p w14:paraId="4B5FCAB6"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8,978.00</w:t>
            </w:r>
          </w:p>
        </w:tc>
        <w:tc>
          <w:tcPr>
            <w:tcW w:w="1896" w:type="dxa"/>
            <w:shd w:val="clear" w:color="auto" w:fill="auto"/>
          </w:tcPr>
          <w:p w14:paraId="34F08555"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761.80</w:t>
            </w:r>
          </w:p>
        </w:tc>
        <w:tc>
          <w:tcPr>
            <w:tcW w:w="1896" w:type="dxa"/>
            <w:shd w:val="clear" w:color="auto" w:fill="auto"/>
          </w:tcPr>
          <w:p w14:paraId="0A37CB53" w14:textId="77777777" w:rsidR="000230E8" w:rsidRPr="008358AD" w:rsidRDefault="000230E8" w:rsidP="000230E8">
            <w:pPr>
              <w:pStyle w:val="TableCell"/>
              <w:rPr>
                <w:sz w:val="24"/>
                <w:lang w:val="en-GB" w:eastAsia="en-GB"/>
              </w:rPr>
            </w:pPr>
          </w:p>
        </w:tc>
      </w:tr>
      <w:tr w:rsidR="000230E8" w:rsidRPr="008358AD" w14:paraId="626DAEAC" w14:textId="77777777" w:rsidTr="007418DE">
        <w:tblPrEx>
          <w:tblCellMar>
            <w:top w:w="0" w:type="dxa"/>
            <w:bottom w:w="0" w:type="dxa"/>
          </w:tblCellMar>
        </w:tblPrEx>
        <w:tc>
          <w:tcPr>
            <w:tcW w:w="3168" w:type="dxa"/>
            <w:shd w:val="clear" w:color="auto" w:fill="auto"/>
            <w:vAlign w:val="bottom"/>
          </w:tcPr>
          <w:p w14:paraId="59D58FC8"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Caroline Burrell</w:t>
            </w:r>
          </w:p>
        </w:tc>
        <w:tc>
          <w:tcPr>
            <w:tcW w:w="1896" w:type="dxa"/>
            <w:shd w:val="clear" w:color="auto" w:fill="auto"/>
          </w:tcPr>
          <w:p w14:paraId="70F9C558"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3914AB11"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312.28</w:t>
            </w:r>
          </w:p>
        </w:tc>
        <w:tc>
          <w:tcPr>
            <w:tcW w:w="1896" w:type="dxa"/>
            <w:shd w:val="clear" w:color="auto" w:fill="auto"/>
          </w:tcPr>
          <w:p w14:paraId="68F38CCE" w14:textId="77777777" w:rsidR="000230E8" w:rsidRPr="008358AD" w:rsidRDefault="000230E8" w:rsidP="000230E8">
            <w:pPr>
              <w:pStyle w:val="TableCell"/>
              <w:rPr>
                <w:sz w:val="24"/>
                <w:lang w:val="en-GB" w:eastAsia="en-GB"/>
              </w:rPr>
            </w:pPr>
          </w:p>
        </w:tc>
      </w:tr>
      <w:tr w:rsidR="000230E8" w:rsidRPr="008358AD" w14:paraId="133055DA" w14:textId="77777777" w:rsidTr="007418DE">
        <w:tblPrEx>
          <w:tblCellMar>
            <w:top w:w="0" w:type="dxa"/>
            <w:bottom w:w="0" w:type="dxa"/>
          </w:tblCellMar>
        </w:tblPrEx>
        <w:tc>
          <w:tcPr>
            <w:tcW w:w="3168" w:type="dxa"/>
            <w:shd w:val="clear" w:color="auto" w:fill="auto"/>
            <w:vAlign w:val="bottom"/>
          </w:tcPr>
          <w:p w14:paraId="24D2F5A5"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Desmond Kenny</w:t>
            </w:r>
          </w:p>
        </w:tc>
        <w:tc>
          <w:tcPr>
            <w:tcW w:w="1896" w:type="dxa"/>
            <w:shd w:val="clear" w:color="auto" w:fill="auto"/>
          </w:tcPr>
          <w:p w14:paraId="4C2689C4"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7D800156" w14:textId="77777777" w:rsidR="000230E8" w:rsidRPr="008358AD" w:rsidRDefault="000230E8" w:rsidP="000230E8">
            <w:pPr>
              <w:pStyle w:val="TableCell"/>
              <w:rPr>
                <w:sz w:val="24"/>
                <w:lang w:val="en-GB" w:eastAsia="en-GB"/>
              </w:rPr>
            </w:pPr>
            <w:r w:rsidRPr="008358AD">
              <w:rPr>
                <w:sz w:val="24"/>
                <w:lang w:val="en-GB" w:eastAsia="en-GB"/>
              </w:rPr>
              <w:t> </w:t>
            </w:r>
          </w:p>
        </w:tc>
        <w:tc>
          <w:tcPr>
            <w:tcW w:w="1896" w:type="dxa"/>
            <w:shd w:val="clear" w:color="auto" w:fill="auto"/>
          </w:tcPr>
          <w:p w14:paraId="32C037FB" w14:textId="77777777" w:rsidR="000230E8" w:rsidRPr="008358AD" w:rsidRDefault="000230E8" w:rsidP="000230E8">
            <w:pPr>
              <w:pStyle w:val="TableCell"/>
              <w:rPr>
                <w:sz w:val="24"/>
                <w:lang w:val="en-GB" w:eastAsia="en-GB"/>
              </w:rPr>
            </w:pPr>
          </w:p>
        </w:tc>
      </w:tr>
      <w:tr w:rsidR="000230E8" w:rsidRPr="008358AD" w14:paraId="64D3A7D0" w14:textId="77777777" w:rsidTr="007418DE">
        <w:tblPrEx>
          <w:tblCellMar>
            <w:top w:w="0" w:type="dxa"/>
            <w:bottom w:w="0" w:type="dxa"/>
          </w:tblCellMar>
        </w:tblPrEx>
        <w:tc>
          <w:tcPr>
            <w:tcW w:w="3168" w:type="dxa"/>
            <w:shd w:val="clear" w:color="auto" w:fill="auto"/>
            <w:vAlign w:val="bottom"/>
          </w:tcPr>
          <w:p w14:paraId="405A527A"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Fiona Duignan</w:t>
            </w:r>
          </w:p>
        </w:tc>
        <w:tc>
          <w:tcPr>
            <w:tcW w:w="1896" w:type="dxa"/>
            <w:shd w:val="clear" w:color="auto" w:fill="auto"/>
          </w:tcPr>
          <w:p w14:paraId="641AFAB2"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7A105979" w14:textId="77777777" w:rsidR="000230E8" w:rsidRPr="008358AD" w:rsidRDefault="000230E8" w:rsidP="000230E8">
            <w:pPr>
              <w:pStyle w:val="TableCell"/>
              <w:rPr>
                <w:sz w:val="24"/>
                <w:lang w:val="en-GB" w:eastAsia="en-GB"/>
              </w:rPr>
            </w:pPr>
            <w:r w:rsidRPr="008358AD">
              <w:rPr>
                <w:sz w:val="24"/>
                <w:lang w:val="en-GB" w:eastAsia="en-GB"/>
              </w:rPr>
              <w:t> </w:t>
            </w:r>
          </w:p>
        </w:tc>
        <w:tc>
          <w:tcPr>
            <w:tcW w:w="1896" w:type="dxa"/>
            <w:shd w:val="clear" w:color="auto" w:fill="auto"/>
          </w:tcPr>
          <w:p w14:paraId="60457CDA" w14:textId="77777777" w:rsidR="000230E8" w:rsidRPr="008358AD" w:rsidRDefault="000230E8" w:rsidP="000230E8">
            <w:pPr>
              <w:pStyle w:val="TableCell"/>
              <w:rPr>
                <w:sz w:val="24"/>
                <w:lang w:val="en-GB" w:eastAsia="en-GB"/>
              </w:rPr>
            </w:pPr>
          </w:p>
        </w:tc>
      </w:tr>
      <w:tr w:rsidR="000230E8" w:rsidRPr="008358AD" w14:paraId="6A4949F8" w14:textId="77777777" w:rsidTr="007418DE">
        <w:tblPrEx>
          <w:tblCellMar>
            <w:top w:w="0" w:type="dxa"/>
            <w:bottom w:w="0" w:type="dxa"/>
          </w:tblCellMar>
        </w:tblPrEx>
        <w:tc>
          <w:tcPr>
            <w:tcW w:w="3168" w:type="dxa"/>
            <w:shd w:val="clear" w:color="auto" w:fill="auto"/>
            <w:vAlign w:val="bottom"/>
          </w:tcPr>
          <w:p w14:paraId="26D9B0A1"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Joanne McCarthy</w:t>
            </w:r>
          </w:p>
        </w:tc>
        <w:tc>
          <w:tcPr>
            <w:tcW w:w="1896" w:type="dxa"/>
            <w:shd w:val="clear" w:color="auto" w:fill="auto"/>
          </w:tcPr>
          <w:p w14:paraId="0859D0B5"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78A8566A" w14:textId="77777777" w:rsidR="000230E8" w:rsidRPr="008358AD" w:rsidRDefault="000230E8" w:rsidP="000230E8">
            <w:pPr>
              <w:pStyle w:val="TableCell"/>
              <w:rPr>
                <w:sz w:val="24"/>
                <w:lang w:val="en-GB" w:eastAsia="en-GB"/>
              </w:rPr>
            </w:pPr>
            <w:r w:rsidRPr="008358AD">
              <w:rPr>
                <w:sz w:val="24"/>
                <w:lang w:val="en-GB" w:eastAsia="en-GB"/>
              </w:rPr>
              <w:t> </w:t>
            </w:r>
          </w:p>
        </w:tc>
        <w:tc>
          <w:tcPr>
            <w:tcW w:w="1896" w:type="dxa"/>
            <w:shd w:val="clear" w:color="auto" w:fill="auto"/>
          </w:tcPr>
          <w:p w14:paraId="6D081638" w14:textId="77777777" w:rsidR="000230E8" w:rsidRPr="008358AD" w:rsidRDefault="000230E8" w:rsidP="000230E8">
            <w:pPr>
              <w:pStyle w:val="TableCell"/>
              <w:rPr>
                <w:sz w:val="24"/>
                <w:lang w:val="en-GB" w:eastAsia="en-GB"/>
              </w:rPr>
            </w:pPr>
          </w:p>
        </w:tc>
      </w:tr>
      <w:tr w:rsidR="000230E8" w:rsidRPr="008358AD" w14:paraId="7270FE8A" w14:textId="77777777" w:rsidTr="007418DE">
        <w:tblPrEx>
          <w:tblCellMar>
            <w:top w:w="0" w:type="dxa"/>
            <w:bottom w:w="0" w:type="dxa"/>
          </w:tblCellMar>
        </w:tblPrEx>
        <w:tc>
          <w:tcPr>
            <w:tcW w:w="3168" w:type="dxa"/>
            <w:shd w:val="clear" w:color="auto" w:fill="auto"/>
            <w:vAlign w:val="bottom"/>
          </w:tcPr>
          <w:p w14:paraId="18A79107"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Mary Lavelle</w:t>
            </w:r>
          </w:p>
        </w:tc>
        <w:tc>
          <w:tcPr>
            <w:tcW w:w="1896" w:type="dxa"/>
            <w:shd w:val="clear" w:color="auto" w:fill="auto"/>
          </w:tcPr>
          <w:p w14:paraId="6F737C87"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3C7D2FB8" w14:textId="77777777" w:rsidR="000230E8" w:rsidRPr="008358AD" w:rsidRDefault="000230E8" w:rsidP="000230E8">
            <w:pPr>
              <w:pStyle w:val="TableCell"/>
              <w:rPr>
                <w:sz w:val="24"/>
                <w:lang w:val="en-GB" w:eastAsia="en-GB"/>
              </w:rPr>
            </w:pPr>
            <w:r w:rsidRPr="008358AD">
              <w:rPr>
                <w:sz w:val="24"/>
                <w:lang w:val="en-GB" w:eastAsia="en-GB"/>
              </w:rPr>
              <w:t> </w:t>
            </w:r>
          </w:p>
        </w:tc>
        <w:tc>
          <w:tcPr>
            <w:tcW w:w="1896" w:type="dxa"/>
            <w:shd w:val="clear" w:color="auto" w:fill="auto"/>
          </w:tcPr>
          <w:p w14:paraId="299C763E" w14:textId="77777777" w:rsidR="000230E8" w:rsidRPr="008358AD" w:rsidRDefault="000230E8" w:rsidP="000230E8">
            <w:pPr>
              <w:pStyle w:val="TableCell"/>
              <w:rPr>
                <w:sz w:val="24"/>
                <w:lang w:val="en-GB" w:eastAsia="en-GB"/>
              </w:rPr>
            </w:pPr>
          </w:p>
        </w:tc>
      </w:tr>
      <w:tr w:rsidR="000230E8" w:rsidRPr="008358AD" w14:paraId="0B20D6F9" w14:textId="77777777" w:rsidTr="007418DE">
        <w:tblPrEx>
          <w:tblCellMar>
            <w:top w:w="0" w:type="dxa"/>
            <w:bottom w:w="0" w:type="dxa"/>
          </w:tblCellMar>
        </w:tblPrEx>
        <w:tc>
          <w:tcPr>
            <w:tcW w:w="3168" w:type="dxa"/>
            <w:shd w:val="clear" w:color="auto" w:fill="auto"/>
            <w:vAlign w:val="bottom"/>
          </w:tcPr>
          <w:p w14:paraId="73E1E20D"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Tara Cunningham</w:t>
            </w:r>
          </w:p>
        </w:tc>
        <w:tc>
          <w:tcPr>
            <w:tcW w:w="1896" w:type="dxa"/>
            <w:shd w:val="clear" w:color="auto" w:fill="auto"/>
          </w:tcPr>
          <w:p w14:paraId="3BA9F88C"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02B0D506"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1,489.79</w:t>
            </w:r>
          </w:p>
        </w:tc>
        <w:tc>
          <w:tcPr>
            <w:tcW w:w="1896" w:type="dxa"/>
            <w:shd w:val="clear" w:color="auto" w:fill="auto"/>
          </w:tcPr>
          <w:p w14:paraId="54E90991" w14:textId="77777777" w:rsidR="000230E8" w:rsidRPr="008358AD" w:rsidRDefault="000230E8" w:rsidP="000230E8">
            <w:pPr>
              <w:pStyle w:val="TableCell"/>
              <w:rPr>
                <w:sz w:val="24"/>
                <w:lang w:val="en-GB" w:eastAsia="en-GB"/>
              </w:rPr>
            </w:pPr>
          </w:p>
        </w:tc>
      </w:tr>
      <w:tr w:rsidR="000230E8" w:rsidRPr="008358AD" w14:paraId="7B87A7AB" w14:textId="77777777" w:rsidTr="007418DE">
        <w:tblPrEx>
          <w:tblCellMar>
            <w:top w:w="0" w:type="dxa"/>
            <w:bottom w:w="0" w:type="dxa"/>
          </w:tblCellMar>
        </w:tblPrEx>
        <w:tc>
          <w:tcPr>
            <w:tcW w:w="3168" w:type="dxa"/>
            <w:shd w:val="clear" w:color="auto" w:fill="auto"/>
            <w:vAlign w:val="bottom"/>
          </w:tcPr>
          <w:p w14:paraId="05E3CA07"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Tony Bates</w:t>
            </w:r>
          </w:p>
        </w:tc>
        <w:tc>
          <w:tcPr>
            <w:tcW w:w="1896" w:type="dxa"/>
            <w:shd w:val="clear" w:color="auto" w:fill="auto"/>
          </w:tcPr>
          <w:p w14:paraId="0ECA3188"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7DDAF0B7" w14:textId="77777777" w:rsidR="000230E8" w:rsidRPr="008358AD" w:rsidRDefault="000230E8" w:rsidP="000230E8">
            <w:pPr>
              <w:pStyle w:val="TableCell"/>
              <w:rPr>
                <w:sz w:val="24"/>
                <w:lang w:val="en-GB" w:eastAsia="en-GB"/>
              </w:rPr>
            </w:pPr>
            <w:r w:rsidRPr="008358AD">
              <w:rPr>
                <w:sz w:val="24"/>
                <w:lang w:val="en-GB" w:eastAsia="en-GB"/>
              </w:rPr>
              <w:t> </w:t>
            </w:r>
          </w:p>
        </w:tc>
        <w:tc>
          <w:tcPr>
            <w:tcW w:w="1896" w:type="dxa"/>
            <w:shd w:val="clear" w:color="auto" w:fill="auto"/>
          </w:tcPr>
          <w:p w14:paraId="5351932B" w14:textId="77777777" w:rsidR="000230E8" w:rsidRPr="008358AD" w:rsidRDefault="000230E8" w:rsidP="000230E8">
            <w:pPr>
              <w:pStyle w:val="TableCell"/>
              <w:rPr>
                <w:sz w:val="24"/>
                <w:lang w:val="en-GB" w:eastAsia="en-GB"/>
              </w:rPr>
            </w:pPr>
          </w:p>
        </w:tc>
      </w:tr>
      <w:tr w:rsidR="000230E8" w:rsidRPr="008358AD" w14:paraId="705791DD" w14:textId="77777777" w:rsidTr="007418DE">
        <w:tblPrEx>
          <w:tblCellMar>
            <w:top w:w="0" w:type="dxa"/>
            <w:bottom w:w="0" w:type="dxa"/>
          </w:tblCellMar>
        </w:tblPrEx>
        <w:tc>
          <w:tcPr>
            <w:tcW w:w="3168" w:type="dxa"/>
            <w:shd w:val="clear" w:color="auto" w:fill="auto"/>
            <w:vAlign w:val="bottom"/>
          </w:tcPr>
          <w:p w14:paraId="1E383D2A"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 xml:space="preserve">Frank </w:t>
            </w:r>
            <w:proofErr w:type="spellStart"/>
            <w:r w:rsidRPr="00081AA4">
              <w:rPr>
                <w:rFonts w:ascii="Gill Sans" w:hAnsi="Gill Sans"/>
                <w:sz w:val="24"/>
                <w:lang w:val="en-GB" w:eastAsia="en-GB"/>
              </w:rPr>
              <w:t>Cunneen</w:t>
            </w:r>
            <w:proofErr w:type="spellEnd"/>
          </w:p>
        </w:tc>
        <w:tc>
          <w:tcPr>
            <w:tcW w:w="1896" w:type="dxa"/>
            <w:shd w:val="clear" w:color="auto" w:fill="auto"/>
          </w:tcPr>
          <w:p w14:paraId="6E8F396A"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079A8A74" w14:textId="77777777" w:rsidR="000230E8" w:rsidRPr="008358AD" w:rsidRDefault="000230E8" w:rsidP="000230E8">
            <w:pPr>
              <w:pStyle w:val="TableCell"/>
              <w:rPr>
                <w:sz w:val="24"/>
                <w:lang w:val="en-GB" w:eastAsia="en-GB"/>
              </w:rPr>
            </w:pPr>
            <w:r w:rsidRPr="008358AD">
              <w:rPr>
                <w:sz w:val="24"/>
                <w:lang w:val="en-GB" w:eastAsia="en-GB"/>
              </w:rPr>
              <w:t> </w:t>
            </w:r>
          </w:p>
        </w:tc>
        <w:tc>
          <w:tcPr>
            <w:tcW w:w="1896" w:type="dxa"/>
            <w:shd w:val="clear" w:color="auto" w:fill="auto"/>
          </w:tcPr>
          <w:p w14:paraId="4EBE29D4" w14:textId="77777777" w:rsidR="000230E8" w:rsidRPr="008358AD" w:rsidRDefault="000230E8" w:rsidP="000230E8">
            <w:pPr>
              <w:pStyle w:val="TableCell"/>
              <w:rPr>
                <w:sz w:val="24"/>
                <w:lang w:val="en-GB" w:eastAsia="en-GB"/>
              </w:rPr>
            </w:pPr>
          </w:p>
        </w:tc>
      </w:tr>
      <w:tr w:rsidR="000230E8" w:rsidRPr="008358AD" w14:paraId="430F0A75" w14:textId="77777777" w:rsidTr="007418DE">
        <w:tblPrEx>
          <w:tblCellMar>
            <w:top w:w="0" w:type="dxa"/>
            <w:bottom w:w="0" w:type="dxa"/>
          </w:tblCellMar>
        </w:tblPrEx>
        <w:tc>
          <w:tcPr>
            <w:tcW w:w="3168" w:type="dxa"/>
            <w:shd w:val="clear" w:color="auto" w:fill="auto"/>
            <w:vAlign w:val="bottom"/>
          </w:tcPr>
          <w:p w14:paraId="6A83C20B"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David Joyce</w:t>
            </w:r>
          </w:p>
        </w:tc>
        <w:tc>
          <w:tcPr>
            <w:tcW w:w="1896" w:type="dxa"/>
            <w:shd w:val="clear" w:color="auto" w:fill="auto"/>
          </w:tcPr>
          <w:p w14:paraId="5BB81C73"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41285CAA" w14:textId="77777777" w:rsidR="000230E8" w:rsidRPr="008358AD" w:rsidRDefault="000230E8" w:rsidP="000230E8">
            <w:pPr>
              <w:pStyle w:val="TableCell"/>
              <w:rPr>
                <w:sz w:val="24"/>
                <w:lang w:val="en-GB" w:eastAsia="en-GB"/>
              </w:rPr>
            </w:pPr>
            <w:r w:rsidRPr="008358AD">
              <w:rPr>
                <w:sz w:val="24"/>
                <w:lang w:val="en-GB" w:eastAsia="en-GB"/>
              </w:rPr>
              <w:t> </w:t>
            </w:r>
          </w:p>
        </w:tc>
        <w:tc>
          <w:tcPr>
            <w:tcW w:w="1896" w:type="dxa"/>
            <w:shd w:val="clear" w:color="auto" w:fill="auto"/>
          </w:tcPr>
          <w:p w14:paraId="4477CD62" w14:textId="77777777" w:rsidR="000230E8" w:rsidRPr="008358AD" w:rsidRDefault="000230E8" w:rsidP="000230E8">
            <w:pPr>
              <w:pStyle w:val="TableCell"/>
              <w:rPr>
                <w:sz w:val="24"/>
                <w:lang w:val="en-GB" w:eastAsia="en-GB"/>
              </w:rPr>
            </w:pPr>
          </w:p>
        </w:tc>
      </w:tr>
      <w:tr w:rsidR="000230E8" w:rsidRPr="008358AD" w14:paraId="14982A9C" w14:textId="77777777" w:rsidTr="007418DE">
        <w:tblPrEx>
          <w:tblCellMar>
            <w:top w:w="0" w:type="dxa"/>
            <w:bottom w:w="0" w:type="dxa"/>
          </w:tblCellMar>
        </w:tblPrEx>
        <w:tc>
          <w:tcPr>
            <w:tcW w:w="3168" w:type="dxa"/>
            <w:shd w:val="clear" w:color="auto" w:fill="auto"/>
            <w:vAlign w:val="bottom"/>
          </w:tcPr>
          <w:p w14:paraId="33110CE3"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James O'Grady</w:t>
            </w:r>
          </w:p>
        </w:tc>
        <w:tc>
          <w:tcPr>
            <w:tcW w:w="1896" w:type="dxa"/>
            <w:shd w:val="clear" w:color="auto" w:fill="auto"/>
          </w:tcPr>
          <w:p w14:paraId="302826E6"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5,985.00</w:t>
            </w:r>
          </w:p>
        </w:tc>
        <w:tc>
          <w:tcPr>
            <w:tcW w:w="1896" w:type="dxa"/>
            <w:shd w:val="clear" w:color="auto" w:fill="auto"/>
          </w:tcPr>
          <w:p w14:paraId="0F691582"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1,933.82</w:t>
            </w:r>
          </w:p>
        </w:tc>
        <w:tc>
          <w:tcPr>
            <w:tcW w:w="1896" w:type="dxa"/>
            <w:shd w:val="clear" w:color="auto" w:fill="auto"/>
          </w:tcPr>
          <w:p w14:paraId="4D6AC86F" w14:textId="77777777" w:rsidR="000230E8" w:rsidRPr="008358AD" w:rsidRDefault="000230E8" w:rsidP="000230E8">
            <w:pPr>
              <w:pStyle w:val="TableCell"/>
              <w:rPr>
                <w:sz w:val="24"/>
                <w:lang w:val="en-GB" w:eastAsia="en-GB"/>
              </w:rPr>
            </w:pPr>
          </w:p>
        </w:tc>
      </w:tr>
      <w:tr w:rsidR="000230E8" w:rsidRPr="008358AD" w14:paraId="39AAC1EB" w14:textId="77777777" w:rsidTr="007418DE">
        <w:tblPrEx>
          <w:tblCellMar>
            <w:top w:w="0" w:type="dxa"/>
            <w:bottom w:w="0" w:type="dxa"/>
          </w:tblCellMar>
        </w:tblPrEx>
        <w:tc>
          <w:tcPr>
            <w:tcW w:w="3168" w:type="dxa"/>
            <w:shd w:val="clear" w:color="auto" w:fill="auto"/>
            <w:vAlign w:val="bottom"/>
          </w:tcPr>
          <w:p w14:paraId="2CA765CF" w14:textId="77777777" w:rsidR="000230E8" w:rsidRPr="00081AA4" w:rsidRDefault="000230E8" w:rsidP="000230E8">
            <w:pPr>
              <w:pStyle w:val="TableRowHead"/>
              <w:rPr>
                <w:rFonts w:ascii="Gill Sans" w:hAnsi="Gill Sans"/>
                <w:sz w:val="24"/>
                <w:lang w:val="en-GB" w:eastAsia="en-GB"/>
              </w:rPr>
            </w:pPr>
            <w:r>
              <w:rPr>
                <w:rFonts w:ascii="Gill Sans" w:hAnsi="Gill Sans"/>
                <w:sz w:val="24"/>
                <w:lang w:val="en-GB" w:eastAsia="en-GB"/>
              </w:rPr>
              <w:t>Donal Lawlor</w:t>
            </w:r>
            <w:r w:rsidRPr="00081AA4">
              <w:rPr>
                <w:rFonts w:ascii="Gill Sans" w:hAnsi="Gill Sans"/>
                <w:sz w:val="24"/>
                <w:lang w:val="en-GB" w:eastAsia="en-GB"/>
              </w:rPr>
              <w:t xml:space="preserve"> (Audit Committee Chairperson)</w:t>
            </w:r>
          </w:p>
        </w:tc>
        <w:tc>
          <w:tcPr>
            <w:tcW w:w="1896" w:type="dxa"/>
            <w:shd w:val="clear" w:color="auto" w:fill="auto"/>
          </w:tcPr>
          <w:p w14:paraId="2CF98673"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4,488.75</w:t>
            </w:r>
          </w:p>
        </w:tc>
        <w:tc>
          <w:tcPr>
            <w:tcW w:w="1896" w:type="dxa"/>
            <w:shd w:val="clear" w:color="auto" w:fill="auto"/>
          </w:tcPr>
          <w:p w14:paraId="7BA7B1DB" w14:textId="77777777" w:rsidR="000230E8" w:rsidRPr="008358AD" w:rsidRDefault="000230E8" w:rsidP="000230E8">
            <w:pPr>
              <w:pStyle w:val="TableCell"/>
              <w:rPr>
                <w:sz w:val="24"/>
                <w:lang w:val="en-GB" w:eastAsia="en-GB"/>
              </w:rPr>
            </w:pPr>
            <w:r w:rsidRPr="008358AD">
              <w:rPr>
                <w:sz w:val="24"/>
                <w:lang w:val="en-GB" w:eastAsia="en-GB"/>
              </w:rPr>
              <w:t> </w:t>
            </w:r>
          </w:p>
        </w:tc>
        <w:tc>
          <w:tcPr>
            <w:tcW w:w="1896" w:type="dxa"/>
            <w:shd w:val="clear" w:color="auto" w:fill="auto"/>
          </w:tcPr>
          <w:p w14:paraId="6B5F14B8" w14:textId="77777777" w:rsidR="000230E8" w:rsidRPr="008358AD" w:rsidRDefault="000230E8" w:rsidP="000230E8">
            <w:pPr>
              <w:pStyle w:val="TableCell"/>
              <w:rPr>
                <w:sz w:val="24"/>
                <w:lang w:val="en-GB" w:eastAsia="en-GB"/>
              </w:rPr>
            </w:pPr>
          </w:p>
        </w:tc>
      </w:tr>
      <w:tr w:rsidR="000230E8" w:rsidRPr="008358AD" w14:paraId="3297DEBD" w14:textId="77777777" w:rsidTr="007418DE">
        <w:tblPrEx>
          <w:tblCellMar>
            <w:top w:w="0" w:type="dxa"/>
            <w:bottom w:w="0" w:type="dxa"/>
          </w:tblCellMar>
        </w:tblPrEx>
        <w:tc>
          <w:tcPr>
            <w:tcW w:w="3168" w:type="dxa"/>
            <w:shd w:val="clear" w:color="auto" w:fill="auto"/>
            <w:vAlign w:val="bottom"/>
          </w:tcPr>
          <w:p w14:paraId="66DE1D93"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Total</w:t>
            </w:r>
          </w:p>
        </w:tc>
        <w:tc>
          <w:tcPr>
            <w:tcW w:w="1896" w:type="dxa"/>
            <w:shd w:val="clear" w:color="auto" w:fill="auto"/>
          </w:tcPr>
          <w:p w14:paraId="72217BFF"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73,316.75</w:t>
            </w:r>
          </w:p>
        </w:tc>
        <w:tc>
          <w:tcPr>
            <w:tcW w:w="1896" w:type="dxa"/>
            <w:shd w:val="clear" w:color="auto" w:fill="auto"/>
          </w:tcPr>
          <w:p w14:paraId="099EDF8C"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4,497.69</w:t>
            </w:r>
          </w:p>
        </w:tc>
        <w:tc>
          <w:tcPr>
            <w:tcW w:w="1896" w:type="dxa"/>
            <w:shd w:val="clear" w:color="auto" w:fill="auto"/>
          </w:tcPr>
          <w:p w14:paraId="2EF2C5B8"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77,814.44</w:t>
            </w:r>
          </w:p>
        </w:tc>
      </w:tr>
      <w:tr w:rsidR="000230E8" w:rsidRPr="008358AD" w14:paraId="615663A8" w14:textId="77777777" w:rsidTr="007418DE">
        <w:tblPrEx>
          <w:tblCellMar>
            <w:top w:w="0" w:type="dxa"/>
            <w:bottom w:w="0" w:type="dxa"/>
          </w:tblCellMar>
        </w:tblPrEx>
        <w:tc>
          <w:tcPr>
            <w:tcW w:w="3168" w:type="dxa"/>
            <w:shd w:val="clear" w:color="auto" w:fill="auto"/>
            <w:vAlign w:val="bottom"/>
          </w:tcPr>
          <w:p w14:paraId="0748C9A9" w14:textId="77777777" w:rsidR="000230E8" w:rsidRPr="00081AA4" w:rsidRDefault="000230E8" w:rsidP="000230E8">
            <w:pPr>
              <w:pStyle w:val="TableRowHead"/>
              <w:rPr>
                <w:rFonts w:ascii="Gill Sans" w:hAnsi="Gill Sans"/>
                <w:sz w:val="24"/>
                <w:lang w:val="en-GB" w:eastAsia="en-GB"/>
              </w:rPr>
            </w:pPr>
          </w:p>
        </w:tc>
        <w:tc>
          <w:tcPr>
            <w:tcW w:w="1896" w:type="dxa"/>
            <w:shd w:val="clear" w:color="auto" w:fill="auto"/>
          </w:tcPr>
          <w:p w14:paraId="0E6D1970" w14:textId="77777777" w:rsidR="000230E8" w:rsidRPr="008358AD" w:rsidRDefault="000230E8" w:rsidP="000230E8">
            <w:pPr>
              <w:pStyle w:val="TableCell"/>
              <w:rPr>
                <w:sz w:val="24"/>
                <w:lang w:val="en-GB" w:eastAsia="en-GB"/>
              </w:rPr>
            </w:pPr>
          </w:p>
        </w:tc>
        <w:tc>
          <w:tcPr>
            <w:tcW w:w="1896" w:type="dxa"/>
            <w:shd w:val="clear" w:color="auto" w:fill="auto"/>
          </w:tcPr>
          <w:p w14:paraId="0A758447" w14:textId="77777777" w:rsidR="000230E8" w:rsidRPr="008358AD" w:rsidRDefault="000230E8" w:rsidP="000230E8">
            <w:pPr>
              <w:pStyle w:val="TableCell"/>
              <w:rPr>
                <w:sz w:val="24"/>
                <w:lang w:val="en-GB" w:eastAsia="en-GB"/>
              </w:rPr>
            </w:pPr>
          </w:p>
        </w:tc>
        <w:tc>
          <w:tcPr>
            <w:tcW w:w="1896" w:type="dxa"/>
            <w:shd w:val="clear" w:color="auto" w:fill="auto"/>
          </w:tcPr>
          <w:p w14:paraId="5960602C" w14:textId="77777777" w:rsidR="000230E8" w:rsidRPr="008358AD" w:rsidRDefault="000230E8" w:rsidP="000230E8">
            <w:pPr>
              <w:pStyle w:val="TableCell"/>
              <w:rPr>
                <w:sz w:val="24"/>
                <w:lang w:val="en-GB" w:eastAsia="en-GB"/>
              </w:rPr>
            </w:pPr>
          </w:p>
        </w:tc>
      </w:tr>
      <w:tr w:rsidR="000230E8" w:rsidRPr="008358AD" w14:paraId="5DD8DD13" w14:textId="77777777" w:rsidTr="007418DE">
        <w:tblPrEx>
          <w:tblCellMar>
            <w:top w:w="0" w:type="dxa"/>
            <w:bottom w:w="0" w:type="dxa"/>
          </w:tblCellMar>
        </w:tblPrEx>
        <w:tc>
          <w:tcPr>
            <w:tcW w:w="3168" w:type="dxa"/>
            <w:shd w:val="clear" w:color="auto" w:fill="auto"/>
            <w:vAlign w:val="bottom"/>
          </w:tcPr>
          <w:p w14:paraId="4A39FE8B"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Employers PRSI for Authority</w:t>
            </w:r>
          </w:p>
        </w:tc>
        <w:tc>
          <w:tcPr>
            <w:tcW w:w="1896" w:type="dxa"/>
            <w:shd w:val="clear" w:color="auto" w:fill="auto"/>
          </w:tcPr>
          <w:p w14:paraId="2DE70485" w14:textId="77777777" w:rsidR="000230E8" w:rsidRPr="008358AD" w:rsidRDefault="000230E8" w:rsidP="000230E8">
            <w:pPr>
              <w:pStyle w:val="TableCell"/>
              <w:rPr>
                <w:sz w:val="24"/>
                <w:lang w:val="en-GB" w:eastAsia="en-GB"/>
              </w:rPr>
            </w:pPr>
          </w:p>
        </w:tc>
        <w:tc>
          <w:tcPr>
            <w:tcW w:w="1896" w:type="dxa"/>
            <w:shd w:val="clear" w:color="auto" w:fill="auto"/>
          </w:tcPr>
          <w:p w14:paraId="12A53CFC" w14:textId="77777777" w:rsidR="000230E8" w:rsidRPr="008358AD" w:rsidRDefault="000230E8" w:rsidP="000230E8">
            <w:pPr>
              <w:pStyle w:val="TableCell"/>
              <w:rPr>
                <w:sz w:val="24"/>
                <w:lang w:val="en-GB" w:eastAsia="en-GB"/>
              </w:rPr>
            </w:pPr>
          </w:p>
        </w:tc>
        <w:tc>
          <w:tcPr>
            <w:tcW w:w="1896" w:type="dxa"/>
            <w:shd w:val="clear" w:color="auto" w:fill="auto"/>
          </w:tcPr>
          <w:p w14:paraId="68213AC7"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6,508.74</w:t>
            </w:r>
          </w:p>
        </w:tc>
      </w:tr>
      <w:tr w:rsidR="000230E8" w:rsidRPr="008358AD" w14:paraId="14BDC2B7" w14:textId="77777777" w:rsidTr="007418DE">
        <w:tblPrEx>
          <w:tblCellMar>
            <w:top w:w="0" w:type="dxa"/>
            <w:bottom w:w="0" w:type="dxa"/>
          </w:tblCellMar>
        </w:tblPrEx>
        <w:tc>
          <w:tcPr>
            <w:tcW w:w="3168" w:type="dxa"/>
            <w:shd w:val="clear" w:color="auto" w:fill="auto"/>
            <w:vAlign w:val="bottom"/>
          </w:tcPr>
          <w:p w14:paraId="63A61A9C"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Other Expenses</w:t>
            </w:r>
          </w:p>
        </w:tc>
        <w:tc>
          <w:tcPr>
            <w:tcW w:w="1896" w:type="dxa"/>
            <w:shd w:val="clear" w:color="auto" w:fill="auto"/>
          </w:tcPr>
          <w:p w14:paraId="7657C469" w14:textId="77777777" w:rsidR="000230E8" w:rsidRPr="008358AD" w:rsidRDefault="000230E8" w:rsidP="000230E8">
            <w:pPr>
              <w:pStyle w:val="TableCell"/>
              <w:rPr>
                <w:sz w:val="24"/>
                <w:lang w:val="en-GB" w:eastAsia="en-GB"/>
              </w:rPr>
            </w:pPr>
          </w:p>
        </w:tc>
        <w:tc>
          <w:tcPr>
            <w:tcW w:w="1896" w:type="dxa"/>
            <w:shd w:val="clear" w:color="auto" w:fill="auto"/>
          </w:tcPr>
          <w:p w14:paraId="2016E602" w14:textId="77777777" w:rsidR="000230E8" w:rsidRPr="008358AD" w:rsidRDefault="000230E8" w:rsidP="000230E8">
            <w:pPr>
              <w:pStyle w:val="TableCell"/>
              <w:rPr>
                <w:sz w:val="24"/>
                <w:lang w:val="en-GB" w:eastAsia="en-GB"/>
              </w:rPr>
            </w:pPr>
          </w:p>
        </w:tc>
        <w:tc>
          <w:tcPr>
            <w:tcW w:w="1896" w:type="dxa"/>
            <w:shd w:val="clear" w:color="auto" w:fill="auto"/>
          </w:tcPr>
          <w:p w14:paraId="2982A9ED" w14:textId="77777777" w:rsidR="000230E8" w:rsidRPr="008358AD" w:rsidRDefault="000230E8" w:rsidP="000230E8">
            <w:pPr>
              <w:pStyle w:val="TableCell"/>
              <w:rPr>
                <w:sz w:val="24"/>
                <w:lang w:val="en-GB" w:eastAsia="en-GB"/>
              </w:rPr>
            </w:pPr>
            <w:r w:rsidRPr="008358AD">
              <w:rPr>
                <w:rFonts w:ascii="Arial" w:hAnsi="Arial" w:cs="Arial"/>
                <w:sz w:val="24"/>
                <w:lang w:val="en-GB" w:eastAsia="en-GB"/>
              </w:rPr>
              <w:t>€</w:t>
            </w:r>
            <w:r w:rsidRPr="008358AD">
              <w:rPr>
                <w:sz w:val="24"/>
                <w:lang w:val="en-GB" w:eastAsia="en-GB"/>
              </w:rPr>
              <w:t>1,398.43</w:t>
            </w:r>
          </w:p>
        </w:tc>
      </w:tr>
      <w:tr w:rsidR="000230E8" w:rsidRPr="008358AD" w14:paraId="021EE47A" w14:textId="77777777" w:rsidTr="007418DE">
        <w:tblPrEx>
          <w:tblCellMar>
            <w:top w:w="0" w:type="dxa"/>
            <w:bottom w:w="0" w:type="dxa"/>
          </w:tblCellMar>
        </w:tblPrEx>
        <w:tc>
          <w:tcPr>
            <w:tcW w:w="3168" w:type="dxa"/>
            <w:shd w:val="clear" w:color="auto" w:fill="auto"/>
            <w:vAlign w:val="bottom"/>
          </w:tcPr>
          <w:p w14:paraId="4EE3A33F" w14:textId="77777777" w:rsidR="000230E8" w:rsidRPr="008358AD" w:rsidRDefault="000230E8" w:rsidP="000230E8">
            <w:pPr>
              <w:spacing w:after="0"/>
              <w:rPr>
                <w:sz w:val="24"/>
                <w:lang w:val="en-GB" w:eastAsia="en-GB"/>
              </w:rPr>
            </w:pPr>
          </w:p>
        </w:tc>
        <w:tc>
          <w:tcPr>
            <w:tcW w:w="1896" w:type="dxa"/>
            <w:shd w:val="clear" w:color="auto" w:fill="auto"/>
          </w:tcPr>
          <w:p w14:paraId="0DFA8DA5" w14:textId="77777777" w:rsidR="000230E8" w:rsidRPr="008358AD" w:rsidRDefault="000230E8" w:rsidP="000230E8">
            <w:pPr>
              <w:pStyle w:val="TableCell"/>
              <w:rPr>
                <w:sz w:val="24"/>
                <w:lang w:val="en-GB" w:eastAsia="en-GB"/>
              </w:rPr>
            </w:pPr>
          </w:p>
        </w:tc>
        <w:tc>
          <w:tcPr>
            <w:tcW w:w="1896" w:type="dxa"/>
            <w:shd w:val="clear" w:color="auto" w:fill="auto"/>
          </w:tcPr>
          <w:p w14:paraId="601899AD" w14:textId="77777777" w:rsidR="000230E8" w:rsidRPr="008358AD" w:rsidRDefault="000230E8" w:rsidP="000230E8">
            <w:pPr>
              <w:pStyle w:val="TableCell"/>
              <w:rPr>
                <w:sz w:val="24"/>
                <w:lang w:val="en-GB" w:eastAsia="en-GB"/>
              </w:rPr>
            </w:pPr>
          </w:p>
        </w:tc>
        <w:tc>
          <w:tcPr>
            <w:tcW w:w="1896" w:type="dxa"/>
            <w:shd w:val="clear" w:color="auto" w:fill="auto"/>
          </w:tcPr>
          <w:p w14:paraId="2ACC7E88" w14:textId="77777777" w:rsidR="000230E8" w:rsidRPr="008358AD" w:rsidRDefault="000230E8" w:rsidP="000230E8">
            <w:pPr>
              <w:pStyle w:val="TableCell"/>
              <w:rPr>
                <w:sz w:val="24"/>
                <w:lang w:val="en-GB" w:eastAsia="en-GB"/>
              </w:rPr>
            </w:pPr>
            <w:r w:rsidRPr="008358AD">
              <w:rPr>
                <w:rFonts w:cs="Arial"/>
                <w:sz w:val="24"/>
                <w:lang w:val="en-GB" w:eastAsia="en-GB"/>
              </w:rPr>
              <w:t>€</w:t>
            </w:r>
            <w:r w:rsidRPr="008358AD">
              <w:rPr>
                <w:sz w:val="24"/>
                <w:lang w:val="en-GB" w:eastAsia="en-GB"/>
              </w:rPr>
              <w:t>85,721.61</w:t>
            </w:r>
          </w:p>
        </w:tc>
      </w:tr>
    </w:tbl>
    <w:p w14:paraId="762FD137" w14:textId="77777777" w:rsidR="000230E8" w:rsidRDefault="000230E8" w:rsidP="000230E8">
      <w:pPr>
        <w:pStyle w:val="Heading2"/>
      </w:pPr>
      <w:r>
        <w:rPr>
          <w:rFonts w:cs="Times New Roman"/>
          <w:b w:val="0"/>
          <w:bCs w:val="0"/>
          <w:iCs w:val="0"/>
          <w:sz w:val="20"/>
          <w:szCs w:val="20"/>
          <w:lang w:val="en-GB"/>
        </w:rPr>
        <w:br/>
      </w:r>
      <w:bookmarkStart w:id="250" w:name="_Toc335836401"/>
      <w:r>
        <w:t>7. Fixed Assets</w:t>
      </w:r>
      <w:bookmarkEnd w:id="250"/>
      <w:r>
        <w:br/>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808"/>
        <w:gridCol w:w="1665"/>
        <w:gridCol w:w="1575"/>
        <w:gridCol w:w="1440"/>
        <w:gridCol w:w="1440"/>
      </w:tblGrid>
      <w:tr w:rsidR="000230E8" w:rsidRPr="00081AA4" w14:paraId="29BC9C63" w14:textId="77777777" w:rsidTr="007418DE">
        <w:tblPrEx>
          <w:tblCellMar>
            <w:top w:w="0" w:type="dxa"/>
            <w:bottom w:w="0" w:type="dxa"/>
          </w:tblCellMar>
        </w:tblPrEx>
        <w:trPr>
          <w:tblHeader/>
        </w:trPr>
        <w:tc>
          <w:tcPr>
            <w:tcW w:w="2808" w:type="dxa"/>
            <w:shd w:val="clear" w:color="auto" w:fill="auto"/>
          </w:tcPr>
          <w:p w14:paraId="237A3454" w14:textId="77777777" w:rsidR="000230E8" w:rsidRPr="00081AA4" w:rsidRDefault="000230E8" w:rsidP="000230E8">
            <w:pPr>
              <w:pStyle w:val="TableHead"/>
              <w:jc w:val="right"/>
            </w:pPr>
          </w:p>
        </w:tc>
        <w:tc>
          <w:tcPr>
            <w:tcW w:w="1665" w:type="dxa"/>
            <w:vAlign w:val="bottom"/>
          </w:tcPr>
          <w:p w14:paraId="223642F9" w14:textId="77777777" w:rsidR="000230E8" w:rsidRPr="00081AA4" w:rsidRDefault="000230E8" w:rsidP="000230E8">
            <w:pPr>
              <w:pStyle w:val="TableHead"/>
              <w:rPr>
                <w:lang w:val="en-GB" w:eastAsia="en-GB"/>
              </w:rPr>
            </w:pPr>
            <w:r w:rsidRPr="00081AA4">
              <w:rPr>
                <w:lang w:val="en-GB" w:eastAsia="en-GB"/>
              </w:rPr>
              <w:t>Computer Hardware and Software</w:t>
            </w:r>
          </w:p>
        </w:tc>
        <w:tc>
          <w:tcPr>
            <w:tcW w:w="1575" w:type="dxa"/>
            <w:vAlign w:val="bottom"/>
          </w:tcPr>
          <w:p w14:paraId="16B416BD" w14:textId="77777777" w:rsidR="000230E8" w:rsidRPr="00081AA4" w:rsidRDefault="000230E8" w:rsidP="000230E8">
            <w:pPr>
              <w:pStyle w:val="TableHead"/>
              <w:rPr>
                <w:lang w:val="en-GB" w:eastAsia="en-GB"/>
              </w:rPr>
            </w:pPr>
            <w:r w:rsidRPr="00081AA4">
              <w:rPr>
                <w:lang w:val="en-GB" w:eastAsia="en-GB"/>
              </w:rPr>
              <w:t>Office Furniture and Equipment</w:t>
            </w:r>
          </w:p>
        </w:tc>
        <w:tc>
          <w:tcPr>
            <w:tcW w:w="1440" w:type="dxa"/>
            <w:vAlign w:val="bottom"/>
          </w:tcPr>
          <w:p w14:paraId="15D900B1" w14:textId="77777777" w:rsidR="000230E8" w:rsidRPr="00081AA4" w:rsidRDefault="000230E8" w:rsidP="000230E8">
            <w:pPr>
              <w:pStyle w:val="TableHead"/>
              <w:rPr>
                <w:lang w:val="en-GB" w:eastAsia="en-GB"/>
              </w:rPr>
            </w:pPr>
            <w:r w:rsidRPr="00081AA4">
              <w:rPr>
                <w:lang w:val="en-GB" w:eastAsia="en-GB"/>
              </w:rPr>
              <w:t>Premises</w:t>
            </w:r>
          </w:p>
        </w:tc>
        <w:tc>
          <w:tcPr>
            <w:tcW w:w="1440" w:type="dxa"/>
            <w:vAlign w:val="bottom"/>
          </w:tcPr>
          <w:p w14:paraId="40FC4A56" w14:textId="77777777" w:rsidR="000230E8" w:rsidRPr="00081AA4" w:rsidRDefault="000230E8" w:rsidP="000230E8">
            <w:pPr>
              <w:pStyle w:val="TableHead"/>
              <w:rPr>
                <w:lang w:val="en-GB" w:eastAsia="en-GB"/>
              </w:rPr>
            </w:pPr>
            <w:r w:rsidRPr="00081AA4">
              <w:rPr>
                <w:lang w:val="en-GB" w:eastAsia="en-GB"/>
              </w:rPr>
              <w:t>Total</w:t>
            </w:r>
          </w:p>
        </w:tc>
      </w:tr>
      <w:tr w:rsidR="000230E8" w:rsidRPr="00081AA4" w14:paraId="137D9BBD" w14:textId="77777777" w:rsidTr="007418DE">
        <w:tblPrEx>
          <w:tblCellMar>
            <w:top w:w="0" w:type="dxa"/>
            <w:bottom w:w="0" w:type="dxa"/>
          </w:tblCellMar>
        </w:tblPrEx>
        <w:tc>
          <w:tcPr>
            <w:tcW w:w="2808" w:type="dxa"/>
            <w:shd w:val="clear" w:color="auto" w:fill="auto"/>
          </w:tcPr>
          <w:p w14:paraId="43C83EF5" w14:textId="77777777" w:rsidR="000230E8" w:rsidRPr="00081AA4" w:rsidRDefault="000230E8" w:rsidP="000230E8">
            <w:pPr>
              <w:pStyle w:val="TableRowHead"/>
            </w:pPr>
          </w:p>
        </w:tc>
        <w:tc>
          <w:tcPr>
            <w:tcW w:w="1665" w:type="dxa"/>
            <w:vAlign w:val="bottom"/>
          </w:tcPr>
          <w:p w14:paraId="7424114C" w14:textId="77777777" w:rsidR="000230E8" w:rsidRPr="00081AA4" w:rsidRDefault="000230E8" w:rsidP="000230E8">
            <w:pPr>
              <w:spacing w:after="0"/>
              <w:jc w:val="right"/>
              <w:rPr>
                <w:sz w:val="24"/>
                <w:lang w:val="en-GB" w:eastAsia="en-GB"/>
              </w:rPr>
            </w:pPr>
            <w:r w:rsidRPr="00081AA4">
              <w:rPr>
                <w:sz w:val="24"/>
                <w:lang w:val="en-GB" w:eastAsia="en-GB"/>
              </w:rPr>
              <w:t xml:space="preserve">        </w:t>
            </w:r>
            <w:r w:rsidRPr="00081AA4">
              <w:rPr>
                <w:rFonts w:ascii="Arial" w:hAnsi="Arial" w:cs="Arial"/>
                <w:sz w:val="24"/>
                <w:lang w:val="en-GB" w:eastAsia="en-GB"/>
              </w:rPr>
              <w:t>€</w:t>
            </w:r>
          </w:p>
        </w:tc>
        <w:tc>
          <w:tcPr>
            <w:tcW w:w="1575" w:type="dxa"/>
            <w:vAlign w:val="bottom"/>
          </w:tcPr>
          <w:p w14:paraId="26B877B6" w14:textId="77777777" w:rsidR="000230E8" w:rsidRPr="00081AA4" w:rsidRDefault="000230E8" w:rsidP="000230E8">
            <w:pPr>
              <w:spacing w:after="0"/>
              <w:jc w:val="right"/>
              <w:rPr>
                <w:sz w:val="24"/>
                <w:lang w:val="en-GB" w:eastAsia="en-GB"/>
              </w:rPr>
            </w:pPr>
            <w:r w:rsidRPr="00081AA4">
              <w:rPr>
                <w:sz w:val="24"/>
                <w:lang w:val="en-GB" w:eastAsia="en-GB"/>
              </w:rPr>
              <w:t xml:space="preserve">        </w:t>
            </w:r>
            <w:r w:rsidRPr="00081AA4">
              <w:rPr>
                <w:rFonts w:ascii="Arial" w:hAnsi="Arial" w:cs="Arial"/>
                <w:sz w:val="24"/>
                <w:lang w:val="en-GB" w:eastAsia="en-GB"/>
              </w:rPr>
              <w:t>€</w:t>
            </w:r>
          </w:p>
        </w:tc>
        <w:tc>
          <w:tcPr>
            <w:tcW w:w="1440" w:type="dxa"/>
            <w:vAlign w:val="bottom"/>
          </w:tcPr>
          <w:p w14:paraId="0DD55890" w14:textId="77777777" w:rsidR="000230E8" w:rsidRPr="00081AA4" w:rsidRDefault="000230E8" w:rsidP="000230E8">
            <w:pPr>
              <w:spacing w:after="0"/>
              <w:jc w:val="right"/>
              <w:rPr>
                <w:sz w:val="24"/>
                <w:lang w:val="en-GB" w:eastAsia="en-GB"/>
              </w:rPr>
            </w:pPr>
            <w:r w:rsidRPr="00081AA4">
              <w:rPr>
                <w:sz w:val="24"/>
                <w:lang w:val="en-GB" w:eastAsia="en-GB"/>
              </w:rPr>
              <w:t xml:space="preserve">        </w:t>
            </w:r>
            <w:r w:rsidRPr="00081AA4">
              <w:rPr>
                <w:rFonts w:ascii="Arial" w:hAnsi="Arial" w:cs="Arial"/>
                <w:sz w:val="24"/>
                <w:lang w:val="en-GB" w:eastAsia="en-GB"/>
              </w:rPr>
              <w:t>€</w:t>
            </w:r>
          </w:p>
        </w:tc>
        <w:tc>
          <w:tcPr>
            <w:tcW w:w="1440" w:type="dxa"/>
            <w:vAlign w:val="bottom"/>
          </w:tcPr>
          <w:p w14:paraId="4CB33ED0" w14:textId="77777777" w:rsidR="000230E8" w:rsidRPr="00081AA4" w:rsidRDefault="000230E8" w:rsidP="000230E8">
            <w:pPr>
              <w:spacing w:after="0"/>
              <w:jc w:val="right"/>
              <w:rPr>
                <w:sz w:val="24"/>
                <w:lang w:val="en-GB" w:eastAsia="en-GB"/>
              </w:rPr>
            </w:pPr>
            <w:r w:rsidRPr="00081AA4">
              <w:rPr>
                <w:sz w:val="24"/>
                <w:lang w:val="en-GB" w:eastAsia="en-GB"/>
              </w:rPr>
              <w:t xml:space="preserve">        </w:t>
            </w:r>
            <w:r w:rsidRPr="00081AA4">
              <w:rPr>
                <w:rFonts w:ascii="Arial" w:hAnsi="Arial" w:cs="Arial"/>
                <w:sz w:val="24"/>
                <w:lang w:val="en-GB" w:eastAsia="en-GB"/>
              </w:rPr>
              <w:t>€</w:t>
            </w:r>
          </w:p>
        </w:tc>
      </w:tr>
      <w:tr w:rsidR="000230E8" w:rsidRPr="00081AA4" w14:paraId="402137E9" w14:textId="77777777" w:rsidTr="007418DE">
        <w:tblPrEx>
          <w:tblCellMar>
            <w:top w:w="0" w:type="dxa"/>
            <w:bottom w:w="0" w:type="dxa"/>
          </w:tblCellMar>
        </w:tblPrEx>
        <w:tc>
          <w:tcPr>
            <w:tcW w:w="8928" w:type="dxa"/>
            <w:gridSpan w:val="5"/>
            <w:shd w:val="clear" w:color="auto" w:fill="auto"/>
          </w:tcPr>
          <w:p w14:paraId="54CC63E5" w14:textId="77777777" w:rsidR="000230E8" w:rsidRPr="00081AA4" w:rsidRDefault="000230E8" w:rsidP="000230E8">
            <w:pPr>
              <w:pStyle w:val="TableHead"/>
              <w:jc w:val="center"/>
              <w:rPr>
                <w:sz w:val="24"/>
                <w:lang w:val="en-GB" w:eastAsia="en-GB"/>
              </w:rPr>
            </w:pPr>
            <w:r>
              <w:rPr>
                <w:sz w:val="24"/>
                <w:lang w:val="en-GB" w:eastAsia="en-GB"/>
              </w:rPr>
              <w:t>Cost or Valuation</w:t>
            </w:r>
          </w:p>
        </w:tc>
      </w:tr>
      <w:tr w:rsidR="000230E8" w:rsidRPr="00081AA4" w14:paraId="4C890821" w14:textId="77777777" w:rsidTr="007418DE">
        <w:tblPrEx>
          <w:tblCellMar>
            <w:top w:w="0" w:type="dxa"/>
            <w:bottom w:w="0" w:type="dxa"/>
          </w:tblCellMar>
        </w:tblPrEx>
        <w:tc>
          <w:tcPr>
            <w:tcW w:w="2808" w:type="dxa"/>
            <w:shd w:val="clear" w:color="auto" w:fill="auto"/>
            <w:vAlign w:val="bottom"/>
          </w:tcPr>
          <w:p w14:paraId="556AB8D0"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 xml:space="preserve">Balance </w:t>
            </w:r>
            <w:proofErr w:type="gramStart"/>
            <w:r w:rsidRPr="00081AA4">
              <w:rPr>
                <w:rFonts w:ascii="Gill Sans" w:hAnsi="Gill Sans"/>
                <w:sz w:val="24"/>
                <w:lang w:val="en-GB" w:eastAsia="en-GB"/>
              </w:rPr>
              <w:t>at</w:t>
            </w:r>
            <w:proofErr w:type="gramEnd"/>
            <w:r w:rsidRPr="00081AA4">
              <w:rPr>
                <w:rFonts w:ascii="Gill Sans" w:hAnsi="Gill Sans"/>
                <w:sz w:val="24"/>
                <w:lang w:val="en-GB" w:eastAsia="en-GB"/>
              </w:rPr>
              <w:t xml:space="preserve"> 1 January 2011</w:t>
            </w:r>
          </w:p>
        </w:tc>
        <w:tc>
          <w:tcPr>
            <w:tcW w:w="1665" w:type="dxa"/>
            <w:vAlign w:val="bottom"/>
          </w:tcPr>
          <w:p w14:paraId="7A40F53A" w14:textId="77777777" w:rsidR="000230E8" w:rsidRPr="00081AA4" w:rsidRDefault="000230E8" w:rsidP="000230E8">
            <w:pPr>
              <w:pStyle w:val="TableCell"/>
              <w:rPr>
                <w:sz w:val="24"/>
                <w:lang w:val="en-GB" w:eastAsia="en-GB"/>
              </w:rPr>
            </w:pPr>
            <w:r w:rsidRPr="00081AA4">
              <w:rPr>
                <w:sz w:val="24"/>
                <w:lang w:val="en-GB" w:eastAsia="en-GB"/>
              </w:rPr>
              <w:t xml:space="preserve">392,584 </w:t>
            </w:r>
          </w:p>
        </w:tc>
        <w:tc>
          <w:tcPr>
            <w:tcW w:w="1575" w:type="dxa"/>
            <w:vAlign w:val="bottom"/>
          </w:tcPr>
          <w:p w14:paraId="290CA0F7" w14:textId="77777777" w:rsidR="000230E8" w:rsidRPr="00081AA4" w:rsidRDefault="000230E8" w:rsidP="000230E8">
            <w:pPr>
              <w:pStyle w:val="TableCell"/>
              <w:rPr>
                <w:sz w:val="24"/>
                <w:lang w:val="en-GB" w:eastAsia="en-GB"/>
              </w:rPr>
            </w:pPr>
            <w:r w:rsidRPr="00081AA4">
              <w:rPr>
                <w:sz w:val="24"/>
                <w:lang w:val="en-GB" w:eastAsia="en-GB"/>
              </w:rPr>
              <w:t xml:space="preserve">312,425 </w:t>
            </w:r>
          </w:p>
        </w:tc>
        <w:tc>
          <w:tcPr>
            <w:tcW w:w="1440" w:type="dxa"/>
            <w:vAlign w:val="bottom"/>
          </w:tcPr>
          <w:p w14:paraId="6487F6F9" w14:textId="77777777" w:rsidR="000230E8" w:rsidRPr="00081AA4" w:rsidRDefault="000230E8" w:rsidP="000230E8">
            <w:pPr>
              <w:pStyle w:val="TableCell"/>
              <w:rPr>
                <w:sz w:val="24"/>
                <w:lang w:val="en-GB" w:eastAsia="en-GB"/>
              </w:rPr>
            </w:pPr>
            <w:r w:rsidRPr="00081AA4">
              <w:rPr>
                <w:sz w:val="24"/>
                <w:lang w:val="en-GB" w:eastAsia="en-GB"/>
              </w:rPr>
              <w:t xml:space="preserve">3,941,086 </w:t>
            </w:r>
          </w:p>
        </w:tc>
        <w:tc>
          <w:tcPr>
            <w:tcW w:w="1440" w:type="dxa"/>
            <w:vAlign w:val="bottom"/>
          </w:tcPr>
          <w:p w14:paraId="4F1AA717" w14:textId="77777777" w:rsidR="000230E8" w:rsidRPr="00081AA4" w:rsidRDefault="000230E8" w:rsidP="000230E8">
            <w:pPr>
              <w:pStyle w:val="TableCell"/>
              <w:rPr>
                <w:sz w:val="24"/>
                <w:lang w:val="en-GB" w:eastAsia="en-GB"/>
              </w:rPr>
            </w:pPr>
            <w:r w:rsidRPr="00081AA4">
              <w:rPr>
                <w:sz w:val="24"/>
                <w:lang w:val="en-GB" w:eastAsia="en-GB"/>
              </w:rPr>
              <w:t xml:space="preserve">4,646,095 </w:t>
            </w:r>
          </w:p>
        </w:tc>
      </w:tr>
      <w:tr w:rsidR="000230E8" w:rsidRPr="00081AA4" w14:paraId="5B576F09" w14:textId="77777777" w:rsidTr="007418DE">
        <w:tblPrEx>
          <w:tblCellMar>
            <w:top w:w="0" w:type="dxa"/>
            <w:bottom w:w="0" w:type="dxa"/>
          </w:tblCellMar>
        </w:tblPrEx>
        <w:tc>
          <w:tcPr>
            <w:tcW w:w="2808" w:type="dxa"/>
            <w:shd w:val="clear" w:color="auto" w:fill="auto"/>
            <w:vAlign w:val="bottom"/>
          </w:tcPr>
          <w:p w14:paraId="4009AD9C"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 xml:space="preserve">Additions at cost </w:t>
            </w:r>
          </w:p>
        </w:tc>
        <w:tc>
          <w:tcPr>
            <w:tcW w:w="1665" w:type="dxa"/>
            <w:vAlign w:val="bottom"/>
          </w:tcPr>
          <w:p w14:paraId="4E56086C" w14:textId="77777777" w:rsidR="000230E8" w:rsidRPr="00081AA4" w:rsidRDefault="000230E8" w:rsidP="000230E8">
            <w:pPr>
              <w:pStyle w:val="TableCell"/>
              <w:rPr>
                <w:sz w:val="24"/>
                <w:lang w:val="en-GB" w:eastAsia="en-GB"/>
              </w:rPr>
            </w:pPr>
            <w:r w:rsidRPr="00081AA4">
              <w:rPr>
                <w:sz w:val="24"/>
                <w:lang w:val="en-GB" w:eastAsia="en-GB"/>
              </w:rPr>
              <w:t xml:space="preserve">7,950 </w:t>
            </w:r>
          </w:p>
        </w:tc>
        <w:tc>
          <w:tcPr>
            <w:tcW w:w="1575" w:type="dxa"/>
            <w:vAlign w:val="bottom"/>
          </w:tcPr>
          <w:p w14:paraId="558DED67" w14:textId="77777777" w:rsidR="000230E8" w:rsidRPr="00081AA4" w:rsidRDefault="000230E8" w:rsidP="000230E8">
            <w:pPr>
              <w:pStyle w:val="TableCell"/>
              <w:rPr>
                <w:sz w:val="24"/>
                <w:lang w:val="en-GB" w:eastAsia="en-GB"/>
              </w:rPr>
            </w:pPr>
            <w:r w:rsidRPr="00081AA4">
              <w:rPr>
                <w:sz w:val="24"/>
                <w:lang w:val="en-GB" w:eastAsia="en-GB"/>
              </w:rPr>
              <w:t xml:space="preserve">1,285 </w:t>
            </w:r>
          </w:p>
        </w:tc>
        <w:tc>
          <w:tcPr>
            <w:tcW w:w="1440" w:type="dxa"/>
            <w:vAlign w:val="bottom"/>
          </w:tcPr>
          <w:p w14:paraId="40D95DE9" w14:textId="77777777" w:rsidR="000230E8" w:rsidRPr="00081AA4" w:rsidRDefault="000230E8" w:rsidP="000230E8">
            <w:pPr>
              <w:pStyle w:val="TableCell"/>
              <w:rPr>
                <w:sz w:val="24"/>
                <w:lang w:val="en-GB" w:eastAsia="en-GB"/>
              </w:rPr>
            </w:pPr>
            <w:r w:rsidRPr="00081AA4">
              <w:rPr>
                <w:sz w:val="24"/>
                <w:lang w:val="en-GB" w:eastAsia="en-GB"/>
              </w:rPr>
              <w:t xml:space="preserve">0 </w:t>
            </w:r>
          </w:p>
        </w:tc>
        <w:tc>
          <w:tcPr>
            <w:tcW w:w="1440" w:type="dxa"/>
            <w:vAlign w:val="bottom"/>
          </w:tcPr>
          <w:p w14:paraId="6DF49726" w14:textId="77777777" w:rsidR="000230E8" w:rsidRPr="00081AA4" w:rsidRDefault="000230E8" w:rsidP="000230E8">
            <w:pPr>
              <w:pStyle w:val="TableCell"/>
              <w:rPr>
                <w:sz w:val="24"/>
                <w:lang w:val="en-GB" w:eastAsia="en-GB"/>
              </w:rPr>
            </w:pPr>
            <w:r w:rsidRPr="00081AA4">
              <w:rPr>
                <w:sz w:val="24"/>
                <w:lang w:val="en-GB" w:eastAsia="en-GB"/>
              </w:rPr>
              <w:t xml:space="preserve">9,235 </w:t>
            </w:r>
          </w:p>
        </w:tc>
      </w:tr>
      <w:tr w:rsidR="000230E8" w:rsidRPr="00081AA4" w14:paraId="0BF57291" w14:textId="77777777" w:rsidTr="007418DE">
        <w:tblPrEx>
          <w:tblCellMar>
            <w:top w:w="0" w:type="dxa"/>
            <w:bottom w:w="0" w:type="dxa"/>
          </w:tblCellMar>
        </w:tblPrEx>
        <w:tc>
          <w:tcPr>
            <w:tcW w:w="2808" w:type="dxa"/>
            <w:shd w:val="clear" w:color="auto" w:fill="auto"/>
            <w:vAlign w:val="bottom"/>
          </w:tcPr>
          <w:p w14:paraId="444B8B34"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Disposals at Cost</w:t>
            </w:r>
          </w:p>
        </w:tc>
        <w:tc>
          <w:tcPr>
            <w:tcW w:w="1665" w:type="dxa"/>
            <w:vAlign w:val="bottom"/>
          </w:tcPr>
          <w:p w14:paraId="2128290D" w14:textId="77777777" w:rsidR="000230E8" w:rsidRPr="00081AA4" w:rsidRDefault="000230E8" w:rsidP="000230E8">
            <w:pPr>
              <w:pStyle w:val="TableCell"/>
              <w:rPr>
                <w:sz w:val="24"/>
                <w:lang w:val="en-GB" w:eastAsia="en-GB"/>
              </w:rPr>
            </w:pPr>
            <w:r w:rsidRPr="00081AA4">
              <w:rPr>
                <w:sz w:val="24"/>
                <w:lang w:val="en-GB" w:eastAsia="en-GB"/>
              </w:rPr>
              <w:t xml:space="preserve">0 </w:t>
            </w:r>
          </w:p>
        </w:tc>
        <w:tc>
          <w:tcPr>
            <w:tcW w:w="1575" w:type="dxa"/>
            <w:vAlign w:val="bottom"/>
          </w:tcPr>
          <w:p w14:paraId="1CBBA56D" w14:textId="77777777" w:rsidR="000230E8" w:rsidRPr="00081AA4" w:rsidRDefault="000230E8" w:rsidP="000230E8">
            <w:pPr>
              <w:pStyle w:val="TableCell"/>
              <w:rPr>
                <w:sz w:val="24"/>
                <w:lang w:val="en-GB" w:eastAsia="en-GB"/>
              </w:rPr>
            </w:pPr>
            <w:r w:rsidRPr="00081AA4">
              <w:rPr>
                <w:sz w:val="24"/>
                <w:lang w:val="en-GB" w:eastAsia="en-GB"/>
              </w:rPr>
              <w:t xml:space="preserve">0 </w:t>
            </w:r>
          </w:p>
        </w:tc>
        <w:tc>
          <w:tcPr>
            <w:tcW w:w="1440" w:type="dxa"/>
            <w:vAlign w:val="bottom"/>
          </w:tcPr>
          <w:p w14:paraId="65C607EF" w14:textId="77777777" w:rsidR="000230E8" w:rsidRPr="00081AA4" w:rsidRDefault="000230E8" w:rsidP="000230E8">
            <w:pPr>
              <w:pStyle w:val="TableCell"/>
              <w:rPr>
                <w:sz w:val="24"/>
                <w:lang w:val="en-GB" w:eastAsia="en-GB"/>
              </w:rPr>
            </w:pPr>
            <w:r w:rsidRPr="00081AA4">
              <w:rPr>
                <w:sz w:val="24"/>
                <w:lang w:val="en-GB" w:eastAsia="en-GB"/>
              </w:rPr>
              <w:t xml:space="preserve">0 </w:t>
            </w:r>
          </w:p>
        </w:tc>
        <w:tc>
          <w:tcPr>
            <w:tcW w:w="1440" w:type="dxa"/>
            <w:vAlign w:val="bottom"/>
          </w:tcPr>
          <w:p w14:paraId="792B44A5" w14:textId="77777777" w:rsidR="000230E8" w:rsidRPr="00081AA4" w:rsidRDefault="000230E8" w:rsidP="000230E8">
            <w:pPr>
              <w:pStyle w:val="TableCell"/>
              <w:rPr>
                <w:sz w:val="24"/>
                <w:lang w:val="en-GB" w:eastAsia="en-GB"/>
              </w:rPr>
            </w:pPr>
            <w:r w:rsidRPr="00081AA4">
              <w:rPr>
                <w:sz w:val="24"/>
                <w:lang w:val="en-GB" w:eastAsia="en-GB"/>
              </w:rPr>
              <w:t xml:space="preserve">0 </w:t>
            </w:r>
          </w:p>
        </w:tc>
      </w:tr>
      <w:tr w:rsidR="000230E8" w:rsidRPr="00081AA4" w14:paraId="6416A8DC" w14:textId="77777777" w:rsidTr="007418DE">
        <w:tblPrEx>
          <w:tblCellMar>
            <w:top w:w="0" w:type="dxa"/>
            <w:bottom w:w="0" w:type="dxa"/>
          </w:tblCellMar>
        </w:tblPrEx>
        <w:tc>
          <w:tcPr>
            <w:tcW w:w="2808" w:type="dxa"/>
            <w:shd w:val="clear" w:color="auto" w:fill="auto"/>
            <w:vAlign w:val="bottom"/>
          </w:tcPr>
          <w:p w14:paraId="6238EBA2"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 xml:space="preserve">Balance </w:t>
            </w:r>
            <w:proofErr w:type="gramStart"/>
            <w:r w:rsidRPr="00081AA4">
              <w:rPr>
                <w:rFonts w:ascii="Gill Sans" w:hAnsi="Gill Sans"/>
                <w:sz w:val="24"/>
                <w:lang w:val="en-GB" w:eastAsia="en-GB"/>
              </w:rPr>
              <w:t>at</w:t>
            </w:r>
            <w:proofErr w:type="gramEnd"/>
            <w:r w:rsidRPr="00081AA4">
              <w:rPr>
                <w:rFonts w:ascii="Gill Sans" w:hAnsi="Gill Sans"/>
                <w:sz w:val="24"/>
                <w:lang w:val="en-GB" w:eastAsia="en-GB"/>
              </w:rPr>
              <w:t xml:space="preserve"> 31 December 2011</w:t>
            </w:r>
          </w:p>
        </w:tc>
        <w:tc>
          <w:tcPr>
            <w:tcW w:w="1665" w:type="dxa"/>
            <w:vAlign w:val="bottom"/>
          </w:tcPr>
          <w:p w14:paraId="3CB48037" w14:textId="77777777" w:rsidR="000230E8" w:rsidRPr="00081AA4" w:rsidRDefault="000230E8" w:rsidP="000230E8">
            <w:pPr>
              <w:pStyle w:val="TableCell"/>
              <w:rPr>
                <w:sz w:val="24"/>
                <w:lang w:val="en-GB" w:eastAsia="en-GB"/>
              </w:rPr>
            </w:pPr>
            <w:r w:rsidRPr="00081AA4">
              <w:rPr>
                <w:sz w:val="24"/>
                <w:lang w:val="en-GB" w:eastAsia="en-GB"/>
              </w:rPr>
              <w:t xml:space="preserve">400,534 </w:t>
            </w:r>
          </w:p>
        </w:tc>
        <w:tc>
          <w:tcPr>
            <w:tcW w:w="1575" w:type="dxa"/>
            <w:vAlign w:val="bottom"/>
          </w:tcPr>
          <w:p w14:paraId="73A79A11" w14:textId="77777777" w:rsidR="000230E8" w:rsidRPr="00081AA4" w:rsidRDefault="000230E8" w:rsidP="000230E8">
            <w:pPr>
              <w:pStyle w:val="TableCell"/>
              <w:rPr>
                <w:sz w:val="24"/>
                <w:lang w:val="en-GB" w:eastAsia="en-GB"/>
              </w:rPr>
            </w:pPr>
            <w:r w:rsidRPr="00081AA4">
              <w:rPr>
                <w:sz w:val="24"/>
                <w:lang w:val="en-GB" w:eastAsia="en-GB"/>
              </w:rPr>
              <w:t xml:space="preserve">313,710 </w:t>
            </w:r>
          </w:p>
        </w:tc>
        <w:tc>
          <w:tcPr>
            <w:tcW w:w="1440" w:type="dxa"/>
            <w:vAlign w:val="bottom"/>
          </w:tcPr>
          <w:p w14:paraId="7FCE6114" w14:textId="77777777" w:rsidR="000230E8" w:rsidRPr="00081AA4" w:rsidRDefault="000230E8" w:rsidP="000230E8">
            <w:pPr>
              <w:pStyle w:val="TableCell"/>
              <w:rPr>
                <w:sz w:val="24"/>
                <w:lang w:val="en-GB" w:eastAsia="en-GB"/>
              </w:rPr>
            </w:pPr>
            <w:r w:rsidRPr="00081AA4">
              <w:rPr>
                <w:sz w:val="24"/>
                <w:lang w:val="en-GB" w:eastAsia="en-GB"/>
              </w:rPr>
              <w:t xml:space="preserve">3,941,086 </w:t>
            </w:r>
          </w:p>
        </w:tc>
        <w:tc>
          <w:tcPr>
            <w:tcW w:w="1440" w:type="dxa"/>
            <w:vAlign w:val="bottom"/>
          </w:tcPr>
          <w:p w14:paraId="2B6F337A" w14:textId="77777777" w:rsidR="000230E8" w:rsidRPr="00081AA4" w:rsidRDefault="000230E8" w:rsidP="000230E8">
            <w:pPr>
              <w:pStyle w:val="TableCell"/>
              <w:rPr>
                <w:sz w:val="24"/>
                <w:lang w:val="en-GB" w:eastAsia="en-GB"/>
              </w:rPr>
            </w:pPr>
            <w:r w:rsidRPr="00081AA4">
              <w:rPr>
                <w:sz w:val="24"/>
                <w:lang w:val="en-GB" w:eastAsia="en-GB"/>
              </w:rPr>
              <w:t xml:space="preserve">4,655,330 </w:t>
            </w:r>
          </w:p>
        </w:tc>
      </w:tr>
      <w:tr w:rsidR="000230E8" w:rsidRPr="00081AA4" w14:paraId="6FFFFB80" w14:textId="77777777" w:rsidTr="007418DE">
        <w:tblPrEx>
          <w:tblCellMar>
            <w:top w:w="0" w:type="dxa"/>
            <w:bottom w:w="0" w:type="dxa"/>
          </w:tblCellMar>
        </w:tblPrEx>
        <w:tc>
          <w:tcPr>
            <w:tcW w:w="8928" w:type="dxa"/>
            <w:gridSpan w:val="5"/>
            <w:shd w:val="clear" w:color="auto" w:fill="auto"/>
            <w:vAlign w:val="bottom"/>
          </w:tcPr>
          <w:p w14:paraId="5458DC15" w14:textId="77777777" w:rsidR="000230E8" w:rsidRPr="00081AA4" w:rsidRDefault="000230E8" w:rsidP="000230E8">
            <w:pPr>
              <w:pStyle w:val="TableHead"/>
              <w:jc w:val="center"/>
              <w:rPr>
                <w:sz w:val="24"/>
                <w:lang w:val="en-GB" w:eastAsia="en-GB"/>
              </w:rPr>
            </w:pPr>
            <w:r w:rsidRPr="00081AA4">
              <w:rPr>
                <w:sz w:val="24"/>
                <w:lang w:val="en-GB" w:eastAsia="en-GB"/>
              </w:rPr>
              <w:t>Accumulated Depreciation</w:t>
            </w:r>
          </w:p>
        </w:tc>
      </w:tr>
      <w:tr w:rsidR="000230E8" w:rsidRPr="00081AA4" w14:paraId="4062DBBF" w14:textId="77777777" w:rsidTr="007418DE">
        <w:tblPrEx>
          <w:tblCellMar>
            <w:top w:w="0" w:type="dxa"/>
            <w:bottom w:w="0" w:type="dxa"/>
          </w:tblCellMar>
        </w:tblPrEx>
        <w:tc>
          <w:tcPr>
            <w:tcW w:w="2808" w:type="dxa"/>
            <w:shd w:val="clear" w:color="auto" w:fill="auto"/>
            <w:vAlign w:val="bottom"/>
          </w:tcPr>
          <w:p w14:paraId="4A605097"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lastRenderedPageBreak/>
              <w:t xml:space="preserve">Balance </w:t>
            </w:r>
            <w:proofErr w:type="gramStart"/>
            <w:r w:rsidRPr="00081AA4">
              <w:rPr>
                <w:rFonts w:ascii="Gill Sans" w:hAnsi="Gill Sans"/>
                <w:sz w:val="24"/>
                <w:lang w:val="en-GB" w:eastAsia="en-GB"/>
              </w:rPr>
              <w:t>at</w:t>
            </w:r>
            <w:proofErr w:type="gramEnd"/>
            <w:r w:rsidRPr="00081AA4">
              <w:rPr>
                <w:rFonts w:ascii="Gill Sans" w:hAnsi="Gill Sans"/>
                <w:sz w:val="24"/>
                <w:lang w:val="en-GB" w:eastAsia="en-GB"/>
              </w:rPr>
              <w:t xml:space="preserve"> 1 January 2011</w:t>
            </w:r>
          </w:p>
        </w:tc>
        <w:tc>
          <w:tcPr>
            <w:tcW w:w="1665" w:type="dxa"/>
            <w:vAlign w:val="bottom"/>
          </w:tcPr>
          <w:p w14:paraId="6C008AB1" w14:textId="77777777" w:rsidR="000230E8" w:rsidRPr="00081AA4" w:rsidRDefault="000230E8" w:rsidP="000230E8">
            <w:pPr>
              <w:pStyle w:val="TableCell"/>
              <w:rPr>
                <w:sz w:val="24"/>
                <w:lang w:val="en-GB" w:eastAsia="en-GB"/>
              </w:rPr>
            </w:pPr>
            <w:r w:rsidRPr="00081AA4">
              <w:rPr>
                <w:sz w:val="24"/>
                <w:lang w:val="en-GB" w:eastAsia="en-GB"/>
              </w:rPr>
              <w:t xml:space="preserve">389,206 </w:t>
            </w:r>
          </w:p>
        </w:tc>
        <w:tc>
          <w:tcPr>
            <w:tcW w:w="1575" w:type="dxa"/>
            <w:vAlign w:val="bottom"/>
          </w:tcPr>
          <w:p w14:paraId="6BD5A055" w14:textId="77777777" w:rsidR="000230E8" w:rsidRPr="00081AA4" w:rsidRDefault="000230E8" w:rsidP="000230E8">
            <w:pPr>
              <w:pStyle w:val="TableCell"/>
              <w:rPr>
                <w:sz w:val="24"/>
                <w:lang w:val="en-GB" w:eastAsia="en-GB"/>
              </w:rPr>
            </w:pPr>
            <w:r w:rsidRPr="00081AA4">
              <w:rPr>
                <w:sz w:val="24"/>
                <w:lang w:val="en-GB" w:eastAsia="en-GB"/>
              </w:rPr>
              <w:t xml:space="preserve">296,599 </w:t>
            </w:r>
          </w:p>
        </w:tc>
        <w:tc>
          <w:tcPr>
            <w:tcW w:w="1440" w:type="dxa"/>
            <w:vAlign w:val="bottom"/>
          </w:tcPr>
          <w:p w14:paraId="7D74DCC7" w14:textId="77777777" w:rsidR="000230E8" w:rsidRPr="00081AA4" w:rsidRDefault="000230E8" w:rsidP="000230E8">
            <w:pPr>
              <w:pStyle w:val="TableCell"/>
              <w:rPr>
                <w:sz w:val="24"/>
                <w:lang w:val="en-GB" w:eastAsia="en-GB"/>
              </w:rPr>
            </w:pPr>
            <w:r w:rsidRPr="00081AA4">
              <w:rPr>
                <w:sz w:val="24"/>
                <w:lang w:val="en-GB" w:eastAsia="en-GB"/>
              </w:rPr>
              <w:t xml:space="preserve">848,325 </w:t>
            </w:r>
          </w:p>
        </w:tc>
        <w:tc>
          <w:tcPr>
            <w:tcW w:w="1440" w:type="dxa"/>
            <w:vAlign w:val="bottom"/>
          </w:tcPr>
          <w:p w14:paraId="0746C0E6" w14:textId="77777777" w:rsidR="000230E8" w:rsidRPr="00081AA4" w:rsidRDefault="000230E8" w:rsidP="000230E8">
            <w:pPr>
              <w:pStyle w:val="TableCell"/>
              <w:rPr>
                <w:sz w:val="24"/>
                <w:lang w:val="en-GB" w:eastAsia="en-GB"/>
              </w:rPr>
            </w:pPr>
            <w:r w:rsidRPr="00081AA4">
              <w:rPr>
                <w:sz w:val="24"/>
                <w:lang w:val="en-GB" w:eastAsia="en-GB"/>
              </w:rPr>
              <w:t xml:space="preserve">1,534,130 </w:t>
            </w:r>
          </w:p>
        </w:tc>
      </w:tr>
      <w:tr w:rsidR="000230E8" w:rsidRPr="00081AA4" w14:paraId="3B115C85" w14:textId="77777777" w:rsidTr="007418DE">
        <w:tblPrEx>
          <w:tblCellMar>
            <w:top w:w="0" w:type="dxa"/>
            <w:bottom w:w="0" w:type="dxa"/>
          </w:tblCellMar>
        </w:tblPrEx>
        <w:tc>
          <w:tcPr>
            <w:tcW w:w="2808" w:type="dxa"/>
            <w:shd w:val="clear" w:color="auto" w:fill="auto"/>
            <w:vAlign w:val="bottom"/>
          </w:tcPr>
          <w:p w14:paraId="2B94FDF6"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Charged in the year</w:t>
            </w:r>
          </w:p>
        </w:tc>
        <w:tc>
          <w:tcPr>
            <w:tcW w:w="1665" w:type="dxa"/>
            <w:vAlign w:val="bottom"/>
          </w:tcPr>
          <w:p w14:paraId="0DDF9C77" w14:textId="77777777" w:rsidR="000230E8" w:rsidRPr="00081AA4" w:rsidRDefault="000230E8" w:rsidP="000230E8">
            <w:pPr>
              <w:pStyle w:val="TableCell"/>
              <w:rPr>
                <w:sz w:val="24"/>
                <w:lang w:val="en-GB" w:eastAsia="en-GB"/>
              </w:rPr>
            </w:pPr>
            <w:r w:rsidRPr="00081AA4">
              <w:rPr>
                <w:sz w:val="24"/>
                <w:lang w:val="en-GB" w:eastAsia="en-GB"/>
              </w:rPr>
              <w:t xml:space="preserve">4,108 </w:t>
            </w:r>
          </w:p>
        </w:tc>
        <w:tc>
          <w:tcPr>
            <w:tcW w:w="1575" w:type="dxa"/>
            <w:vAlign w:val="bottom"/>
          </w:tcPr>
          <w:p w14:paraId="56822964" w14:textId="77777777" w:rsidR="000230E8" w:rsidRPr="00081AA4" w:rsidRDefault="000230E8" w:rsidP="000230E8">
            <w:pPr>
              <w:pStyle w:val="TableCell"/>
              <w:rPr>
                <w:sz w:val="24"/>
                <w:lang w:val="en-GB" w:eastAsia="en-GB"/>
              </w:rPr>
            </w:pPr>
            <w:r w:rsidRPr="00081AA4">
              <w:rPr>
                <w:sz w:val="24"/>
                <w:lang w:val="en-GB" w:eastAsia="en-GB"/>
              </w:rPr>
              <w:t xml:space="preserve">11,907 </w:t>
            </w:r>
          </w:p>
        </w:tc>
        <w:tc>
          <w:tcPr>
            <w:tcW w:w="1440" w:type="dxa"/>
            <w:vAlign w:val="bottom"/>
          </w:tcPr>
          <w:p w14:paraId="5A7AC8F4" w14:textId="77777777" w:rsidR="000230E8" w:rsidRPr="00081AA4" w:rsidRDefault="000230E8" w:rsidP="000230E8">
            <w:pPr>
              <w:pStyle w:val="TableCell"/>
              <w:rPr>
                <w:sz w:val="24"/>
                <w:lang w:val="en-GB" w:eastAsia="en-GB"/>
              </w:rPr>
            </w:pPr>
            <w:r w:rsidRPr="00081AA4">
              <w:rPr>
                <w:sz w:val="24"/>
                <w:lang w:val="en-GB" w:eastAsia="en-GB"/>
              </w:rPr>
              <w:t xml:space="preserve">77,319 </w:t>
            </w:r>
          </w:p>
        </w:tc>
        <w:tc>
          <w:tcPr>
            <w:tcW w:w="1440" w:type="dxa"/>
            <w:vAlign w:val="bottom"/>
          </w:tcPr>
          <w:p w14:paraId="337C1A80" w14:textId="77777777" w:rsidR="000230E8" w:rsidRPr="00081AA4" w:rsidRDefault="000230E8" w:rsidP="000230E8">
            <w:pPr>
              <w:pStyle w:val="TableCell"/>
              <w:rPr>
                <w:sz w:val="24"/>
                <w:lang w:val="en-GB" w:eastAsia="en-GB"/>
              </w:rPr>
            </w:pPr>
            <w:r w:rsidRPr="00081AA4">
              <w:rPr>
                <w:sz w:val="24"/>
                <w:lang w:val="en-GB" w:eastAsia="en-GB"/>
              </w:rPr>
              <w:t xml:space="preserve">93,334 </w:t>
            </w:r>
          </w:p>
        </w:tc>
      </w:tr>
      <w:tr w:rsidR="000230E8" w:rsidRPr="00081AA4" w14:paraId="2CE1CD24" w14:textId="77777777" w:rsidTr="007418DE">
        <w:tblPrEx>
          <w:tblCellMar>
            <w:top w:w="0" w:type="dxa"/>
            <w:bottom w:w="0" w:type="dxa"/>
          </w:tblCellMar>
        </w:tblPrEx>
        <w:tc>
          <w:tcPr>
            <w:tcW w:w="2808" w:type="dxa"/>
            <w:shd w:val="clear" w:color="auto" w:fill="auto"/>
            <w:vAlign w:val="bottom"/>
          </w:tcPr>
          <w:p w14:paraId="241720C0"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Disposals</w:t>
            </w:r>
          </w:p>
        </w:tc>
        <w:tc>
          <w:tcPr>
            <w:tcW w:w="1665" w:type="dxa"/>
            <w:vAlign w:val="bottom"/>
          </w:tcPr>
          <w:p w14:paraId="265035B3" w14:textId="77777777" w:rsidR="000230E8" w:rsidRPr="00081AA4" w:rsidRDefault="000230E8" w:rsidP="000230E8">
            <w:pPr>
              <w:pStyle w:val="TableCell"/>
              <w:rPr>
                <w:sz w:val="24"/>
                <w:lang w:val="en-GB" w:eastAsia="en-GB"/>
              </w:rPr>
            </w:pPr>
            <w:r w:rsidRPr="00081AA4">
              <w:rPr>
                <w:sz w:val="24"/>
                <w:lang w:val="en-GB" w:eastAsia="en-GB"/>
              </w:rPr>
              <w:t xml:space="preserve">0 </w:t>
            </w:r>
          </w:p>
        </w:tc>
        <w:tc>
          <w:tcPr>
            <w:tcW w:w="1575" w:type="dxa"/>
            <w:vAlign w:val="bottom"/>
          </w:tcPr>
          <w:p w14:paraId="6E28E699" w14:textId="77777777" w:rsidR="000230E8" w:rsidRPr="00081AA4" w:rsidRDefault="000230E8" w:rsidP="000230E8">
            <w:pPr>
              <w:pStyle w:val="TableCell"/>
              <w:rPr>
                <w:sz w:val="24"/>
                <w:lang w:val="en-GB" w:eastAsia="en-GB"/>
              </w:rPr>
            </w:pPr>
            <w:r w:rsidRPr="00081AA4">
              <w:rPr>
                <w:sz w:val="24"/>
                <w:lang w:val="en-GB" w:eastAsia="en-GB"/>
              </w:rPr>
              <w:t xml:space="preserve">0 </w:t>
            </w:r>
          </w:p>
        </w:tc>
        <w:tc>
          <w:tcPr>
            <w:tcW w:w="1440" w:type="dxa"/>
            <w:vAlign w:val="bottom"/>
          </w:tcPr>
          <w:p w14:paraId="32235BDE" w14:textId="77777777" w:rsidR="000230E8" w:rsidRPr="00081AA4" w:rsidRDefault="000230E8" w:rsidP="000230E8">
            <w:pPr>
              <w:pStyle w:val="TableCell"/>
              <w:rPr>
                <w:sz w:val="24"/>
                <w:lang w:val="en-GB" w:eastAsia="en-GB"/>
              </w:rPr>
            </w:pPr>
            <w:r w:rsidRPr="00081AA4">
              <w:rPr>
                <w:sz w:val="24"/>
                <w:lang w:val="en-GB" w:eastAsia="en-GB"/>
              </w:rPr>
              <w:t xml:space="preserve">0 </w:t>
            </w:r>
          </w:p>
        </w:tc>
        <w:tc>
          <w:tcPr>
            <w:tcW w:w="1440" w:type="dxa"/>
            <w:vAlign w:val="bottom"/>
          </w:tcPr>
          <w:p w14:paraId="118816DD" w14:textId="77777777" w:rsidR="000230E8" w:rsidRPr="00081AA4" w:rsidRDefault="000230E8" w:rsidP="000230E8">
            <w:pPr>
              <w:pStyle w:val="TableCell"/>
              <w:rPr>
                <w:sz w:val="24"/>
                <w:lang w:val="en-GB" w:eastAsia="en-GB"/>
              </w:rPr>
            </w:pPr>
            <w:r w:rsidRPr="00081AA4">
              <w:rPr>
                <w:sz w:val="24"/>
                <w:lang w:val="en-GB" w:eastAsia="en-GB"/>
              </w:rPr>
              <w:t xml:space="preserve">0 </w:t>
            </w:r>
          </w:p>
        </w:tc>
      </w:tr>
      <w:tr w:rsidR="000230E8" w:rsidRPr="00081AA4" w14:paraId="0DC01D4B" w14:textId="77777777" w:rsidTr="007418DE">
        <w:tblPrEx>
          <w:tblCellMar>
            <w:top w:w="0" w:type="dxa"/>
            <w:bottom w:w="0" w:type="dxa"/>
          </w:tblCellMar>
        </w:tblPrEx>
        <w:tc>
          <w:tcPr>
            <w:tcW w:w="2808" w:type="dxa"/>
            <w:shd w:val="clear" w:color="auto" w:fill="auto"/>
            <w:vAlign w:val="bottom"/>
          </w:tcPr>
          <w:p w14:paraId="6D87A209" w14:textId="77777777" w:rsidR="000230E8" w:rsidRPr="00081AA4" w:rsidRDefault="000230E8" w:rsidP="000230E8">
            <w:pPr>
              <w:pStyle w:val="TableRowHead"/>
              <w:rPr>
                <w:rFonts w:ascii="Gill Sans" w:hAnsi="Gill Sans"/>
                <w:sz w:val="24"/>
                <w:lang w:val="en-GB" w:eastAsia="en-GB"/>
              </w:rPr>
            </w:pPr>
            <w:r w:rsidRPr="00081AA4">
              <w:rPr>
                <w:rFonts w:ascii="Gill Sans" w:hAnsi="Gill Sans"/>
                <w:sz w:val="24"/>
                <w:lang w:val="en-GB" w:eastAsia="en-GB"/>
              </w:rPr>
              <w:t xml:space="preserve">Balance at 31 </w:t>
            </w:r>
            <w:proofErr w:type="gramStart"/>
            <w:r w:rsidRPr="00081AA4">
              <w:rPr>
                <w:rFonts w:ascii="Gill Sans" w:hAnsi="Gill Sans"/>
                <w:sz w:val="24"/>
                <w:lang w:val="en-GB" w:eastAsia="en-GB"/>
              </w:rPr>
              <w:t>December  2011</w:t>
            </w:r>
            <w:proofErr w:type="gramEnd"/>
          </w:p>
        </w:tc>
        <w:tc>
          <w:tcPr>
            <w:tcW w:w="1665" w:type="dxa"/>
            <w:vAlign w:val="bottom"/>
          </w:tcPr>
          <w:p w14:paraId="076029CF" w14:textId="77777777" w:rsidR="000230E8" w:rsidRPr="00CD7510" w:rsidRDefault="000230E8" w:rsidP="000230E8">
            <w:pPr>
              <w:pStyle w:val="TableCell"/>
              <w:rPr>
                <w:b/>
                <w:sz w:val="24"/>
                <w:lang w:val="en-GB" w:eastAsia="en-GB"/>
              </w:rPr>
            </w:pPr>
            <w:r w:rsidRPr="00CD7510">
              <w:rPr>
                <w:b/>
                <w:sz w:val="24"/>
                <w:lang w:val="en-GB" w:eastAsia="en-GB"/>
              </w:rPr>
              <w:t xml:space="preserve">393,314 </w:t>
            </w:r>
          </w:p>
        </w:tc>
        <w:tc>
          <w:tcPr>
            <w:tcW w:w="1575" w:type="dxa"/>
            <w:vAlign w:val="bottom"/>
          </w:tcPr>
          <w:p w14:paraId="0F30AB77" w14:textId="77777777" w:rsidR="000230E8" w:rsidRPr="00CD7510" w:rsidRDefault="000230E8" w:rsidP="000230E8">
            <w:pPr>
              <w:pStyle w:val="TableCell"/>
              <w:rPr>
                <w:b/>
                <w:sz w:val="24"/>
                <w:lang w:val="en-GB" w:eastAsia="en-GB"/>
              </w:rPr>
            </w:pPr>
            <w:r w:rsidRPr="00CD7510">
              <w:rPr>
                <w:b/>
                <w:sz w:val="24"/>
                <w:lang w:val="en-GB" w:eastAsia="en-GB"/>
              </w:rPr>
              <w:t xml:space="preserve">308,506 </w:t>
            </w:r>
          </w:p>
        </w:tc>
        <w:tc>
          <w:tcPr>
            <w:tcW w:w="1440" w:type="dxa"/>
            <w:vAlign w:val="bottom"/>
          </w:tcPr>
          <w:p w14:paraId="592EAFB9" w14:textId="77777777" w:rsidR="000230E8" w:rsidRPr="00CD7510" w:rsidRDefault="000230E8" w:rsidP="000230E8">
            <w:pPr>
              <w:pStyle w:val="TableCell"/>
              <w:rPr>
                <w:b/>
                <w:sz w:val="24"/>
                <w:lang w:val="en-GB" w:eastAsia="en-GB"/>
              </w:rPr>
            </w:pPr>
            <w:r w:rsidRPr="00CD7510">
              <w:rPr>
                <w:b/>
                <w:sz w:val="24"/>
                <w:lang w:val="en-GB" w:eastAsia="en-GB"/>
              </w:rPr>
              <w:t xml:space="preserve">925,644 </w:t>
            </w:r>
          </w:p>
        </w:tc>
        <w:tc>
          <w:tcPr>
            <w:tcW w:w="1440" w:type="dxa"/>
            <w:vAlign w:val="bottom"/>
          </w:tcPr>
          <w:p w14:paraId="6F182E96" w14:textId="77777777" w:rsidR="000230E8" w:rsidRPr="00CD7510" w:rsidRDefault="000230E8" w:rsidP="000230E8">
            <w:pPr>
              <w:pStyle w:val="TableCell"/>
              <w:rPr>
                <w:b/>
                <w:sz w:val="24"/>
                <w:lang w:val="en-GB" w:eastAsia="en-GB"/>
              </w:rPr>
            </w:pPr>
            <w:r w:rsidRPr="00CD7510">
              <w:rPr>
                <w:b/>
                <w:sz w:val="24"/>
                <w:lang w:val="en-GB" w:eastAsia="en-GB"/>
              </w:rPr>
              <w:t xml:space="preserve">1,627,464 </w:t>
            </w:r>
          </w:p>
        </w:tc>
      </w:tr>
      <w:tr w:rsidR="000230E8" w:rsidRPr="00081AA4" w14:paraId="49A401A0" w14:textId="77777777" w:rsidTr="007418DE">
        <w:tblPrEx>
          <w:tblCellMar>
            <w:top w:w="0" w:type="dxa"/>
            <w:bottom w:w="0" w:type="dxa"/>
          </w:tblCellMar>
        </w:tblPrEx>
        <w:tc>
          <w:tcPr>
            <w:tcW w:w="2808" w:type="dxa"/>
            <w:shd w:val="clear" w:color="auto" w:fill="auto"/>
            <w:vAlign w:val="bottom"/>
          </w:tcPr>
          <w:p w14:paraId="1E306FD5" w14:textId="77777777" w:rsidR="000230E8" w:rsidRPr="00081AA4" w:rsidRDefault="000230E8" w:rsidP="000230E8">
            <w:pPr>
              <w:pStyle w:val="TableRowHead"/>
              <w:rPr>
                <w:rFonts w:ascii="Gill Sans" w:hAnsi="Gill Sans"/>
                <w:bCs/>
                <w:sz w:val="24"/>
                <w:lang w:val="en-GB" w:eastAsia="en-GB"/>
              </w:rPr>
            </w:pPr>
            <w:r w:rsidRPr="00081AA4">
              <w:rPr>
                <w:rFonts w:ascii="Gill Sans" w:hAnsi="Gill Sans"/>
                <w:bCs/>
                <w:sz w:val="24"/>
                <w:lang w:val="en-GB" w:eastAsia="en-GB"/>
              </w:rPr>
              <w:t>Net Book Value - 31 December 2011</w:t>
            </w:r>
          </w:p>
        </w:tc>
        <w:tc>
          <w:tcPr>
            <w:tcW w:w="1665" w:type="dxa"/>
            <w:vAlign w:val="bottom"/>
          </w:tcPr>
          <w:p w14:paraId="433F10F3" w14:textId="77777777" w:rsidR="000230E8" w:rsidRPr="00081AA4" w:rsidRDefault="000230E8" w:rsidP="000230E8">
            <w:pPr>
              <w:pStyle w:val="TableCell"/>
              <w:rPr>
                <w:sz w:val="24"/>
                <w:lang w:val="en-GB" w:eastAsia="en-GB"/>
              </w:rPr>
            </w:pPr>
            <w:r w:rsidRPr="00081AA4">
              <w:rPr>
                <w:sz w:val="24"/>
                <w:lang w:val="en-GB" w:eastAsia="en-GB"/>
              </w:rPr>
              <w:t xml:space="preserve">7,220 </w:t>
            </w:r>
          </w:p>
        </w:tc>
        <w:tc>
          <w:tcPr>
            <w:tcW w:w="1575" w:type="dxa"/>
            <w:vAlign w:val="bottom"/>
          </w:tcPr>
          <w:p w14:paraId="657A1A8F" w14:textId="77777777" w:rsidR="000230E8" w:rsidRPr="00081AA4" w:rsidRDefault="000230E8" w:rsidP="000230E8">
            <w:pPr>
              <w:pStyle w:val="TableCell"/>
              <w:rPr>
                <w:sz w:val="24"/>
                <w:lang w:val="en-GB" w:eastAsia="en-GB"/>
              </w:rPr>
            </w:pPr>
            <w:r w:rsidRPr="00081AA4">
              <w:rPr>
                <w:sz w:val="24"/>
                <w:lang w:val="en-GB" w:eastAsia="en-GB"/>
              </w:rPr>
              <w:t xml:space="preserve">5,204 </w:t>
            </w:r>
          </w:p>
        </w:tc>
        <w:tc>
          <w:tcPr>
            <w:tcW w:w="1440" w:type="dxa"/>
            <w:vAlign w:val="bottom"/>
          </w:tcPr>
          <w:p w14:paraId="1859C973" w14:textId="77777777" w:rsidR="000230E8" w:rsidRPr="00081AA4" w:rsidRDefault="000230E8" w:rsidP="000230E8">
            <w:pPr>
              <w:pStyle w:val="TableCell"/>
              <w:rPr>
                <w:sz w:val="24"/>
                <w:lang w:val="en-GB" w:eastAsia="en-GB"/>
              </w:rPr>
            </w:pPr>
            <w:r w:rsidRPr="00081AA4">
              <w:rPr>
                <w:sz w:val="24"/>
                <w:lang w:val="en-GB" w:eastAsia="en-GB"/>
              </w:rPr>
              <w:t xml:space="preserve">3,015,442 </w:t>
            </w:r>
          </w:p>
        </w:tc>
        <w:tc>
          <w:tcPr>
            <w:tcW w:w="1440" w:type="dxa"/>
            <w:vAlign w:val="bottom"/>
          </w:tcPr>
          <w:p w14:paraId="47921107" w14:textId="77777777" w:rsidR="000230E8" w:rsidRPr="00081AA4" w:rsidRDefault="000230E8" w:rsidP="000230E8">
            <w:pPr>
              <w:pStyle w:val="TableCell"/>
              <w:rPr>
                <w:sz w:val="24"/>
                <w:lang w:val="en-GB" w:eastAsia="en-GB"/>
              </w:rPr>
            </w:pPr>
            <w:r w:rsidRPr="00081AA4">
              <w:rPr>
                <w:sz w:val="24"/>
                <w:lang w:val="en-GB" w:eastAsia="en-GB"/>
              </w:rPr>
              <w:t xml:space="preserve">3,027,866 </w:t>
            </w:r>
          </w:p>
        </w:tc>
      </w:tr>
      <w:tr w:rsidR="000230E8" w:rsidRPr="00081AA4" w14:paraId="64526806" w14:textId="77777777" w:rsidTr="007418DE">
        <w:tblPrEx>
          <w:tblCellMar>
            <w:top w:w="0" w:type="dxa"/>
            <w:bottom w:w="0" w:type="dxa"/>
          </w:tblCellMar>
        </w:tblPrEx>
        <w:tc>
          <w:tcPr>
            <w:tcW w:w="2808" w:type="dxa"/>
            <w:shd w:val="clear" w:color="auto" w:fill="auto"/>
            <w:vAlign w:val="bottom"/>
          </w:tcPr>
          <w:p w14:paraId="33DF26ED" w14:textId="77777777" w:rsidR="000230E8" w:rsidRPr="00081AA4" w:rsidRDefault="000230E8" w:rsidP="000230E8">
            <w:pPr>
              <w:pStyle w:val="TableRowHead"/>
              <w:rPr>
                <w:rFonts w:ascii="Gill Sans" w:hAnsi="Gill Sans"/>
                <w:bCs/>
                <w:sz w:val="24"/>
                <w:lang w:val="en-GB" w:eastAsia="en-GB"/>
              </w:rPr>
            </w:pPr>
            <w:r w:rsidRPr="00081AA4">
              <w:rPr>
                <w:rFonts w:ascii="Gill Sans" w:hAnsi="Gill Sans"/>
                <w:bCs/>
                <w:sz w:val="24"/>
                <w:lang w:val="en-GB" w:eastAsia="en-GB"/>
              </w:rPr>
              <w:t>Net Book Value - 31 December 2010</w:t>
            </w:r>
          </w:p>
        </w:tc>
        <w:tc>
          <w:tcPr>
            <w:tcW w:w="1665" w:type="dxa"/>
            <w:vAlign w:val="bottom"/>
          </w:tcPr>
          <w:p w14:paraId="12E516BC" w14:textId="77777777" w:rsidR="000230E8" w:rsidRPr="00081AA4" w:rsidRDefault="000230E8" w:rsidP="000230E8">
            <w:pPr>
              <w:pStyle w:val="TableCell"/>
              <w:rPr>
                <w:sz w:val="24"/>
                <w:lang w:val="en-GB" w:eastAsia="en-GB"/>
              </w:rPr>
            </w:pPr>
            <w:r w:rsidRPr="00081AA4">
              <w:rPr>
                <w:sz w:val="24"/>
                <w:lang w:val="en-GB" w:eastAsia="en-GB"/>
              </w:rPr>
              <w:t xml:space="preserve">3,378 </w:t>
            </w:r>
          </w:p>
        </w:tc>
        <w:tc>
          <w:tcPr>
            <w:tcW w:w="1575" w:type="dxa"/>
            <w:vAlign w:val="bottom"/>
          </w:tcPr>
          <w:p w14:paraId="79A5EC75" w14:textId="77777777" w:rsidR="000230E8" w:rsidRPr="00081AA4" w:rsidRDefault="000230E8" w:rsidP="000230E8">
            <w:pPr>
              <w:pStyle w:val="TableCell"/>
              <w:rPr>
                <w:sz w:val="24"/>
                <w:lang w:val="en-GB" w:eastAsia="en-GB"/>
              </w:rPr>
            </w:pPr>
            <w:r w:rsidRPr="00081AA4">
              <w:rPr>
                <w:sz w:val="24"/>
                <w:lang w:val="en-GB" w:eastAsia="en-GB"/>
              </w:rPr>
              <w:t xml:space="preserve">15,826 </w:t>
            </w:r>
          </w:p>
        </w:tc>
        <w:tc>
          <w:tcPr>
            <w:tcW w:w="1440" w:type="dxa"/>
            <w:vAlign w:val="bottom"/>
          </w:tcPr>
          <w:p w14:paraId="6D6D2D40" w14:textId="77777777" w:rsidR="000230E8" w:rsidRPr="00081AA4" w:rsidRDefault="000230E8" w:rsidP="000230E8">
            <w:pPr>
              <w:pStyle w:val="TableCell"/>
              <w:rPr>
                <w:sz w:val="24"/>
                <w:lang w:val="en-GB" w:eastAsia="en-GB"/>
              </w:rPr>
            </w:pPr>
            <w:r w:rsidRPr="00081AA4">
              <w:rPr>
                <w:sz w:val="24"/>
                <w:lang w:val="en-GB" w:eastAsia="en-GB"/>
              </w:rPr>
              <w:t xml:space="preserve">3,092,761 </w:t>
            </w:r>
          </w:p>
        </w:tc>
        <w:tc>
          <w:tcPr>
            <w:tcW w:w="1440" w:type="dxa"/>
            <w:vAlign w:val="bottom"/>
          </w:tcPr>
          <w:p w14:paraId="106DEE0F" w14:textId="77777777" w:rsidR="000230E8" w:rsidRPr="00081AA4" w:rsidRDefault="000230E8" w:rsidP="000230E8">
            <w:pPr>
              <w:pStyle w:val="TableCell"/>
              <w:rPr>
                <w:sz w:val="24"/>
                <w:lang w:val="en-GB" w:eastAsia="en-GB"/>
              </w:rPr>
            </w:pPr>
            <w:r w:rsidRPr="00081AA4">
              <w:rPr>
                <w:sz w:val="24"/>
                <w:lang w:val="en-GB" w:eastAsia="en-GB"/>
              </w:rPr>
              <w:t xml:space="preserve">3,111,965 </w:t>
            </w:r>
          </w:p>
        </w:tc>
      </w:tr>
    </w:tbl>
    <w:p w14:paraId="486D9F52" w14:textId="77777777" w:rsidR="000230E8" w:rsidRDefault="000230E8" w:rsidP="000230E8">
      <w:r>
        <w:br/>
        <w:t>The Board operates its business from a premises at 25 Clyde Road, Ballsbridge, Dublin 4, which it owns. The board does not own or lease any other property.</w:t>
      </w:r>
    </w:p>
    <w:p w14:paraId="3085F145" w14:textId="77777777" w:rsidR="000230E8" w:rsidRDefault="000230E8" w:rsidP="000230E8">
      <w:pPr>
        <w:pStyle w:val="Heading2"/>
        <w:rPr>
          <w:lang w:val="en-GB" w:eastAsia="en-GB"/>
        </w:rPr>
      </w:pPr>
      <w:bookmarkStart w:id="251" w:name="_Toc335836402"/>
      <w:r w:rsidRPr="00CD7510">
        <w:rPr>
          <w:lang w:val="en-GB" w:eastAsia="en-GB"/>
        </w:rPr>
        <w:t>8. Capital Account</w:t>
      </w:r>
      <w:bookmarkEnd w:id="251"/>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248"/>
        <w:gridCol w:w="1080"/>
        <w:gridCol w:w="1764"/>
        <w:gridCol w:w="1764"/>
      </w:tblGrid>
      <w:tr w:rsidR="000230E8" w:rsidRPr="00CD7510" w14:paraId="69D7D0C5" w14:textId="77777777" w:rsidTr="007418DE">
        <w:tblPrEx>
          <w:tblCellMar>
            <w:top w:w="0" w:type="dxa"/>
            <w:bottom w:w="0" w:type="dxa"/>
          </w:tblCellMar>
        </w:tblPrEx>
        <w:trPr>
          <w:tblHeader/>
        </w:trPr>
        <w:tc>
          <w:tcPr>
            <w:tcW w:w="4248" w:type="dxa"/>
            <w:vAlign w:val="bottom"/>
          </w:tcPr>
          <w:p w14:paraId="1D85ADCC" w14:textId="77777777" w:rsidR="000230E8" w:rsidRPr="00CD7510" w:rsidRDefault="000230E8" w:rsidP="000230E8">
            <w:pPr>
              <w:spacing w:after="0"/>
              <w:rPr>
                <w:rFonts w:cs="Arial"/>
                <w:sz w:val="24"/>
                <w:lang w:val="en-GB" w:eastAsia="en-GB"/>
              </w:rPr>
            </w:pPr>
          </w:p>
        </w:tc>
        <w:tc>
          <w:tcPr>
            <w:tcW w:w="1080" w:type="dxa"/>
            <w:vAlign w:val="bottom"/>
          </w:tcPr>
          <w:p w14:paraId="2C693AC2" w14:textId="77777777" w:rsidR="000230E8" w:rsidRPr="00CD7510" w:rsidRDefault="000230E8" w:rsidP="000230E8">
            <w:pPr>
              <w:pStyle w:val="TableHead"/>
              <w:rPr>
                <w:lang w:val="en-GB" w:eastAsia="en-GB"/>
              </w:rPr>
            </w:pPr>
            <w:r w:rsidRPr="00CD7510">
              <w:rPr>
                <w:lang w:val="en-GB" w:eastAsia="en-GB"/>
              </w:rPr>
              <w:t>Notes</w:t>
            </w:r>
          </w:p>
        </w:tc>
        <w:tc>
          <w:tcPr>
            <w:tcW w:w="1764" w:type="dxa"/>
            <w:vAlign w:val="bottom"/>
          </w:tcPr>
          <w:p w14:paraId="5C000189" w14:textId="77777777" w:rsidR="000230E8" w:rsidRPr="00CD7510" w:rsidRDefault="000230E8" w:rsidP="000230E8">
            <w:pPr>
              <w:pStyle w:val="TableHead"/>
              <w:jc w:val="right"/>
              <w:rPr>
                <w:bCs/>
                <w:lang w:val="en-GB" w:eastAsia="en-GB"/>
              </w:rPr>
            </w:pPr>
            <w:r w:rsidRPr="00CD7510">
              <w:rPr>
                <w:bCs/>
                <w:lang w:val="en-GB" w:eastAsia="en-GB"/>
              </w:rPr>
              <w:t>2011</w:t>
            </w:r>
          </w:p>
        </w:tc>
        <w:tc>
          <w:tcPr>
            <w:tcW w:w="1764" w:type="dxa"/>
            <w:vAlign w:val="bottom"/>
          </w:tcPr>
          <w:p w14:paraId="0747D58A" w14:textId="77777777" w:rsidR="000230E8" w:rsidRPr="00CD7510" w:rsidRDefault="000230E8" w:rsidP="000230E8">
            <w:pPr>
              <w:pStyle w:val="TableHead"/>
              <w:jc w:val="right"/>
              <w:rPr>
                <w:bCs/>
                <w:lang w:val="en-GB" w:eastAsia="en-GB"/>
              </w:rPr>
            </w:pPr>
            <w:r w:rsidRPr="00CD7510">
              <w:rPr>
                <w:bCs/>
                <w:lang w:val="en-GB" w:eastAsia="en-GB"/>
              </w:rPr>
              <w:t>2010</w:t>
            </w:r>
          </w:p>
        </w:tc>
      </w:tr>
      <w:tr w:rsidR="000230E8" w:rsidRPr="00CD7510" w14:paraId="228D14BF" w14:textId="77777777" w:rsidTr="007418DE">
        <w:tblPrEx>
          <w:tblCellMar>
            <w:top w:w="0" w:type="dxa"/>
            <w:bottom w:w="0" w:type="dxa"/>
          </w:tblCellMar>
        </w:tblPrEx>
        <w:tc>
          <w:tcPr>
            <w:tcW w:w="4248" w:type="dxa"/>
            <w:vAlign w:val="bottom"/>
          </w:tcPr>
          <w:p w14:paraId="1770F3E7" w14:textId="77777777" w:rsidR="000230E8" w:rsidRPr="00CD7510" w:rsidRDefault="000230E8" w:rsidP="000230E8">
            <w:pPr>
              <w:spacing w:after="0"/>
              <w:rPr>
                <w:rFonts w:cs="Arial"/>
                <w:sz w:val="24"/>
                <w:lang w:val="en-GB" w:eastAsia="en-GB"/>
              </w:rPr>
            </w:pPr>
          </w:p>
        </w:tc>
        <w:tc>
          <w:tcPr>
            <w:tcW w:w="1080" w:type="dxa"/>
            <w:vAlign w:val="bottom"/>
          </w:tcPr>
          <w:p w14:paraId="6349B2B1" w14:textId="77777777" w:rsidR="000230E8" w:rsidRPr="00CD7510" w:rsidRDefault="000230E8" w:rsidP="000230E8">
            <w:pPr>
              <w:spacing w:after="0"/>
              <w:rPr>
                <w:rFonts w:cs="Arial"/>
                <w:sz w:val="24"/>
                <w:lang w:val="en-GB" w:eastAsia="en-GB"/>
              </w:rPr>
            </w:pPr>
          </w:p>
        </w:tc>
        <w:tc>
          <w:tcPr>
            <w:tcW w:w="1764" w:type="dxa"/>
            <w:vAlign w:val="bottom"/>
          </w:tcPr>
          <w:p w14:paraId="1D591EF9" w14:textId="77777777" w:rsidR="000230E8" w:rsidRPr="00CD7510" w:rsidRDefault="000230E8" w:rsidP="000230E8">
            <w:pPr>
              <w:spacing w:after="0"/>
              <w:jc w:val="right"/>
              <w:rPr>
                <w:rFonts w:cs="Arial"/>
                <w:sz w:val="24"/>
                <w:lang w:val="en-GB" w:eastAsia="en-GB"/>
              </w:rPr>
            </w:pPr>
            <w:r w:rsidRPr="00CD7510">
              <w:rPr>
                <w:rFonts w:ascii="Arial" w:hAnsi="Arial" w:cs="Arial"/>
                <w:sz w:val="24"/>
                <w:lang w:val="en-GB" w:eastAsia="en-GB"/>
              </w:rPr>
              <w:t>€</w:t>
            </w:r>
          </w:p>
        </w:tc>
        <w:tc>
          <w:tcPr>
            <w:tcW w:w="1764" w:type="dxa"/>
            <w:vAlign w:val="bottom"/>
          </w:tcPr>
          <w:p w14:paraId="7F05F4CB" w14:textId="77777777" w:rsidR="000230E8" w:rsidRPr="00CD7510" w:rsidRDefault="000230E8" w:rsidP="000230E8">
            <w:pPr>
              <w:spacing w:after="0"/>
              <w:jc w:val="right"/>
              <w:rPr>
                <w:rFonts w:cs="Arial"/>
                <w:sz w:val="24"/>
                <w:lang w:val="en-GB" w:eastAsia="en-GB"/>
              </w:rPr>
            </w:pPr>
            <w:r w:rsidRPr="00CD7510">
              <w:rPr>
                <w:rFonts w:ascii="Arial" w:hAnsi="Arial" w:cs="Arial"/>
                <w:sz w:val="24"/>
                <w:lang w:val="en-GB" w:eastAsia="en-GB"/>
              </w:rPr>
              <w:t>€</w:t>
            </w:r>
          </w:p>
        </w:tc>
      </w:tr>
      <w:tr w:rsidR="000230E8" w:rsidRPr="00CD7510" w14:paraId="1C05BE5B" w14:textId="77777777" w:rsidTr="007418DE">
        <w:tblPrEx>
          <w:tblCellMar>
            <w:top w:w="0" w:type="dxa"/>
            <w:bottom w:w="0" w:type="dxa"/>
          </w:tblCellMar>
        </w:tblPrEx>
        <w:tc>
          <w:tcPr>
            <w:tcW w:w="4248" w:type="dxa"/>
            <w:vAlign w:val="bottom"/>
          </w:tcPr>
          <w:p w14:paraId="1961A6C0"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Balance </w:t>
            </w:r>
            <w:proofErr w:type="gramStart"/>
            <w:r w:rsidRPr="0024314E">
              <w:rPr>
                <w:rFonts w:ascii="Gill Sans" w:hAnsi="Gill Sans"/>
                <w:sz w:val="24"/>
                <w:lang w:val="en-GB" w:eastAsia="en-GB"/>
              </w:rPr>
              <w:t>at</w:t>
            </w:r>
            <w:proofErr w:type="gramEnd"/>
            <w:r w:rsidRPr="0024314E">
              <w:rPr>
                <w:rFonts w:ascii="Gill Sans" w:hAnsi="Gill Sans"/>
                <w:sz w:val="24"/>
                <w:lang w:val="en-GB" w:eastAsia="en-GB"/>
              </w:rPr>
              <w:t xml:space="preserve"> 1 January</w:t>
            </w:r>
          </w:p>
        </w:tc>
        <w:tc>
          <w:tcPr>
            <w:tcW w:w="1080" w:type="dxa"/>
            <w:vAlign w:val="bottom"/>
          </w:tcPr>
          <w:p w14:paraId="5246D28A" w14:textId="77777777" w:rsidR="000230E8" w:rsidRPr="00CD7510" w:rsidRDefault="000230E8" w:rsidP="000230E8">
            <w:pPr>
              <w:spacing w:after="0"/>
              <w:rPr>
                <w:rFonts w:cs="Arial"/>
                <w:sz w:val="24"/>
                <w:lang w:val="en-GB" w:eastAsia="en-GB"/>
              </w:rPr>
            </w:pPr>
          </w:p>
        </w:tc>
        <w:tc>
          <w:tcPr>
            <w:tcW w:w="1764" w:type="dxa"/>
            <w:vAlign w:val="bottom"/>
          </w:tcPr>
          <w:p w14:paraId="0207DA38"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3,111,965 </w:t>
            </w:r>
          </w:p>
        </w:tc>
        <w:tc>
          <w:tcPr>
            <w:tcW w:w="1764" w:type="dxa"/>
            <w:vAlign w:val="bottom"/>
          </w:tcPr>
          <w:p w14:paraId="024B40E8"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3,205,216 </w:t>
            </w:r>
          </w:p>
        </w:tc>
      </w:tr>
      <w:tr w:rsidR="000230E8" w:rsidRPr="00CD7510" w14:paraId="5E60BEDD" w14:textId="77777777" w:rsidTr="007418DE">
        <w:tblPrEx>
          <w:tblCellMar>
            <w:top w:w="0" w:type="dxa"/>
            <w:bottom w:w="0" w:type="dxa"/>
          </w:tblCellMar>
        </w:tblPrEx>
        <w:tc>
          <w:tcPr>
            <w:tcW w:w="8856" w:type="dxa"/>
            <w:gridSpan w:val="4"/>
            <w:vAlign w:val="bottom"/>
          </w:tcPr>
          <w:p w14:paraId="23646AC5" w14:textId="77777777" w:rsidR="000230E8" w:rsidRPr="00CD7510" w:rsidRDefault="000230E8" w:rsidP="000230E8">
            <w:pPr>
              <w:pStyle w:val="TableHead"/>
              <w:jc w:val="center"/>
              <w:rPr>
                <w:sz w:val="24"/>
                <w:lang w:val="en-GB" w:eastAsia="en-GB"/>
              </w:rPr>
            </w:pPr>
            <w:r w:rsidRPr="00CD7510">
              <w:rPr>
                <w:sz w:val="24"/>
                <w:lang w:val="en-GB" w:eastAsia="en-GB"/>
              </w:rPr>
              <w:t>Transfer (to) / from the Income and Expenditure Account</w:t>
            </w:r>
          </w:p>
        </w:tc>
      </w:tr>
      <w:tr w:rsidR="000230E8" w:rsidRPr="00CD7510" w14:paraId="1F1E866B" w14:textId="77777777" w:rsidTr="007418DE">
        <w:tblPrEx>
          <w:tblCellMar>
            <w:top w:w="0" w:type="dxa"/>
            <w:bottom w:w="0" w:type="dxa"/>
          </w:tblCellMar>
        </w:tblPrEx>
        <w:tc>
          <w:tcPr>
            <w:tcW w:w="4248" w:type="dxa"/>
            <w:vAlign w:val="bottom"/>
          </w:tcPr>
          <w:p w14:paraId="40870013"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Income applied to purchase fixed assets </w:t>
            </w:r>
          </w:p>
        </w:tc>
        <w:tc>
          <w:tcPr>
            <w:tcW w:w="1080" w:type="dxa"/>
            <w:vAlign w:val="bottom"/>
          </w:tcPr>
          <w:p w14:paraId="161A9FF0"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7 </w:t>
            </w:r>
          </w:p>
        </w:tc>
        <w:tc>
          <w:tcPr>
            <w:tcW w:w="1764" w:type="dxa"/>
            <w:vAlign w:val="bottom"/>
          </w:tcPr>
          <w:p w14:paraId="16767529"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9,235 </w:t>
            </w:r>
          </w:p>
        </w:tc>
        <w:tc>
          <w:tcPr>
            <w:tcW w:w="1764" w:type="dxa"/>
            <w:vAlign w:val="bottom"/>
          </w:tcPr>
          <w:p w14:paraId="5979577F"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3,729 </w:t>
            </w:r>
          </w:p>
        </w:tc>
      </w:tr>
      <w:tr w:rsidR="000230E8" w:rsidRPr="00CD7510" w14:paraId="0CE4988E" w14:textId="77777777" w:rsidTr="007418DE">
        <w:tblPrEx>
          <w:tblCellMar>
            <w:top w:w="0" w:type="dxa"/>
            <w:bottom w:w="0" w:type="dxa"/>
          </w:tblCellMar>
        </w:tblPrEx>
        <w:tc>
          <w:tcPr>
            <w:tcW w:w="4248" w:type="dxa"/>
            <w:vAlign w:val="bottom"/>
          </w:tcPr>
          <w:p w14:paraId="71178432"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Amortised in the year in line with asset depreciation </w:t>
            </w:r>
          </w:p>
        </w:tc>
        <w:tc>
          <w:tcPr>
            <w:tcW w:w="1080" w:type="dxa"/>
            <w:vAlign w:val="bottom"/>
          </w:tcPr>
          <w:p w14:paraId="2E375D63"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7 </w:t>
            </w:r>
          </w:p>
        </w:tc>
        <w:tc>
          <w:tcPr>
            <w:tcW w:w="1764" w:type="dxa"/>
            <w:vAlign w:val="bottom"/>
          </w:tcPr>
          <w:p w14:paraId="1D06761C"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(93,334)</w:t>
            </w:r>
          </w:p>
        </w:tc>
        <w:tc>
          <w:tcPr>
            <w:tcW w:w="1764" w:type="dxa"/>
            <w:vAlign w:val="bottom"/>
          </w:tcPr>
          <w:p w14:paraId="1BEDCD2B"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(96,980)</w:t>
            </w:r>
          </w:p>
        </w:tc>
      </w:tr>
      <w:tr w:rsidR="000230E8" w:rsidRPr="00CD7510" w14:paraId="118B5713" w14:textId="77777777" w:rsidTr="007418DE">
        <w:tblPrEx>
          <w:tblCellMar>
            <w:top w:w="0" w:type="dxa"/>
            <w:bottom w:w="0" w:type="dxa"/>
          </w:tblCellMar>
        </w:tblPrEx>
        <w:tc>
          <w:tcPr>
            <w:tcW w:w="4248" w:type="dxa"/>
            <w:vAlign w:val="bottom"/>
          </w:tcPr>
          <w:p w14:paraId="38BD4053"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Release on Disposal of Fixed Assets</w:t>
            </w:r>
          </w:p>
        </w:tc>
        <w:tc>
          <w:tcPr>
            <w:tcW w:w="1080" w:type="dxa"/>
            <w:vAlign w:val="bottom"/>
          </w:tcPr>
          <w:p w14:paraId="4F598798"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7 </w:t>
            </w:r>
          </w:p>
        </w:tc>
        <w:tc>
          <w:tcPr>
            <w:tcW w:w="1764" w:type="dxa"/>
            <w:vAlign w:val="bottom"/>
          </w:tcPr>
          <w:p w14:paraId="38B3AB16"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0 </w:t>
            </w:r>
          </w:p>
        </w:tc>
        <w:tc>
          <w:tcPr>
            <w:tcW w:w="1764" w:type="dxa"/>
            <w:vAlign w:val="bottom"/>
          </w:tcPr>
          <w:p w14:paraId="5FB72ECD"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0 </w:t>
            </w:r>
          </w:p>
        </w:tc>
      </w:tr>
      <w:tr w:rsidR="000230E8" w:rsidRPr="00CD7510" w14:paraId="117A23A4" w14:textId="77777777" w:rsidTr="007418DE">
        <w:tblPrEx>
          <w:tblCellMar>
            <w:top w:w="0" w:type="dxa"/>
            <w:bottom w:w="0" w:type="dxa"/>
          </w:tblCellMar>
        </w:tblPrEx>
        <w:tc>
          <w:tcPr>
            <w:tcW w:w="4248" w:type="dxa"/>
            <w:vAlign w:val="bottom"/>
          </w:tcPr>
          <w:p w14:paraId="29983D42" w14:textId="77777777" w:rsidR="000230E8" w:rsidRPr="0024314E" w:rsidRDefault="000230E8" w:rsidP="000230E8">
            <w:pPr>
              <w:pStyle w:val="TableRowHead"/>
              <w:rPr>
                <w:rFonts w:ascii="Gill Sans" w:hAnsi="Gill Sans"/>
                <w:sz w:val="24"/>
                <w:lang w:val="en-GB" w:eastAsia="en-GB"/>
              </w:rPr>
            </w:pPr>
          </w:p>
        </w:tc>
        <w:tc>
          <w:tcPr>
            <w:tcW w:w="1080" w:type="dxa"/>
            <w:vAlign w:val="bottom"/>
          </w:tcPr>
          <w:p w14:paraId="5072E025" w14:textId="77777777" w:rsidR="000230E8" w:rsidRPr="00CD7510" w:rsidRDefault="000230E8" w:rsidP="000230E8">
            <w:pPr>
              <w:spacing w:after="0"/>
              <w:rPr>
                <w:rFonts w:cs="Arial"/>
                <w:sz w:val="24"/>
                <w:lang w:val="en-GB" w:eastAsia="en-GB"/>
              </w:rPr>
            </w:pPr>
          </w:p>
        </w:tc>
        <w:tc>
          <w:tcPr>
            <w:tcW w:w="1764" w:type="dxa"/>
            <w:vAlign w:val="bottom"/>
          </w:tcPr>
          <w:p w14:paraId="620DDD1B"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(84,099)</w:t>
            </w:r>
          </w:p>
        </w:tc>
        <w:tc>
          <w:tcPr>
            <w:tcW w:w="1764" w:type="dxa"/>
            <w:vAlign w:val="bottom"/>
          </w:tcPr>
          <w:p w14:paraId="48E843B4"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(93,251)</w:t>
            </w:r>
          </w:p>
        </w:tc>
      </w:tr>
      <w:tr w:rsidR="000230E8" w:rsidRPr="00CD7510" w14:paraId="0E6B6D5D" w14:textId="77777777" w:rsidTr="007418DE">
        <w:tblPrEx>
          <w:tblCellMar>
            <w:top w:w="0" w:type="dxa"/>
            <w:bottom w:w="0" w:type="dxa"/>
          </w:tblCellMar>
        </w:tblPrEx>
        <w:tc>
          <w:tcPr>
            <w:tcW w:w="4248" w:type="dxa"/>
            <w:vAlign w:val="bottom"/>
          </w:tcPr>
          <w:p w14:paraId="15B5F67D"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Balance </w:t>
            </w:r>
            <w:proofErr w:type="gramStart"/>
            <w:r w:rsidRPr="0024314E">
              <w:rPr>
                <w:rFonts w:ascii="Gill Sans" w:hAnsi="Gill Sans"/>
                <w:sz w:val="24"/>
                <w:lang w:val="en-GB" w:eastAsia="en-GB"/>
              </w:rPr>
              <w:t>at</w:t>
            </w:r>
            <w:proofErr w:type="gramEnd"/>
            <w:r w:rsidRPr="0024314E">
              <w:rPr>
                <w:rFonts w:ascii="Gill Sans" w:hAnsi="Gill Sans"/>
                <w:sz w:val="24"/>
                <w:lang w:val="en-GB" w:eastAsia="en-GB"/>
              </w:rPr>
              <w:t xml:space="preserve"> 31 December </w:t>
            </w:r>
          </w:p>
        </w:tc>
        <w:tc>
          <w:tcPr>
            <w:tcW w:w="1080" w:type="dxa"/>
            <w:vAlign w:val="bottom"/>
          </w:tcPr>
          <w:p w14:paraId="00BDDDD3" w14:textId="77777777" w:rsidR="000230E8" w:rsidRPr="00CD7510" w:rsidRDefault="000230E8" w:rsidP="000230E8">
            <w:pPr>
              <w:spacing w:after="0"/>
              <w:rPr>
                <w:rFonts w:cs="Arial"/>
                <w:sz w:val="24"/>
                <w:lang w:val="en-GB" w:eastAsia="en-GB"/>
              </w:rPr>
            </w:pPr>
          </w:p>
        </w:tc>
        <w:tc>
          <w:tcPr>
            <w:tcW w:w="1764" w:type="dxa"/>
            <w:vAlign w:val="bottom"/>
          </w:tcPr>
          <w:p w14:paraId="0EF394EA"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3,027,866 </w:t>
            </w:r>
          </w:p>
        </w:tc>
        <w:tc>
          <w:tcPr>
            <w:tcW w:w="1764" w:type="dxa"/>
            <w:vAlign w:val="bottom"/>
          </w:tcPr>
          <w:p w14:paraId="31A47D66" w14:textId="77777777" w:rsidR="000230E8" w:rsidRPr="00CD7510" w:rsidRDefault="000230E8" w:rsidP="000230E8">
            <w:pPr>
              <w:spacing w:after="0"/>
              <w:jc w:val="right"/>
              <w:rPr>
                <w:rFonts w:cs="Arial"/>
                <w:sz w:val="24"/>
                <w:lang w:val="en-GB" w:eastAsia="en-GB"/>
              </w:rPr>
            </w:pPr>
            <w:r w:rsidRPr="00CD7510">
              <w:rPr>
                <w:rFonts w:cs="Arial"/>
                <w:sz w:val="24"/>
                <w:lang w:val="en-GB" w:eastAsia="en-GB"/>
              </w:rPr>
              <w:t xml:space="preserve">3,111,965 </w:t>
            </w:r>
          </w:p>
        </w:tc>
      </w:tr>
    </w:tbl>
    <w:p w14:paraId="4A4F4690" w14:textId="77777777" w:rsidR="000230E8" w:rsidRDefault="000230E8" w:rsidP="000230E8">
      <w:pPr>
        <w:pStyle w:val="Heading2"/>
      </w:pPr>
      <w:r>
        <w:br/>
      </w:r>
      <w:bookmarkStart w:id="252" w:name="_Toc335836403"/>
      <w:r w:rsidRPr="0024314E">
        <w:t>9. Cash Flow Reconciliation</w:t>
      </w:r>
      <w:bookmarkEnd w:id="25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0230E8" w:rsidRPr="0024314E" w14:paraId="7663EEB0" w14:textId="77777777" w:rsidTr="007418DE">
        <w:tblPrEx>
          <w:tblCellMar>
            <w:top w:w="0" w:type="dxa"/>
            <w:bottom w:w="0" w:type="dxa"/>
          </w:tblCellMar>
        </w:tblPrEx>
        <w:trPr>
          <w:tblHeader/>
        </w:trPr>
        <w:tc>
          <w:tcPr>
            <w:tcW w:w="4788" w:type="dxa"/>
            <w:shd w:val="clear" w:color="auto" w:fill="auto"/>
          </w:tcPr>
          <w:p w14:paraId="5E52E63A" w14:textId="77777777" w:rsidR="000230E8" w:rsidRPr="0024314E" w:rsidRDefault="000230E8" w:rsidP="000230E8">
            <w:pPr>
              <w:pStyle w:val="TableHead"/>
              <w:jc w:val="right"/>
            </w:pPr>
          </w:p>
        </w:tc>
        <w:tc>
          <w:tcPr>
            <w:tcW w:w="2034" w:type="dxa"/>
            <w:shd w:val="clear" w:color="auto" w:fill="auto"/>
            <w:vAlign w:val="bottom"/>
          </w:tcPr>
          <w:p w14:paraId="2D573469" w14:textId="77777777" w:rsidR="000230E8" w:rsidRPr="00CD7510" w:rsidRDefault="000230E8" w:rsidP="000230E8">
            <w:pPr>
              <w:pStyle w:val="TableHead"/>
              <w:jc w:val="right"/>
              <w:rPr>
                <w:bCs/>
                <w:lang w:val="en-GB" w:eastAsia="en-GB"/>
              </w:rPr>
            </w:pPr>
            <w:r w:rsidRPr="00CD7510">
              <w:rPr>
                <w:bCs/>
                <w:lang w:val="en-GB" w:eastAsia="en-GB"/>
              </w:rPr>
              <w:t>2011</w:t>
            </w:r>
          </w:p>
        </w:tc>
        <w:tc>
          <w:tcPr>
            <w:tcW w:w="2034" w:type="dxa"/>
            <w:shd w:val="clear" w:color="auto" w:fill="auto"/>
            <w:vAlign w:val="bottom"/>
          </w:tcPr>
          <w:p w14:paraId="058264DC" w14:textId="77777777" w:rsidR="000230E8" w:rsidRPr="00CD7510" w:rsidRDefault="000230E8" w:rsidP="000230E8">
            <w:pPr>
              <w:pStyle w:val="TableHead"/>
              <w:jc w:val="right"/>
              <w:rPr>
                <w:bCs/>
                <w:lang w:val="en-GB" w:eastAsia="en-GB"/>
              </w:rPr>
            </w:pPr>
            <w:r w:rsidRPr="00CD7510">
              <w:rPr>
                <w:bCs/>
                <w:lang w:val="en-GB" w:eastAsia="en-GB"/>
              </w:rPr>
              <w:t>2010</w:t>
            </w:r>
          </w:p>
        </w:tc>
      </w:tr>
      <w:tr w:rsidR="000230E8" w:rsidRPr="0024314E" w14:paraId="5BA78972" w14:textId="77777777" w:rsidTr="007418DE">
        <w:tblPrEx>
          <w:tblCellMar>
            <w:top w:w="0" w:type="dxa"/>
            <w:bottom w:w="0" w:type="dxa"/>
          </w:tblCellMar>
        </w:tblPrEx>
        <w:tc>
          <w:tcPr>
            <w:tcW w:w="4788" w:type="dxa"/>
            <w:shd w:val="clear" w:color="auto" w:fill="auto"/>
          </w:tcPr>
          <w:p w14:paraId="72C8BA90" w14:textId="77777777" w:rsidR="000230E8" w:rsidRPr="0024314E" w:rsidRDefault="000230E8" w:rsidP="000230E8">
            <w:pPr>
              <w:pStyle w:val="TableRowHead"/>
            </w:pPr>
          </w:p>
        </w:tc>
        <w:tc>
          <w:tcPr>
            <w:tcW w:w="2034" w:type="dxa"/>
            <w:shd w:val="clear" w:color="auto" w:fill="auto"/>
            <w:vAlign w:val="bottom"/>
          </w:tcPr>
          <w:p w14:paraId="19AA246B" w14:textId="77777777" w:rsidR="000230E8" w:rsidRPr="00CD7510" w:rsidRDefault="000230E8" w:rsidP="000230E8">
            <w:pPr>
              <w:spacing w:after="0"/>
              <w:jc w:val="right"/>
              <w:rPr>
                <w:rFonts w:cs="Arial"/>
                <w:sz w:val="24"/>
                <w:lang w:val="en-GB" w:eastAsia="en-GB"/>
              </w:rPr>
            </w:pPr>
            <w:r w:rsidRPr="00CD7510">
              <w:rPr>
                <w:rFonts w:ascii="Arial" w:hAnsi="Arial" w:cs="Arial"/>
                <w:sz w:val="24"/>
                <w:lang w:val="en-GB" w:eastAsia="en-GB"/>
              </w:rPr>
              <w:t>€</w:t>
            </w:r>
          </w:p>
        </w:tc>
        <w:tc>
          <w:tcPr>
            <w:tcW w:w="2034" w:type="dxa"/>
            <w:shd w:val="clear" w:color="auto" w:fill="auto"/>
            <w:vAlign w:val="bottom"/>
          </w:tcPr>
          <w:p w14:paraId="2F43EB53" w14:textId="77777777" w:rsidR="000230E8" w:rsidRPr="00CD7510" w:rsidRDefault="000230E8" w:rsidP="000230E8">
            <w:pPr>
              <w:spacing w:after="0"/>
              <w:jc w:val="right"/>
              <w:rPr>
                <w:rFonts w:cs="Arial"/>
                <w:sz w:val="24"/>
                <w:lang w:val="en-GB" w:eastAsia="en-GB"/>
              </w:rPr>
            </w:pPr>
            <w:r w:rsidRPr="00CD7510">
              <w:rPr>
                <w:rFonts w:ascii="Arial" w:hAnsi="Arial" w:cs="Arial"/>
                <w:sz w:val="24"/>
                <w:lang w:val="en-GB" w:eastAsia="en-GB"/>
              </w:rPr>
              <w:t>€</w:t>
            </w:r>
          </w:p>
        </w:tc>
      </w:tr>
      <w:tr w:rsidR="000230E8" w:rsidRPr="0024314E" w14:paraId="45F19E56" w14:textId="77777777" w:rsidTr="007418DE">
        <w:tblPrEx>
          <w:tblCellMar>
            <w:top w:w="0" w:type="dxa"/>
            <w:bottom w:w="0" w:type="dxa"/>
          </w:tblCellMar>
        </w:tblPrEx>
        <w:tc>
          <w:tcPr>
            <w:tcW w:w="8856" w:type="dxa"/>
            <w:gridSpan w:val="3"/>
            <w:shd w:val="clear" w:color="auto" w:fill="auto"/>
          </w:tcPr>
          <w:p w14:paraId="4550C064" w14:textId="77777777" w:rsidR="000230E8" w:rsidRPr="0024314E" w:rsidRDefault="000230E8" w:rsidP="000230E8">
            <w:pPr>
              <w:pStyle w:val="TableHead"/>
              <w:jc w:val="center"/>
            </w:pPr>
            <w:r w:rsidRPr="0024314E">
              <w:t xml:space="preserve">9 (a) Reconciliation </w:t>
            </w:r>
            <w:proofErr w:type="gramStart"/>
            <w:r w:rsidRPr="0024314E">
              <w:t>Of</w:t>
            </w:r>
            <w:proofErr w:type="gramEnd"/>
            <w:r w:rsidRPr="0024314E">
              <w:t xml:space="preserve"> Deficit For The Year To Cashflow From Operating Activities</w:t>
            </w:r>
          </w:p>
        </w:tc>
      </w:tr>
      <w:tr w:rsidR="000230E8" w:rsidRPr="0024314E" w14:paraId="2356E81A" w14:textId="77777777" w:rsidTr="007418DE">
        <w:tblPrEx>
          <w:tblCellMar>
            <w:top w:w="0" w:type="dxa"/>
            <w:bottom w:w="0" w:type="dxa"/>
          </w:tblCellMar>
        </w:tblPrEx>
        <w:tc>
          <w:tcPr>
            <w:tcW w:w="4788" w:type="dxa"/>
            <w:shd w:val="clear" w:color="auto" w:fill="auto"/>
            <w:vAlign w:val="bottom"/>
          </w:tcPr>
          <w:p w14:paraId="61541332"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lastRenderedPageBreak/>
              <w:t>Surplus / (Deficit) for the period</w:t>
            </w:r>
          </w:p>
        </w:tc>
        <w:tc>
          <w:tcPr>
            <w:tcW w:w="2034" w:type="dxa"/>
            <w:shd w:val="clear" w:color="auto" w:fill="auto"/>
            <w:vAlign w:val="bottom"/>
          </w:tcPr>
          <w:p w14:paraId="717149B7" w14:textId="77777777" w:rsidR="000230E8" w:rsidRPr="0024314E" w:rsidRDefault="000230E8" w:rsidP="000230E8">
            <w:pPr>
              <w:pStyle w:val="TableCell"/>
              <w:rPr>
                <w:sz w:val="24"/>
                <w:lang w:val="en-GB" w:eastAsia="en-GB"/>
              </w:rPr>
            </w:pPr>
            <w:r w:rsidRPr="0024314E">
              <w:rPr>
                <w:sz w:val="24"/>
                <w:lang w:val="en-GB" w:eastAsia="en-GB"/>
              </w:rPr>
              <w:t>(16,606)</w:t>
            </w:r>
          </w:p>
        </w:tc>
        <w:tc>
          <w:tcPr>
            <w:tcW w:w="2034" w:type="dxa"/>
            <w:shd w:val="clear" w:color="auto" w:fill="auto"/>
            <w:vAlign w:val="bottom"/>
          </w:tcPr>
          <w:p w14:paraId="2225E88B" w14:textId="77777777" w:rsidR="000230E8" w:rsidRPr="0024314E" w:rsidRDefault="000230E8" w:rsidP="000230E8">
            <w:pPr>
              <w:pStyle w:val="TableCell"/>
              <w:rPr>
                <w:sz w:val="24"/>
                <w:lang w:val="en-GB" w:eastAsia="en-GB"/>
              </w:rPr>
            </w:pPr>
            <w:r w:rsidRPr="0024314E">
              <w:rPr>
                <w:sz w:val="24"/>
                <w:lang w:val="en-GB" w:eastAsia="en-GB"/>
              </w:rPr>
              <w:t xml:space="preserve">115,010 </w:t>
            </w:r>
          </w:p>
        </w:tc>
      </w:tr>
      <w:tr w:rsidR="000230E8" w:rsidRPr="0024314E" w14:paraId="11D02CCD" w14:textId="77777777" w:rsidTr="007418DE">
        <w:tblPrEx>
          <w:tblCellMar>
            <w:top w:w="0" w:type="dxa"/>
            <w:bottom w:w="0" w:type="dxa"/>
          </w:tblCellMar>
        </w:tblPrEx>
        <w:tc>
          <w:tcPr>
            <w:tcW w:w="4788" w:type="dxa"/>
            <w:shd w:val="clear" w:color="auto" w:fill="auto"/>
            <w:vAlign w:val="bottom"/>
          </w:tcPr>
          <w:p w14:paraId="5812EB7C"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Adjustment for non operating items</w:t>
            </w:r>
          </w:p>
        </w:tc>
        <w:tc>
          <w:tcPr>
            <w:tcW w:w="2034" w:type="dxa"/>
            <w:shd w:val="clear" w:color="auto" w:fill="auto"/>
            <w:vAlign w:val="bottom"/>
          </w:tcPr>
          <w:p w14:paraId="68E0DD2B" w14:textId="77777777" w:rsidR="000230E8" w:rsidRPr="0024314E" w:rsidRDefault="000230E8" w:rsidP="000230E8">
            <w:pPr>
              <w:pStyle w:val="TableCell"/>
              <w:rPr>
                <w:sz w:val="24"/>
                <w:lang w:val="en-GB" w:eastAsia="en-GB"/>
              </w:rPr>
            </w:pPr>
          </w:p>
        </w:tc>
        <w:tc>
          <w:tcPr>
            <w:tcW w:w="2034" w:type="dxa"/>
            <w:shd w:val="clear" w:color="auto" w:fill="auto"/>
            <w:vAlign w:val="bottom"/>
          </w:tcPr>
          <w:p w14:paraId="1591B4C2" w14:textId="77777777" w:rsidR="000230E8" w:rsidRPr="0024314E" w:rsidRDefault="000230E8" w:rsidP="000230E8">
            <w:pPr>
              <w:pStyle w:val="TableCell"/>
              <w:rPr>
                <w:sz w:val="24"/>
                <w:lang w:val="en-GB" w:eastAsia="en-GB"/>
              </w:rPr>
            </w:pPr>
          </w:p>
        </w:tc>
      </w:tr>
      <w:tr w:rsidR="000230E8" w:rsidRPr="0024314E" w14:paraId="008A92DF" w14:textId="77777777" w:rsidTr="007418DE">
        <w:tblPrEx>
          <w:tblCellMar>
            <w:top w:w="0" w:type="dxa"/>
            <w:bottom w:w="0" w:type="dxa"/>
          </w:tblCellMar>
        </w:tblPrEx>
        <w:tc>
          <w:tcPr>
            <w:tcW w:w="4788" w:type="dxa"/>
            <w:shd w:val="clear" w:color="auto" w:fill="auto"/>
            <w:vAlign w:val="bottom"/>
          </w:tcPr>
          <w:p w14:paraId="7A538265"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Interest Receivable</w:t>
            </w:r>
          </w:p>
        </w:tc>
        <w:tc>
          <w:tcPr>
            <w:tcW w:w="2034" w:type="dxa"/>
            <w:shd w:val="clear" w:color="auto" w:fill="auto"/>
            <w:vAlign w:val="bottom"/>
          </w:tcPr>
          <w:p w14:paraId="70BE594B" w14:textId="77777777" w:rsidR="000230E8" w:rsidRPr="0024314E" w:rsidRDefault="000230E8" w:rsidP="000230E8">
            <w:pPr>
              <w:pStyle w:val="TableCell"/>
              <w:rPr>
                <w:sz w:val="24"/>
                <w:lang w:val="en-GB" w:eastAsia="en-GB"/>
              </w:rPr>
            </w:pPr>
            <w:r w:rsidRPr="0024314E">
              <w:rPr>
                <w:sz w:val="24"/>
                <w:lang w:val="en-GB" w:eastAsia="en-GB"/>
              </w:rPr>
              <w:t xml:space="preserve">0 </w:t>
            </w:r>
          </w:p>
        </w:tc>
        <w:tc>
          <w:tcPr>
            <w:tcW w:w="2034" w:type="dxa"/>
            <w:shd w:val="clear" w:color="auto" w:fill="auto"/>
            <w:vAlign w:val="bottom"/>
          </w:tcPr>
          <w:p w14:paraId="51749525" w14:textId="77777777" w:rsidR="000230E8" w:rsidRPr="0024314E" w:rsidRDefault="000230E8" w:rsidP="000230E8">
            <w:pPr>
              <w:pStyle w:val="TableCell"/>
              <w:rPr>
                <w:sz w:val="24"/>
                <w:lang w:val="en-GB" w:eastAsia="en-GB"/>
              </w:rPr>
            </w:pPr>
            <w:r w:rsidRPr="0024314E">
              <w:rPr>
                <w:sz w:val="24"/>
                <w:lang w:val="en-GB" w:eastAsia="en-GB"/>
              </w:rPr>
              <w:t>(1)</w:t>
            </w:r>
          </w:p>
        </w:tc>
      </w:tr>
      <w:tr w:rsidR="000230E8" w:rsidRPr="0024314E" w14:paraId="55B809C2" w14:textId="77777777" w:rsidTr="007418DE">
        <w:tblPrEx>
          <w:tblCellMar>
            <w:top w:w="0" w:type="dxa"/>
            <w:bottom w:w="0" w:type="dxa"/>
          </w:tblCellMar>
        </w:tblPrEx>
        <w:tc>
          <w:tcPr>
            <w:tcW w:w="4788" w:type="dxa"/>
            <w:shd w:val="clear" w:color="auto" w:fill="auto"/>
            <w:vAlign w:val="bottom"/>
          </w:tcPr>
          <w:p w14:paraId="5F31341A"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Movement on Capital Account </w:t>
            </w:r>
          </w:p>
        </w:tc>
        <w:tc>
          <w:tcPr>
            <w:tcW w:w="2034" w:type="dxa"/>
            <w:shd w:val="clear" w:color="auto" w:fill="auto"/>
            <w:vAlign w:val="bottom"/>
          </w:tcPr>
          <w:p w14:paraId="7DA8A109" w14:textId="77777777" w:rsidR="000230E8" w:rsidRPr="0024314E" w:rsidRDefault="000230E8" w:rsidP="000230E8">
            <w:pPr>
              <w:pStyle w:val="TableCell"/>
              <w:rPr>
                <w:sz w:val="24"/>
                <w:lang w:val="en-GB" w:eastAsia="en-GB"/>
              </w:rPr>
            </w:pPr>
            <w:r w:rsidRPr="0024314E">
              <w:rPr>
                <w:sz w:val="24"/>
                <w:lang w:val="en-GB" w:eastAsia="en-GB"/>
              </w:rPr>
              <w:t>(84,099)</w:t>
            </w:r>
          </w:p>
        </w:tc>
        <w:tc>
          <w:tcPr>
            <w:tcW w:w="2034" w:type="dxa"/>
            <w:shd w:val="clear" w:color="auto" w:fill="auto"/>
            <w:vAlign w:val="bottom"/>
          </w:tcPr>
          <w:p w14:paraId="4936C889" w14:textId="77777777" w:rsidR="000230E8" w:rsidRPr="0024314E" w:rsidRDefault="000230E8" w:rsidP="000230E8">
            <w:pPr>
              <w:pStyle w:val="TableCell"/>
              <w:rPr>
                <w:sz w:val="24"/>
                <w:lang w:val="en-GB" w:eastAsia="en-GB"/>
              </w:rPr>
            </w:pPr>
            <w:r w:rsidRPr="0024314E">
              <w:rPr>
                <w:sz w:val="24"/>
                <w:lang w:val="en-GB" w:eastAsia="en-GB"/>
              </w:rPr>
              <w:t>(93,251)</w:t>
            </w:r>
          </w:p>
        </w:tc>
      </w:tr>
      <w:tr w:rsidR="000230E8" w:rsidRPr="0024314E" w14:paraId="563399CB" w14:textId="77777777" w:rsidTr="007418DE">
        <w:tblPrEx>
          <w:tblCellMar>
            <w:top w:w="0" w:type="dxa"/>
            <w:bottom w:w="0" w:type="dxa"/>
          </w:tblCellMar>
        </w:tblPrEx>
        <w:tc>
          <w:tcPr>
            <w:tcW w:w="4788" w:type="dxa"/>
            <w:shd w:val="clear" w:color="auto" w:fill="auto"/>
            <w:vAlign w:val="bottom"/>
          </w:tcPr>
          <w:p w14:paraId="105B3717"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Adjustment for </w:t>
            </w:r>
            <w:proofErr w:type="gramStart"/>
            <w:r w:rsidRPr="0024314E">
              <w:rPr>
                <w:rFonts w:ascii="Gill Sans" w:hAnsi="Gill Sans"/>
                <w:sz w:val="24"/>
                <w:lang w:val="en-GB" w:eastAsia="en-GB"/>
              </w:rPr>
              <w:t>non cash</w:t>
            </w:r>
            <w:proofErr w:type="gramEnd"/>
            <w:r w:rsidRPr="0024314E">
              <w:rPr>
                <w:rFonts w:ascii="Gill Sans" w:hAnsi="Gill Sans"/>
                <w:sz w:val="24"/>
                <w:lang w:val="en-GB" w:eastAsia="en-GB"/>
              </w:rPr>
              <w:t xml:space="preserve"> items</w:t>
            </w:r>
          </w:p>
        </w:tc>
        <w:tc>
          <w:tcPr>
            <w:tcW w:w="2034" w:type="dxa"/>
            <w:shd w:val="clear" w:color="auto" w:fill="auto"/>
            <w:vAlign w:val="bottom"/>
          </w:tcPr>
          <w:p w14:paraId="165D1824" w14:textId="77777777" w:rsidR="000230E8" w:rsidRPr="0024314E" w:rsidRDefault="000230E8" w:rsidP="000230E8">
            <w:pPr>
              <w:pStyle w:val="TableCell"/>
              <w:rPr>
                <w:sz w:val="24"/>
                <w:lang w:val="en-GB" w:eastAsia="en-GB"/>
              </w:rPr>
            </w:pPr>
          </w:p>
        </w:tc>
        <w:tc>
          <w:tcPr>
            <w:tcW w:w="2034" w:type="dxa"/>
            <w:shd w:val="clear" w:color="auto" w:fill="auto"/>
            <w:vAlign w:val="bottom"/>
          </w:tcPr>
          <w:p w14:paraId="0C73EC0E" w14:textId="77777777" w:rsidR="000230E8" w:rsidRPr="0024314E" w:rsidRDefault="000230E8" w:rsidP="000230E8">
            <w:pPr>
              <w:pStyle w:val="TableCell"/>
              <w:rPr>
                <w:sz w:val="24"/>
                <w:lang w:val="en-GB" w:eastAsia="en-GB"/>
              </w:rPr>
            </w:pPr>
          </w:p>
        </w:tc>
      </w:tr>
      <w:tr w:rsidR="000230E8" w:rsidRPr="0024314E" w14:paraId="0ADA3B22" w14:textId="77777777" w:rsidTr="007418DE">
        <w:tblPrEx>
          <w:tblCellMar>
            <w:top w:w="0" w:type="dxa"/>
            <w:bottom w:w="0" w:type="dxa"/>
          </w:tblCellMar>
        </w:tblPrEx>
        <w:tc>
          <w:tcPr>
            <w:tcW w:w="4788" w:type="dxa"/>
            <w:shd w:val="clear" w:color="auto" w:fill="auto"/>
            <w:vAlign w:val="bottom"/>
          </w:tcPr>
          <w:p w14:paraId="149FF03E"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Depreciation</w:t>
            </w:r>
          </w:p>
        </w:tc>
        <w:tc>
          <w:tcPr>
            <w:tcW w:w="2034" w:type="dxa"/>
            <w:shd w:val="clear" w:color="auto" w:fill="auto"/>
            <w:vAlign w:val="bottom"/>
          </w:tcPr>
          <w:p w14:paraId="56D038CA" w14:textId="77777777" w:rsidR="000230E8" w:rsidRPr="0024314E" w:rsidRDefault="000230E8" w:rsidP="000230E8">
            <w:pPr>
              <w:pStyle w:val="TableCell"/>
              <w:rPr>
                <w:sz w:val="24"/>
                <w:lang w:val="en-GB" w:eastAsia="en-GB"/>
              </w:rPr>
            </w:pPr>
            <w:r w:rsidRPr="0024314E">
              <w:rPr>
                <w:sz w:val="24"/>
                <w:lang w:val="en-GB" w:eastAsia="en-GB"/>
              </w:rPr>
              <w:t xml:space="preserve">93,334 </w:t>
            </w:r>
          </w:p>
        </w:tc>
        <w:tc>
          <w:tcPr>
            <w:tcW w:w="2034" w:type="dxa"/>
            <w:shd w:val="clear" w:color="auto" w:fill="auto"/>
            <w:vAlign w:val="bottom"/>
          </w:tcPr>
          <w:p w14:paraId="0D1F750D" w14:textId="77777777" w:rsidR="000230E8" w:rsidRPr="0024314E" w:rsidRDefault="000230E8" w:rsidP="000230E8">
            <w:pPr>
              <w:pStyle w:val="TableCell"/>
              <w:rPr>
                <w:sz w:val="24"/>
                <w:lang w:val="en-GB" w:eastAsia="en-GB"/>
              </w:rPr>
            </w:pPr>
            <w:r w:rsidRPr="0024314E">
              <w:rPr>
                <w:sz w:val="24"/>
                <w:lang w:val="en-GB" w:eastAsia="en-GB"/>
              </w:rPr>
              <w:t xml:space="preserve">96,980 </w:t>
            </w:r>
          </w:p>
        </w:tc>
      </w:tr>
      <w:tr w:rsidR="000230E8" w:rsidRPr="0024314E" w14:paraId="6D367C5B" w14:textId="77777777" w:rsidTr="007418DE">
        <w:tblPrEx>
          <w:tblCellMar>
            <w:top w:w="0" w:type="dxa"/>
            <w:bottom w:w="0" w:type="dxa"/>
          </w:tblCellMar>
        </w:tblPrEx>
        <w:tc>
          <w:tcPr>
            <w:tcW w:w="4788" w:type="dxa"/>
            <w:shd w:val="clear" w:color="auto" w:fill="auto"/>
            <w:vAlign w:val="bottom"/>
          </w:tcPr>
          <w:p w14:paraId="711B3ECC"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Change in Debtors </w:t>
            </w:r>
          </w:p>
        </w:tc>
        <w:tc>
          <w:tcPr>
            <w:tcW w:w="2034" w:type="dxa"/>
            <w:shd w:val="clear" w:color="auto" w:fill="auto"/>
            <w:vAlign w:val="bottom"/>
          </w:tcPr>
          <w:p w14:paraId="3D4501D5" w14:textId="77777777" w:rsidR="000230E8" w:rsidRPr="0024314E" w:rsidRDefault="000230E8" w:rsidP="000230E8">
            <w:pPr>
              <w:pStyle w:val="TableCell"/>
              <w:rPr>
                <w:sz w:val="24"/>
                <w:lang w:val="en-GB" w:eastAsia="en-GB"/>
              </w:rPr>
            </w:pPr>
            <w:r w:rsidRPr="0024314E">
              <w:rPr>
                <w:sz w:val="24"/>
                <w:lang w:val="en-GB" w:eastAsia="en-GB"/>
              </w:rPr>
              <w:t>(58,609)</w:t>
            </w:r>
          </w:p>
        </w:tc>
        <w:tc>
          <w:tcPr>
            <w:tcW w:w="2034" w:type="dxa"/>
            <w:shd w:val="clear" w:color="auto" w:fill="auto"/>
            <w:vAlign w:val="bottom"/>
          </w:tcPr>
          <w:p w14:paraId="1B642D9C" w14:textId="77777777" w:rsidR="000230E8" w:rsidRPr="0024314E" w:rsidRDefault="000230E8" w:rsidP="000230E8">
            <w:pPr>
              <w:pStyle w:val="TableCell"/>
              <w:rPr>
                <w:sz w:val="24"/>
                <w:lang w:val="en-GB" w:eastAsia="en-GB"/>
              </w:rPr>
            </w:pPr>
            <w:r w:rsidRPr="0024314E">
              <w:rPr>
                <w:sz w:val="24"/>
                <w:lang w:val="en-GB" w:eastAsia="en-GB"/>
              </w:rPr>
              <w:t>(2,575)</w:t>
            </w:r>
          </w:p>
        </w:tc>
      </w:tr>
      <w:tr w:rsidR="000230E8" w:rsidRPr="0024314E" w14:paraId="273EE685" w14:textId="77777777" w:rsidTr="007418DE">
        <w:tblPrEx>
          <w:tblCellMar>
            <w:top w:w="0" w:type="dxa"/>
            <w:bottom w:w="0" w:type="dxa"/>
          </w:tblCellMar>
        </w:tblPrEx>
        <w:tc>
          <w:tcPr>
            <w:tcW w:w="4788" w:type="dxa"/>
            <w:shd w:val="clear" w:color="auto" w:fill="auto"/>
            <w:vAlign w:val="bottom"/>
          </w:tcPr>
          <w:p w14:paraId="5E4DA239"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Change in Creditors </w:t>
            </w:r>
          </w:p>
        </w:tc>
        <w:tc>
          <w:tcPr>
            <w:tcW w:w="2034" w:type="dxa"/>
            <w:shd w:val="clear" w:color="auto" w:fill="auto"/>
            <w:vAlign w:val="bottom"/>
          </w:tcPr>
          <w:p w14:paraId="63554596" w14:textId="77777777" w:rsidR="000230E8" w:rsidRPr="0024314E" w:rsidRDefault="000230E8" w:rsidP="000230E8">
            <w:pPr>
              <w:pStyle w:val="TableCell"/>
              <w:rPr>
                <w:sz w:val="24"/>
                <w:lang w:val="en-GB" w:eastAsia="en-GB"/>
              </w:rPr>
            </w:pPr>
            <w:r w:rsidRPr="0024314E">
              <w:rPr>
                <w:sz w:val="24"/>
                <w:lang w:val="en-GB" w:eastAsia="en-GB"/>
              </w:rPr>
              <w:t xml:space="preserve">75,028 </w:t>
            </w:r>
          </w:p>
        </w:tc>
        <w:tc>
          <w:tcPr>
            <w:tcW w:w="2034" w:type="dxa"/>
            <w:shd w:val="clear" w:color="auto" w:fill="auto"/>
            <w:vAlign w:val="bottom"/>
          </w:tcPr>
          <w:p w14:paraId="595B8660" w14:textId="77777777" w:rsidR="000230E8" w:rsidRPr="0024314E" w:rsidRDefault="000230E8" w:rsidP="000230E8">
            <w:pPr>
              <w:pStyle w:val="TableCell"/>
              <w:rPr>
                <w:sz w:val="24"/>
                <w:lang w:val="en-GB" w:eastAsia="en-GB"/>
              </w:rPr>
            </w:pPr>
            <w:r w:rsidRPr="0024314E">
              <w:rPr>
                <w:sz w:val="24"/>
                <w:lang w:val="en-GB" w:eastAsia="en-GB"/>
              </w:rPr>
              <w:t>(143,200)</w:t>
            </w:r>
          </w:p>
        </w:tc>
      </w:tr>
      <w:tr w:rsidR="000230E8" w:rsidRPr="0024314E" w14:paraId="6252726F" w14:textId="77777777" w:rsidTr="007418DE">
        <w:tblPrEx>
          <w:tblCellMar>
            <w:top w:w="0" w:type="dxa"/>
            <w:bottom w:w="0" w:type="dxa"/>
          </w:tblCellMar>
        </w:tblPrEx>
        <w:tc>
          <w:tcPr>
            <w:tcW w:w="4788" w:type="dxa"/>
            <w:shd w:val="clear" w:color="auto" w:fill="auto"/>
            <w:vAlign w:val="bottom"/>
          </w:tcPr>
          <w:p w14:paraId="331E4765"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Cashflow from Operating Activities</w:t>
            </w:r>
          </w:p>
        </w:tc>
        <w:tc>
          <w:tcPr>
            <w:tcW w:w="2034" w:type="dxa"/>
            <w:shd w:val="clear" w:color="auto" w:fill="auto"/>
            <w:vAlign w:val="bottom"/>
          </w:tcPr>
          <w:p w14:paraId="2BA5C7AF" w14:textId="77777777" w:rsidR="000230E8" w:rsidRPr="0024314E" w:rsidRDefault="000230E8" w:rsidP="000230E8">
            <w:pPr>
              <w:pStyle w:val="TableCell"/>
              <w:rPr>
                <w:sz w:val="24"/>
                <w:lang w:val="en-GB" w:eastAsia="en-GB"/>
              </w:rPr>
            </w:pPr>
            <w:r w:rsidRPr="0024314E">
              <w:rPr>
                <w:sz w:val="24"/>
                <w:lang w:val="en-GB" w:eastAsia="en-GB"/>
              </w:rPr>
              <w:t xml:space="preserve">9,048 </w:t>
            </w:r>
          </w:p>
        </w:tc>
        <w:tc>
          <w:tcPr>
            <w:tcW w:w="2034" w:type="dxa"/>
            <w:shd w:val="clear" w:color="auto" w:fill="auto"/>
            <w:vAlign w:val="bottom"/>
          </w:tcPr>
          <w:p w14:paraId="11EA3DD3" w14:textId="77777777" w:rsidR="000230E8" w:rsidRPr="0024314E" w:rsidRDefault="000230E8" w:rsidP="000230E8">
            <w:pPr>
              <w:pStyle w:val="TableCell"/>
              <w:rPr>
                <w:sz w:val="24"/>
                <w:lang w:val="en-GB" w:eastAsia="en-GB"/>
              </w:rPr>
            </w:pPr>
            <w:r w:rsidRPr="0024314E">
              <w:rPr>
                <w:sz w:val="24"/>
                <w:lang w:val="en-GB" w:eastAsia="en-GB"/>
              </w:rPr>
              <w:t>(27,036)</w:t>
            </w:r>
          </w:p>
        </w:tc>
      </w:tr>
      <w:tr w:rsidR="000230E8" w:rsidRPr="0024314E" w14:paraId="78359B77" w14:textId="77777777" w:rsidTr="007418DE">
        <w:tblPrEx>
          <w:tblCellMar>
            <w:top w:w="0" w:type="dxa"/>
            <w:bottom w:w="0" w:type="dxa"/>
          </w:tblCellMar>
        </w:tblPrEx>
        <w:tc>
          <w:tcPr>
            <w:tcW w:w="8856" w:type="dxa"/>
            <w:gridSpan w:val="3"/>
            <w:shd w:val="clear" w:color="auto" w:fill="auto"/>
            <w:vAlign w:val="bottom"/>
          </w:tcPr>
          <w:p w14:paraId="0FFD01AA" w14:textId="77777777" w:rsidR="000230E8" w:rsidRPr="0024314E" w:rsidRDefault="000230E8" w:rsidP="000230E8">
            <w:pPr>
              <w:pStyle w:val="TableHead"/>
              <w:jc w:val="center"/>
              <w:rPr>
                <w:lang w:val="en-GB" w:eastAsia="en-GB"/>
              </w:rPr>
            </w:pPr>
            <w:r w:rsidRPr="0024314E">
              <w:rPr>
                <w:lang w:val="en-GB" w:eastAsia="en-GB"/>
              </w:rPr>
              <w:t xml:space="preserve">9(b) Reconciliation </w:t>
            </w:r>
            <w:proofErr w:type="gramStart"/>
            <w:r w:rsidRPr="0024314E">
              <w:rPr>
                <w:lang w:val="en-GB" w:eastAsia="en-GB"/>
              </w:rPr>
              <w:t>Of</w:t>
            </w:r>
            <w:proofErr w:type="gramEnd"/>
            <w:r w:rsidRPr="0024314E">
              <w:rPr>
                <w:lang w:val="en-GB" w:eastAsia="en-GB"/>
              </w:rPr>
              <w:t xml:space="preserve"> Cashflow To Movement In Net Funds</w:t>
            </w:r>
          </w:p>
        </w:tc>
      </w:tr>
      <w:tr w:rsidR="000230E8" w:rsidRPr="0024314E" w14:paraId="48A9CC8D" w14:textId="77777777" w:rsidTr="007418DE">
        <w:tblPrEx>
          <w:tblCellMar>
            <w:top w:w="0" w:type="dxa"/>
            <w:bottom w:w="0" w:type="dxa"/>
          </w:tblCellMar>
        </w:tblPrEx>
        <w:tc>
          <w:tcPr>
            <w:tcW w:w="4788" w:type="dxa"/>
            <w:shd w:val="clear" w:color="auto" w:fill="auto"/>
            <w:vAlign w:val="bottom"/>
          </w:tcPr>
          <w:p w14:paraId="3B9A13B9"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Net Funds </w:t>
            </w:r>
            <w:proofErr w:type="gramStart"/>
            <w:r w:rsidRPr="0024314E">
              <w:rPr>
                <w:rFonts w:ascii="Gill Sans" w:hAnsi="Gill Sans"/>
                <w:sz w:val="24"/>
                <w:lang w:val="en-GB" w:eastAsia="en-GB"/>
              </w:rPr>
              <w:t>at</w:t>
            </w:r>
            <w:proofErr w:type="gramEnd"/>
            <w:r w:rsidRPr="0024314E">
              <w:rPr>
                <w:rFonts w:ascii="Gill Sans" w:hAnsi="Gill Sans"/>
                <w:sz w:val="24"/>
                <w:lang w:val="en-GB" w:eastAsia="en-GB"/>
              </w:rPr>
              <w:t xml:space="preserve"> 31 December 2010</w:t>
            </w:r>
          </w:p>
        </w:tc>
        <w:tc>
          <w:tcPr>
            <w:tcW w:w="2034" w:type="dxa"/>
            <w:shd w:val="clear" w:color="auto" w:fill="auto"/>
            <w:vAlign w:val="bottom"/>
          </w:tcPr>
          <w:p w14:paraId="20F384D7" w14:textId="77777777" w:rsidR="000230E8" w:rsidRPr="0024314E" w:rsidRDefault="000230E8" w:rsidP="000230E8">
            <w:pPr>
              <w:pStyle w:val="TableCell"/>
              <w:rPr>
                <w:sz w:val="24"/>
                <w:lang w:val="en-GB" w:eastAsia="en-GB"/>
              </w:rPr>
            </w:pPr>
            <w:r w:rsidRPr="0024314E">
              <w:rPr>
                <w:sz w:val="24"/>
                <w:lang w:val="en-GB" w:eastAsia="en-GB"/>
              </w:rPr>
              <w:t xml:space="preserve">301 </w:t>
            </w:r>
          </w:p>
        </w:tc>
        <w:tc>
          <w:tcPr>
            <w:tcW w:w="2034" w:type="dxa"/>
            <w:shd w:val="clear" w:color="auto" w:fill="auto"/>
            <w:vAlign w:val="bottom"/>
          </w:tcPr>
          <w:p w14:paraId="393BDD69" w14:textId="77777777" w:rsidR="000230E8" w:rsidRPr="0024314E" w:rsidRDefault="000230E8" w:rsidP="000230E8">
            <w:pPr>
              <w:pStyle w:val="TableCell"/>
              <w:rPr>
                <w:sz w:val="24"/>
                <w:lang w:val="en-GB" w:eastAsia="en-GB"/>
              </w:rPr>
            </w:pPr>
            <w:r w:rsidRPr="0024314E">
              <w:rPr>
                <w:sz w:val="24"/>
                <w:lang w:val="en-GB" w:eastAsia="en-GB"/>
              </w:rPr>
              <w:t xml:space="preserve">31,065 </w:t>
            </w:r>
          </w:p>
        </w:tc>
      </w:tr>
      <w:tr w:rsidR="000230E8" w:rsidRPr="0024314E" w14:paraId="6AABC9A8" w14:textId="77777777" w:rsidTr="007418DE">
        <w:tblPrEx>
          <w:tblCellMar>
            <w:top w:w="0" w:type="dxa"/>
            <w:bottom w:w="0" w:type="dxa"/>
          </w:tblCellMar>
        </w:tblPrEx>
        <w:tc>
          <w:tcPr>
            <w:tcW w:w="4788" w:type="dxa"/>
            <w:shd w:val="clear" w:color="auto" w:fill="auto"/>
            <w:vAlign w:val="bottom"/>
          </w:tcPr>
          <w:p w14:paraId="35191B09"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Decrease in Cash</w:t>
            </w:r>
          </w:p>
        </w:tc>
        <w:tc>
          <w:tcPr>
            <w:tcW w:w="2034" w:type="dxa"/>
            <w:shd w:val="clear" w:color="auto" w:fill="auto"/>
            <w:vAlign w:val="bottom"/>
          </w:tcPr>
          <w:p w14:paraId="1F2EEBA2" w14:textId="77777777" w:rsidR="000230E8" w:rsidRPr="0024314E" w:rsidRDefault="000230E8" w:rsidP="000230E8">
            <w:pPr>
              <w:pStyle w:val="TableCell"/>
              <w:rPr>
                <w:sz w:val="24"/>
                <w:lang w:val="en-GB" w:eastAsia="en-GB"/>
              </w:rPr>
            </w:pPr>
            <w:r w:rsidRPr="0024314E">
              <w:rPr>
                <w:sz w:val="24"/>
                <w:lang w:val="en-GB" w:eastAsia="en-GB"/>
              </w:rPr>
              <w:t>(187)</w:t>
            </w:r>
          </w:p>
        </w:tc>
        <w:tc>
          <w:tcPr>
            <w:tcW w:w="2034" w:type="dxa"/>
            <w:shd w:val="clear" w:color="auto" w:fill="auto"/>
            <w:vAlign w:val="bottom"/>
          </w:tcPr>
          <w:p w14:paraId="661264A4" w14:textId="77777777" w:rsidR="000230E8" w:rsidRPr="0024314E" w:rsidRDefault="000230E8" w:rsidP="000230E8">
            <w:pPr>
              <w:pStyle w:val="TableCell"/>
              <w:rPr>
                <w:sz w:val="24"/>
                <w:lang w:val="en-GB" w:eastAsia="en-GB"/>
              </w:rPr>
            </w:pPr>
            <w:r w:rsidRPr="0024314E">
              <w:rPr>
                <w:sz w:val="24"/>
                <w:lang w:val="en-GB" w:eastAsia="en-GB"/>
              </w:rPr>
              <w:t>(30,764)</w:t>
            </w:r>
          </w:p>
        </w:tc>
      </w:tr>
      <w:tr w:rsidR="000230E8" w:rsidRPr="0024314E" w14:paraId="155BCEA5" w14:textId="77777777" w:rsidTr="007418DE">
        <w:tblPrEx>
          <w:tblCellMar>
            <w:top w:w="0" w:type="dxa"/>
            <w:bottom w:w="0" w:type="dxa"/>
          </w:tblCellMar>
        </w:tblPrEx>
        <w:tc>
          <w:tcPr>
            <w:tcW w:w="4788" w:type="dxa"/>
            <w:shd w:val="clear" w:color="auto" w:fill="auto"/>
            <w:vAlign w:val="bottom"/>
          </w:tcPr>
          <w:p w14:paraId="5B642951" w14:textId="77777777" w:rsidR="000230E8" w:rsidRPr="0024314E" w:rsidRDefault="000230E8" w:rsidP="000230E8">
            <w:pPr>
              <w:pStyle w:val="TableRowHead"/>
              <w:rPr>
                <w:rFonts w:ascii="Gill Sans" w:hAnsi="Gill Sans"/>
                <w:sz w:val="24"/>
                <w:lang w:val="en-GB" w:eastAsia="en-GB"/>
              </w:rPr>
            </w:pPr>
            <w:r w:rsidRPr="0024314E">
              <w:rPr>
                <w:rFonts w:ascii="Gill Sans" w:hAnsi="Gill Sans"/>
                <w:sz w:val="24"/>
                <w:lang w:val="en-GB" w:eastAsia="en-GB"/>
              </w:rPr>
              <w:t xml:space="preserve">Net Funds </w:t>
            </w:r>
            <w:proofErr w:type="gramStart"/>
            <w:r w:rsidRPr="0024314E">
              <w:rPr>
                <w:rFonts w:ascii="Gill Sans" w:hAnsi="Gill Sans"/>
                <w:sz w:val="24"/>
                <w:lang w:val="en-GB" w:eastAsia="en-GB"/>
              </w:rPr>
              <w:t>at</w:t>
            </w:r>
            <w:proofErr w:type="gramEnd"/>
            <w:r w:rsidRPr="0024314E">
              <w:rPr>
                <w:rFonts w:ascii="Gill Sans" w:hAnsi="Gill Sans"/>
                <w:sz w:val="24"/>
                <w:lang w:val="en-GB" w:eastAsia="en-GB"/>
              </w:rPr>
              <w:t xml:space="preserve"> 31 December 2011</w:t>
            </w:r>
          </w:p>
        </w:tc>
        <w:tc>
          <w:tcPr>
            <w:tcW w:w="2034" w:type="dxa"/>
            <w:shd w:val="clear" w:color="auto" w:fill="auto"/>
            <w:vAlign w:val="bottom"/>
          </w:tcPr>
          <w:p w14:paraId="2C91E8DC" w14:textId="77777777" w:rsidR="000230E8" w:rsidRPr="0024314E" w:rsidRDefault="000230E8" w:rsidP="000230E8">
            <w:pPr>
              <w:pStyle w:val="TableCell"/>
              <w:rPr>
                <w:sz w:val="24"/>
                <w:lang w:val="en-GB" w:eastAsia="en-GB"/>
              </w:rPr>
            </w:pPr>
            <w:r w:rsidRPr="0024314E">
              <w:rPr>
                <w:sz w:val="24"/>
                <w:lang w:val="en-GB" w:eastAsia="en-GB"/>
              </w:rPr>
              <w:t xml:space="preserve">114 </w:t>
            </w:r>
          </w:p>
        </w:tc>
        <w:tc>
          <w:tcPr>
            <w:tcW w:w="2034" w:type="dxa"/>
            <w:shd w:val="clear" w:color="auto" w:fill="auto"/>
            <w:vAlign w:val="bottom"/>
          </w:tcPr>
          <w:p w14:paraId="749F10FE" w14:textId="77777777" w:rsidR="000230E8" w:rsidRPr="0024314E" w:rsidRDefault="000230E8" w:rsidP="000230E8">
            <w:pPr>
              <w:pStyle w:val="TableCell"/>
              <w:rPr>
                <w:sz w:val="24"/>
                <w:lang w:val="en-GB" w:eastAsia="en-GB"/>
              </w:rPr>
            </w:pPr>
            <w:r w:rsidRPr="0024314E">
              <w:rPr>
                <w:sz w:val="24"/>
                <w:lang w:val="en-GB" w:eastAsia="en-GB"/>
              </w:rPr>
              <w:t xml:space="preserve">301 </w:t>
            </w:r>
          </w:p>
        </w:tc>
      </w:tr>
    </w:tbl>
    <w:p w14:paraId="7E1358D8" w14:textId="77777777" w:rsidR="000230E8" w:rsidRPr="00B22912" w:rsidRDefault="000230E8" w:rsidP="000230E8">
      <w:pPr>
        <w:pStyle w:val="Heading2"/>
        <w:rPr>
          <w:lang w:val="en-GB" w:eastAsia="en-GB"/>
        </w:rPr>
      </w:pPr>
      <w:r>
        <w:br/>
      </w:r>
      <w:bookmarkStart w:id="253" w:name="_Toc335836404"/>
      <w:r w:rsidRPr="00B22912">
        <w:rPr>
          <w:lang w:val="en-GB" w:eastAsia="en-GB"/>
        </w:rPr>
        <w:t>10. Superannuation</w:t>
      </w:r>
      <w:bookmarkEnd w:id="253"/>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p>
    <w:p w14:paraId="47444C8E" w14:textId="77777777" w:rsidR="000230E8" w:rsidRDefault="000230E8" w:rsidP="000230E8">
      <w:pPr>
        <w:rPr>
          <w:lang w:val="en-GB" w:eastAsia="en-GB"/>
        </w:rPr>
      </w:pPr>
      <w:r w:rsidRPr="00B22912">
        <w:rPr>
          <w:lang w:val="en-GB" w:eastAsia="en-GB"/>
        </w:rPr>
        <w:t xml:space="preserve">Under the National Disability Authority Act 1999, the Authority with the approval of the Minister for </w:t>
      </w:r>
      <w:bookmarkStart w:id="254" w:name="OLE_LINK1"/>
      <w:bookmarkStart w:id="255" w:name="OLE_LINK2"/>
      <w:r w:rsidRPr="00B22912">
        <w:rPr>
          <w:lang w:val="en-GB" w:eastAsia="en-GB"/>
        </w:rPr>
        <w:t xml:space="preserve">Justice </w:t>
      </w:r>
      <w:r>
        <w:rPr>
          <w:lang w:val="en-GB" w:eastAsia="en-GB"/>
        </w:rPr>
        <w:t xml:space="preserve">and </w:t>
      </w:r>
      <w:r w:rsidRPr="00B22912">
        <w:rPr>
          <w:lang w:val="en-GB" w:eastAsia="en-GB"/>
        </w:rPr>
        <w:t xml:space="preserve">Equality </w:t>
      </w:r>
      <w:bookmarkEnd w:id="254"/>
      <w:bookmarkEnd w:id="255"/>
      <w:r w:rsidRPr="00B22912">
        <w:rPr>
          <w:lang w:val="en-GB" w:eastAsia="en-GB"/>
        </w:rPr>
        <w:t>and the consent of the Minister for Finance, shall make a scheme or schemes for the granting of superannuation benefits to or in respect of the members of staff, including the Director of the Authority.</w:t>
      </w:r>
    </w:p>
    <w:p w14:paraId="2239C79E" w14:textId="77777777" w:rsidR="000230E8" w:rsidRDefault="000230E8" w:rsidP="000230E8">
      <w:pPr>
        <w:rPr>
          <w:lang w:val="en-GB" w:eastAsia="en-GB"/>
        </w:rPr>
      </w:pPr>
      <w:r w:rsidRPr="00B22912">
        <w:rPr>
          <w:lang w:val="en-GB" w:eastAsia="en-GB"/>
        </w:rPr>
        <w:t xml:space="preserve">A Model Scheme has been drafted and is awaiting approval from the Department of Justice </w:t>
      </w:r>
      <w:r>
        <w:rPr>
          <w:lang w:val="en-GB" w:eastAsia="en-GB"/>
        </w:rPr>
        <w:t xml:space="preserve">and </w:t>
      </w:r>
      <w:r w:rsidRPr="00B22912">
        <w:rPr>
          <w:lang w:val="en-GB" w:eastAsia="en-GB"/>
        </w:rPr>
        <w:t>Equality and the Department of Finance.</w:t>
      </w:r>
      <w:r>
        <w:rPr>
          <w:lang w:val="en-GB" w:eastAsia="en-GB"/>
        </w:rPr>
        <w:t xml:space="preserve"> </w:t>
      </w:r>
    </w:p>
    <w:p w14:paraId="1DABBEAF" w14:textId="77777777" w:rsidR="000230E8" w:rsidRDefault="000230E8" w:rsidP="000230E8">
      <w:pPr>
        <w:rPr>
          <w:lang w:val="en-GB" w:eastAsia="en-GB"/>
        </w:rPr>
      </w:pPr>
      <w:r w:rsidRPr="00B22912">
        <w:rPr>
          <w:lang w:val="en-GB" w:eastAsia="en-GB"/>
        </w:rPr>
        <w:t xml:space="preserve">The National Disability Authority operates unfunded defined benefit </w:t>
      </w:r>
      <w:r>
        <w:rPr>
          <w:lang w:val="en-GB" w:eastAsia="en-GB"/>
        </w:rPr>
        <w:t xml:space="preserve">of </w:t>
      </w:r>
      <w:r w:rsidRPr="00B22912">
        <w:rPr>
          <w:lang w:val="en-GB" w:eastAsia="en-GB"/>
        </w:rPr>
        <w:t xml:space="preserve">superannuation schemes for staff. Superannuation entitlements arising under the schemes are paid out of current income and are charged to the Income and Expenditure Account, net of employee superannuation contributions, in the year in which they become payable. </w:t>
      </w:r>
    </w:p>
    <w:p w14:paraId="60BF0196" w14:textId="77777777" w:rsidR="000230E8" w:rsidRPr="00B22912" w:rsidRDefault="000230E8" w:rsidP="000230E8">
      <w:pPr>
        <w:rPr>
          <w:lang w:val="en-GB" w:eastAsia="en-GB"/>
        </w:rPr>
      </w:pPr>
      <w:r w:rsidRPr="00B22912">
        <w:rPr>
          <w:lang w:val="en-GB" w:eastAsia="en-GB"/>
        </w:rPr>
        <w:t xml:space="preserve">At present staff who were formerly staff of the National Rehabilitation Board who retire receive Superannuation benefits under the terms of the Local Government Superannuation Scheme. Staff who have been employed by NDA </w:t>
      </w:r>
      <w:proofErr w:type="gramStart"/>
      <w:r w:rsidRPr="00B22912">
        <w:rPr>
          <w:lang w:val="en-GB" w:eastAsia="en-GB"/>
        </w:rPr>
        <w:t>subsequent to</w:t>
      </w:r>
      <w:proofErr w:type="gramEnd"/>
      <w:r w:rsidRPr="00B22912">
        <w:rPr>
          <w:lang w:val="en-GB" w:eastAsia="en-GB"/>
        </w:rPr>
        <w:t xml:space="preserve"> its establishment and who retire receive benefits in line with the terms of the Nominated Health Agencies Superannuation Scheme.</w:t>
      </w:r>
    </w:p>
    <w:p w14:paraId="1AACB24F" w14:textId="77777777" w:rsidR="000230E8" w:rsidRDefault="000230E8" w:rsidP="000230E8">
      <w:pPr>
        <w:pStyle w:val="Heading3"/>
        <w:rPr>
          <w:lang w:val="en-GB" w:eastAsia="en-GB"/>
        </w:rPr>
      </w:pPr>
      <w:bookmarkStart w:id="256" w:name="_Toc335836405"/>
      <w:r w:rsidRPr="00B22912">
        <w:rPr>
          <w:lang w:val="en-GB" w:eastAsia="en-GB"/>
        </w:rPr>
        <w:t>(a) Pension Scheme</w:t>
      </w:r>
      <w:bookmarkEnd w:id="256"/>
    </w:p>
    <w:p w14:paraId="6E4139DE" w14:textId="77777777" w:rsidR="000230E8" w:rsidRDefault="000230E8" w:rsidP="000230E8">
      <w:pPr>
        <w:rPr>
          <w:lang w:val="en-GB" w:eastAsia="en-GB"/>
        </w:rPr>
      </w:pPr>
      <w:r w:rsidRPr="0024314E">
        <w:rPr>
          <w:lang w:val="en-GB" w:eastAsia="en-GB"/>
        </w:rPr>
        <w:t xml:space="preserve">The results set out below are based on an actuarial valuation of the liabilities in respect of the serving, retired and deceased staff of the NDA as </w:t>
      </w:r>
      <w:proofErr w:type="gramStart"/>
      <w:r w:rsidRPr="0024314E">
        <w:rPr>
          <w:lang w:val="en-GB" w:eastAsia="en-GB"/>
        </w:rPr>
        <w:t>at</w:t>
      </w:r>
      <w:proofErr w:type="gramEnd"/>
      <w:r w:rsidRPr="0024314E">
        <w:rPr>
          <w:lang w:val="en-GB" w:eastAsia="en-GB"/>
        </w:rPr>
        <w:t xml:space="preserve"> 31 December 2011. This valuation was carried out by a qualified independent actuary for the purpose of</w:t>
      </w:r>
      <w:r>
        <w:rPr>
          <w:lang w:val="en-GB" w:eastAsia="en-GB"/>
        </w:rPr>
        <w:t xml:space="preserve"> </w:t>
      </w:r>
      <w:r w:rsidRPr="00B22912">
        <w:rPr>
          <w:lang w:val="en-GB" w:eastAsia="en-GB"/>
        </w:rPr>
        <w:t>the accounting standard, Financial Reporting Standard No.17- Retirement Benefits (FRS 17)</w:t>
      </w:r>
      <w:r>
        <w:rPr>
          <w:lang w:val="en-GB" w:eastAsia="en-GB"/>
        </w:rPr>
        <w:t>.</w:t>
      </w:r>
    </w:p>
    <w:p w14:paraId="5755EA31" w14:textId="77777777" w:rsidR="000230E8" w:rsidRDefault="000230E8" w:rsidP="000230E8">
      <w:pPr>
        <w:rPr>
          <w:lang w:val="en-GB" w:eastAsia="en-GB"/>
        </w:rPr>
      </w:pPr>
      <w:r w:rsidRPr="00B22912">
        <w:rPr>
          <w:lang w:val="en-GB" w:eastAsia="en-GB"/>
        </w:rPr>
        <w:lastRenderedPageBreak/>
        <w:t>This valuation was carried out using the projected unit method.</w:t>
      </w:r>
      <w:r>
        <w:rPr>
          <w:lang w:val="en-GB" w:eastAsia="en-GB"/>
        </w:rPr>
        <w:t xml:space="preserve"> </w:t>
      </w:r>
      <w:r w:rsidRPr="00B22912">
        <w:rPr>
          <w:lang w:val="en-GB" w:eastAsia="en-GB"/>
        </w:rPr>
        <w:t>The financial assumptions used to calculate scheme liabilities were as follows:</w:t>
      </w:r>
    </w:p>
    <w:tbl>
      <w:tblPr>
        <w:tblW w:w="8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068"/>
        <w:gridCol w:w="2160"/>
        <w:gridCol w:w="2160"/>
      </w:tblGrid>
      <w:tr w:rsidR="000230E8" w:rsidRPr="007D6157" w14:paraId="3A94CBF6" w14:textId="77777777" w:rsidTr="007418DE">
        <w:tblPrEx>
          <w:tblCellMar>
            <w:top w:w="0" w:type="dxa"/>
            <w:bottom w:w="0" w:type="dxa"/>
          </w:tblCellMar>
        </w:tblPrEx>
        <w:trPr>
          <w:tblHeader/>
        </w:trPr>
        <w:tc>
          <w:tcPr>
            <w:tcW w:w="4068" w:type="dxa"/>
            <w:vAlign w:val="bottom"/>
          </w:tcPr>
          <w:p w14:paraId="16062D0D" w14:textId="77777777" w:rsidR="000230E8" w:rsidRPr="007D6157" w:rsidRDefault="000230E8" w:rsidP="000230E8">
            <w:pPr>
              <w:spacing w:after="0"/>
              <w:rPr>
                <w:rFonts w:cs="Arial"/>
                <w:b/>
                <w:bCs/>
                <w:sz w:val="24"/>
                <w:lang w:val="en-GB" w:eastAsia="en-GB"/>
              </w:rPr>
            </w:pPr>
          </w:p>
        </w:tc>
        <w:tc>
          <w:tcPr>
            <w:tcW w:w="2160" w:type="dxa"/>
            <w:vAlign w:val="bottom"/>
          </w:tcPr>
          <w:p w14:paraId="05FAF7A2" w14:textId="77777777" w:rsidR="000230E8" w:rsidRPr="007D6157" w:rsidRDefault="000230E8" w:rsidP="000230E8">
            <w:pPr>
              <w:pStyle w:val="TableHead"/>
              <w:jc w:val="right"/>
              <w:rPr>
                <w:lang w:val="en-GB" w:eastAsia="en-GB"/>
              </w:rPr>
            </w:pPr>
            <w:r w:rsidRPr="007D6157">
              <w:rPr>
                <w:lang w:val="en-GB" w:eastAsia="en-GB"/>
              </w:rPr>
              <w:t>2011</w:t>
            </w:r>
          </w:p>
        </w:tc>
        <w:tc>
          <w:tcPr>
            <w:tcW w:w="2160" w:type="dxa"/>
            <w:vAlign w:val="bottom"/>
          </w:tcPr>
          <w:p w14:paraId="07FAC644" w14:textId="77777777" w:rsidR="000230E8" w:rsidRPr="007D6157" w:rsidRDefault="000230E8" w:rsidP="000230E8">
            <w:pPr>
              <w:pStyle w:val="TableHead"/>
              <w:jc w:val="right"/>
              <w:rPr>
                <w:lang w:val="en-GB" w:eastAsia="en-GB"/>
              </w:rPr>
            </w:pPr>
            <w:r w:rsidRPr="007D6157">
              <w:rPr>
                <w:lang w:val="en-GB" w:eastAsia="en-GB"/>
              </w:rPr>
              <w:t>2010</w:t>
            </w:r>
          </w:p>
        </w:tc>
      </w:tr>
      <w:tr w:rsidR="000230E8" w:rsidRPr="007D6157" w14:paraId="5B04545E" w14:textId="77777777" w:rsidTr="007418DE">
        <w:tblPrEx>
          <w:tblCellMar>
            <w:top w:w="0" w:type="dxa"/>
            <w:bottom w:w="0" w:type="dxa"/>
          </w:tblCellMar>
        </w:tblPrEx>
        <w:tc>
          <w:tcPr>
            <w:tcW w:w="4068" w:type="dxa"/>
            <w:vAlign w:val="bottom"/>
          </w:tcPr>
          <w:p w14:paraId="79616B1D" w14:textId="77777777" w:rsidR="000230E8" w:rsidRPr="007D6157" w:rsidRDefault="000230E8" w:rsidP="000230E8">
            <w:pPr>
              <w:pStyle w:val="TableRowHead"/>
              <w:rPr>
                <w:rFonts w:ascii="Gill Sans" w:hAnsi="Gill Sans"/>
                <w:sz w:val="24"/>
                <w:lang w:val="en-GB" w:eastAsia="en-GB"/>
              </w:rPr>
            </w:pPr>
            <w:r w:rsidRPr="007D6157">
              <w:rPr>
                <w:rFonts w:ascii="Gill Sans" w:hAnsi="Gill Sans"/>
                <w:sz w:val="24"/>
                <w:lang w:val="en-GB" w:eastAsia="en-GB"/>
              </w:rPr>
              <w:t xml:space="preserve">Discount Rate                                  </w:t>
            </w:r>
          </w:p>
        </w:tc>
        <w:tc>
          <w:tcPr>
            <w:tcW w:w="2160" w:type="dxa"/>
            <w:vAlign w:val="bottom"/>
          </w:tcPr>
          <w:p w14:paraId="29573411" w14:textId="77777777" w:rsidR="000230E8" w:rsidRPr="007D6157" w:rsidRDefault="000230E8" w:rsidP="000230E8">
            <w:pPr>
              <w:pStyle w:val="TableCell"/>
              <w:rPr>
                <w:sz w:val="24"/>
                <w:lang w:val="en-GB" w:eastAsia="en-GB"/>
              </w:rPr>
            </w:pPr>
            <w:r w:rsidRPr="007D6157">
              <w:rPr>
                <w:sz w:val="24"/>
                <w:lang w:val="en-GB" w:eastAsia="en-GB"/>
              </w:rPr>
              <w:t>5.5%</w:t>
            </w:r>
          </w:p>
        </w:tc>
        <w:tc>
          <w:tcPr>
            <w:tcW w:w="2160" w:type="dxa"/>
            <w:vAlign w:val="bottom"/>
          </w:tcPr>
          <w:p w14:paraId="117545D2" w14:textId="77777777" w:rsidR="000230E8" w:rsidRPr="007D6157" w:rsidRDefault="000230E8" w:rsidP="000230E8">
            <w:pPr>
              <w:pStyle w:val="TableCell"/>
              <w:rPr>
                <w:sz w:val="24"/>
                <w:lang w:val="en-GB" w:eastAsia="en-GB"/>
              </w:rPr>
            </w:pPr>
            <w:r w:rsidRPr="007D6157">
              <w:rPr>
                <w:sz w:val="24"/>
                <w:lang w:val="en-GB" w:eastAsia="en-GB"/>
              </w:rPr>
              <w:t>5.5%</w:t>
            </w:r>
          </w:p>
        </w:tc>
      </w:tr>
      <w:tr w:rsidR="000230E8" w:rsidRPr="007D6157" w14:paraId="25A5C7F3" w14:textId="77777777" w:rsidTr="007418DE">
        <w:tblPrEx>
          <w:tblCellMar>
            <w:top w:w="0" w:type="dxa"/>
            <w:bottom w:w="0" w:type="dxa"/>
          </w:tblCellMar>
        </w:tblPrEx>
        <w:tc>
          <w:tcPr>
            <w:tcW w:w="4068" w:type="dxa"/>
            <w:vAlign w:val="bottom"/>
          </w:tcPr>
          <w:p w14:paraId="50257423" w14:textId="77777777" w:rsidR="000230E8" w:rsidRPr="007D6157" w:rsidRDefault="000230E8" w:rsidP="000230E8">
            <w:pPr>
              <w:pStyle w:val="TableRowHead"/>
              <w:rPr>
                <w:rFonts w:ascii="Gill Sans" w:hAnsi="Gill Sans"/>
                <w:sz w:val="24"/>
                <w:lang w:val="en-GB" w:eastAsia="en-GB"/>
              </w:rPr>
            </w:pPr>
            <w:r w:rsidRPr="007D6157">
              <w:rPr>
                <w:rFonts w:ascii="Gill Sans" w:hAnsi="Gill Sans"/>
                <w:sz w:val="24"/>
                <w:lang w:val="en-GB" w:eastAsia="en-GB"/>
              </w:rPr>
              <w:t xml:space="preserve">Salary </w:t>
            </w:r>
            <w:proofErr w:type="gramStart"/>
            <w:r w:rsidRPr="007D6157">
              <w:rPr>
                <w:rFonts w:ascii="Gill Sans" w:hAnsi="Gill Sans"/>
                <w:sz w:val="24"/>
                <w:lang w:val="en-GB" w:eastAsia="en-GB"/>
              </w:rPr>
              <w:t>increase</w:t>
            </w:r>
            <w:proofErr w:type="gramEnd"/>
            <w:r w:rsidRPr="007D6157">
              <w:rPr>
                <w:rFonts w:ascii="Gill Sans" w:hAnsi="Gill Sans"/>
                <w:sz w:val="24"/>
                <w:lang w:val="en-GB" w:eastAsia="en-GB"/>
              </w:rPr>
              <w:t xml:space="preserve"> assumption</w:t>
            </w:r>
          </w:p>
        </w:tc>
        <w:tc>
          <w:tcPr>
            <w:tcW w:w="2160" w:type="dxa"/>
            <w:vAlign w:val="bottom"/>
          </w:tcPr>
          <w:p w14:paraId="47E54253" w14:textId="77777777" w:rsidR="000230E8" w:rsidRPr="007D6157" w:rsidRDefault="000230E8" w:rsidP="000230E8">
            <w:pPr>
              <w:pStyle w:val="TableCell"/>
              <w:rPr>
                <w:sz w:val="24"/>
                <w:lang w:val="en-GB" w:eastAsia="en-GB"/>
              </w:rPr>
            </w:pPr>
            <w:r w:rsidRPr="007D6157">
              <w:rPr>
                <w:sz w:val="24"/>
                <w:lang w:val="en-GB" w:eastAsia="en-GB"/>
              </w:rPr>
              <w:t>4%</w:t>
            </w:r>
          </w:p>
        </w:tc>
        <w:tc>
          <w:tcPr>
            <w:tcW w:w="2160" w:type="dxa"/>
            <w:vAlign w:val="bottom"/>
          </w:tcPr>
          <w:p w14:paraId="412E3B4D" w14:textId="77777777" w:rsidR="000230E8" w:rsidRPr="007D6157" w:rsidRDefault="000230E8" w:rsidP="000230E8">
            <w:pPr>
              <w:pStyle w:val="TableCell"/>
              <w:rPr>
                <w:sz w:val="24"/>
                <w:lang w:val="en-GB" w:eastAsia="en-GB"/>
              </w:rPr>
            </w:pPr>
            <w:r w:rsidRPr="007D6157">
              <w:rPr>
                <w:sz w:val="24"/>
                <w:lang w:val="en-GB" w:eastAsia="en-GB"/>
              </w:rPr>
              <w:t>4%</w:t>
            </w:r>
          </w:p>
        </w:tc>
      </w:tr>
      <w:tr w:rsidR="000230E8" w:rsidRPr="007D6157" w14:paraId="156D1E02" w14:textId="77777777" w:rsidTr="007418DE">
        <w:tblPrEx>
          <w:tblCellMar>
            <w:top w:w="0" w:type="dxa"/>
            <w:bottom w:w="0" w:type="dxa"/>
          </w:tblCellMar>
        </w:tblPrEx>
        <w:tc>
          <w:tcPr>
            <w:tcW w:w="4068" w:type="dxa"/>
            <w:vAlign w:val="bottom"/>
          </w:tcPr>
          <w:p w14:paraId="63F479FC" w14:textId="77777777" w:rsidR="000230E8" w:rsidRPr="007D6157" w:rsidRDefault="000230E8" w:rsidP="000230E8">
            <w:pPr>
              <w:pStyle w:val="TableRowHead"/>
              <w:rPr>
                <w:rFonts w:ascii="Gill Sans" w:hAnsi="Gill Sans"/>
                <w:sz w:val="24"/>
                <w:lang w:val="en-GB" w:eastAsia="en-GB"/>
              </w:rPr>
            </w:pPr>
            <w:r w:rsidRPr="007D6157">
              <w:rPr>
                <w:rFonts w:ascii="Gill Sans" w:hAnsi="Gill Sans"/>
                <w:sz w:val="24"/>
                <w:lang w:val="en-GB" w:eastAsia="en-GB"/>
              </w:rPr>
              <w:t>Pension increase assumption</w:t>
            </w:r>
          </w:p>
        </w:tc>
        <w:tc>
          <w:tcPr>
            <w:tcW w:w="2160" w:type="dxa"/>
            <w:vAlign w:val="bottom"/>
          </w:tcPr>
          <w:p w14:paraId="34F8A80B" w14:textId="77777777" w:rsidR="000230E8" w:rsidRPr="007D6157" w:rsidRDefault="000230E8" w:rsidP="000230E8">
            <w:pPr>
              <w:pStyle w:val="TableCell"/>
              <w:rPr>
                <w:sz w:val="24"/>
                <w:lang w:val="en-GB" w:eastAsia="en-GB"/>
              </w:rPr>
            </w:pPr>
            <w:r w:rsidRPr="007D6157">
              <w:rPr>
                <w:sz w:val="24"/>
                <w:lang w:val="en-GB" w:eastAsia="en-GB"/>
              </w:rPr>
              <w:t>4%</w:t>
            </w:r>
          </w:p>
        </w:tc>
        <w:tc>
          <w:tcPr>
            <w:tcW w:w="2160" w:type="dxa"/>
            <w:vAlign w:val="bottom"/>
          </w:tcPr>
          <w:p w14:paraId="42536C43" w14:textId="77777777" w:rsidR="000230E8" w:rsidRPr="007D6157" w:rsidRDefault="000230E8" w:rsidP="000230E8">
            <w:pPr>
              <w:pStyle w:val="TableCell"/>
              <w:rPr>
                <w:sz w:val="24"/>
                <w:lang w:val="en-GB" w:eastAsia="en-GB"/>
              </w:rPr>
            </w:pPr>
            <w:r w:rsidRPr="007D6157">
              <w:rPr>
                <w:sz w:val="24"/>
                <w:lang w:val="en-GB" w:eastAsia="en-GB"/>
              </w:rPr>
              <w:t>4%</w:t>
            </w:r>
          </w:p>
        </w:tc>
      </w:tr>
      <w:tr w:rsidR="000230E8" w:rsidRPr="007D6157" w14:paraId="32E5B08E" w14:textId="77777777" w:rsidTr="007418DE">
        <w:tblPrEx>
          <w:tblCellMar>
            <w:top w:w="0" w:type="dxa"/>
            <w:bottom w:w="0" w:type="dxa"/>
          </w:tblCellMar>
        </w:tblPrEx>
        <w:tc>
          <w:tcPr>
            <w:tcW w:w="4068" w:type="dxa"/>
            <w:vAlign w:val="bottom"/>
          </w:tcPr>
          <w:p w14:paraId="1624FA23" w14:textId="77777777" w:rsidR="000230E8" w:rsidRPr="007D6157" w:rsidRDefault="000230E8" w:rsidP="000230E8">
            <w:pPr>
              <w:pStyle w:val="TableRowHead"/>
              <w:rPr>
                <w:rFonts w:ascii="Gill Sans" w:hAnsi="Gill Sans"/>
                <w:sz w:val="24"/>
                <w:lang w:val="en-GB" w:eastAsia="en-GB"/>
              </w:rPr>
            </w:pPr>
            <w:r w:rsidRPr="007D6157">
              <w:rPr>
                <w:rFonts w:ascii="Gill Sans" w:hAnsi="Gill Sans"/>
                <w:sz w:val="24"/>
                <w:lang w:val="en-GB" w:eastAsia="en-GB"/>
              </w:rPr>
              <w:t>Price inflation</w:t>
            </w:r>
          </w:p>
        </w:tc>
        <w:tc>
          <w:tcPr>
            <w:tcW w:w="2160" w:type="dxa"/>
            <w:vAlign w:val="bottom"/>
          </w:tcPr>
          <w:p w14:paraId="239CC82A" w14:textId="77777777" w:rsidR="000230E8" w:rsidRPr="007D6157" w:rsidRDefault="000230E8" w:rsidP="000230E8">
            <w:pPr>
              <w:pStyle w:val="TableCell"/>
              <w:rPr>
                <w:sz w:val="24"/>
                <w:lang w:val="en-GB" w:eastAsia="en-GB"/>
              </w:rPr>
            </w:pPr>
            <w:r w:rsidRPr="007D6157">
              <w:rPr>
                <w:sz w:val="24"/>
                <w:lang w:val="en-GB" w:eastAsia="en-GB"/>
              </w:rPr>
              <w:t>2%</w:t>
            </w:r>
          </w:p>
        </w:tc>
        <w:tc>
          <w:tcPr>
            <w:tcW w:w="2160" w:type="dxa"/>
            <w:vAlign w:val="bottom"/>
          </w:tcPr>
          <w:p w14:paraId="50B7B69E" w14:textId="77777777" w:rsidR="000230E8" w:rsidRPr="007D6157" w:rsidRDefault="000230E8" w:rsidP="000230E8">
            <w:pPr>
              <w:pStyle w:val="TableCell"/>
              <w:rPr>
                <w:sz w:val="24"/>
                <w:lang w:val="en-GB" w:eastAsia="en-GB"/>
              </w:rPr>
            </w:pPr>
            <w:r w:rsidRPr="007D6157">
              <w:rPr>
                <w:sz w:val="24"/>
                <w:lang w:val="en-GB" w:eastAsia="en-GB"/>
              </w:rPr>
              <w:t>2%</w:t>
            </w:r>
          </w:p>
        </w:tc>
      </w:tr>
    </w:tbl>
    <w:p w14:paraId="30B2F34E" w14:textId="77777777" w:rsidR="000230E8" w:rsidRDefault="000230E8" w:rsidP="000230E8">
      <w:r>
        <w:br/>
      </w:r>
      <w:r w:rsidRPr="007D6157">
        <w:t>As the NDA schemes are unfunded, there are no assets held in respect of accrued pension liabilities of the NDA staff.</w:t>
      </w:r>
    </w:p>
    <w:p w14:paraId="5C2CC842" w14:textId="77777777" w:rsidR="000230E8" w:rsidRPr="00826690" w:rsidRDefault="000230E8" w:rsidP="000230E8">
      <w:pPr>
        <w:pStyle w:val="TableTitle"/>
        <w:jc w:val="left"/>
        <w:rPr>
          <w:bCs/>
          <w:lang w:val="en-GB" w:eastAsia="en-GB"/>
        </w:rPr>
      </w:pPr>
      <w:r w:rsidRPr="00826690">
        <w:rPr>
          <w:bCs/>
          <w:lang w:val="en-GB" w:eastAsia="en-GB"/>
        </w:rPr>
        <w:t xml:space="preserve">(b) Net Deferred Funding </w:t>
      </w:r>
      <w:proofErr w:type="gramStart"/>
      <w:r w:rsidRPr="00826690">
        <w:rPr>
          <w:bCs/>
          <w:lang w:val="en-GB" w:eastAsia="en-GB"/>
        </w:rPr>
        <w:t>For</w:t>
      </w:r>
      <w:proofErr w:type="gramEnd"/>
      <w:r w:rsidRPr="00826690">
        <w:rPr>
          <w:bCs/>
          <w:lang w:val="en-GB" w:eastAsia="en-GB"/>
        </w:rPr>
        <w:t xml:space="preserve"> Pensions In Year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8"/>
        <w:gridCol w:w="1494"/>
        <w:gridCol w:w="1494"/>
      </w:tblGrid>
      <w:tr w:rsidR="000230E8" w:rsidRPr="00826690" w14:paraId="4870129A" w14:textId="77777777" w:rsidTr="000230E8">
        <w:tblPrEx>
          <w:tblCellMar>
            <w:top w:w="0" w:type="dxa"/>
            <w:bottom w:w="0" w:type="dxa"/>
          </w:tblCellMar>
        </w:tblPrEx>
        <w:trPr>
          <w:tblHeader/>
        </w:trPr>
        <w:tc>
          <w:tcPr>
            <w:tcW w:w="5868" w:type="dxa"/>
            <w:shd w:val="clear" w:color="auto" w:fill="auto"/>
          </w:tcPr>
          <w:p w14:paraId="3D0B6C69" w14:textId="77777777" w:rsidR="000230E8" w:rsidRPr="00826690" w:rsidRDefault="000230E8" w:rsidP="000230E8">
            <w:pPr>
              <w:pStyle w:val="TableHead"/>
              <w:keepLines/>
              <w:jc w:val="right"/>
              <w:rPr>
                <w:lang w:val="en-GB" w:eastAsia="en-GB"/>
              </w:rPr>
            </w:pPr>
          </w:p>
        </w:tc>
        <w:tc>
          <w:tcPr>
            <w:tcW w:w="1494" w:type="dxa"/>
            <w:shd w:val="clear" w:color="auto" w:fill="auto"/>
          </w:tcPr>
          <w:p w14:paraId="7A4AC937" w14:textId="77777777" w:rsidR="000230E8" w:rsidRPr="00246162" w:rsidRDefault="000230E8" w:rsidP="000230E8">
            <w:pPr>
              <w:pStyle w:val="TableHead"/>
              <w:keepLines/>
              <w:jc w:val="right"/>
              <w:rPr>
                <w:sz w:val="24"/>
              </w:rPr>
            </w:pPr>
            <w:r w:rsidRPr="00246162">
              <w:rPr>
                <w:sz w:val="24"/>
              </w:rPr>
              <w:t>2011</w:t>
            </w:r>
          </w:p>
        </w:tc>
        <w:tc>
          <w:tcPr>
            <w:tcW w:w="1494" w:type="dxa"/>
            <w:shd w:val="clear" w:color="auto" w:fill="auto"/>
          </w:tcPr>
          <w:p w14:paraId="2216315A" w14:textId="77777777" w:rsidR="000230E8" w:rsidRPr="00246162" w:rsidRDefault="000230E8" w:rsidP="000230E8">
            <w:pPr>
              <w:pStyle w:val="TableHead"/>
              <w:keepLines/>
              <w:jc w:val="right"/>
              <w:rPr>
                <w:sz w:val="24"/>
              </w:rPr>
            </w:pPr>
            <w:r w:rsidRPr="00246162">
              <w:rPr>
                <w:sz w:val="24"/>
              </w:rPr>
              <w:t>2010</w:t>
            </w:r>
          </w:p>
        </w:tc>
      </w:tr>
      <w:tr w:rsidR="000230E8" w:rsidRPr="00826690" w14:paraId="15CF4F28" w14:textId="77777777" w:rsidTr="000230E8">
        <w:tblPrEx>
          <w:tblCellMar>
            <w:top w:w="0" w:type="dxa"/>
            <w:bottom w:w="0" w:type="dxa"/>
          </w:tblCellMar>
        </w:tblPrEx>
        <w:tc>
          <w:tcPr>
            <w:tcW w:w="5868" w:type="dxa"/>
            <w:shd w:val="clear" w:color="auto" w:fill="auto"/>
          </w:tcPr>
          <w:p w14:paraId="0E866DAC" w14:textId="77777777" w:rsidR="000230E8" w:rsidRPr="00826690" w:rsidRDefault="000230E8" w:rsidP="000230E8">
            <w:pPr>
              <w:pStyle w:val="TableRowHead"/>
              <w:keepNext w:val="0"/>
              <w:keepLines/>
              <w:rPr>
                <w:lang w:val="en-GB" w:eastAsia="en-GB"/>
              </w:rPr>
            </w:pPr>
          </w:p>
        </w:tc>
        <w:tc>
          <w:tcPr>
            <w:tcW w:w="1494" w:type="dxa"/>
            <w:shd w:val="clear" w:color="auto" w:fill="auto"/>
            <w:vAlign w:val="bottom"/>
          </w:tcPr>
          <w:p w14:paraId="562A1D26" w14:textId="77777777" w:rsidR="000230E8" w:rsidRPr="00B22912" w:rsidRDefault="000230E8" w:rsidP="000230E8">
            <w:pPr>
              <w:keepLines/>
              <w:spacing w:after="0"/>
              <w:jc w:val="right"/>
              <w:rPr>
                <w:rFonts w:cs="Arial"/>
                <w:b/>
                <w:bCs/>
                <w:sz w:val="22"/>
                <w:szCs w:val="22"/>
                <w:lang w:val="en-GB" w:eastAsia="en-GB"/>
              </w:rPr>
            </w:pPr>
            <w:r w:rsidRPr="00B22912">
              <w:rPr>
                <w:rFonts w:cs="Arial"/>
                <w:b/>
                <w:bCs/>
                <w:sz w:val="22"/>
                <w:szCs w:val="22"/>
                <w:lang w:val="en-GB" w:eastAsia="en-GB"/>
              </w:rPr>
              <w:t xml:space="preserve">          </w:t>
            </w:r>
            <w:r w:rsidRPr="00B22912">
              <w:rPr>
                <w:rFonts w:ascii="Arial" w:hAnsi="Arial" w:cs="Arial"/>
                <w:b/>
                <w:bCs/>
                <w:sz w:val="22"/>
                <w:szCs w:val="22"/>
                <w:lang w:val="en-GB" w:eastAsia="en-GB"/>
              </w:rPr>
              <w:t>€</w:t>
            </w:r>
          </w:p>
        </w:tc>
        <w:tc>
          <w:tcPr>
            <w:tcW w:w="1494" w:type="dxa"/>
            <w:shd w:val="clear" w:color="auto" w:fill="auto"/>
            <w:vAlign w:val="bottom"/>
          </w:tcPr>
          <w:p w14:paraId="28AD2774" w14:textId="77777777" w:rsidR="000230E8" w:rsidRPr="00B22912" w:rsidRDefault="000230E8" w:rsidP="000230E8">
            <w:pPr>
              <w:keepLines/>
              <w:spacing w:after="0"/>
              <w:jc w:val="right"/>
              <w:rPr>
                <w:rFonts w:cs="Arial"/>
                <w:b/>
                <w:bCs/>
                <w:sz w:val="22"/>
                <w:szCs w:val="22"/>
                <w:lang w:val="en-GB" w:eastAsia="en-GB"/>
              </w:rPr>
            </w:pPr>
            <w:r w:rsidRPr="00B22912">
              <w:rPr>
                <w:rFonts w:cs="Arial"/>
                <w:b/>
                <w:bCs/>
                <w:sz w:val="22"/>
                <w:szCs w:val="22"/>
                <w:lang w:val="en-GB" w:eastAsia="en-GB"/>
              </w:rPr>
              <w:t xml:space="preserve">          </w:t>
            </w:r>
            <w:r w:rsidRPr="00B22912">
              <w:rPr>
                <w:rFonts w:ascii="Arial" w:hAnsi="Arial" w:cs="Arial"/>
                <w:b/>
                <w:bCs/>
                <w:sz w:val="22"/>
                <w:szCs w:val="22"/>
                <w:lang w:val="en-GB" w:eastAsia="en-GB"/>
              </w:rPr>
              <w:t>€</w:t>
            </w:r>
          </w:p>
        </w:tc>
      </w:tr>
      <w:tr w:rsidR="000230E8" w:rsidRPr="00826690" w14:paraId="0A2AD747" w14:textId="77777777" w:rsidTr="000230E8">
        <w:tblPrEx>
          <w:tblCellMar>
            <w:top w:w="0" w:type="dxa"/>
            <w:bottom w:w="0" w:type="dxa"/>
          </w:tblCellMar>
        </w:tblPrEx>
        <w:tc>
          <w:tcPr>
            <w:tcW w:w="5868" w:type="dxa"/>
            <w:shd w:val="clear" w:color="auto" w:fill="auto"/>
            <w:vAlign w:val="bottom"/>
          </w:tcPr>
          <w:p w14:paraId="4D1C65FB" w14:textId="77777777" w:rsidR="000230E8" w:rsidRPr="00246162" w:rsidRDefault="000230E8" w:rsidP="000230E8">
            <w:pPr>
              <w:pStyle w:val="TableRowHead"/>
              <w:keepNext w:val="0"/>
              <w:keepLines/>
              <w:rPr>
                <w:rFonts w:ascii="Gill Sans" w:hAnsi="Gill Sans"/>
                <w:sz w:val="24"/>
                <w:lang w:val="en-GB" w:eastAsia="en-GB"/>
              </w:rPr>
            </w:pPr>
            <w:r w:rsidRPr="00246162">
              <w:rPr>
                <w:rFonts w:ascii="Gill Sans" w:hAnsi="Gill Sans"/>
                <w:sz w:val="24"/>
                <w:lang w:val="en-GB" w:eastAsia="en-GB"/>
              </w:rPr>
              <w:t>Funding recoverable in respect of current year pension costs</w:t>
            </w:r>
          </w:p>
        </w:tc>
        <w:tc>
          <w:tcPr>
            <w:tcW w:w="1494" w:type="dxa"/>
            <w:shd w:val="clear" w:color="auto" w:fill="auto"/>
            <w:vAlign w:val="bottom"/>
          </w:tcPr>
          <w:p w14:paraId="55812DB7" w14:textId="77777777" w:rsidR="000230E8" w:rsidRPr="00092A32" w:rsidRDefault="000230E8" w:rsidP="000230E8">
            <w:pPr>
              <w:pStyle w:val="TableCell"/>
              <w:rPr>
                <w:sz w:val="24"/>
                <w:lang w:val="en-GB" w:eastAsia="en-GB"/>
              </w:rPr>
            </w:pPr>
            <w:r w:rsidRPr="00092A32">
              <w:rPr>
                <w:sz w:val="24"/>
                <w:lang w:val="en-GB" w:eastAsia="en-GB"/>
              </w:rPr>
              <w:t xml:space="preserve">1,440,000 </w:t>
            </w:r>
          </w:p>
        </w:tc>
        <w:tc>
          <w:tcPr>
            <w:tcW w:w="1494" w:type="dxa"/>
            <w:shd w:val="clear" w:color="auto" w:fill="auto"/>
            <w:vAlign w:val="bottom"/>
          </w:tcPr>
          <w:p w14:paraId="57C3B606" w14:textId="77777777" w:rsidR="000230E8" w:rsidRPr="00092A32" w:rsidRDefault="000230E8" w:rsidP="000230E8">
            <w:pPr>
              <w:pStyle w:val="TableCell"/>
              <w:rPr>
                <w:sz w:val="24"/>
                <w:lang w:val="en-GB" w:eastAsia="en-GB"/>
              </w:rPr>
            </w:pPr>
            <w:r w:rsidRPr="00092A32">
              <w:rPr>
                <w:sz w:val="24"/>
                <w:lang w:val="en-GB" w:eastAsia="en-GB"/>
              </w:rPr>
              <w:t xml:space="preserve">1,550,000 </w:t>
            </w:r>
          </w:p>
        </w:tc>
      </w:tr>
      <w:tr w:rsidR="000230E8" w:rsidRPr="00826690" w14:paraId="133BDCB9" w14:textId="77777777" w:rsidTr="000230E8">
        <w:tblPrEx>
          <w:tblCellMar>
            <w:top w:w="0" w:type="dxa"/>
            <w:bottom w:w="0" w:type="dxa"/>
          </w:tblCellMar>
        </w:tblPrEx>
        <w:tc>
          <w:tcPr>
            <w:tcW w:w="5868" w:type="dxa"/>
            <w:shd w:val="clear" w:color="auto" w:fill="auto"/>
            <w:vAlign w:val="bottom"/>
          </w:tcPr>
          <w:p w14:paraId="28918321" w14:textId="77777777" w:rsidR="000230E8" w:rsidRPr="00246162" w:rsidRDefault="000230E8" w:rsidP="000230E8">
            <w:pPr>
              <w:pStyle w:val="TableRowHead"/>
              <w:keepNext w:val="0"/>
              <w:keepLines/>
              <w:rPr>
                <w:rFonts w:ascii="Gill Sans" w:hAnsi="Gill Sans"/>
                <w:sz w:val="24"/>
                <w:lang w:val="en-GB" w:eastAsia="en-GB"/>
              </w:rPr>
            </w:pPr>
            <w:r w:rsidRPr="00246162">
              <w:rPr>
                <w:rFonts w:ascii="Gill Sans" w:hAnsi="Gill Sans"/>
                <w:sz w:val="24"/>
                <w:lang w:val="en-GB" w:eastAsia="en-GB"/>
              </w:rPr>
              <w:t>State Grant applied to pay pensioners</w:t>
            </w:r>
          </w:p>
        </w:tc>
        <w:tc>
          <w:tcPr>
            <w:tcW w:w="1494" w:type="dxa"/>
            <w:shd w:val="clear" w:color="auto" w:fill="auto"/>
            <w:vAlign w:val="bottom"/>
          </w:tcPr>
          <w:p w14:paraId="716055A3" w14:textId="77777777" w:rsidR="000230E8" w:rsidRPr="00092A32" w:rsidRDefault="000230E8" w:rsidP="000230E8">
            <w:pPr>
              <w:pStyle w:val="TableCell"/>
              <w:rPr>
                <w:sz w:val="24"/>
                <w:lang w:val="en-GB" w:eastAsia="en-GB"/>
              </w:rPr>
            </w:pPr>
            <w:r w:rsidRPr="00092A32">
              <w:rPr>
                <w:sz w:val="24"/>
                <w:lang w:val="en-GB" w:eastAsia="en-GB"/>
              </w:rPr>
              <w:t>(58</w:t>
            </w:r>
            <w:r>
              <w:rPr>
                <w:sz w:val="24"/>
                <w:lang w:val="en-GB" w:eastAsia="en-GB"/>
              </w:rPr>
              <w:t>0</w:t>
            </w:r>
            <w:r w:rsidRPr="00092A32">
              <w:rPr>
                <w:sz w:val="24"/>
                <w:lang w:val="en-GB" w:eastAsia="en-GB"/>
              </w:rPr>
              <w:t>,</w:t>
            </w:r>
            <w:r>
              <w:rPr>
                <w:sz w:val="24"/>
                <w:lang w:val="en-GB" w:eastAsia="en-GB"/>
              </w:rPr>
              <w:t>000</w:t>
            </w:r>
            <w:r w:rsidRPr="00092A32">
              <w:rPr>
                <w:sz w:val="24"/>
                <w:lang w:val="en-GB" w:eastAsia="en-GB"/>
              </w:rPr>
              <w:t>)</w:t>
            </w:r>
          </w:p>
        </w:tc>
        <w:tc>
          <w:tcPr>
            <w:tcW w:w="1494" w:type="dxa"/>
            <w:shd w:val="clear" w:color="auto" w:fill="auto"/>
            <w:vAlign w:val="bottom"/>
          </w:tcPr>
          <w:p w14:paraId="17C24774" w14:textId="77777777" w:rsidR="000230E8" w:rsidRPr="00092A32" w:rsidRDefault="000230E8" w:rsidP="000230E8">
            <w:pPr>
              <w:pStyle w:val="TableCell"/>
              <w:rPr>
                <w:sz w:val="24"/>
                <w:lang w:val="en-GB" w:eastAsia="en-GB"/>
              </w:rPr>
            </w:pPr>
            <w:r w:rsidRPr="00092A32">
              <w:rPr>
                <w:sz w:val="24"/>
                <w:lang w:val="en-GB" w:eastAsia="en-GB"/>
              </w:rPr>
              <w:t>(536,272)</w:t>
            </w:r>
          </w:p>
        </w:tc>
      </w:tr>
      <w:tr w:rsidR="000230E8" w:rsidRPr="00826690" w14:paraId="45AD625F" w14:textId="77777777" w:rsidTr="000230E8">
        <w:tblPrEx>
          <w:tblCellMar>
            <w:top w:w="0" w:type="dxa"/>
            <w:bottom w:w="0" w:type="dxa"/>
          </w:tblCellMar>
        </w:tblPrEx>
        <w:tc>
          <w:tcPr>
            <w:tcW w:w="5868" w:type="dxa"/>
            <w:shd w:val="clear" w:color="auto" w:fill="auto"/>
          </w:tcPr>
          <w:p w14:paraId="7A8F65CB" w14:textId="77777777" w:rsidR="000230E8" w:rsidRPr="00246162" w:rsidRDefault="000230E8" w:rsidP="000230E8">
            <w:pPr>
              <w:pStyle w:val="TableRowHead"/>
              <w:keepNext w:val="0"/>
              <w:keepLines/>
              <w:rPr>
                <w:rFonts w:ascii="Gill Sans" w:hAnsi="Gill Sans"/>
                <w:sz w:val="24"/>
                <w:lang w:val="en-GB" w:eastAsia="en-GB"/>
              </w:rPr>
            </w:pPr>
          </w:p>
        </w:tc>
        <w:tc>
          <w:tcPr>
            <w:tcW w:w="1494" w:type="dxa"/>
            <w:shd w:val="clear" w:color="auto" w:fill="auto"/>
            <w:vAlign w:val="bottom"/>
          </w:tcPr>
          <w:p w14:paraId="6A410C9D" w14:textId="77777777" w:rsidR="000230E8" w:rsidRPr="00092A32" w:rsidRDefault="000230E8" w:rsidP="000230E8">
            <w:pPr>
              <w:pStyle w:val="TableCell"/>
              <w:rPr>
                <w:sz w:val="24"/>
                <w:lang w:val="en-GB" w:eastAsia="en-GB"/>
              </w:rPr>
            </w:pPr>
            <w:r>
              <w:rPr>
                <w:sz w:val="24"/>
                <w:lang w:val="en-GB" w:eastAsia="en-GB"/>
              </w:rPr>
              <w:t>860,000</w:t>
            </w:r>
            <w:r w:rsidRPr="00092A32">
              <w:rPr>
                <w:sz w:val="24"/>
                <w:lang w:val="en-GB" w:eastAsia="en-GB"/>
              </w:rPr>
              <w:t xml:space="preserve"> </w:t>
            </w:r>
          </w:p>
        </w:tc>
        <w:tc>
          <w:tcPr>
            <w:tcW w:w="1494" w:type="dxa"/>
            <w:shd w:val="clear" w:color="auto" w:fill="auto"/>
            <w:vAlign w:val="bottom"/>
          </w:tcPr>
          <w:p w14:paraId="5C8DC437" w14:textId="77777777" w:rsidR="000230E8" w:rsidRPr="00092A32" w:rsidRDefault="000230E8" w:rsidP="000230E8">
            <w:pPr>
              <w:pStyle w:val="TableCell"/>
              <w:rPr>
                <w:sz w:val="24"/>
                <w:lang w:val="en-GB" w:eastAsia="en-GB"/>
              </w:rPr>
            </w:pPr>
            <w:r w:rsidRPr="00092A32">
              <w:rPr>
                <w:sz w:val="24"/>
                <w:lang w:val="en-GB" w:eastAsia="en-GB"/>
              </w:rPr>
              <w:t xml:space="preserve">1,013,728 </w:t>
            </w:r>
          </w:p>
        </w:tc>
      </w:tr>
    </w:tbl>
    <w:p w14:paraId="27A3C209" w14:textId="77777777" w:rsidR="000230E8" w:rsidRDefault="000230E8" w:rsidP="000230E8">
      <w:pPr>
        <w:pStyle w:val="TableTitle"/>
        <w:jc w:val="left"/>
      </w:pPr>
      <w:r>
        <w:rPr>
          <w:lang w:val="en-GB" w:eastAsia="en-GB"/>
        </w:rPr>
        <w:br/>
        <w:t xml:space="preserve">(c) Analysis of the amount </w:t>
      </w:r>
      <w:r w:rsidRPr="001F30C2">
        <w:rPr>
          <w:lang w:val="en-GB" w:eastAsia="en-GB"/>
        </w:rPr>
        <w:t>charged to operating profit under FRS 17</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968"/>
        <w:gridCol w:w="1944"/>
        <w:gridCol w:w="1944"/>
      </w:tblGrid>
      <w:tr w:rsidR="000230E8" w:rsidRPr="00826690" w14:paraId="1D720943" w14:textId="77777777" w:rsidTr="000230E8">
        <w:tblPrEx>
          <w:tblCellMar>
            <w:top w:w="0" w:type="dxa"/>
            <w:bottom w:w="0" w:type="dxa"/>
          </w:tblCellMar>
        </w:tblPrEx>
        <w:tc>
          <w:tcPr>
            <w:tcW w:w="4968" w:type="dxa"/>
            <w:shd w:val="clear" w:color="auto" w:fill="auto"/>
          </w:tcPr>
          <w:p w14:paraId="50579FD8" w14:textId="77777777" w:rsidR="000230E8" w:rsidRPr="0013007A" w:rsidRDefault="000230E8" w:rsidP="000230E8">
            <w:pPr>
              <w:pStyle w:val="TableRowHead"/>
              <w:rPr>
                <w:sz w:val="22"/>
                <w:szCs w:val="22"/>
                <w:lang w:val="en-GB" w:eastAsia="en-GB"/>
              </w:rPr>
            </w:pPr>
          </w:p>
        </w:tc>
        <w:tc>
          <w:tcPr>
            <w:tcW w:w="1944" w:type="dxa"/>
            <w:shd w:val="clear" w:color="auto" w:fill="auto"/>
          </w:tcPr>
          <w:p w14:paraId="4C9C13BC" w14:textId="77777777" w:rsidR="000230E8" w:rsidRPr="00246162" w:rsidRDefault="000230E8" w:rsidP="000230E8">
            <w:pPr>
              <w:pStyle w:val="TableHead"/>
              <w:keepLines/>
              <w:jc w:val="right"/>
              <w:rPr>
                <w:sz w:val="24"/>
              </w:rPr>
            </w:pPr>
            <w:r w:rsidRPr="00246162">
              <w:rPr>
                <w:sz w:val="24"/>
              </w:rPr>
              <w:t>2011</w:t>
            </w:r>
          </w:p>
        </w:tc>
        <w:tc>
          <w:tcPr>
            <w:tcW w:w="1944" w:type="dxa"/>
            <w:shd w:val="clear" w:color="auto" w:fill="auto"/>
          </w:tcPr>
          <w:p w14:paraId="1AADED37" w14:textId="77777777" w:rsidR="000230E8" w:rsidRPr="00246162" w:rsidRDefault="000230E8" w:rsidP="000230E8">
            <w:pPr>
              <w:pStyle w:val="TableHead"/>
              <w:keepLines/>
              <w:jc w:val="right"/>
              <w:rPr>
                <w:sz w:val="24"/>
              </w:rPr>
            </w:pPr>
            <w:r w:rsidRPr="00246162">
              <w:rPr>
                <w:sz w:val="24"/>
              </w:rPr>
              <w:t>2010</w:t>
            </w:r>
          </w:p>
        </w:tc>
      </w:tr>
      <w:tr w:rsidR="000230E8" w:rsidRPr="00826690" w14:paraId="23B67551" w14:textId="77777777" w:rsidTr="000230E8">
        <w:tblPrEx>
          <w:tblCellMar>
            <w:top w:w="0" w:type="dxa"/>
            <w:bottom w:w="0" w:type="dxa"/>
          </w:tblCellMar>
        </w:tblPrEx>
        <w:tc>
          <w:tcPr>
            <w:tcW w:w="4968" w:type="dxa"/>
            <w:shd w:val="clear" w:color="auto" w:fill="auto"/>
          </w:tcPr>
          <w:p w14:paraId="3AD9FE3F" w14:textId="77777777" w:rsidR="000230E8" w:rsidRPr="0013007A" w:rsidRDefault="000230E8" w:rsidP="000230E8">
            <w:pPr>
              <w:pStyle w:val="TableRowHead"/>
              <w:rPr>
                <w:sz w:val="22"/>
                <w:szCs w:val="22"/>
                <w:lang w:val="en-GB" w:eastAsia="en-GB"/>
              </w:rPr>
            </w:pPr>
          </w:p>
        </w:tc>
        <w:tc>
          <w:tcPr>
            <w:tcW w:w="1944" w:type="dxa"/>
            <w:shd w:val="clear" w:color="auto" w:fill="auto"/>
            <w:vAlign w:val="bottom"/>
          </w:tcPr>
          <w:p w14:paraId="57FB857C" w14:textId="77777777" w:rsidR="000230E8" w:rsidRPr="0013007A" w:rsidRDefault="000230E8" w:rsidP="000230E8">
            <w:pPr>
              <w:spacing w:after="0"/>
              <w:jc w:val="right"/>
              <w:rPr>
                <w:rFonts w:cs="Arial"/>
                <w:b/>
                <w:bCs/>
                <w:sz w:val="22"/>
                <w:szCs w:val="22"/>
                <w:lang w:val="en-GB" w:eastAsia="en-GB"/>
              </w:rPr>
            </w:pPr>
            <w:r w:rsidRPr="0013007A">
              <w:rPr>
                <w:rFonts w:cs="Arial"/>
                <w:b/>
                <w:bCs/>
                <w:sz w:val="22"/>
                <w:szCs w:val="22"/>
                <w:lang w:val="en-GB" w:eastAsia="en-GB"/>
              </w:rPr>
              <w:t xml:space="preserve">          </w:t>
            </w:r>
            <w:r w:rsidRPr="0013007A">
              <w:rPr>
                <w:rFonts w:ascii="Arial" w:hAnsi="Arial" w:cs="Arial"/>
                <w:b/>
                <w:bCs/>
                <w:sz w:val="22"/>
                <w:szCs w:val="22"/>
                <w:lang w:val="en-GB" w:eastAsia="en-GB"/>
              </w:rPr>
              <w:t>€</w:t>
            </w:r>
          </w:p>
        </w:tc>
        <w:tc>
          <w:tcPr>
            <w:tcW w:w="1944" w:type="dxa"/>
            <w:shd w:val="clear" w:color="auto" w:fill="auto"/>
            <w:vAlign w:val="bottom"/>
          </w:tcPr>
          <w:p w14:paraId="673CD4A4" w14:textId="77777777" w:rsidR="000230E8" w:rsidRPr="0013007A" w:rsidRDefault="000230E8" w:rsidP="000230E8">
            <w:pPr>
              <w:spacing w:after="0"/>
              <w:jc w:val="right"/>
              <w:rPr>
                <w:rFonts w:cs="Arial"/>
                <w:b/>
                <w:bCs/>
                <w:sz w:val="22"/>
                <w:szCs w:val="22"/>
                <w:lang w:val="en-GB" w:eastAsia="en-GB"/>
              </w:rPr>
            </w:pPr>
            <w:r w:rsidRPr="0013007A">
              <w:rPr>
                <w:rFonts w:cs="Arial"/>
                <w:b/>
                <w:bCs/>
                <w:sz w:val="22"/>
                <w:szCs w:val="22"/>
                <w:lang w:val="en-GB" w:eastAsia="en-GB"/>
              </w:rPr>
              <w:t xml:space="preserve">          </w:t>
            </w:r>
            <w:r w:rsidRPr="0013007A">
              <w:rPr>
                <w:rFonts w:ascii="Arial" w:hAnsi="Arial" w:cs="Arial"/>
                <w:b/>
                <w:bCs/>
                <w:sz w:val="22"/>
                <w:szCs w:val="22"/>
                <w:lang w:val="en-GB" w:eastAsia="en-GB"/>
              </w:rPr>
              <w:t>€</w:t>
            </w:r>
          </w:p>
        </w:tc>
      </w:tr>
      <w:tr w:rsidR="000230E8" w:rsidRPr="00826690" w14:paraId="7374B33D" w14:textId="77777777" w:rsidTr="000230E8">
        <w:tblPrEx>
          <w:tblCellMar>
            <w:top w:w="0" w:type="dxa"/>
            <w:bottom w:w="0" w:type="dxa"/>
          </w:tblCellMar>
        </w:tblPrEx>
        <w:tc>
          <w:tcPr>
            <w:tcW w:w="4968" w:type="dxa"/>
            <w:shd w:val="clear" w:color="auto" w:fill="auto"/>
            <w:vAlign w:val="bottom"/>
          </w:tcPr>
          <w:p w14:paraId="29BF60D2" w14:textId="77777777" w:rsidR="000230E8" w:rsidRPr="00246162" w:rsidRDefault="000230E8" w:rsidP="000230E8">
            <w:pPr>
              <w:pStyle w:val="TableRowHead"/>
              <w:rPr>
                <w:rFonts w:ascii="Gill Sans" w:hAnsi="Gill Sans"/>
                <w:sz w:val="24"/>
                <w:lang w:val="en-GB" w:eastAsia="en-GB"/>
              </w:rPr>
            </w:pPr>
            <w:r w:rsidRPr="00246162">
              <w:rPr>
                <w:rFonts w:ascii="Gill Sans" w:hAnsi="Gill Sans"/>
                <w:sz w:val="24"/>
                <w:lang w:val="en-GB" w:eastAsia="en-GB"/>
              </w:rPr>
              <w:t>Current service cost</w:t>
            </w:r>
          </w:p>
        </w:tc>
        <w:tc>
          <w:tcPr>
            <w:tcW w:w="1944" w:type="dxa"/>
            <w:shd w:val="clear" w:color="auto" w:fill="auto"/>
            <w:vAlign w:val="bottom"/>
          </w:tcPr>
          <w:p w14:paraId="2DF21B34" w14:textId="77777777" w:rsidR="000230E8" w:rsidRPr="00092A32" w:rsidRDefault="000230E8" w:rsidP="000230E8">
            <w:pPr>
              <w:pStyle w:val="TableCell"/>
              <w:rPr>
                <w:sz w:val="24"/>
                <w:lang w:val="en-GB" w:eastAsia="en-GB"/>
              </w:rPr>
            </w:pPr>
            <w:r w:rsidRPr="00092A32">
              <w:rPr>
                <w:sz w:val="24"/>
                <w:lang w:val="en-GB" w:eastAsia="en-GB"/>
              </w:rPr>
              <w:t xml:space="preserve">500,000 </w:t>
            </w:r>
          </w:p>
        </w:tc>
        <w:tc>
          <w:tcPr>
            <w:tcW w:w="1944" w:type="dxa"/>
            <w:shd w:val="clear" w:color="auto" w:fill="auto"/>
            <w:vAlign w:val="bottom"/>
          </w:tcPr>
          <w:p w14:paraId="3C0A553C" w14:textId="77777777" w:rsidR="000230E8" w:rsidRPr="00092A32" w:rsidRDefault="000230E8" w:rsidP="000230E8">
            <w:pPr>
              <w:pStyle w:val="TableCell"/>
              <w:rPr>
                <w:sz w:val="24"/>
                <w:lang w:val="en-GB" w:eastAsia="en-GB"/>
              </w:rPr>
            </w:pPr>
            <w:r w:rsidRPr="00092A32">
              <w:rPr>
                <w:sz w:val="24"/>
                <w:lang w:val="en-GB" w:eastAsia="en-GB"/>
              </w:rPr>
              <w:t xml:space="preserve">550,000 </w:t>
            </w:r>
          </w:p>
        </w:tc>
      </w:tr>
      <w:tr w:rsidR="000230E8" w:rsidRPr="00826690" w14:paraId="0618E1FD" w14:textId="77777777" w:rsidTr="000230E8">
        <w:tblPrEx>
          <w:tblCellMar>
            <w:top w:w="0" w:type="dxa"/>
            <w:bottom w:w="0" w:type="dxa"/>
          </w:tblCellMar>
        </w:tblPrEx>
        <w:tc>
          <w:tcPr>
            <w:tcW w:w="4968" w:type="dxa"/>
            <w:shd w:val="clear" w:color="auto" w:fill="auto"/>
            <w:vAlign w:val="bottom"/>
          </w:tcPr>
          <w:p w14:paraId="5F0D2032" w14:textId="77777777" w:rsidR="000230E8" w:rsidRPr="00246162" w:rsidRDefault="000230E8" w:rsidP="000230E8">
            <w:pPr>
              <w:pStyle w:val="TableRowHead"/>
              <w:rPr>
                <w:rFonts w:ascii="Gill Sans" w:hAnsi="Gill Sans"/>
                <w:sz w:val="24"/>
                <w:lang w:val="en-GB" w:eastAsia="en-GB"/>
              </w:rPr>
            </w:pPr>
            <w:r w:rsidRPr="00246162">
              <w:rPr>
                <w:rFonts w:ascii="Gill Sans" w:hAnsi="Gill Sans"/>
                <w:sz w:val="24"/>
                <w:lang w:val="en-GB" w:eastAsia="en-GB"/>
              </w:rPr>
              <w:t xml:space="preserve">Interest on pension scheme liabilities </w:t>
            </w:r>
          </w:p>
        </w:tc>
        <w:tc>
          <w:tcPr>
            <w:tcW w:w="1944" w:type="dxa"/>
            <w:shd w:val="clear" w:color="auto" w:fill="auto"/>
            <w:vAlign w:val="bottom"/>
          </w:tcPr>
          <w:p w14:paraId="159913E1" w14:textId="77777777" w:rsidR="000230E8" w:rsidRPr="00092A32" w:rsidRDefault="000230E8" w:rsidP="000230E8">
            <w:pPr>
              <w:pStyle w:val="TableCell"/>
              <w:rPr>
                <w:sz w:val="24"/>
                <w:lang w:val="en-GB" w:eastAsia="en-GB"/>
              </w:rPr>
            </w:pPr>
            <w:r w:rsidRPr="00092A32">
              <w:rPr>
                <w:sz w:val="24"/>
                <w:lang w:val="en-GB" w:eastAsia="en-GB"/>
              </w:rPr>
              <w:t xml:space="preserve">940,000 </w:t>
            </w:r>
          </w:p>
        </w:tc>
        <w:tc>
          <w:tcPr>
            <w:tcW w:w="1944" w:type="dxa"/>
            <w:shd w:val="clear" w:color="auto" w:fill="auto"/>
            <w:vAlign w:val="bottom"/>
          </w:tcPr>
          <w:p w14:paraId="2C9C5FED" w14:textId="77777777" w:rsidR="000230E8" w:rsidRPr="00092A32" w:rsidRDefault="000230E8" w:rsidP="000230E8">
            <w:pPr>
              <w:pStyle w:val="TableCell"/>
              <w:rPr>
                <w:sz w:val="24"/>
                <w:lang w:val="en-GB" w:eastAsia="en-GB"/>
              </w:rPr>
            </w:pPr>
            <w:r w:rsidRPr="00092A32">
              <w:rPr>
                <w:sz w:val="24"/>
                <w:lang w:val="en-GB" w:eastAsia="en-GB"/>
              </w:rPr>
              <w:t xml:space="preserve">1,000,000 </w:t>
            </w:r>
          </w:p>
        </w:tc>
      </w:tr>
      <w:tr w:rsidR="000230E8" w:rsidRPr="00826690" w14:paraId="0FF049CE" w14:textId="77777777" w:rsidTr="000230E8">
        <w:tblPrEx>
          <w:tblCellMar>
            <w:top w:w="0" w:type="dxa"/>
            <w:bottom w:w="0" w:type="dxa"/>
          </w:tblCellMar>
        </w:tblPrEx>
        <w:tc>
          <w:tcPr>
            <w:tcW w:w="4968" w:type="dxa"/>
            <w:shd w:val="clear" w:color="auto" w:fill="auto"/>
            <w:vAlign w:val="bottom"/>
          </w:tcPr>
          <w:p w14:paraId="03A2670E" w14:textId="77777777" w:rsidR="000230E8" w:rsidRPr="00246162" w:rsidRDefault="000230E8" w:rsidP="000230E8">
            <w:pPr>
              <w:pStyle w:val="TableRowHead"/>
              <w:rPr>
                <w:rFonts w:ascii="Gill Sans" w:hAnsi="Gill Sans"/>
                <w:sz w:val="24"/>
                <w:lang w:val="en-GB" w:eastAsia="en-GB"/>
              </w:rPr>
            </w:pPr>
            <w:r w:rsidRPr="00246162">
              <w:rPr>
                <w:rFonts w:ascii="Gill Sans" w:hAnsi="Gill Sans"/>
                <w:sz w:val="24"/>
                <w:lang w:val="en-GB" w:eastAsia="en-GB"/>
              </w:rPr>
              <w:t>Employee contribution</w:t>
            </w:r>
          </w:p>
        </w:tc>
        <w:tc>
          <w:tcPr>
            <w:tcW w:w="1944" w:type="dxa"/>
            <w:shd w:val="clear" w:color="auto" w:fill="auto"/>
            <w:vAlign w:val="bottom"/>
          </w:tcPr>
          <w:p w14:paraId="085823C9" w14:textId="77777777" w:rsidR="000230E8" w:rsidRPr="00092A32" w:rsidRDefault="000230E8" w:rsidP="000230E8">
            <w:pPr>
              <w:pStyle w:val="TableCell"/>
              <w:rPr>
                <w:sz w:val="24"/>
                <w:lang w:val="en-GB" w:eastAsia="en-GB"/>
              </w:rPr>
            </w:pPr>
            <w:r w:rsidRPr="00092A32">
              <w:rPr>
                <w:sz w:val="24"/>
                <w:lang w:val="en-GB" w:eastAsia="en-GB"/>
              </w:rPr>
              <w:t>(127,998)</w:t>
            </w:r>
          </w:p>
        </w:tc>
        <w:tc>
          <w:tcPr>
            <w:tcW w:w="1944" w:type="dxa"/>
            <w:shd w:val="clear" w:color="auto" w:fill="auto"/>
            <w:vAlign w:val="bottom"/>
          </w:tcPr>
          <w:p w14:paraId="38618321" w14:textId="77777777" w:rsidR="000230E8" w:rsidRPr="00092A32" w:rsidRDefault="000230E8" w:rsidP="000230E8">
            <w:pPr>
              <w:pStyle w:val="TableCell"/>
              <w:rPr>
                <w:sz w:val="24"/>
                <w:lang w:val="en-GB" w:eastAsia="en-GB"/>
              </w:rPr>
            </w:pPr>
            <w:r w:rsidRPr="00092A32">
              <w:rPr>
                <w:sz w:val="24"/>
                <w:lang w:val="en-GB" w:eastAsia="en-GB"/>
              </w:rPr>
              <w:t>(142,720)</w:t>
            </w:r>
          </w:p>
        </w:tc>
      </w:tr>
      <w:tr w:rsidR="000230E8" w:rsidRPr="00826690" w14:paraId="59FF4C88" w14:textId="77777777" w:rsidTr="000230E8">
        <w:tblPrEx>
          <w:tblCellMar>
            <w:top w:w="0" w:type="dxa"/>
            <w:bottom w:w="0" w:type="dxa"/>
          </w:tblCellMar>
        </w:tblPrEx>
        <w:tc>
          <w:tcPr>
            <w:tcW w:w="4968" w:type="dxa"/>
            <w:shd w:val="clear" w:color="auto" w:fill="auto"/>
            <w:vAlign w:val="bottom"/>
          </w:tcPr>
          <w:p w14:paraId="104C1BE3" w14:textId="77777777" w:rsidR="000230E8" w:rsidRPr="00246162" w:rsidRDefault="000230E8" w:rsidP="000230E8">
            <w:pPr>
              <w:pStyle w:val="TableRowHead"/>
              <w:rPr>
                <w:rFonts w:ascii="Gill Sans" w:hAnsi="Gill Sans"/>
                <w:sz w:val="24"/>
                <w:lang w:val="en-GB" w:eastAsia="en-GB"/>
              </w:rPr>
            </w:pPr>
            <w:r w:rsidRPr="00246162">
              <w:rPr>
                <w:rFonts w:ascii="Gill Sans" w:hAnsi="Gill Sans"/>
                <w:sz w:val="24"/>
                <w:lang w:val="en-GB" w:eastAsia="en-GB"/>
              </w:rPr>
              <w:t>Past service cost</w:t>
            </w:r>
          </w:p>
        </w:tc>
        <w:tc>
          <w:tcPr>
            <w:tcW w:w="1944" w:type="dxa"/>
            <w:shd w:val="clear" w:color="auto" w:fill="auto"/>
            <w:vAlign w:val="bottom"/>
          </w:tcPr>
          <w:p w14:paraId="52D681D8" w14:textId="77777777" w:rsidR="000230E8" w:rsidRPr="00092A32" w:rsidRDefault="000230E8" w:rsidP="000230E8">
            <w:pPr>
              <w:pStyle w:val="TableCell"/>
              <w:rPr>
                <w:sz w:val="24"/>
                <w:lang w:val="en-GB" w:eastAsia="en-GB"/>
              </w:rPr>
            </w:pPr>
            <w:r w:rsidRPr="00092A32">
              <w:rPr>
                <w:sz w:val="24"/>
                <w:lang w:val="en-GB" w:eastAsia="en-GB"/>
              </w:rPr>
              <w:t xml:space="preserve">            -     </w:t>
            </w:r>
          </w:p>
        </w:tc>
        <w:tc>
          <w:tcPr>
            <w:tcW w:w="1944" w:type="dxa"/>
            <w:shd w:val="clear" w:color="auto" w:fill="auto"/>
            <w:vAlign w:val="bottom"/>
          </w:tcPr>
          <w:p w14:paraId="0A402605" w14:textId="77777777" w:rsidR="000230E8" w:rsidRPr="00092A32" w:rsidRDefault="000230E8" w:rsidP="000230E8">
            <w:pPr>
              <w:pStyle w:val="TableCell"/>
              <w:rPr>
                <w:sz w:val="24"/>
                <w:lang w:val="en-GB" w:eastAsia="en-GB"/>
              </w:rPr>
            </w:pPr>
            <w:r w:rsidRPr="00092A32">
              <w:rPr>
                <w:sz w:val="24"/>
                <w:lang w:val="en-GB" w:eastAsia="en-GB"/>
              </w:rPr>
              <w:t xml:space="preserve">            -     </w:t>
            </w:r>
          </w:p>
        </w:tc>
      </w:tr>
      <w:tr w:rsidR="000230E8" w:rsidRPr="00826690" w14:paraId="061BFB48" w14:textId="77777777" w:rsidTr="000230E8">
        <w:tblPrEx>
          <w:tblCellMar>
            <w:top w:w="0" w:type="dxa"/>
            <w:bottom w:w="0" w:type="dxa"/>
          </w:tblCellMar>
        </w:tblPrEx>
        <w:tc>
          <w:tcPr>
            <w:tcW w:w="4968" w:type="dxa"/>
            <w:shd w:val="clear" w:color="auto" w:fill="auto"/>
            <w:vAlign w:val="bottom"/>
          </w:tcPr>
          <w:p w14:paraId="3227D885" w14:textId="77777777" w:rsidR="000230E8" w:rsidRPr="00246162" w:rsidRDefault="000230E8" w:rsidP="000230E8">
            <w:pPr>
              <w:pStyle w:val="TableRowHead"/>
              <w:rPr>
                <w:rFonts w:ascii="Gill Sans" w:hAnsi="Gill Sans"/>
                <w:sz w:val="24"/>
                <w:lang w:val="en-GB" w:eastAsia="en-GB"/>
              </w:rPr>
            </w:pPr>
            <w:r w:rsidRPr="00246162">
              <w:rPr>
                <w:rFonts w:ascii="Gill Sans" w:hAnsi="Gill Sans"/>
                <w:sz w:val="24"/>
                <w:lang w:val="en-GB" w:eastAsia="en-GB"/>
              </w:rPr>
              <w:t>Total operating charge</w:t>
            </w:r>
          </w:p>
        </w:tc>
        <w:tc>
          <w:tcPr>
            <w:tcW w:w="1944" w:type="dxa"/>
            <w:shd w:val="clear" w:color="auto" w:fill="auto"/>
            <w:vAlign w:val="bottom"/>
          </w:tcPr>
          <w:p w14:paraId="3DAA3B5C" w14:textId="77777777" w:rsidR="000230E8" w:rsidRPr="00092A32" w:rsidRDefault="000230E8" w:rsidP="000230E8">
            <w:pPr>
              <w:pStyle w:val="TableCell"/>
              <w:rPr>
                <w:sz w:val="24"/>
                <w:lang w:val="en-GB" w:eastAsia="en-GB"/>
              </w:rPr>
            </w:pPr>
            <w:r w:rsidRPr="00092A32">
              <w:rPr>
                <w:sz w:val="24"/>
                <w:lang w:val="en-GB" w:eastAsia="en-GB"/>
              </w:rPr>
              <w:t xml:space="preserve">1,312,002 </w:t>
            </w:r>
          </w:p>
        </w:tc>
        <w:tc>
          <w:tcPr>
            <w:tcW w:w="1944" w:type="dxa"/>
            <w:shd w:val="clear" w:color="auto" w:fill="auto"/>
            <w:vAlign w:val="bottom"/>
          </w:tcPr>
          <w:p w14:paraId="46B4187B" w14:textId="77777777" w:rsidR="000230E8" w:rsidRPr="00092A32" w:rsidRDefault="000230E8" w:rsidP="000230E8">
            <w:pPr>
              <w:pStyle w:val="TableCell"/>
              <w:rPr>
                <w:sz w:val="24"/>
                <w:lang w:val="en-GB" w:eastAsia="en-GB"/>
              </w:rPr>
            </w:pPr>
            <w:r w:rsidRPr="00092A32">
              <w:rPr>
                <w:sz w:val="24"/>
                <w:lang w:val="en-GB" w:eastAsia="en-GB"/>
              </w:rPr>
              <w:t xml:space="preserve">1,407,280 </w:t>
            </w:r>
          </w:p>
        </w:tc>
      </w:tr>
    </w:tbl>
    <w:p w14:paraId="7A83AF67" w14:textId="77777777" w:rsidR="000230E8" w:rsidRDefault="000230E8" w:rsidP="00BC3842">
      <w:pPr>
        <w:pStyle w:val="Heading4"/>
        <w:rPr>
          <w:lang w:val="en-GB" w:eastAsia="en-GB"/>
        </w:rPr>
      </w:pPr>
      <w:r>
        <w:rPr>
          <w:lang w:val="en-GB" w:eastAsia="en-GB"/>
        </w:rPr>
        <w:br/>
      </w:r>
      <w:bookmarkStart w:id="257" w:name="_Toc335836406"/>
      <w:r w:rsidRPr="001F30C2">
        <w:rPr>
          <w:lang w:val="en-GB" w:eastAsia="en-GB"/>
        </w:rPr>
        <w:t>(d) Deferred Funding Asset for Pensions</w:t>
      </w:r>
      <w:bookmarkEnd w:id="257"/>
    </w:p>
    <w:p w14:paraId="28ECEFBD" w14:textId="77777777" w:rsidR="000230E8" w:rsidRPr="0061332D" w:rsidRDefault="000230E8" w:rsidP="000230E8">
      <w:pPr>
        <w:rPr>
          <w:lang w:val="en-GB" w:eastAsia="en-GB"/>
        </w:rPr>
      </w:pPr>
      <w:r w:rsidRPr="00092A32">
        <w:rPr>
          <w:lang w:val="en-GB" w:eastAsia="en-GB"/>
        </w:rPr>
        <w:t xml:space="preserve">The National Disability Authority recognises these amounts as an asset corresponding to the unfunded deferred liability for pensions </w:t>
      </w:r>
      <w:proofErr w:type="gramStart"/>
      <w:r w:rsidRPr="00092A32">
        <w:rPr>
          <w:lang w:val="en-GB" w:eastAsia="en-GB"/>
        </w:rPr>
        <w:t>on the basis of</w:t>
      </w:r>
      <w:proofErr w:type="gramEnd"/>
      <w:r w:rsidRPr="00092A32">
        <w:rPr>
          <w:lang w:val="en-GB" w:eastAsia="en-GB"/>
        </w:rPr>
        <w:t xml:space="preserve"> the set of assumptions described above and a number of past events.  </w:t>
      </w:r>
      <w:r w:rsidRPr="0061332D">
        <w:rPr>
          <w:lang w:val="en-GB" w:eastAsia="en-GB"/>
        </w:rPr>
        <w:t xml:space="preserve">These events include the statutory basis for the establishment of the superannuation scheme, and the policy and practice currently in place in relation to funding public service pensions including contributions by employees and the annual estimates process.  While there is no formal agreement regarding these specific amounts </w:t>
      </w:r>
      <w:r>
        <w:rPr>
          <w:lang w:val="en-GB" w:eastAsia="en-GB"/>
        </w:rPr>
        <w:t>with the Department of Justice and Equality</w:t>
      </w:r>
      <w:r w:rsidRPr="0061332D">
        <w:rPr>
          <w:lang w:val="en-GB" w:eastAsia="en-GB"/>
        </w:rPr>
        <w:t xml:space="preserve">, the National Disability Authority has no evidence that this funding policy will not continue to meet such sums in accordance with current practice. The deferred funding asset for pensions as </w:t>
      </w:r>
      <w:proofErr w:type="gramStart"/>
      <w:r w:rsidRPr="0061332D">
        <w:rPr>
          <w:lang w:val="en-GB" w:eastAsia="en-GB"/>
        </w:rPr>
        <w:t>at</w:t>
      </w:r>
      <w:proofErr w:type="gramEnd"/>
      <w:r w:rsidRPr="0061332D">
        <w:rPr>
          <w:lang w:val="en-GB" w:eastAsia="en-GB"/>
        </w:rPr>
        <w:t xml:space="preserve"> 31 December 201</w:t>
      </w:r>
      <w:r>
        <w:rPr>
          <w:lang w:val="en-GB" w:eastAsia="en-GB"/>
        </w:rPr>
        <w:t>1 amounted to €16.7 million (2010</w:t>
      </w:r>
      <w:r w:rsidRPr="0061332D">
        <w:rPr>
          <w:lang w:val="en-GB" w:eastAsia="en-GB"/>
        </w:rPr>
        <w:t>: €17.1 million).</w:t>
      </w:r>
    </w:p>
    <w:p w14:paraId="24B6001A" w14:textId="77777777" w:rsidR="000230E8" w:rsidRPr="0013007A" w:rsidRDefault="000230E8" w:rsidP="000230E8">
      <w:pPr>
        <w:pStyle w:val="TableTitle"/>
        <w:jc w:val="left"/>
      </w:pPr>
      <w:r w:rsidRPr="00826690">
        <w:rPr>
          <w:lang w:val="en-GB" w:eastAsia="en-GB"/>
        </w:rPr>
        <w:lastRenderedPageBreak/>
        <w:t>(e) Movement in deficit during the year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888"/>
        <w:gridCol w:w="2484"/>
        <w:gridCol w:w="2484"/>
      </w:tblGrid>
      <w:tr w:rsidR="000230E8" w:rsidRPr="00246162" w14:paraId="37C00105" w14:textId="77777777" w:rsidTr="000230E8">
        <w:tblPrEx>
          <w:tblCellMar>
            <w:top w:w="0" w:type="dxa"/>
            <w:bottom w:w="0" w:type="dxa"/>
          </w:tblCellMar>
        </w:tblPrEx>
        <w:trPr>
          <w:tblHeader/>
        </w:trPr>
        <w:tc>
          <w:tcPr>
            <w:tcW w:w="3888" w:type="dxa"/>
            <w:shd w:val="clear" w:color="auto" w:fill="auto"/>
          </w:tcPr>
          <w:p w14:paraId="752EA222" w14:textId="77777777" w:rsidR="000230E8" w:rsidRPr="00246162" w:rsidRDefault="000230E8" w:rsidP="000230E8">
            <w:pPr>
              <w:pStyle w:val="TableHead"/>
              <w:widowControl w:val="0"/>
              <w:jc w:val="right"/>
            </w:pPr>
          </w:p>
        </w:tc>
        <w:tc>
          <w:tcPr>
            <w:tcW w:w="2484" w:type="dxa"/>
            <w:shd w:val="clear" w:color="auto" w:fill="auto"/>
            <w:vAlign w:val="bottom"/>
          </w:tcPr>
          <w:p w14:paraId="190EF780" w14:textId="77777777" w:rsidR="000230E8" w:rsidRPr="00246162" w:rsidRDefault="000230E8" w:rsidP="000230E8">
            <w:pPr>
              <w:spacing w:after="0"/>
              <w:jc w:val="right"/>
              <w:rPr>
                <w:rFonts w:cs="Arial"/>
                <w:b/>
                <w:bCs/>
                <w:sz w:val="24"/>
                <w:lang w:val="en-GB" w:eastAsia="en-GB"/>
              </w:rPr>
            </w:pPr>
            <w:r w:rsidRPr="00246162">
              <w:rPr>
                <w:rFonts w:cs="Arial"/>
                <w:b/>
                <w:bCs/>
                <w:sz w:val="24"/>
                <w:lang w:val="en-GB" w:eastAsia="en-GB"/>
              </w:rPr>
              <w:t>2011</w:t>
            </w:r>
          </w:p>
        </w:tc>
        <w:tc>
          <w:tcPr>
            <w:tcW w:w="2484" w:type="dxa"/>
            <w:shd w:val="clear" w:color="auto" w:fill="auto"/>
            <w:vAlign w:val="bottom"/>
          </w:tcPr>
          <w:p w14:paraId="6E39BACB" w14:textId="77777777" w:rsidR="000230E8" w:rsidRPr="00246162" w:rsidRDefault="000230E8" w:rsidP="000230E8">
            <w:pPr>
              <w:spacing w:after="0"/>
              <w:jc w:val="right"/>
              <w:rPr>
                <w:rFonts w:cs="Arial"/>
                <w:b/>
                <w:bCs/>
                <w:sz w:val="24"/>
                <w:lang w:val="en-GB" w:eastAsia="en-GB"/>
              </w:rPr>
            </w:pPr>
            <w:r w:rsidRPr="00246162">
              <w:rPr>
                <w:rFonts w:cs="Arial"/>
                <w:b/>
                <w:bCs/>
                <w:sz w:val="24"/>
                <w:lang w:val="en-GB" w:eastAsia="en-GB"/>
              </w:rPr>
              <w:t>2010</w:t>
            </w:r>
          </w:p>
        </w:tc>
      </w:tr>
      <w:tr w:rsidR="000230E8" w:rsidRPr="00246162" w14:paraId="72E1E536" w14:textId="77777777" w:rsidTr="000230E8">
        <w:tblPrEx>
          <w:tblCellMar>
            <w:top w:w="0" w:type="dxa"/>
            <w:bottom w:w="0" w:type="dxa"/>
          </w:tblCellMar>
        </w:tblPrEx>
        <w:tc>
          <w:tcPr>
            <w:tcW w:w="3888" w:type="dxa"/>
            <w:shd w:val="clear" w:color="auto" w:fill="auto"/>
          </w:tcPr>
          <w:p w14:paraId="5BF3FFA5" w14:textId="77777777" w:rsidR="000230E8" w:rsidRPr="00246162" w:rsidRDefault="000230E8" w:rsidP="000230E8">
            <w:pPr>
              <w:pStyle w:val="TableRowHead"/>
              <w:keepNext w:val="0"/>
              <w:widowControl w:val="0"/>
              <w:rPr>
                <w:rFonts w:ascii="Gill Sans" w:hAnsi="Gill Sans"/>
              </w:rPr>
            </w:pPr>
          </w:p>
        </w:tc>
        <w:tc>
          <w:tcPr>
            <w:tcW w:w="2484" w:type="dxa"/>
            <w:shd w:val="clear" w:color="auto" w:fill="auto"/>
            <w:vAlign w:val="bottom"/>
          </w:tcPr>
          <w:p w14:paraId="3AA34D2F"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 xml:space="preserve">             €</w:t>
            </w:r>
          </w:p>
        </w:tc>
        <w:tc>
          <w:tcPr>
            <w:tcW w:w="2484" w:type="dxa"/>
            <w:shd w:val="clear" w:color="auto" w:fill="auto"/>
            <w:vAlign w:val="bottom"/>
          </w:tcPr>
          <w:p w14:paraId="25D4E1A9"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 xml:space="preserve">             €</w:t>
            </w:r>
          </w:p>
        </w:tc>
      </w:tr>
      <w:tr w:rsidR="000230E8" w:rsidRPr="00246162" w14:paraId="07B0B9DB" w14:textId="77777777" w:rsidTr="000230E8">
        <w:tblPrEx>
          <w:tblCellMar>
            <w:top w:w="0" w:type="dxa"/>
            <w:bottom w:w="0" w:type="dxa"/>
          </w:tblCellMar>
        </w:tblPrEx>
        <w:tc>
          <w:tcPr>
            <w:tcW w:w="3888" w:type="dxa"/>
            <w:shd w:val="clear" w:color="auto" w:fill="auto"/>
            <w:vAlign w:val="bottom"/>
          </w:tcPr>
          <w:p w14:paraId="5F233A22" w14:textId="77777777" w:rsidR="000230E8" w:rsidRPr="00246162" w:rsidRDefault="000230E8" w:rsidP="000230E8">
            <w:pPr>
              <w:pStyle w:val="TableRowHead"/>
              <w:keepNext w:val="0"/>
              <w:widowControl w:val="0"/>
              <w:rPr>
                <w:rFonts w:ascii="Gill Sans" w:hAnsi="Gill Sans"/>
                <w:sz w:val="24"/>
                <w:lang w:val="en-GB" w:eastAsia="en-GB"/>
              </w:rPr>
            </w:pPr>
            <w:r w:rsidRPr="00246162">
              <w:rPr>
                <w:rFonts w:ascii="Gill Sans" w:hAnsi="Gill Sans"/>
                <w:sz w:val="24"/>
                <w:lang w:val="en-GB" w:eastAsia="en-GB"/>
              </w:rPr>
              <w:t xml:space="preserve">Scheme Liability </w:t>
            </w:r>
            <w:proofErr w:type="gramStart"/>
            <w:r w:rsidRPr="00246162">
              <w:rPr>
                <w:rFonts w:ascii="Gill Sans" w:hAnsi="Gill Sans"/>
                <w:sz w:val="24"/>
                <w:lang w:val="en-GB" w:eastAsia="en-GB"/>
              </w:rPr>
              <w:t>at</w:t>
            </w:r>
            <w:proofErr w:type="gramEnd"/>
            <w:r w:rsidRPr="00246162">
              <w:rPr>
                <w:rFonts w:ascii="Gill Sans" w:hAnsi="Gill Sans"/>
                <w:sz w:val="24"/>
                <w:lang w:val="en-GB" w:eastAsia="en-GB"/>
              </w:rPr>
              <w:t xml:space="preserve"> 1 January</w:t>
            </w:r>
          </w:p>
        </w:tc>
        <w:tc>
          <w:tcPr>
            <w:tcW w:w="2484" w:type="dxa"/>
            <w:shd w:val="clear" w:color="auto" w:fill="auto"/>
            <w:vAlign w:val="bottom"/>
          </w:tcPr>
          <w:p w14:paraId="657A0B62"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 xml:space="preserve">17,100,000 </w:t>
            </w:r>
          </w:p>
        </w:tc>
        <w:tc>
          <w:tcPr>
            <w:tcW w:w="2484" w:type="dxa"/>
            <w:shd w:val="clear" w:color="auto" w:fill="auto"/>
            <w:vAlign w:val="bottom"/>
          </w:tcPr>
          <w:p w14:paraId="1613910F"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 xml:space="preserve">18,500,000 </w:t>
            </w:r>
          </w:p>
        </w:tc>
      </w:tr>
      <w:tr w:rsidR="000230E8" w:rsidRPr="00246162" w14:paraId="19624FDC" w14:textId="77777777" w:rsidTr="000230E8">
        <w:tblPrEx>
          <w:tblCellMar>
            <w:top w:w="0" w:type="dxa"/>
            <w:bottom w:w="0" w:type="dxa"/>
          </w:tblCellMar>
        </w:tblPrEx>
        <w:tc>
          <w:tcPr>
            <w:tcW w:w="3888" w:type="dxa"/>
            <w:shd w:val="clear" w:color="auto" w:fill="auto"/>
            <w:vAlign w:val="bottom"/>
          </w:tcPr>
          <w:p w14:paraId="21D6AC06" w14:textId="77777777" w:rsidR="000230E8" w:rsidRPr="00246162" w:rsidRDefault="000230E8" w:rsidP="000230E8">
            <w:pPr>
              <w:pStyle w:val="TableRowHead"/>
              <w:keepNext w:val="0"/>
              <w:widowControl w:val="0"/>
              <w:rPr>
                <w:rFonts w:ascii="Gill Sans" w:hAnsi="Gill Sans"/>
                <w:sz w:val="24"/>
                <w:lang w:val="en-GB" w:eastAsia="en-GB"/>
              </w:rPr>
            </w:pPr>
            <w:r w:rsidRPr="00246162">
              <w:rPr>
                <w:rFonts w:ascii="Gill Sans" w:hAnsi="Gill Sans"/>
                <w:sz w:val="24"/>
                <w:lang w:val="en-GB" w:eastAsia="en-GB"/>
              </w:rPr>
              <w:t>Current service cost</w:t>
            </w:r>
          </w:p>
        </w:tc>
        <w:tc>
          <w:tcPr>
            <w:tcW w:w="2484" w:type="dxa"/>
            <w:shd w:val="clear" w:color="auto" w:fill="auto"/>
            <w:vAlign w:val="bottom"/>
          </w:tcPr>
          <w:p w14:paraId="43923520"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 xml:space="preserve">500,000 </w:t>
            </w:r>
          </w:p>
        </w:tc>
        <w:tc>
          <w:tcPr>
            <w:tcW w:w="2484" w:type="dxa"/>
            <w:shd w:val="clear" w:color="auto" w:fill="auto"/>
            <w:vAlign w:val="bottom"/>
          </w:tcPr>
          <w:p w14:paraId="5B0CE963"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 xml:space="preserve">550,000 </w:t>
            </w:r>
          </w:p>
        </w:tc>
      </w:tr>
      <w:tr w:rsidR="000230E8" w:rsidRPr="00246162" w14:paraId="0505C666" w14:textId="77777777" w:rsidTr="000230E8">
        <w:tblPrEx>
          <w:tblCellMar>
            <w:top w:w="0" w:type="dxa"/>
            <w:bottom w:w="0" w:type="dxa"/>
          </w:tblCellMar>
        </w:tblPrEx>
        <w:tc>
          <w:tcPr>
            <w:tcW w:w="3888" w:type="dxa"/>
            <w:shd w:val="clear" w:color="auto" w:fill="auto"/>
            <w:vAlign w:val="bottom"/>
          </w:tcPr>
          <w:p w14:paraId="6B9E7D0A" w14:textId="77777777" w:rsidR="000230E8" w:rsidRPr="00246162" w:rsidRDefault="000230E8" w:rsidP="000230E8">
            <w:pPr>
              <w:pStyle w:val="TableRowHead"/>
              <w:keepNext w:val="0"/>
              <w:widowControl w:val="0"/>
              <w:rPr>
                <w:rFonts w:ascii="Gill Sans" w:hAnsi="Gill Sans"/>
                <w:sz w:val="24"/>
                <w:lang w:val="en-GB" w:eastAsia="en-GB"/>
              </w:rPr>
            </w:pPr>
            <w:r w:rsidRPr="00246162">
              <w:rPr>
                <w:rFonts w:ascii="Gill Sans" w:hAnsi="Gill Sans"/>
                <w:sz w:val="24"/>
                <w:lang w:val="en-GB" w:eastAsia="en-GB"/>
              </w:rPr>
              <w:t>Interest on scheme liabilities</w:t>
            </w:r>
          </w:p>
        </w:tc>
        <w:tc>
          <w:tcPr>
            <w:tcW w:w="2484" w:type="dxa"/>
            <w:shd w:val="clear" w:color="auto" w:fill="auto"/>
            <w:vAlign w:val="bottom"/>
          </w:tcPr>
          <w:p w14:paraId="3A2FEBD5"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 xml:space="preserve">940,000 </w:t>
            </w:r>
          </w:p>
        </w:tc>
        <w:tc>
          <w:tcPr>
            <w:tcW w:w="2484" w:type="dxa"/>
            <w:shd w:val="clear" w:color="auto" w:fill="auto"/>
            <w:vAlign w:val="bottom"/>
          </w:tcPr>
          <w:p w14:paraId="5B772651"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 xml:space="preserve">1,000,000 </w:t>
            </w:r>
          </w:p>
        </w:tc>
      </w:tr>
      <w:tr w:rsidR="000230E8" w:rsidRPr="00246162" w14:paraId="4A80EE3A" w14:textId="77777777" w:rsidTr="000230E8">
        <w:tblPrEx>
          <w:tblCellMar>
            <w:top w:w="0" w:type="dxa"/>
            <w:bottom w:w="0" w:type="dxa"/>
          </w:tblCellMar>
        </w:tblPrEx>
        <w:tc>
          <w:tcPr>
            <w:tcW w:w="3888" w:type="dxa"/>
            <w:shd w:val="clear" w:color="auto" w:fill="auto"/>
            <w:vAlign w:val="bottom"/>
          </w:tcPr>
          <w:p w14:paraId="4998E9C8" w14:textId="77777777" w:rsidR="000230E8" w:rsidRPr="00246162" w:rsidRDefault="000230E8" w:rsidP="000230E8">
            <w:pPr>
              <w:pStyle w:val="TableRowHead"/>
              <w:keepNext w:val="0"/>
              <w:widowControl w:val="0"/>
              <w:rPr>
                <w:rFonts w:ascii="Gill Sans" w:hAnsi="Gill Sans"/>
                <w:sz w:val="24"/>
                <w:lang w:val="en-GB" w:eastAsia="en-GB"/>
              </w:rPr>
            </w:pPr>
            <w:r w:rsidRPr="00246162">
              <w:rPr>
                <w:rFonts w:ascii="Gill Sans" w:hAnsi="Gill Sans"/>
                <w:sz w:val="24"/>
                <w:lang w:val="en-GB" w:eastAsia="en-GB"/>
              </w:rPr>
              <w:t>Benefits payable</w:t>
            </w:r>
          </w:p>
        </w:tc>
        <w:tc>
          <w:tcPr>
            <w:tcW w:w="2484" w:type="dxa"/>
            <w:shd w:val="clear" w:color="auto" w:fill="auto"/>
            <w:vAlign w:val="bottom"/>
          </w:tcPr>
          <w:p w14:paraId="0A4D7660"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580,000)</w:t>
            </w:r>
          </w:p>
        </w:tc>
        <w:tc>
          <w:tcPr>
            <w:tcW w:w="2484" w:type="dxa"/>
            <w:shd w:val="clear" w:color="auto" w:fill="auto"/>
            <w:vAlign w:val="bottom"/>
          </w:tcPr>
          <w:p w14:paraId="58C2F6BF"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531,000)</w:t>
            </w:r>
          </w:p>
        </w:tc>
      </w:tr>
      <w:tr w:rsidR="000230E8" w:rsidRPr="00246162" w14:paraId="313EA155" w14:textId="77777777" w:rsidTr="000230E8">
        <w:tblPrEx>
          <w:tblCellMar>
            <w:top w:w="0" w:type="dxa"/>
            <w:bottom w:w="0" w:type="dxa"/>
          </w:tblCellMar>
        </w:tblPrEx>
        <w:tc>
          <w:tcPr>
            <w:tcW w:w="3888" w:type="dxa"/>
            <w:shd w:val="clear" w:color="auto" w:fill="auto"/>
            <w:vAlign w:val="bottom"/>
          </w:tcPr>
          <w:p w14:paraId="4F40160A" w14:textId="77777777" w:rsidR="000230E8" w:rsidRPr="00246162" w:rsidRDefault="000230E8" w:rsidP="000230E8">
            <w:pPr>
              <w:pStyle w:val="TableRowHead"/>
              <w:keepNext w:val="0"/>
              <w:widowControl w:val="0"/>
              <w:rPr>
                <w:rFonts w:ascii="Gill Sans" w:hAnsi="Gill Sans"/>
                <w:sz w:val="24"/>
                <w:lang w:val="en-GB" w:eastAsia="en-GB"/>
              </w:rPr>
            </w:pPr>
            <w:r w:rsidRPr="00246162">
              <w:rPr>
                <w:rFonts w:ascii="Gill Sans" w:hAnsi="Gill Sans"/>
                <w:sz w:val="24"/>
                <w:lang w:val="en-GB" w:eastAsia="en-GB"/>
              </w:rPr>
              <w:t>Actuarial loss recognised in STRGL</w:t>
            </w:r>
          </w:p>
        </w:tc>
        <w:tc>
          <w:tcPr>
            <w:tcW w:w="2484" w:type="dxa"/>
            <w:shd w:val="clear" w:color="auto" w:fill="auto"/>
            <w:vAlign w:val="bottom"/>
          </w:tcPr>
          <w:p w14:paraId="689A57D8"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1,260,000)</w:t>
            </w:r>
          </w:p>
        </w:tc>
        <w:tc>
          <w:tcPr>
            <w:tcW w:w="2484" w:type="dxa"/>
            <w:shd w:val="clear" w:color="auto" w:fill="auto"/>
            <w:vAlign w:val="bottom"/>
          </w:tcPr>
          <w:p w14:paraId="0428EDFC" w14:textId="77777777" w:rsidR="000230E8" w:rsidRPr="00246162" w:rsidRDefault="000230E8" w:rsidP="000230E8">
            <w:pPr>
              <w:spacing w:after="0"/>
              <w:jc w:val="right"/>
              <w:rPr>
                <w:rFonts w:cs="Arial"/>
                <w:sz w:val="24"/>
                <w:lang w:val="en-GB" w:eastAsia="en-GB"/>
              </w:rPr>
            </w:pPr>
            <w:r w:rsidRPr="00246162">
              <w:rPr>
                <w:rFonts w:cs="Arial"/>
                <w:sz w:val="24"/>
                <w:lang w:val="en-GB" w:eastAsia="en-GB"/>
              </w:rPr>
              <w:t>(€</w:t>
            </w:r>
            <w:r w:rsidRPr="00246162">
              <w:rPr>
                <w:rFonts w:cs="Gill Sans"/>
                <w:sz w:val="24"/>
                <w:lang w:val="en-GB" w:eastAsia="en-GB"/>
              </w:rPr>
              <w:t>2,419,000)</w:t>
            </w:r>
          </w:p>
        </w:tc>
      </w:tr>
      <w:tr w:rsidR="000230E8" w:rsidRPr="00246162" w14:paraId="0F3CA3D6" w14:textId="77777777" w:rsidTr="000230E8">
        <w:tblPrEx>
          <w:tblCellMar>
            <w:top w:w="0" w:type="dxa"/>
            <w:bottom w:w="0" w:type="dxa"/>
          </w:tblCellMar>
        </w:tblPrEx>
        <w:tc>
          <w:tcPr>
            <w:tcW w:w="3888" w:type="dxa"/>
            <w:shd w:val="clear" w:color="auto" w:fill="auto"/>
            <w:vAlign w:val="bottom"/>
          </w:tcPr>
          <w:p w14:paraId="4AC009FA" w14:textId="77777777" w:rsidR="000230E8" w:rsidRPr="00246162" w:rsidRDefault="000230E8" w:rsidP="000230E8">
            <w:pPr>
              <w:pStyle w:val="TableRowHead"/>
              <w:keepNext w:val="0"/>
              <w:widowControl w:val="0"/>
              <w:rPr>
                <w:rFonts w:ascii="Gill Sans" w:hAnsi="Gill Sans"/>
                <w:sz w:val="24"/>
                <w:lang w:val="en-GB" w:eastAsia="en-GB"/>
              </w:rPr>
            </w:pPr>
            <w:r w:rsidRPr="00246162">
              <w:rPr>
                <w:rFonts w:ascii="Gill Sans" w:hAnsi="Gill Sans"/>
                <w:sz w:val="24"/>
                <w:lang w:val="en-GB" w:eastAsia="en-GB"/>
              </w:rPr>
              <w:t>Pension Liability</w:t>
            </w:r>
          </w:p>
        </w:tc>
        <w:tc>
          <w:tcPr>
            <w:tcW w:w="2484" w:type="dxa"/>
            <w:shd w:val="clear" w:color="auto" w:fill="auto"/>
            <w:vAlign w:val="bottom"/>
          </w:tcPr>
          <w:p w14:paraId="444B9C54" w14:textId="77777777" w:rsidR="000230E8" w:rsidRPr="00246162" w:rsidRDefault="00246162" w:rsidP="000230E8">
            <w:pPr>
              <w:spacing w:after="0"/>
              <w:jc w:val="right"/>
              <w:rPr>
                <w:rFonts w:cs="Arial"/>
                <w:b/>
                <w:sz w:val="24"/>
                <w:lang w:val="en-GB" w:eastAsia="en-GB"/>
              </w:rPr>
            </w:pPr>
            <w:r>
              <w:rPr>
                <w:rFonts w:ascii="Arial" w:hAnsi="Arial" w:cs="Arial"/>
                <w:b/>
                <w:sz w:val="24"/>
                <w:lang w:val="en-GB" w:eastAsia="en-GB"/>
              </w:rPr>
              <w:t>€</w:t>
            </w:r>
            <w:r w:rsidR="000230E8" w:rsidRPr="00246162">
              <w:rPr>
                <w:rFonts w:cs="Gill Sans"/>
                <w:b/>
                <w:sz w:val="24"/>
                <w:lang w:val="en-GB" w:eastAsia="en-GB"/>
              </w:rPr>
              <w:t xml:space="preserve">16,700,000 </w:t>
            </w:r>
          </w:p>
        </w:tc>
        <w:tc>
          <w:tcPr>
            <w:tcW w:w="2484" w:type="dxa"/>
            <w:shd w:val="clear" w:color="auto" w:fill="auto"/>
            <w:vAlign w:val="bottom"/>
          </w:tcPr>
          <w:p w14:paraId="23B91A8F" w14:textId="77777777" w:rsidR="000230E8" w:rsidRPr="00246162" w:rsidRDefault="00246162" w:rsidP="000230E8">
            <w:pPr>
              <w:spacing w:after="0"/>
              <w:jc w:val="right"/>
              <w:rPr>
                <w:rFonts w:cs="Arial"/>
                <w:b/>
                <w:sz w:val="24"/>
                <w:lang w:val="en-GB" w:eastAsia="en-GB"/>
              </w:rPr>
            </w:pPr>
            <w:r>
              <w:rPr>
                <w:rFonts w:ascii="Arial" w:hAnsi="Arial" w:cs="Arial"/>
                <w:b/>
                <w:sz w:val="24"/>
                <w:lang w:val="en-GB" w:eastAsia="en-GB"/>
              </w:rPr>
              <w:t>€</w:t>
            </w:r>
            <w:r w:rsidR="000230E8" w:rsidRPr="00246162">
              <w:rPr>
                <w:rFonts w:cs="Gill Sans"/>
                <w:b/>
                <w:sz w:val="24"/>
                <w:lang w:val="en-GB" w:eastAsia="en-GB"/>
              </w:rPr>
              <w:t xml:space="preserve">17,100,000 </w:t>
            </w:r>
          </w:p>
        </w:tc>
      </w:tr>
    </w:tbl>
    <w:p w14:paraId="246611F3" w14:textId="77777777" w:rsidR="000230E8" w:rsidRDefault="000230E8" w:rsidP="000230E8">
      <w:pPr>
        <w:pStyle w:val="TableTitle"/>
        <w:jc w:val="left"/>
        <w:rPr>
          <w:lang w:val="en-GB" w:eastAsia="en-GB"/>
        </w:rPr>
      </w:pPr>
      <w:r>
        <w:br/>
      </w:r>
      <w:r w:rsidRPr="00826690">
        <w:rPr>
          <w:lang w:val="en-GB" w:eastAsia="en-GB"/>
        </w:rPr>
        <w:t>History of experience gains and losses</w:t>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988"/>
        <w:gridCol w:w="1485"/>
        <w:gridCol w:w="1485"/>
        <w:gridCol w:w="1485"/>
        <w:gridCol w:w="1485"/>
      </w:tblGrid>
      <w:tr w:rsidR="000230E8" w:rsidRPr="009079DB" w14:paraId="66A8E122" w14:textId="77777777" w:rsidTr="000230E8">
        <w:tblPrEx>
          <w:tblCellMar>
            <w:top w:w="0" w:type="dxa"/>
            <w:bottom w:w="0" w:type="dxa"/>
          </w:tblCellMar>
        </w:tblPrEx>
        <w:trPr>
          <w:tblHeader/>
        </w:trPr>
        <w:tc>
          <w:tcPr>
            <w:tcW w:w="8928" w:type="dxa"/>
            <w:gridSpan w:val="5"/>
            <w:shd w:val="clear" w:color="auto" w:fill="auto"/>
          </w:tcPr>
          <w:p w14:paraId="7ACB5C82" w14:textId="77777777" w:rsidR="000230E8" w:rsidRPr="00246162" w:rsidRDefault="000230E8" w:rsidP="000230E8">
            <w:pPr>
              <w:pStyle w:val="TableHead"/>
              <w:keepNext/>
              <w:widowControl w:val="0"/>
              <w:rPr>
                <w:sz w:val="24"/>
                <w:lang w:val="en-GB" w:eastAsia="en-GB"/>
              </w:rPr>
            </w:pPr>
            <w:r w:rsidRPr="00246162">
              <w:rPr>
                <w:sz w:val="24"/>
                <w:lang w:val="en-GB" w:eastAsia="en-GB"/>
              </w:rPr>
              <w:t>Experience (gains) / losses on scheme liabilities</w:t>
            </w:r>
          </w:p>
        </w:tc>
      </w:tr>
      <w:tr w:rsidR="000230E8" w:rsidRPr="009079DB" w14:paraId="3EB0D853" w14:textId="77777777" w:rsidTr="000230E8">
        <w:tblPrEx>
          <w:tblCellMar>
            <w:top w:w="0" w:type="dxa"/>
            <w:bottom w:w="0" w:type="dxa"/>
          </w:tblCellMar>
        </w:tblPrEx>
        <w:trPr>
          <w:tblHeader/>
        </w:trPr>
        <w:tc>
          <w:tcPr>
            <w:tcW w:w="2988" w:type="dxa"/>
            <w:shd w:val="clear" w:color="auto" w:fill="auto"/>
          </w:tcPr>
          <w:p w14:paraId="77D1C391" w14:textId="77777777" w:rsidR="000230E8" w:rsidRPr="00246162" w:rsidRDefault="000230E8" w:rsidP="000230E8">
            <w:pPr>
              <w:pStyle w:val="TableHead"/>
              <w:keepNext/>
              <w:widowControl w:val="0"/>
              <w:jc w:val="right"/>
              <w:rPr>
                <w:sz w:val="24"/>
              </w:rPr>
            </w:pPr>
          </w:p>
        </w:tc>
        <w:tc>
          <w:tcPr>
            <w:tcW w:w="1485" w:type="dxa"/>
            <w:shd w:val="clear" w:color="auto" w:fill="auto"/>
            <w:vAlign w:val="bottom"/>
          </w:tcPr>
          <w:p w14:paraId="4548994C" w14:textId="77777777" w:rsidR="000230E8" w:rsidRPr="00246162" w:rsidRDefault="000230E8" w:rsidP="000230E8">
            <w:pPr>
              <w:pStyle w:val="TableHead"/>
              <w:jc w:val="right"/>
              <w:rPr>
                <w:sz w:val="24"/>
                <w:lang w:val="en-GB" w:eastAsia="en-GB"/>
              </w:rPr>
            </w:pPr>
            <w:r w:rsidRPr="00246162">
              <w:rPr>
                <w:sz w:val="24"/>
                <w:lang w:val="en-GB" w:eastAsia="en-GB"/>
              </w:rPr>
              <w:t>2011</w:t>
            </w:r>
          </w:p>
        </w:tc>
        <w:tc>
          <w:tcPr>
            <w:tcW w:w="1485" w:type="dxa"/>
            <w:shd w:val="clear" w:color="auto" w:fill="auto"/>
            <w:vAlign w:val="bottom"/>
          </w:tcPr>
          <w:p w14:paraId="0D2DC9C3" w14:textId="77777777" w:rsidR="000230E8" w:rsidRPr="00246162" w:rsidRDefault="000230E8" w:rsidP="000230E8">
            <w:pPr>
              <w:pStyle w:val="TableHead"/>
              <w:jc w:val="right"/>
              <w:rPr>
                <w:sz w:val="24"/>
                <w:lang w:val="en-GB" w:eastAsia="en-GB"/>
              </w:rPr>
            </w:pPr>
            <w:r w:rsidRPr="00246162">
              <w:rPr>
                <w:sz w:val="24"/>
                <w:lang w:val="en-GB" w:eastAsia="en-GB"/>
              </w:rPr>
              <w:t>2010</w:t>
            </w:r>
          </w:p>
        </w:tc>
        <w:tc>
          <w:tcPr>
            <w:tcW w:w="1485" w:type="dxa"/>
            <w:shd w:val="clear" w:color="auto" w:fill="auto"/>
            <w:vAlign w:val="bottom"/>
          </w:tcPr>
          <w:p w14:paraId="30A1E674" w14:textId="77777777" w:rsidR="000230E8" w:rsidRPr="00246162" w:rsidRDefault="000230E8" w:rsidP="000230E8">
            <w:pPr>
              <w:pStyle w:val="TableHead"/>
              <w:jc w:val="right"/>
              <w:rPr>
                <w:sz w:val="24"/>
                <w:lang w:val="en-GB" w:eastAsia="en-GB"/>
              </w:rPr>
            </w:pPr>
            <w:r w:rsidRPr="00246162">
              <w:rPr>
                <w:sz w:val="24"/>
                <w:lang w:val="en-GB" w:eastAsia="en-GB"/>
              </w:rPr>
              <w:t>2009</w:t>
            </w:r>
          </w:p>
        </w:tc>
        <w:tc>
          <w:tcPr>
            <w:tcW w:w="1485" w:type="dxa"/>
            <w:shd w:val="clear" w:color="auto" w:fill="auto"/>
            <w:vAlign w:val="bottom"/>
          </w:tcPr>
          <w:p w14:paraId="4E12B4D9" w14:textId="77777777" w:rsidR="000230E8" w:rsidRPr="00246162" w:rsidRDefault="000230E8" w:rsidP="000230E8">
            <w:pPr>
              <w:pStyle w:val="TableHead"/>
              <w:jc w:val="right"/>
              <w:rPr>
                <w:sz w:val="24"/>
                <w:lang w:val="en-GB" w:eastAsia="en-GB"/>
              </w:rPr>
            </w:pPr>
            <w:r w:rsidRPr="00246162">
              <w:rPr>
                <w:sz w:val="24"/>
                <w:lang w:val="en-GB" w:eastAsia="en-GB"/>
              </w:rPr>
              <w:t>2008</w:t>
            </w:r>
          </w:p>
        </w:tc>
      </w:tr>
      <w:tr w:rsidR="000230E8" w:rsidRPr="009079DB" w14:paraId="0F0AB7AF" w14:textId="77777777" w:rsidTr="000230E8">
        <w:tblPrEx>
          <w:tblCellMar>
            <w:top w:w="0" w:type="dxa"/>
            <w:bottom w:w="0" w:type="dxa"/>
          </w:tblCellMar>
        </w:tblPrEx>
        <w:tc>
          <w:tcPr>
            <w:tcW w:w="2988" w:type="dxa"/>
            <w:shd w:val="clear" w:color="auto" w:fill="auto"/>
            <w:vAlign w:val="bottom"/>
          </w:tcPr>
          <w:p w14:paraId="2167CCC9" w14:textId="77777777" w:rsidR="000230E8" w:rsidRPr="00246162" w:rsidRDefault="000230E8" w:rsidP="000230E8">
            <w:pPr>
              <w:pStyle w:val="TableRowHead"/>
              <w:widowControl w:val="0"/>
              <w:rPr>
                <w:rFonts w:ascii="Gill Sans" w:hAnsi="Gill Sans"/>
                <w:sz w:val="24"/>
                <w:lang w:val="en-GB" w:eastAsia="en-GB"/>
              </w:rPr>
            </w:pPr>
            <w:r w:rsidRPr="00246162">
              <w:rPr>
                <w:rFonts w:ascii="Gill Sans" w:hAnsi="Gill Sans"/>
                <w:sz w:val="24"/>
                <w:lang w:val="en-GB" w:eastAsia="en-GB"/>
              </w:rPr>
              <w:t>amount</w:t>
            </w:r>
          </w:p>
        </w:tc>
        <w:tc>
          <w:tcPr>
            <w:tcW w:w="1485" w:type="dxa"/>
            <w:shd w:val="clear" w:color="auto" w:fill="auto"/>
            <w:vAlign w:val="bottom"/>
          </w:tcPr>
          <w:p w14:paraId="2627EC53" w14:textId="77777777" w:rsidR="000230E8" w:rsidRPr="00246162" w:rsidRDefault="000230E8" w:rsidP="000230E8">
            <w:pPr>
              <w:pStyle w:val="TableCell"/>
              <w:rPr>
                <w:sz w:val="24"/>
                <w:lang w:val="en-GB" w:eastAsia="en-GB"/>
              </w:rPr>
            </w:pPr>
            <w:r w:rsidRPr="00246162">
              <w:rPr>
                <w:sz w:val="24"/>
                <w:lang w:val="en-GB" w:eastAsia="en-GB"/>
              </w:rPr>
              <w:t>(€1,260,000)</w:t>
            </w:r>
          </w:p>
        </w:tc>
        <w:tc>
          <w:tcPr>
            <w:tcW w:w="1485" w:type="dxa"/>
            <w:shd w:val="clear" w:color="auto" w:fill="auto"/>
            <w:vAlign w:val="bottom"/>
          </w:tcPr>
          <w:p w14:paraId="64A1F38F" w14:textId="77777777" w:rsidR="000230E8" w:rsidRPr="00246162" w:rsidRDefault="000230E8" w:rsidP="000230E8">
            <w:pPr>
              <w:pStyle w:val="TableCell"/>
              <w:rPr>
                <w:sz w:val="24"/>
                <w:lang w:val="en-GB" w:eastAsia="en-GB"/>
              </w:rPr>
            </w:pPr>
            <w:r w:rsidRPr="00246162">
              <w:rPr>
                <w:sz w:val="24"/>
                <w:lang w:val="en-GB" w:eastAsia="en-GB"/>
              </w:rPr>
              <w:t>(</w:t>
            </w:r>
            <w:r w:rsidRPr="00246162">
              <w:rPr>
                <w:rFonts w:cs="Arial"/>
                <w:sz w:val="24"/>
                <w:lang w:val="en-GB" w:eastAsia="en-GB"/>
              </w:rPr>
              <w:t>€</w:t>
            </w:r>
            <w:r w:rsidRPr="00246162">
              <w:rPr>
                <w:rFonts w:cs="Gill Sans"/>
                <w:sz w:val="24"/>
                <w:lang w:val="en-GB" w:eastAsia="en-GB"/>
              </w:rPr>
              <w:t>2,419,000)</w:t>
            </w:r>
          </w:p>
        </w:tc>
        <w:tc>
          <w:tcPr>
            <w:tcW w:w="1485" w:type="dxa"/>
            <w:shd w:val="clear" w:color="auto" w:fill="auto"/>
            <w:vAlign w:val="bottom"/>
          </w:tcPr>
          <w:p w14:paraId="340992C3" w14:textId="77777777" w:rsidR="000230E8" w:rsidRPr="00246162" w:rsidRDefault="000230E8" w:rsidP="000230E8">
            <w:pPr>
              <w:pStyle w:val="TableCell"/>
              <w:rPr>
                <w:sz w:val="24"/>
                <w:lang w:val="en-GB" w:eastAsia="en-GB"/>
              </w:rPr>
            </w:pPr>
            <w:r w:rsidRPr="00246162">
              <w:rPr>
                <w:sz w:val="24"/>
                <w:lang w:val="en-GB" w:eastAsia="en-GB"/>
              </w:rPr>
              <w:t>(</w:t>
            </w:r>
            <w:r w:rsidRPr="00246162">
              <w:rPr>
                <w:rFonts w:cs="Arial"/>
                <w:sz w:val="24"/>
                <w:lang w:val="en-GB" w:eastAsia="en-GB"/>
              </w:rPr>
              <w:t>€</w:t>
            </w:r>
            <w:r w:rsidRPr="00246162">
              <w:rPr>
                <w:rFonts w:cs="Gill Sans"/>
                <w:sz w:val="24"/>
                <w:lang w:val="en-GB" w:eastAsia="en-GB"/>
              </w:rPr>
              <w:t>300,000)</w:t>
            </w:r>
          </w:p>
        </w:tc>
        <w:tc>
          <w:tcPr>
            <w:tcW w:w="1485" w:type="dxa"/>
            <w:shd w:val="clear" w:color="auto" w:fill="auto"/>
            <w:vAlign w:val="bottom"/>
          </w:tcPr>
          <w:p w14:paraId="6E500633" w14:textId="77777777" w:rsidR="000230E8" w:rsidRPr="00246162" w:rsidRDefault="000230E8" w:rsidP="000230E8">
            <w:pPr>
              <w:pStyle w:val="TableCell"/>
              <w:rPr>
                <w:sz w:val="24"/>
                <w:lang w:val="en-GB" w:eastAsia="en-GB"/>
              </w:rPr>
            </w:pPr>
            <w:r w:rsidRPr="00246162">
              <w:rPr>
                <w:sz w:val="24"/>
                <w:lang w:val="en-GB" w:eastAsia="en-GB"/>
              </w:rPr>
              <w:t xml:space="preserve">245,000 </w:t>
            </w:r>
          </w:p>
        </w:tc>
      </w:tr>
      <w:tr w:rsidR="000230E8" w:rsidRPr="009079DB" w14:paraId="723C92DB" w14:textId="77777777" w:rsidTr="000230E8">
        <w:tblPrEx>
          <w:tblCellMar>
            <w:top w:w="0" w:type="dxa"/>
            <w:bottom w:w="0" w:type="dxa"/>
          </w:tblCellMar>
        </w:tblPrEx>
        <w:tc>
          <w:tcPr>
            <w:tcW w:w="2988" w:type="dxa"/>
            <w:shd w:val="clear" w:color="auto" w:fill="auto"/>
            <w:vAlign w:val="bottom"/>
          </w:tcPr>
          <w:p w14:paraId="29357072" w14:textId="77777777" w:rsidR="000230E8" w:rsidRPr="00246162" w:rsidRDefault="000230E8" w:rsidP="000230E8">
            <w:pPr>
              <w:pStyle w:val="TableRowHead"/>
              <w:widowControl w:val="0"/>
              <w:rPr>
                <w:rFonts w:ascii="Gill Sans" w:hAnsi="Gill Sans"/>
                <w:sz w:val="24"/>
                <w:lang w:val="en-GB" w:eastAsia="en-GB"/>
              </w:rPr>
            </w:pPr>
            <w:r w:rsidRPr="00246162">
              <w:rPr>
                <w:rFonts w:ascii="Gill Sans" w:hAnsi="Gill Sans"/>
                <w:sz w:val="24"/>
                <w:lang w:val="en-GB" w:eastAsia="en-GB"/>
              </w:rPr>
              <w:t>percentage of the present value of the scheme liabilities</w:t>
            </w:r>
          </w:p>
        </w:tc>
        <w:tc>
          <w:tcPr>
            <w:tcW w:w="1485" w:type="dxa"/>
            <w:shd w:val="clear" w:color="auto" w:fill="auto"/>
            <w:vAlign w:val="bottom"/>
          </w:tcPr>
          <w:p w14:paraId="02277DEA" w14:textId="77777777" w:rsidR="000230E8" w:rsidRPr="00246162" w:rsidRDefault="000230E8" w:rsidP="000230E8">
            <w:pPr>
              <w:pStyle w:val="TableCell"/>
              <w:rPr>
                <w:sz w:val="24"/>
                <w:lang w:val="en-GB" w:eastAsia="en-GB"/>
              </w:rPr>
            </w:pPr>
            <w:r w:rsidRPr="00246162">
              <w:rPr>
                <w:sz w:val="24"/>
                <w:lang w:val="en-GB" w:eastAsia="en-GB"/>
              </w:rPr>
              <w:t>(8%)</w:t>
            </w:r>
          </w:p>
        </w:tc>
        <w:tc>
          <w:tcPr>
            <w:tcW w:w="1485" w:type="dxa"/>
            <w:shd w:val="clear" w:color="auto" w:fill="auto"/>
            <w:vAlign w:val="bottom"/>
          </w:tcPr>
          <w:p w14:paraId="40162BD6" w14:textId="77777777" w:rsidR="000230E8" w:rsidRPr="00246162" w:rsidRDefault="000230E8" w:rsidP="000230E8">
            <w:pPr>
              <w:pStyle w:val="TableCell"/>
              <w:rPr>
                <w:sz w:val="24"/>
                <w:lang w:val="en-GB" w:eastAsia="en-GB"/>
              </w:rPr>
            </w:pPr>
            <w:r w:rsidRPr="00246162">
              <w:rPr>
                <w:sz w:val="24"/>
                <w:lang w:val="en-GB" w:eastAsia="en-GB"/>
              </w:rPr>
              <w:t>(14%)</w:t>
            </w:r>
          </w:p>
        </w:tc>
        <w:tc>
          <w:tcPr>
            <w:tcW w:w="1485" w:type="dxa"/>
            <w:shd w:val="clear" w:color="auto" w:fill="auto"/>
            <w:vAlign w:val="bottom"/>
          </w:tcPr>
          <w:p w14:paraId="2D9C8291" w14:textId="77777777" w:rsidR="000230E8" w:rsidRPr="00246162" w:rsidRDefault="000230E8" w:rsidP="000230E8">
            <w:pPr>
              <w:pStyle w:val="TableCell"/>
              <w:rPr>
                <w:sz w:val="24"/>
                <w:lang w:val="en-GB" w:eastAsia="en-GB"/>
              </w:rPr>
            </w:pPr>
            <w:r w:rsidRPr="00246162">
              <w:rPr>
                <w:sz w:val="24"/>
                <w:lang w:val="en-GB" w:eastAsia="en-GB"/>
              </w:rPr>
              <w:t>-2.0%</w:t>
            </w:r>
          </w:p>
        </w:tc>
        <w:tc>
          <w:tcPr>
            <w:tcW w:w="1485" w:type="dxa"/>
            <w:shd w:val="clear" w:color="auto" w:fill="auto"/>
            <w:vAlign w:val="bottom"/>
          </w:tcPr>
          <w:p w14:paraId="6849CCA4" w14:textId="77777777" w:rsidR="000230E8" w:rsidRPr="00246162" w:rsidRDefault="000230E8" w:rsidP="000230E8">
            <w:pPr>
              <w:pStyle w:val="TableCell"/>
              <w:rPr>
                <w:sz w:val="24"/>
                <w:lang w:val="en-GB" w:eastAsia="en-GB"/>
              </w:rPr>
            </w:pPr>
            <w:r w:rsidRPr="00246162">
              <w:rPr>
                <w:sz w:val="24"/>
                <w:lang w:val="en-GB" w:eastAsia="en-GB"/>
              </w:rPr>
              <w:t>2%</w:t>
            </w:r>
          </w:p>
        </w:tc>
      </w:tr>
    </w:tbl>
    <w:p w14:paraId="18DACF40" w14:textId="77777777" w:rsidR="000230E8" w:rsidRDefault="000230E8" w:rsidP="00246162">
      <w:pPr>
        <w:pStyle w:val="Heading4"/>
        <w:rPr>
          <w:lang w:val="en-GB" w:eastAsia="en-GB"/>
        </w:rPr>
      </w:pPr>
      <w:r>
        <w:rPr>
          <w:lang w:val="en-GB" w:eastAsia="en-GB"/>
        </w:rPr>
        <w:br/>
      </w:r>
      <w:bookmarkStart w:id="258" w:name="_Toc335836407"/>
      <w:r w:rsidRPr="00826690">
        <w:rPr>
          <w:lang w:val="en-GB" w:eastAsia="en-GB"/>
        </w:rPr>
        <w:t>Pension Levy Contributions</w:t>
      </w:r>
      <w:bookmarkEnd w:id="258"/>
    </w:p>
    <w:p w14:paraId="1D4D8F1D" w14:textId="77777777" w:rsidR="000230E8" w:rsidRDefault="000230E8" w:rsidP="000230E8">
      <w:pPr>
        <w:rPr>
          <w:lang w:val="en-GB" w:eastAsia="en-GB"/>
        </w:rPr>
      </w:pPr>
      <w:r w:rsidRPr="00567CF6">
        <w:rPr>
          <w:rFonts w:cs="Arial"/>
        </w:rPr>
        <w:t>€</w:t>
      </w:r>
      <w:r w:rsidRPr="00567CF6">
        <w:rPr>
          <w:rFonts w:cs="Gill Sans"/>
        </w:rPr>
        <w:t>1</w:t>
      </w:r>
      <w:r w:rsidRPr="00567CF6">
        <w:t>22,791 was</w:t>
      </w:r>
      <w:r w:rsidRPr="00826690">
        <w:rPr>
          <w:lang w:val="en-GB" w:eastAsia="en-GB"/>
        </w:rPr>
        <w:t xml:space="preserve"> deducted from staff by way of pension levy and retained by the Department of Justice </w:t>
      </w:r>
      <w:r>
        <w:rPr>
          <w:lang w:val="en-GB" w:eastAsia="en-GB"/>
        </w:rPr>
        <w:t>and Equality.</w:t>
      </w:r>
    </w:p>
    <w:p w14:paraId="4377FC3D" w14:textId="77777777" w:rsidR="000230E8" w:rsidRDefault="000230E8" w:rsidP="000230E8">
      <w:pPr>
        <w:pStyle w:val="TableTitle"/>
        <w:jc w:val="left"/>
        <w:rPr>
          <w:lang w:val="en-GB" w:eastAsia="en-GB"/>
        </w:rPr>
      </w:pPr>
      <w:r w:rsidRPr="009079DB">
        <w:rPr>
          <w:lang w:val="en-GB" w:eastAsia="en-GB"/>
        </w:rPr>
        <w:t xml:space="preserve">11. </w:t>
      </w:r>
      <w:r>
        <w:rPr>
          <w:lang w:val="en-GB" w:eastAsia="en-GB"/>
        </w:rPr>
        <w:t>Creditors a</w:t>
      </w:r>
      <w:r w:rsidRPr="009079DB">
        <w:rPr>
          <w:lang w:val="en-GB" w:eastAsia="en-GB"/>
        </w:rPr>
        <w:t>nd Accruals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0230E8" w:rsidRPr="00AF114C" w14:paraId="3186947F" w14:textId="77777777" w:rsidTr="000230E8">
        <w:tblPrEx>
          <w:tblCellMar>
            <w:top w:w="0" w:type="dxa"/>
            <w:bottom w:w="0" w:type="dxa"/>
          </w:tblCellMar>
        </w:tblPrEx>
        <w:trPr>
          <w:tblHeader/>
        </w:trPr>
        <w:tc>
          <w:tcPr>
            <w:tcW w:w="4788" w:type="dxa"/>
            <w:shd w:val="clear" w:color="auto" w:fill="auto"/>
          </w:tcPr>
          <w:p w14:paraId="6D148C8B" w14:textId="77777777" w:rsidR="000230E8" w:rsidRPr="00AF114C" w:rsidRDefault="000230E8" w:rsidP="000230E8">
            <w:pPr>
              <w:pStyle w:val="TableHead"/>
              <w:jc w:val="right"/>
            </w:pPr>
          </w:p>
        </w:tc>
        <w:tc>
          <w:tcPr>
            <w:tcW w:w="2034" w:type="dxa"/>
            <w:shd w:val="clear" w:color="auto" w:fill="auto"/>
            <w:vAlign w:val="bottom"/>
          </w:tcPr>
          <w:p w14:paraId="4860AF46" w14:textId="77777777" w:rsidR="000230E8" w:rsidRPr="000626A3" w:rsidRDefault="000230E8" w:rsidP="000230E8">
            <w:pPr>
              <w:pStyle w:val="TableHead"/>
              <w:jc w:val="right"/>
              <w:rPr>
                <w:sz w:val="24"/>
                <w:lang w:val="en-GB" w:eastAsia="en-GB"/>
              </w:rPr>
            </w:pPr>
            <w:r w:rsidRPr="000626A3">
              <w:rPr>
                <w:sz w:val="24"/>
                <w:lang w:val="en-GB" w:eastAsia="en-GB"/>
              </w:rPr>
              <w:t>2011</w:t>
            </w:r>
          </w:p>
        </w:tc>
        <w:tc>
          <w:tcPr>
            <w:tcW w:w="2034" w:type="dxa"/>
            <w:shd w:val="clear" w:color="auto" w:fill="auto"/>
            <w:vAlign w:val="bottom"/>
          </w:tcPr>
          <w:p w14:paraId="4030F728" w14:textId="77777777" w:rsidR="000230E8" w:rsidRPr="000626A3" w:rsidRDefault="000230E8" w:rsidP="000230E8">
            <w:pPr>
              <w:pStyle w:val="TableHead"/>
              <w:jc w:val="right"/>
              <w:rPr>
                <w:sz w:val="24"/>
                <w:lang w:val="en-GB" w:eastAsia="en-GB"/>
              </w:rPr>
            </w:pPr>
            <w:r w:rsidRPr="000626A3">
              <w:rPr>
                <w:sz w:val="24"/>
                <w:lang w:val="en-GB" w:eastAsia="en-GB"/>
              </w:rPr>
              <w:t>2010</w:t>
            </w:r>
          </w:p>
        </w:tc>
      </w:tr>
      <w:tr w:rsidR="000230E8" w:rsidRPr="00AF114C" w14:paraId="1B4A76CB" w14:textId="77777777" w:rsidTr="000230E8">
        <w:tblPrEx>
          <w:tblCellMar>
            <w:top w:w="0" w:type="dxa"/>
            <w:bottom w:w="0" w:type="dxa"/>
          </w:tblCellMar>
        </w:tblPrEx>
        <w:tc>
          <w:tcPr>
            <w:tcW w:w="4788" w:type="dxa"/>
            <w:shd w:val="clear" w:color="auto" w:fill="auto"/>
          </w:tcPr>
          <w:p w14:paraId="12FB933F" w14:textId="77777777" w:rsidR="000230E8" w:rsidRPr="00AF114C" w:rsidRDefault="000230E8" w:rsidP="000230E8">
            <w:pPr>
              <w:pStyle w:val="TableRowHead"/>
            </w:pPr>
          </w:p>
        </w:tc>
        <w:tc>
          <w:tcPr>
            <w:tcW w:w="2034" w:type="dxa"/>
            <w:shd w:val="clear" w:color="auto" w:fill="auto"/>
            <w:vAlign w:val="bottom"/>
          </w:tcPr>
          <w:p w14:paraId="584C99D3" w14:textId="77777777" w:rsidR="000230E8" w:rsidRPr="00B22912" w:rsidRDefault="000230E8" w:rsidP="000230E8">
            <w:pPr>
              <w:spacing w:after="0"/>
              <w:jc w:val="right"/>
              <w:rPr>
                <w:rFonts w:cs="Arial"/>
                <w:b/>
                <w:bCs/>
                <w:sz w:val="22"/>
                <w:szCs w:val="22"/>
                <w:lang w:val="en-GB" w:eastAsia="en-GB"/>
              </w:rPr>
            </w:pPr>
            <w:r w:rsidRPr="00B22912">
              <w:rPr>
                <w:rFonts w:cs="Arial"/>
                <w:b/>
                <w:bCs/>
                <w:sz w:val="22"/>
                <w:szCs w:val="22"/>
                <w:lang w:val="en-GB" w:eastAsia="en-GB"/>
              </w:rPr>
              <w:t xml:space="preserve">          </w:t>
            </w:r>
            <w:r w:rsidRPr="00B22912">
              <w:rPr>
                <w:rFonts w:ascii="Arial" w:hAnsi="Arial" w:cs="Arial"/>
                <w:b/>
                <w:bCs/>
                <w:sz w:val="22"/>
                <w:szCs w:val="22"/>
                <w:lang w:val="en-GB" w:eastAsia="en-GB"/>
              </w:rPr>
              <w:t>€</w:t>
            </w:r>
          </w:p>
        </w:tc>
        <w:tc>
          <w:tcPr>
            <w:tcW w:w="2034" w:type="dxa"/>
            <w:shd w:val="clear" w:color="auto" w:fill="auto"/>
            <w:vAlign w:val="bottom"/>
          </w:tcPr>
          <w:p w14:paraId="0DB60780" w14:textId="77777777" w:rsidR="000230E8" w:rsidRPr="00B22912" w:rsidRDefault="000230E8" w:rsidP="000230E8">
            <w:pPr>
              <w:spacing w:after="0"/>
              <w:jc w:val="right"/>
              <w:rPr>
                <w:rFonts w:cs="Arial"/>
                <w:b/>
                <w:bCs/>
                <w:sz w:val="22"/>
                <w:szCs w:val="22"/>
                <w:lang w:val="en-GB" w:eastAsia="en-GB"/>
              </w:rPr>
            </w:pPr>
            <w:r w:rsidRPr="00B22912">
              <w:rPr>
                <w:rFonts w:cs="Arial"/>
                <w:b/>
                <w:bCs/>
                <w:sz w:val="22"/>
                <w:szCs w:val="22"/>
                <w:lang w:val="en-GB" w:eastAsia="en-GB"/>
              </w:rPr>
              <w:t xml:space="preserve">          </w:t>
            </w:r>
            <w:r w:rsidRPr="00B22912">
              <w:rPr>
                <w:rFonts w:ascii="Arial" w:hAnsi="Arial" w:cs="Arial"/>
                <w:b/>
                <w:bCs/>
                <w:sz w:val="22"/>
                <w:szCs w:val="22"/>
                <w:lang w:val="en-GB" w:eastAsia="en-GB"/>
              </w:rPr>
              <w:t>€</w:t>
            </w:r>
          </w:p>
        </w:tc>
      </w:tr>
      <w:tr w:rsidR="000230E8" w:rsidRPr="00AF114C" w14:paraId="4A7E1223" w14:textId="77777777" w:rsidTr="000230E8">
        <w:tblPrEx>
          <w:tblCellMar>
            <w:top w:w="0" w:type="dxa"/>
            <w:bottom w:w="0" w:type="dxa"/>
          </w:tblCellMar>
        </w:tblPrEx>
        <w:tc>
          <w:tcPr>
            <w:tcW w:w="4788" w:type="dxa"/>
            <w:shd w:val="clear" w:color="auto" w:fill="auto"/>
            <w:vAlign w:val="bottom"/>
          </w:tcPr>
          <w:p w14:paraId="12BC138E" w14:textId="77777777" w:rsidR="000230E8" w:rsidRPr="000626A3" w:rsidRDefault="000230E8" w:rsidP="000230E8">
            <w:pPr>
              <w:pStyle w:val="TableRowHead"/>
              <w:rPr>
                <w:rFonts w:ascii="Gill Sans" w:hAnsi="Gill Sans"/>
                <w:sz w:val="24"/>
                <w:lang w:val="en-GB" w:eastAsia="en-GB"/>
              </w:rPr>
            </w:pPr>
            <w:r w:rsidRPr="000626A3">
              <w:rPr>
                <w:rFonts w:ascii="Gill Sans" w:hAnsi="Gill Sans"/>
                <w:sz w:val="24"/>
                <w:lang w:val="en-GB" w:eastAsia="en-GB"/>
              </w:rPr>
              <w:t>Accruals</w:t>
            </w:r>
          </w:p>
        </w:tc>
        <w:tc>
          <w:tcPr>
            <w:tcW w:w="2034" w:type="dxa"/>
            <w:shd w:val="clear" w:color="auto" w:fill="auto"/>
            <w:vAlign w:val="bottom"/>
          </w:tcPr>
          <w:p w14:paraId="5446DED7" w14:textId="77777777" w:rsidR="000230E8" w:rsidRPr="000626A3" w:rsidRDefault="000230E8" w:rsidP="000230E8">
            <w:pPr>
              <w:pStyle w:val="TableCell"/>
              <w:rPr>
                <w:sz w:val="24"/>
                <w:lang w:val="en-GB" w:eastAsia="en-GB"/>
              </w:rPr>
            </w:pPr>
            <w:r w:rsidRPr="000626A3">
              <w:rPr>
                <w:sz w:val="24"/>
                <w:lang w:val="en-GB" w:eastAsia="en-GB"/>
              </w:rPr>
              <w:t>€122,309</w:t>
            </w:r>
          </w:p>
        </w:tc>
        <w:tc>
          <w:tcPr>
            <w:tcW w:w="2034" w:type="dxa"/>
            <w:shd w:val="clear" w:color="auto" w:fill="auto"/>
            <w:vAlign w:val="bottom"/>
          </w:tcPr>
          <w:p w14:paraId="3DDFB70C" w14:textId="77777777" w:rsidR="000230E8" w:rsidRPr="000626A3" w:rsidRDefault="000230E8" w:rsidP="000230E8">
            <w:pPr>
              <w:pStyle w:val="TableCell"/>
              <w:rPr>
                <w:sz w:val="24"/>
                <w:lang w:val="en-GB" w:eastAsia="en-GB"/>
              </w:rPr>
            </w:pPr>
            <w:r w:rsidRPr="000626A3">
              <w:rPr>
                <w:rFonts w:cs="Arial"/>
                <w:sz w:val="24"/>
                <w:lang w:val="en-GB" w:eastAsia="en-GB"/>
              </w:rPr>
              <w:t>€</w:t>
            </w:r>
            <w:r w:rsidRPr="000626A3">
              <w:rPr>
                <w:rFonts w:cs="Gill Sans"/>
                <w:sz w:val="24"/>
                <w:lang w:val="en-GB" w:eastAsia="en-GB"/>
              </w:rPr>
              <w:t>47,280</w:t>
            </w:r>
          </w:p>
        </w:tc>
      </w:tr>
      <w:tr w:rsidR="000230E8" w:rsidRPr="00AF114C" w14:paraId="043FD52C" w14:textId="77777777" w:rsidTr="000230E8">
        <w:tblPrEx>
          <w:tblCellMar>
            <w:top w:w="0" w:type="dxa"/>
            <w:bottom w:w="0" w:type="dxa"/>
          </w:tblCellMar>
        </w:tblPrEx>
        <w:tc>
          <w:tcPr>
            <w:tcW w:w="4788" w:type="dxa"/>
            <w:shd w:val="clear" w:color="auto" w:fill="auto"/>
            <w:vAlign w:val="bottom"/>
          </w:tcPr>
          <w:p w14:paraId="618AAD31" w14:textId="77777777" w:rsidR="000230E8" w:rsidRPr="000626A3" w:rsidRDefault="000230E8" w:rsidP="000230E8">
            <w:pPr>
              <w:pStyle w:val="TableRowHead"/>
              <w:rPr>
                <w:rFonts w:ascii="Gill Sans" w:hAnsi="Gill Sans"/>
                <w:sz w:val="24"/>
                <w:lang w:val="en-GB" w:eastAsia="en-GB"/>
              </w:rPr>
            </w:pPr>
            <w:r w:rsidRPr="000626A3">
              <w:rPr>
                <w:rFonts w:ascii="Gill Sans" w:hAnsi="Gill Sans"/>
                <w:sz w:val="24"/>
                <w:lang w:val="en-GB" w:eastAsia="en-GB"/>
              </w:rPr>
              <w:t>Total Creditors</w:t>
            </w:r>
          </w:p>
        </w:tc>
        <w:tc>
          <w:tcPr>
            <w:tcW w:w="2034" w:type="dxa"/>
            <w:shd w:val="clear" w:color="auto" w:fill="auto"/>
            <w:vAlign w:val="bottom"/>
          </w:tcPr>
          <w:p w14:paraId="202320E5" w14:textId="77777777" w:rsidR="000230E8" w:rsidRPr="000626A3" w:rsidRDefault="000230E8" w:rsidP="000230E8">
            <w:pPr>
              <w:pStyle w:val="TableCell"/>
              <w:rPr>
                <w:sz w:val="24"/>
                <w:lang w:val="en-GB" w:eastAsia="en-GB"/>
              </w:rPr>
            </w:pPr>
            <w:r w:rsidRPr="000626A3">
              <w:rPr>
                <w:sz w:val="24"/>
                <w:lang w:val="en-GB" w:eastAsia="en-GB"/>
              </w:rPr>
              <w:t>€122,309</w:t>
            </w:r>
          </w:p>
        </w:tc>
        <w:tc>
          <w:tcPr>
            <w:tcW w:w="2034" w:type="dxa"/>
            <w:shd w:val="clear" w:color="auto" w:fill="auto"/>
            <w:vAlign w:val="bottom"/>
          </w:tcPr>
          <w:p w14:paraId="7EB1C0D6" w14:textId="77777777" w:rsidR="000230E8" w:rsidRPr="000626A3" w:rsidRDefault="000230E8" w:rsidP="000230E8">
            <w:pPr>
              <w:pStyle w:val="TableCell"/>
              <w:rPr>
                <w:sz w:val="24"/>
                <w:lang w:val="en-GB" w:eastAsia="en-GB"/>
              </w:rPr>
            </w:pPr>
            <w:r w:rsidRPr="000626A3">
              <w:rPr>
                <w:rFonts w:cs="Arial"/>
                <w:sz w:val="24"/>
                <w:lang w:val="en-GB" w:eastAsia="en-GB"/>
              </w:rPr>
              <w:t>€</w:t>
            </w:r>
            <w:r w:rsidRPr="000626A3">
              <w:rPr>
                <w:rFonts w:cs="Gill Sans"/>
                <w:sz w:val="24"/>
                <w:lang w:val="en-GB" w:eastAsia="en-GB"/>
              </w:rPr>
              <w:t>47,280</w:t>
            </w:r>
          </w:p>
        </w:tc>
      </w:tr>
    </w:tbl>
    <w:p w14:paraId="1FE19D2D" w14:textId="77777777" w:rsidR="000230E8" w:rsidRPr="0058102A" w:rsidRDefault="000230E8" w:rsidP="000230E8">
      <w:pPr>
        <w:pStyle w:val="TableTitle"/>
        <w:jc w:val="left"/>
      </w:pPr>
      <w:r>
        <w:br/>
      </w:r>
      <w:r w:rsidRPr="0058102A">
        <w:t>12. Debtors and Prepayments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0230E8" w:rsidRPr="0058102A" w14:paraId="0589F5C3" w14:textId="77777777" w:rsidTr="000230E8">
        <w:tblPrEx>
          <w:tblCellMar>
            <w:top w:w="0" w:type="dxa"/>
            <w:bottom w:w="0" w:type="dxa"/>
          </w:tblCellMar>
        </w:tblPrEx>
        <w:trPr>
          <w:tblHeader/>
        </w:trPr>
        <w:tc>
          <w:tcPr>
            <w:tcW w:w="4788" w:type="dxa"/>
            <w:shd w:val="clear" w:color="auto" w:fill="auto"/>
          </w:tcPr>
          <w:p w14:paraId="2D5796EC" w14:textId="77777777" w:rsidR="000230E8" w:rsidRPr="0058102A" w:rsidRDefault="000230E8" w:rsidP="000230E8">
            <w:pPr>
              <w:pStyle w:val="TableHead"/>
              <w:jc w:val="right"/>
            </w:pPr>
          </w:p>
        </w:tc>
        <w:tc>
          <w:tcPr>
            <w:tcW w:w="2034" w:type="dxa"/>
            <w:shd w:val="clear" w:color="auto" w:fill="auto"/>
            <w:vAlign w:val="bottom"/>
          </w:tcPr>
          <w:p w14:paraId="1445B1D4" w14:textId="77777777" w:rsidR="000230E8" w:rsidRPr="000626A3" w:rsidRDefault="000230E8" w:rsidP="000230E8">
            <w:pPr>
              <w:pStyle w:val="TableHead"/>
              <w:jc w:val="right"/>
              <w:rPr>
                <w:lang w:val="en-GB" w:eastAsia="en-GB"/>
              </w:rPr>
            </w:pPr>
            <w:r w:rsidRPr="000626A3">
              <w:rPr>
                <w:lang w:val="en-GB" w:eastAsia="en-GB"/>
              </w:rPr>
              <w:t>2011</w:t>
            </w:r>
          </w:p>
        </w:tc>
        <w:tc>
          <w:tcPr>
            <w:tcW w:w="2034" w:type="dxa"/>
            <w:shd w:val="clear" w:color="auto" w:fill="auto"/>
            <w:vAlign w:val="bottom"/>
          </w:tcPr>
          <w:p w14:paraId="50C3E08A" w14:textId="77777777" w:rsidR="000230E8" w:rsidRPr="000626A3" w:rsidRDefault="000230E8" w:rsidP="000230E8">
            <w:pPr>
              <w:pStyle w:val="TableHead"/>
              <w:jc w:val="right"/>
              <w:rPr>
                <w:lang w:val="en-GB" w:eastAsia="en-GB"/>
              </w:rPr>
            </w:pPr>
            <w:r w:rsidRPr="000626A3">
              <w:rPr>
                <w:lang w:val="en-GB" w:eastAsia="en-GB"/>
              </w:rPr>
              <w:t>2010</w:t>
            </w:r>
          </w:p>
        </w:tc>
      </w:tr>
      <w:tr w:rsidR="000230E8" w:rsidRPr="0058102A" w14:paraId="397AABE1" w14:textId="77777777" w:rsidTr="000230E8">
        <w:tblPrEx>
          <w:tblCellMar>
            <w:top w:w="0" w:type="dxa"/>
            <w:bottom w:w="0" w:type="dxa"/>
          </w:tblCellMar>
        </w:tblPrEx>
        <w:trPr>
          <w:tblHeader/>
        </w:trPr>
        <w:tc>
          <w:tcPr>
            <w:tcW w:w="4788" w:type="dxa"/>
            <w:shd w:val="clear" w:color="auto" w:fill="auto"/>
          </w:tcPr>
          <w:p w14:paraId="18A5F556" w14:textId="77777777" w:rsidR="000230E8" w:rsidRPr="0058102A" w:rsidRDefault="000230E8" w:rsidP="000230E8">
            <w:pPr>
              <w:pStyle w:val="TableHead"/>
              <w:jc w:val="right"/>
            </w:pPr>
          </w:p>
        </w:tc>
        <w:tc>
          <w:tcPr>
            <w:tcW w:w="2034" w:type="dxa"/>
            <w:shd w:val="clear" w:color="auto" w:fill="auto"/>
            <w:vAlign w:val="bottom"/>
          </w:tcPr>
          <w:p w14:paraId="31C1A043" w14:textId="77777777" w:rsidR="000230E8" w:rsidRPr="00B22912" w:rsidRDefault="000230E8" w:rsidP="000230E8">
            <w:pPr>
              <w:spacing w:after="0"/>
              <w:jc w:val="right"/>
              <w:rPr>
                <w:rFonts w:cs="Arial"/>
                <w:b/>
                <w:bCs/>
                <w:sz w:val="22"/>
                <w:szCs w:val="22"/>
                <w:lang w:val="en-GB" w:eastAsia="en-GB"/>
              </w:rPr>
            </w:pPr>
            <w:r w:rsidRPr="00B22912">
              <w:rPr>
                <w:rFonts w:ascii="Arial" w:hAnsi="Arial" w:cs="Arial"/>
                <w:b/>
                <w:bCs/>
                <w:sz w:val="22"/>
                <w:szCs w:val="22"/>
                <w:lang w:val="en-GB" w:eastAsia="en-GB"/>
              </w:rPr>
              <w:t>€</w:t>
            </w:r>
          </w:p>
        </w:tc>
        <w:tc>
          <w:tcPr>
            <w:tcW w:w="2034" w:type="dxa"/>
            <w:shd w:val="clear" w:color="auto" w:fill="auto"/>
            <w:vAlign w:val="bottom"/>
          </w:tcPr>
          <w:p w14:paraId="6C2DF0C5" w14:textId="77777777" w:rsidR="000230E8" w:rsidRPr="00B22912" w:rsidRDefault="000230E8" w:rsidP="000230E8">
            <w:pPr>
              <w:spacing w:after="0"/>
              <w:jc w:val="right"/>
              <w:rPr>
                <w:rFonts w:cs="Arial"/>
                <w:b/>
                <w:bCs/>
                <w:sz w:val="22"/>
                <w:szCs w:val="22"/>
                <w:lang w:val="en-GB" w:eastAsia="en-GB"/>
              </w:rPr>
            </w:pPr>
            <w:r w:rsidRPr="00B22912">
              <w:rPr>
                <w:rFonts w:ascii="Arial" w:hAnsi="Arial" w:cs="Arial"/>
                <w:b/>
                <w:bCs/>
                <w:sz w:val="22"/>
                <w:szCs w:val="22"/>
                <w:lang w:val="en-GB" w:eastAsia="en-GB"/>
              </w:rPr>
              <w:t>€</w:t>
            </w:r>
          </w:p>
        </w:tc>
      </w:tr>
      <w:tr w:rsidR="000230E8" w:rsidRPr="0058102A" w14:paraId="18223B07" w14:textId="77777777" w:rsidTr="000230E8">
        <w:tblPrEx>
          <w:tblCellMar>
            <w:top w:w="0" w:type="dxa"/>
            <w:bottom w:w="0" w:type="dxa"/>
          </w:tblCellMar>
        </w:tblPrEx>
        <w:tc>
          <w:tcPr>
            <w:tcW w:w="4788" w:type="dxa"/>
            <w:shd w:val="clear" w:color="auto" w:fill="auto"/>
            <w:vAlign w:val="bottom"/>
          </w:tcPr>
          <w:p w14:paraId="3220A963" w14:textId="77777777" w:rsidR="000230E8" w:rsidRPr="000626A3" w:rsidRDefault="000230E8" w:rsidP="000230E8">
            <w:pPr>
              <w:pStyle w:val="TableRowHead"/>
              <w:rPr>
                <w:rFonts w:ascii="Gill Sans" w:hAnsi="Gill Sans"/>
                <w:sz w:val="24"/>
                <w:lang w:val="en-GB" w:eastAsia="en-GB"/>
              </w:rPr>
            </w:pPr>
            <w:r w:rsidRPr="000626A3">
              <w:rPr>
                <w:rFonts w:ascii="Gill Sans" w:hAnsi="Gill Sans"/>
                <w:sz w:val="24"/>
                <w:lang w:val="en-GB" w:eastAsia="en-GB"/>
              </w:rPr>
              <w:t xml:space="preserve">Sundry Debtors NDA </w:t>
            </w:r>
          </w:p>
        </w:tc>
        <w:tc>
          <w:tcPr>
            <w:tcW w:w="2034" w:type="dxa"/>
            <w:shd w:val="clear" w:color="auto" w:fill="auto"/>
            <w:vAlign w:val="bottom"/>
          </w:tcPr>
          <w:p w14:paraId="2A0EFBDB" w14:textId="77777777" w:rsidR="000230E8" w:rsidRPr="000626A3" w:rsidRDefault="000230E8" w:rsidP="000230E8">
            <w:pPr>
              <w:pStyle w:val="TableCell"/>
              <w:rPr>
                <w:sz w:val="24"/>
                <w:lang w:val="en-GB" w:eastAsia="en-GB"/>
              </w:rPr>
            </w:pPr>
            <w:r w:rsidRPr="000626A3">
              <w:rPr>
                <w:rFonts w:cs="Arial"/>
                <w:sz w:val="24"/>
                <w:lang w:val="en-GB" w:eastAsia="en-GB"/>
              </w:rPr>
              <w:t>€</w:t>
            </w:r>
            <w:r w:rsidRPr="000626A3">
              <w:rPr>
                <w:rFonts w:cs="Gill Sans"/>
                <w:sz w:val="24"/>
                <w:lang w:val="en-GB" w:eastAsia="en-GB"/>
              </w:rPr>
              <w:t>100,128</w:t>
            </w:r>
          </w:p>
        </w:tc>
        <w:tc>
          <w:tcPr>
            <w:tcW w:w="2034" w:type="dxa"/>
            <w:shd w:val="clear" w:color="auto" w:fill="auto"/>
            <w:vAlign w:val="bottom"/>
          </w:tcPr>
          <w:p w14:paraId="1BE0BF93" w14:textId="77777777" w:rsidR="000230E8" w:rsidRPr="000626A3" w:rsidRDefault="000230E8" w:rsidP="000230E8">
            <w:pPr>
              <w:pStyle w:val="TableCell"/>
              <w:rPr>
                <w:sz w:val="24"/>
                <w:lang w:val="en-GB" w:eastAsia="en-GB"/>
              </w:rPr>
            </w:pPr>
            <w:r w:rsidRPr="000626A3">
              <w:rPr>
                <w:rFonts w:cs="Arial"/>
                <w:sz w:val="24"/>
                <w:lang w:val="en-GB" w:eastAsia="en-GB"/>
              </w:rPr>
              <w:t>€</w:t>
            </w:r>
            <w:r w:rsidRPr="000626A3">
              <w:rPr>
                <w:rFonts w:cs="Gill Sans"/>
                <w:sz w:val="24"/>
                <w:lang w:val="en-GB" w:eastAsia="en-GB"/>
              </w:rPr>
              <w:t>52,692</w:t>
            </w:r>
          </w:p>
        </w:tc>
      </w:tr>
      <w:tr w:rsidR="000230E8" w:rsidRPr="0058102A" w14:paraId="65413CAB" w14:textId="77777777" w:rsidTr="000230E8">
        <w:tblPrEx>
          <w:tblCellMar>
            <w:top w:w="0" w:type="dxa"/>
            <w:bottom w:w="0" w:type="dxa"/>
          </w:tblCellMar>
        </w:tblPrEx>
        <w:tc>
          <w:tcPr>
            <w:tcW w:w="4788" w:type="dxa"/>
            <w:shd w:val="clear" w:color="auto" w:fill="auto"/>
            <w:vAlign w:val="bottom"/>
          </w:tcPr>
          <w:p w14:paraId="743F4019" w14:textId="77777777" w:rsidR="000230E8" w:rsidRPr="000626A3" w:rsidRDefault="000230E8" w:rsidP="000230E8">
            <w:pPr>
              <w:pStyle w:val="TableRowHead"/>
              <w:rPr>
                <w:rFonts w:ascii="Gill Sans" w:hAnsi="Gill Sans"/>
                <w:sz w:val="24"/>
                <w:lang w:val="en-GB" w:eastAsia="en-GB"/>
              </w:rPr>
            </w:pPr>
            <w:r w:rsidRPr="000626A3">
              <w:rPr>
                <w:rFonts w:ascii="Gill Sans" w:hAnsi="Gill Sans"/>
                <w:sz w:val="24"/>
                <w:lang w:val="en-GB" w:eastAsia="en-GB"/>
              </w:rPr>
              <w:t xml:space="preserve">Prepayments   </w:t>
            </w:r>
          </w:p>
        </w:tc>
        <w:tc>
          <w:tcPr>
            <w:tcW w:w="2034" w:type="dxa"/>
            <w:shd w:val="clear" w:color="auto" w:fill="auto"/>
            <w:vAlign w:val="bottom"/>
          </w:tcPr>
          <w:p w14:paraId="398B0701" w14:textId="77777777" w:rsidR="000230E8" w:rsidRPr="000626A3" w:rsidRDefault="000230E8" w:rsidP="000230E8">
            <w:pPr>
              <w:pStyle w:val="TableCell"/>
              <w:rPr>
                <w:sz w:val="24"/>
                <w:lang w:val="en-GB" w:eastAsia="en-GB"/>
              </w:rPr>
            </w:pPr>
            <w:r w:rsidRPr="000626A3">
              <w:rPr>
                <w:rFonts w:cs="Arial"/>
                <w:sz w:val="24"/>
                <w:lang w:val="en-GB" w:eastAsia="en-GB"/>
              </w:rPr>
              <w:t>€</w:t>
            </w:r>
            <w:r w:rsidRPr="000626A3">
              <w:rPr>
                <w:rFonts w:cs="Gill Sans"/>
                <w:sz w:val="24"/>
                <w:lang w:val="en-GB" w:eastAsia="en-GB"/>
              </w:rPr>
              <w:t>51,480</w:t>
            </w:r>
          </w:p>
        </w:tc>
        <w:tc>
          <w:tcPr>
            <w:tcW w:w="2034" w:type="dxa"/>
            <w:shd w:val="clear" w:color="auto" w:fill="auto"/>
            <w:vAlign w:val="bottom"/>
          </w:tcPr>
          <w:p w14:paraId="25987806" w14:textId="77777777" w:rsidR="000230E8" w:rsidRPr="000626A3" w:rsidRDefault="000230E8" w:rsidP="000230E8">
            <w:pPr>
              <w:pStyle w:val="TableCell"/>
              <w:rPr>
                <w:sz w:val="24"/>
                <w:lang w:val="en-GB" w:eastAsia="en-GB"/>
              </w:rPr>
            </w:pPr>
            <w:r w:rsidRPr="000626A3">
              <w:rPr>
                <w:rFonts w:cs="Arial"/>
                <w:sz w:val="24"/>
                <w:lang w:val="en-GB" w:eastAsia="en-GB"/>
              </w:rPr>
              <w:t>€</w:t>
            </w:r>
            <w:r w:rsidRPr="000626A3">
              <w:rPr>
                <w:rFonts w:cs="Gill Sans"/>
                <w:sz w:val="24"/>
                <w:lang w:val="en-GB" w:eastAsia="en-GB"/>
              </w:rPr>
              <w:t>40,307</w:t>
            </w:r>
          </w:p>
        </w:tc>
      </w:tr>
      <w:tr w:rsidR="000230E8" w:rsidRPr="0058102A" w14:paraId="1CE41C19" w14:textId="77777777" w:rsidTr="000230E8">
        <w:tblPrEx>
          <w:tblCellMar>
            <w:top w:w="0" w:type="dxa"/>
            <w:bottom w:w="0" w:type="dxa"/>
          </w:tblCellMar>
        </w:tblPrEx>
        <w:tc>
          <w:tcPr>
            <w:tcW w:w="4788" w:type="dxa"/>
            <w:shd w:val="clear" w:color="auto" w:fill="auto"/>
            <w:vAlign w:val="bottom"/>
          </w:tcPr>
          <w:p w14:paraId="12C158B2" w14:textId="77777777" w:rsidR="000230E8" w:rsidRPr="000626A3" w:rsidRDefault="000230E8" w:rsidP="000230E8">
            <w:pPr>
              <w:pStyle w:val="TableRowHead"/>
              <w:rPr>
                <w:rFonts w:ascii="Gill Sans" w:hAnsi="Gill Sans"/>
                <w:sz w:val="24"/>
                <w:lang w:val="en-GB" w:eastAsia="en-GB"/>
              </w:rPr>
            </w:pPr>
            <w:r w:rsidRPr="000626A3">
              <w:rPr>
                <w:rFonts w:ascii="Gill Sans" w:hAnsi="Gill Sans"/>
                <w:sz w:val="24"/>
                <w:lang w:val="en-GB" w:eastAsia="en-GB"/>
              </w:rPr>
              <w:t>Total Debtors</w:t>
            </w:r>
          </w:p>
        </w:tc>
        <w:tc>
          <w:tcPr>
            <w:tcW w:w="2034" w:type="dxa"/>
            <w:shd w:val="clear" w:color="auto" w:fill="auto"/>
            <w:vAlign w:val="bottom"/>
          </w:tcPr>
          <w:p w14:paraId="1E745FB6" w14:textId="77777777" w:rsidR="000230E8" w:rsidRPr="000626A3" w:rsidRDefault="000230E8" w:rsidP="000230E8">
            <w:pPr>
              <w:pStyle w:val="TableCell"/>
              <w:rPr>
                <w:sz w:val="24"/>
                <w:lang w:val="en-GB" w:eastAsia="en-GB"/>
              </w:rPr>
            </w:pPr>
            <w:r w:rsidRPr="000626A3">
              <w:rPr>
                <w:rFonts w:cs="Arial"/>
                <w:sz w:val="24"/>
                <w:lang w:val="en-GB" w:eastAsia="en-GB"/>
              </w:rPr>
              <w:t>€</w:t>
            </w:r>
            <w:r w:rsidRPr="000626A3">
              <w:rPr>
                <w:rFonts w:cs="Gill Sans"/>
                <w:sz w:val="24"/>
                <w:lang w:val="en-GB" w:eastAsia="en-GB"/>
              </w:rPr>
              <w:t>151,608</w:t>
            </w:r>
          </w:p>
        </w:tc>
        <w:tc>
          <w:tcPr>
            <w:tcW w:w="2034" w:type="dxa"/>
            <w:shd w:val="clear" w:color="auto" w:fill="auto"/>
            <w:vAlign w:val="bottom"/>
          </w:tcPr>
          <w:p w14:paraId="718881AF" w14:textId="77777777" w:rsidR="000230E8" w:rsidRPr="000626A3" w:rsidRDefault="000230E8" w:rsidP="000230E8">
            <w:pPr>
              <w:pStyle w:val="TableCell"/>
              <w:rPr>
                <w:sz w:val="24"/>
                <w:lang w:val="en-GB" w:eastAsia="en-GB"/>
              </w:rPr>
            </w:pPr>
            <w:r w:rsidRPr="000626A3">
              <w:rPr>
                <w:rFonts w:cs="Arial"/>
                <w:sz w:val="24"/>
                <w:lang w:val="en-GB" w:eastAsia="en-GB"/>
              </w:rPr>
              <w:t>€</w:t>
            </w:r>
            <w:r w:rsidRPr="000626A3">
              <w:rPr>
                <w:rFonts w:cs="Gill Sans"/>
                <w:sz w:val="24"/>
                <w:lang w:val="en-GB" w:eastAsia="en-GB"/>
              </w:rPr>
              <w:t>92,999</w:t>
            </w:r>
          </w:p>
        </w:tc>
      </w:tr>
    </w:tbl>
    <w:p w14:paraId="7616B8EE" w14:textId="77777777" w:rsidR="000230E8" w:rsidRPr="009079DB" w:rsidRDefault="000230E8" w:rsidP="000230E8">
      <w:pPr>
        <w:pStyle w:val="Heading3"/>
        <w:rPr>
          <w:lang w:val="en-GB" w:eastAsia="en-GB"/>
        </w:rPr>
      </w:pPr>
      <w:r>
        <w:rPr>
          <w:lang w:val="en-GB" w:eastAsia="en-GB"/>
        </w:rPr>
        <w:br/>
      </w:r>
      <w:bookmarkStart w:id="259" w:name="_Toc335836408"/>
      <w:r w:rsidRPr="009079DB">
        <w:rPr>
          <w:lang w:val="en-GB" w:eastAsia="en-GB"/>
        </w:rPr>
        <w:t>13</w:t>
      </w:r>
      <w:r>
        <w:rPr>
          <w:lang w:val="en-GB" w:eastAsia="en-GB"/>
        </w:rPr>
        <w:t>.</w:t>
      </w:r>
      <w:r w:rsidRPr="009079DB">
        <w:rPr>
          <w:lang w:val="en-GB" w:eastAsia="en-GB"/>
        </w:rPr>
        <w:t xml:space="preserve"> Contingent Liabilities</w:t>
      </w:r>
      <w:bookmarkEnd w:id="259"/>
    </w:p>
    <w:p w14:paraId="60C17819" w14:textId="77777777" w:rsidR="000230E8" w:rsidRPr="0058102A" w:rsidRDefault="000230E8" w:rsidP="000230E8">
      <w:pPr>
        <w:rPr>
          <w:rFonts w:cs="Arial"/>
          <w:sz w:val="22"/>
          <w:szCs w:val="22"/>
          <w:lang w:val="en-GB" w:eastAsia="en-GB"/>
        </w:rPr>
      </w:pPr>
      <w:r w:rsidRPr="009079DB">
        <w:rPr>
          <w:rFonts w:cs="Arial"/>
          <w:sz w:val="22"/>
          <w:szCs w:val="22"/>
          <w:lang w:val="en-GB" w:eastAsia="en-GB"/>
        </w:rPr>
        <w:t xml:space="preserve"> </w:t>
      </w:r>
      <w:r w:rsidRPr="009079DB">
        <w:rPr>
          <w:lang w:val="en-GB" w:eastAsia="en-GB"/>
        </w:rPr>
        <w:t>There are no contingent</w:t>
      </w:r>
      <w:r>
        <w:rPr>
          <w:lang w:val="en-GB" w:eastAsia="en-GB"/>
        </w:rPr>
        <w:t xml:space="preserve"> liabilities </w:t>
      </w:r>
      <w:proofErr w:type="gramStart"/>
      <w:r>
        <w:rPr>
          <w:lang w:val="en-GB" w:eastAsia="en-GB"/>
        </w:rPr>
        <w:t>at</w:t>
      </w:r>
      <w:proofErr w:type="gramEnd"/>
      <w:r>
        <w:rPr>
          <w:lang w:val="en-GB" w:eastAsia="en-GB"/>
        </w:rPr>
        <w:t xml:space="preserve"> 31 December 2011</w:t>
      </w:r>
      <w:r w:rsidRPr="009079DB">
        <w:rPr>
          <w:lang w:val="en-GB" w:eastAsia="en-GB"/>
        </w:rPr>
        <w:t>.</w:t>
      </w:r>
    </w:p>
    <w:p w14:paraId="792937D0" w14:textId="77777777" w:rsidR="000230E8" w:rsidRPr="0058102A" w:rsidRDefault="000230E8" w:rsidP="000230E8">
      <w:pPr>
        <w:pStyle w:val="Heading3"/>
        <w:rPr>
          <w:sz w:val="22"/>
          <w:szCs w:val="22"/>
          <w:lang w:val="en-GB" w:eastAsia="en-GB"/>
        </w:rPr>
      </w:pPr>
      <w:r w:rsidRPr="009079DB">
        <w:rPr>
          <w:sz w:val="22"/>
          <w:szCs w:val="22"/>
          <w:lang w:val="en-GB" w:eastAsia="en-GB"/>
        </w:rPr>
        <w:t xml:space="preserve"> </w:t>
      </w:r>
      <w:bookmarkStart w:id="260" w:name="_Toc335836409"/>
      <w:r w:rsidRPr="009079DB">
        <w:rPr>
          <w:lang w:val="en-GB" w:eastAsia="en-GB"/>
        </w:rPr>
        <w:t>14. Capital Commitments</w:t>
      </w:r>
      <w:bookmarkEnd w:id="260"/>
    </w:p>
    <w:p w14:paraId="3D4F1382" w14:textId="77777777" w:rsidR="000230E8" w:rsidRPr="009079DB" w:rsidRDefault="000230E8" w:rsidP="000230E8">
      <w:pPr>
        <w:rPr>
          <w:lang w:val="en-GB" w:eastAsia="en-GB"/>
        </w:rPr>
      </w:pPr>
      <w:r w:rsidRPr="009079DB">
        <w:rPr>
          <w:lang w:val="en-GB" w:eastAsia="en-GB"/>
        </w:rPr>
        <w:t>The Authority had no outstanding capital co</w:t>
      </w:r>
      <w:r>
        <w:rPr>
          <w:lang w:val="en-GB" w:eastAsia="en-GB"/>
        </w:rPr>
        <w:t xml:space="preserve">mmitments as </w:t>
      </w:r>
      <w:proofErr w:type="gramStart"/>
      <w:r>
        <w:rPr>
          <w:lang w:val="en-GB" w:eastAsia="en-GB"/>
        </w:rPr>
        <w:t>at</w:t>
      </w:r>
      <w:proofErr w:type="gramEnd"/>
      <w:r>
        <w:rPr>
          <w:lang w:val="en-GB" w:eastAsia="en-GB"/>
        </w:rPr>
        <w:t xml:space="preserve"> 31 December 2011</w:t>
      </w:r>
      <w:r w:rsidRPr="009079DB">
        <w:rPr>
          <w:lang w:val="en-GB" w:eastAsia="en-GB"/>
        </w:rPr>
        <w:t>.</w:t>
      </w:r>
    </w:p>
    <w:p w14:paraId="1DAC4044" w14:textId="77777777" w:rsidR="000230E8" w:rsidRPr="009079DB" w:rsidRDefault="000230E8" w:rsidP="000230E8">
      <w:pPr>
        <w:pStyle w:val="Heading3"/>
        <w:rPr>
          <w:lang w:val="en-GB" w:eastAsia="en-GB"/>
        </w:rPr>
      </w:pPr>
      <w:bookmarkStart w:id="261" w:name="_Toc335836410"/>
      <w:r w:rsidRPr="009079DB">
        <w:rPr>
          <w:lang w:val="en-GB" w:eastAsia="en-GB"/>
        </w:rPr>
        <w:lastRenderedPageBreak/>
        <w:t>15. Premises</w:t>
      </w:r>
      <w:bookmarkEnd w:id="261"/>
    </w:p>
    <w:p w14:paraId="742A229A" w14:textId="77777777" w:rsidR="000230E8" w:rsidRPr="009079DB" w:rsidRDefault="000230E8" w:rsidP="000230E8">
      <w:pPr>
        <w:rPr>
          <w:lang w:val="en-GB" w:eastAsia="en-GB"/>
        </w:rPr>
      </w:pPr>
      <w:r w:rsidRPr="009079DB">
        <w:rPr>
          <w:lang w:val="en-GB" w:eastAsia="en-GB"/>
        </w:rPr>
        <w:t>The Authority operates from a premises at 25 Clyde Road, Ballsbridge, Dublin 4</w:t>
      </w:r>
      <w:r>
        <w:rPr>
          <w:lang w:val="en-GB" w:eastAsia="en-GB"/>
        </w:rPr>
        <w:t>,</w:t>
      </w:r>
      <w:r w:rsidRPr="009079DB">
        <w:rPr>
          <w:lang w:val="en-GB" w:eastAsia="en-GB"/>
        </w:rPr>
        <w:t xml:space="preserve"> which it occupies and owns.</w:t>
      </w:r>
    </w:p>
    <w:p w14:paraId="0F7E6D1A" w14:textId="77777777" w:rsidR="000230E8" w:rsidRPr="009079DB" w:rsidRDefault="000230E8" w:rsidP="000230E8">
      <w:pPr>
        <w:pStyle w:val="Heading3"/>
        <w:rPr>
          <w:lang w:val="en-GB" w:eastAsia="en-GB"/>
        </w:rPr>
      </w:pPr>
      <w:bookmarkStart w:id="262" w:name="_Toc335836411"/>
      <w:r>
        <w:rPr>
          <w:lang w:val="en-GB" w:eastAsia="en-GB"/>
        </w:rPr>
        <w:t>16. Approval o</w:t>
      </w:r>
      <w:r w:rsidRPr="009079DB">
        <w:rPr>
          <w:lang w:val="en-GB" w:eastAsia="en-GB"/>
        </w:rPr>
        <w:t>f Financial Statements</w:t>
      </w:r>
      <w:bookmarkEnd w:id="262"/>
    </w:p>
    <w:p w14:paraId="002C3B5E" w14:textId="77777777" w:rsidR="000230E8" w:rsidRDefault="000230E8" w:rsidP="000230E8">
      <w:pPr>
        <w:rPr>
          <w:lang w:val="en-GB" w:eastAsia="en-GB"/>
        </w:rPr>
      </w:pPr>
      <w:r w:rsidRPr="009079DB">
        <w:rPr>
          <w:lang w:val="en-GB" w:eastAsia="en-GB"/>
        </w:rPr>
        <w:t>The Financial Statements wer</w:t>
      </w:r>
      <w:r>
        <w:rPr>
          <w:lang w:val="en-GB" w:eastAsia="en-GB"/>
        </w:rPr>
        <w:t>e approved by the Authority on 10 September 2012</w:t>
      </w:r>
    </w:p>
    <w:p w14:paraId="3BEE2C1D" w14:textId="77777777" w:rsidR="000230E8" w:rsidRPr="009D26B9" w:rsidRDefault="000230E8" w:rsidP="00835188">
      <w:pPr>
        <w:pStyle w:val="Heading1"/>
      </w:pPr>
      <w:r>
        <w:br w:type="page"/>
      </w:r>
      <w:bookmarkStart w:id="263" w:name="_Toc335829651"/>
      <w:bookmarkStart w:id="264" w:name="_Toc335836412"/>
      <w:bookmarkStart w:id="265" w:name="_Toc335983440"/>
      <w:bookmarkStart w:id="266" w:name="_Toc335986609"/>
      <w:r>
        <w:lastRenderedPageBreak/>
        <w:t>A</w:t>
      </w:r>
      <w:bookmarkEnd w:id="263"/>
      <w:bookmarkEnd w:id="264"/>
      <w:bookmarkEnd w:id="265"/>
      <w:r w:rsidR="00835188">
        <w:t>ppendices</w:t>
      </w:r>
      <w:bookmarkEnd w:id="266"/>
    </w:p>
    <w:p w14:paraId="3B1F1965" w14:textId="77777777" w:rsidR="000230E8" w:rsidRDefault="000230E8" w:rsidP="000230E8">
      <w:pPr>
        <w:pStyle w:val="Heading1"/>
      </w:pPr>
      <w:r>
        <w:br w:type="page"/>
      </w:r>
      <w:bookmarkStart w:id="267" w:name="_Toc335828914"/>
      <w:bookmarkStart w:id="268" w:name="_Toc335829652"/>
      <w:bookmarkStart w:id="269" w:name="_Toc335836413"/>
      <w:bookmarkStart w:id="270" w:name="_Toc335983441"/>
      <w:bookmarkStart w:id="271" w:name="_Toc335986610"/>
      <w:r>
        <w:lastRenderedPageBreak/>
        <w:t xml:space="preserve">Appendix 1: Authority and other Committees </w:t>
      </w:r>
      <w:r w:rsidRPr="002C6872">
        <w:t>in 20</w:t>
      </w:r>
      <w:r>
        <w:t>11</w:t>
      </w:r>
      <w:bookmarkEnd w:id="267"/>
      <w:bookmarkEnd w:id="268"/>
      <w:bookmarkEnd w:id="269"/>
      <w:bookmarkEnd w:id="270"/>
      <w:bookmarkEnd w:id="271"/>
    </w:p>
    <w:p w14:paraId="331E1D25" w14:textId="77777777" w:rsidR="000230E8" w:rsidRPr="002056F5" w:rsidRDefault="000230E8" w:rsidP="00835188">
      <w:pPr>
        <w:pStyle w:val="TableTitle"/>
      </w:pPr>
      <w:bookmarkStart w:id="272" w:name="_Toc335836414"/>
      <w:r w:rsidRPr="002056F5">
        <w:t>National Disability Authority members in 2011</w:t>
      </w:r>
      <w:bookmarkEnd w:id="272"/>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376"/>
        <w:tblGridChange w:id="273">
          <w:tblGrid>
            <w:gridCol w:w="3544"/>
            <w:gridCol w:w="4376"/>
          </w:tblGrid>
        </w:tblGridChange>
      </w:tblGrid>
      <w:tr w:rsidR="000230E8" w:rsidRPr="002056F5" w14:paraId="2D50BCED" w14:textId="77777777" w:rsidTr="00A51C1B">
        <w:tc>
          <w:tcPr>
            <w:tcW w:w="3544" w:type="dxa"/>
            <w:shd w:val="clear" w:color="auto" w:fill="auto"/>
          </w:tcPr>
          <w:p w14:paraId="2550EC09" w14:textId="77777777" w:rsidR="000230E8" w:rsidRPr="002056F5" w:rsidRDefault="000230E8" w:rsidP="00A51C1B">
            <w:pPr>
              <w:spacing w:after="0"/>
              <w:ind w:left="720"/>
            </w:pPr>
          </w:p>
        </w:tc>
        <w:tc>
          <w:tcPr>
            <w:tcW w:w="4376" w:type="dxa"/>
            <w:shd w:val="clear" w:color="auto" w:fill="auto"/>
          </w:tcPr>
          <w:p w14:paraId="2C7BD5B6" w14:textId="77777777" w:rsidR="00835188" w:rsidRDefault="00835188" w:rsidP="00A51C1B">
            <w:pPr>
              <w:pStyle w:val="TableHead"/>
              <w:jc w:val="right"/>
            </w:pPr>
            <w:r w:rsidRPr="002056F5">
              <w:t xml:space="preserve">Number </w:t>
            </w:r>
            <w:r>
              <w:t xml:space="preserve">of meetings </w:t>
            </w:r>
            <w:r w:rsidRPr="002056F5">
              <w:t>attended</w:t>
            </w:r>
            <w:r>
              <w:t xml:space="preserve"> </w:t>
            </w:r>
          </w:p>
          <w:p w14:paraId="25C262B0" w14:textId="77777777" w:rsidR="000230E8" w:rsidRPr="002056F5" w:rsidRDefault="000230E8" w:rsidP="00A51C1B">
            <w:pPr>
              <w:pStyle w:val="TableHead"/>
              <w:jc w:val="right"/>
            </w:pPr>
            <w:r>
              <w:t>10 meetings held</w:t>
            </w:r>
          </w:p>
        </w:tc>
      </w:tr>
      <w:tr w:rsidR="000230E8" w:rsidRPr="002056F5" w14:paraId="514E48A4" w14:textId="77777777" w:rsidTr="00A51C1B">
        <w:tc>
          <w:tcPr>
            <w:tcW w:w="3544" w:type="dxa"/>
            <w:shd w:val="clear" w:color="auto" w:fill="auto"/>
          </w:tcPr>
          <w:p w14:paraId="0D6C926A" w14:textId="77777777" w:rsidR="000230E8" w:rsidRPr="002056F5" w:rsidRDefault="000230E8" w:rsidP="00A51C1B">
            <w:pPr>
              <w:spacing w:after="0"/>
              <w:jc w:val="both"/>
            </w:pPr>
            <w:r w:rsidRPr="002056F5">
              <w:t>Peter Mc Kevitt (Chair)</w:t>
            </w:r>
          </w:p>
        </w:tc>
        <w:tc>
          <w:tcPr>
            <w:tcW w:w="4376" w:type="dxa"/>
            <w:shd w:val="clear" w:color="auto" w:fill="auto"/>
          </w:tcPr>
          <w:p w14:paraId="19399678" w14:textId="77777777" w:rsidR="000230E8" w:rsidRPr="002056F5" w:rsidRDefault="000230E8" w:rsidP="00A51C1B">
            <w:pPr>
              <w:spacing w:after="0"/>
              <w:ind w:left="720"/>
              <w:jc w:val="right"/>
            </w:pPr>
            <w:r>
              <w:t xml:space="preserve">10 </w:t>
            </w:r>
          </w:p>
        </w:tc>
      </w:tr>
      <w:tr w:rsidR="000230E8" w:rsidRPr="002056F5" w14:paraId="3B737792" w14:textId="77777777" w:rsidTr="00A51C1B">
        <w:tc>
          <w:tcPr>
            <w:tcW w:w="3544" w:type="dxa"/>
            <w:shd w:val="clear" w:color="auto" w:fill="auto"/>
          </w:tcPr>
          <w:p w14:paraId="4345AD9E" w14:textId="77777777" w:rsidR="000230E8" w:rsidRPr="002056F5" w:rsidRDefault="000230E8" w:rsidP="00A51C1B">
            <w:pPr>
              <w:spacing w:after="0"/>
              <w:jc w:val="both"/>
            </w:pPr>
            <w:r w:rsidRPr="002056F5">
              <w:t>Tony Bates</w:t>
            </w:r>
          </w:p>
        </w:tc>
        <w:tc>
          <w:tcPr>
            <w:tcW w:w="4376" w:type="dxa"/>
            <w:shd w:val="clear" w:color="auto" w:fill="auto"/>
          </w:tcPr>
          <w:p w14:paraId="632271C5" w14:textId="77777777" w:rsidR="000230E8" w:rsidRPr="002056F5" w:rsidRDefault="000230E8" w:rsidP="00A51C1B">
            <w:pPr>
              <w:spacing w:after="0"/>
              <w:ind w:left="720"/>
              <w:jc w:val="right"/>
            </w:pPr>
            <w:r>
              <w:t>4</w:t>
            </w:r>
          </w:p>
        </w:tc>
      </w:tr>
      <w:tr w:rsidR="000230E8" w:rsidRPr="002056F5" w14:paraId="514247D8" w14:textId="77777777" w:rsidTr="00A51C1B">
        <w:tc>
          <w:tcPr>
            <w:tcW w:w="3544" w:type="dxa"/>
            <w:shd w:val="clear" w:color="auto" w:fill="auto"/>
          </w:tcPr>
          <w:p w14:paraId="57BEF02F" w14:textId="77777777" w:rsidR="000230E8" w:rsidRPr="002056F5" w:rsidRDefault="000230E8" w:rsidP="00A51C1B">
            <w:pPr>
              <w:spacing w:after="0"/>
              <w:jc w:val="both"/>
            </w:pPr>
            <w:r w:rsidRPr="002056F5">
              <w:t>Caroline Burrell</w:t>
            </w:r>
          </w:p>
        </w:tc>
        <w:tc>
          <w:tcPr>
            <w:tcW w:w="4376" w:type="dxa"/>
            <w:shd w:val="clear" w:color="auto" w:fill="auto"/>
          </w:tcPr>
          <w:p w14:paraId="5311143D" w14:textId="77777777" w:rsidR="000230E8" w:rsidRPr="002056F5" w:rsidRDefault="000230E8" w:rsidP="00A51C1B">
            <w:pPr>
              <w:spacing w:after="0"/>
              <w:ind w:left="720"/>
              <w:jc w:val="right"/>
            </w:pPr>
            <w:r>
              <w:t>8</w:t>
            </w:r>
          </w:p>
        </w:tc>
      </w:tr>
      <w:tr w:rsidR="000230E8" w:rsidRPr="002056F5" w14:paraId="1748F57E" w14:textId="77777777" w:rsidTr="00A51C1B">
        <w:tc>
          <w:tcPr>
            <w:tcW w:w="3544" w:type="dxa"/>
            <w:shd w:val="clear" w:color="auto" w:fill="auto"/>
          </w:tcPr>
          <w:p w14:paraId="76CB0195" w14:textId="77777777" w:rsidR="000230E8" w:rsidRPr="002056F5" w:rsidRDefault="000230E8" w:rsidP="00A51C1B">
            <w:pPr>
              <w:spacing w:after="0"/>
              <w:jc w:val="both"/>
            </w:pPr>
            <w:r w:rsidRPr="002056F5">
              <w:t xml:space="preserve">Frank </w:t>
            </w:r>
            <w:proofErr w:type="spellStart"/>
            <w:r w:rsidRPr="002056F5">
              <w:t>Cunneen</w:t>
            </w:r>
            <w:proofErr w:type="spellEnd"/>
          </w:p>
        </w:tc>
        <w:tc>
          <w:tcPr>
            <w:tcW w:w="4376" w:type="dxa"/>
            <w:shd w:val="clear" w:color="auto" w:fill="auto"/>
          </w:tcPr>
          <w:p w14:paraId="6508A258" w14:textId="77777777" w:rsidR="000230E8" w:rsidRPr="002056F5" w:rsidRDefault="000230E8" w:rsidP="00A51C1B">
            <w:pPr>
              <w:spacing w:after="0"/>
              <w:ind w:left="720"/>
              <w:jc w:val="right"/>
            </w:pPr>
            <w:r>
              <w:t>8</w:t>
            </w:r>
          </w:p>
        </w:tc>
      </w:tr>
      <w:tr w:rsidR="000230E8" w:rsidRPr="002056F5" w14:paraId="3E8A567F" w14:textId="77777777" w:rsidTr="00A51C1B">
        <w:tc>
          <w:tcPr>
            <w:tcW w:w="3544" w:type="dxa"/>
            <w:shd w:val="clear" w:color="auto" w:fill="auto"/>
          </w:tcPr>
          <w:p w14:paraId="64FEAF59" w14:textId="77777777" w:rsidR="000230E8" w:rsidRPr="002056F5" w:rsidRDefault="000230E8" w:rsidP="00A51C1B">
            <w:pPr>
              <w:spacing w:after="0"/>
              <w:jc w:val="both"/>
            </w:pPr>
            <w:r w:rsidRPr="002056F5">
              <w:t>Tara Cunningham</w:t>
            </w:r>
          </w:p>
        </w:tc>
        <w:tc>
          <w:tcPr>
            <w:tcW w:w="4376" w:type="dxa"/>
            <w:shd w:val="clear" w:color="auto" w:fill="auto"/>
          </w:tcPr>
          <w:p w14:paraId="1999DB9A" w14:textId="77777777" w:rsidR="000230E8" w:rsidRPr="002056F5" w:rsidRDefault="000230E8" w:rsidP="00A51C1B">
            <w:pPr>
              <w:spacing w:after="0"/>
              <w:ind w:left="720"/>
              <w:jc w:val="right"/>
            </w:pPr>
            <w:r>
              <w:t>4</w:t>
            </w:r>
            <w:r>
              <w:rPr>
                <w:rStyle w:val="FootnoteReference0"/>
              </w:rPr>
              <w:footnoteReference w:id="2"/>
            </w:r>
          </w:p>
        </w:tc>
      </w:tr>
      <w:tr w:rsidR="000230E8" w:rsidRPr="002056F5" w14:paraId="70B59BE9" w14:textId="77777777" w:rsidTr="00A51C1B">
        <w:tc>
          <w:tcPr>
            <w:tcW w:w="3544" w:type="dxa"/>
            <w:shd w:val="clear" w:color="auto" w:fill="auto"/>
          </w:tcPr>
          <w:p w14:paraId="5C251EC7" w14:textId="77777777" w:rsidR="000230E8" w:rsidRPr="002056F5" w:rsidRDefault="000230E8" w:rsidP="00A51C1B">
            <w:pPr>
              <w:spacing w:after="0"/>
            </w:pPr>
            <w:r w:rsidRPr="002056F5">
              <w:t>James O’Grady</w:t>
            </w:r>
            <w:r>
              <w:rPr>
                <w:rStyle w:val="FootnoteReference0"/>
              </w:rPr>
              <w:footnoteReference w:id="3"/>
            </w:r>
            <w:r w:rsidRPr="002056F5">
              <w:t xml:space="preserve"> (appointed January 2011)</w:t>
            </w:r>
          </w:p>
        </w:tc>
        <w:tc>
          <w:tcPr>
            <w:tcW w:w="4376" w:type="dxa"/>
            <w:shd w:val="clear" w:color="auto" w:fill="auto"/>
          </w:tcPr>
          <w:p w14:paraId="171A8D90" w14:textId="77777777" w:rsidR="000230E8" w:rsidRPr="002056F5" w:rsidRDefault="000230E8" w:rsidP="00A51C1B">
            <w:pPr>
              <w:spacing w:after="0"/>
              <w:ind w:left="720"/>
              <w:jc w:val="right"/>
            </w:pPr>
            <w:r>
              <w:t>10</w:t>
            </w:r>
          </w:p>
        </w:tc>
      </w:tr>
      <w:tr w:rsidR="000230E8" w:rsidRPr="002056F5" w14:paraId="1EBDF8F4" w14:textId="77777777" w:rsidTr="00A51C1B">
        <w:tc>
          <w:tcPr>
            <w:tcW w:w="3544" w:type="dxa"/>
            <w:shd w:val="clear" w:color="auto" w:fill="auto"/>
          </w:tcPr>
          <w:p w14:paraId="022B283E" w14:textId="77777777" w:rsidR="000230E8" w:rsidRPr="002056F5" w:rsidRDefault="000230E8" w:rsidP="00A51C1B">
            <w:pPr>
              <w:spacing w:after="0"/>
              <w:jc w:val="both"/>
            </w:pPr>
            <w:r w:rsidRPr="002056F5">
              <w:t>Fiona Duignan</w:t>
            </w:r>
          </w:p>
        </w:tc>
        <w:tc>
          <w:tcPr>
            <w:tcW w:w="4376" w:type="dxa"/>
            <w:shd w:val="clear" w:color="auto" w:fill="auto"/>
          </w:tcPr>
          <w:p w14:paraId="4CB389E5" w14:textId="77777777" w:rsidR="000230E8" w:rsidRPr="002056F5" w:rsidRDefault="000230E8" w:rsidP="00A51C1B">
            <w:pPr>
              <w:spacing w:after="0"/>
              <w:ind w:left="720"/>
              <w:jc w:val="right"/>
            </w:pPr>
            <w:r>
              <w:t>2</w:t>
            </w:r>
            <w:r w:rsidRPr="00A51C1B">
              <w:rPr>
                <w:vertAlign w:val="superscript"/>
              </w:rPr>
              <w:t>2</w:t>
            </w:r>
          </w:p>
        </w:tc>
      </w:tr>
      <w:tr w:rsidR="000230E8" w:rsidRPr="002056F5" w14:paraId="50EB7065" w14:textId="77777777" w:rsidTr="00A51C1B">
        <w:tc>
          <w:tcPr>
            <w:tcW w:w="3544" w:type="dxa"/>
            <w:shd w:val="clear" w:color="auto" w:fill="auto"/>
          </w:tcPr>
          <w:p w14:paraId="79045C30" w14:textId="77777777" w:rsidR="000230E8" w:rsidRPr="002056F5" w:rsidRDefault="000230E8" w:rsidP="00A51C1B">
            <w:pPr>
              <w:spacing w:after="0"/>
              <w:jc w:val="both"/>
            </w:pPr>
            <w:r w:rsidRPr="002056F5">
              <w:t xml:space="preserve">Linda </w:t>
            </w:r>
            <w:proofErr w:type="spellStart"/>
            <w:r w:rsidRPr="002056F5">
              <w:t>Grealy</w:t>
            </w:r>
            <w:proofErr w:type="spellEnd"/>
          </w:p>
        </w:tc>
        <w:tc>
          <w:tcPr>
            <w:tcW w:w="4376" w:type="dxa"/>
            <w:shd w:val="clear" w:color="auto" w:fill="auto"/>
          </w:tcPr>
          <w:p w14:paraId="37519C71" w14:textId="77777777" w:rsidR="000230E8" w:rsidRPr="002056F5" w:rsidRDefault="000230E8" w:rsidP="00A51C1B">
            <w:pPr>
              <w:spacing w:after="0"/>
              <w:ind w:left="720"/>
              <w:jc w:val="right"/>
            </w:pPr>
            <w:r>
              <w:t>4</w:t>
            </w:r>
          </w:p>
        </w:tc>
      </w:tr>
      <w:tr w:rsidR="000230E8" w:rsidRPr="002056F5" w14:paraId="2021D7F7" w14:textId="77777777" w:rsidTr="00A51C1B">
        <w:tc>
          <w:tcPr>
            <w:tcW w:w="3544" w:type="dxa"/>
            <w:shd w:val="clear" w:color="auto" w:fill="auto"/>
          </w:tcPr>
          <w:p w14:paraId="7343A842" w14:textId="77777777" w:rsidR="000230E8" w:rsidRPr="002056F5" w:rsidRDefault="000230E8" w:rsidP="00A51C1B">
            <w:pPr>
              <w:spacing w:after="0"/>
              <w:jc w:val="both"/>
            </w:pPr>
            <w:r w:rsidRPr="002056F5">
              <w:t>Shane Hogan</w:t>
            </w:r>
          </w:p>
        </w:tc>
        <w:tc>
          <w:tcPr>
            <w:tcW w:w="4376" w:type="dxa"/>
            <w:shd w:val="clear" w:color="auto" w:fill="auto"/>
          </w:tcPr>
          <w:p w14:paraId="059AD674" w14:textId="77777777" w:rsidR="000230E8" w:rsidRPr="002056F5" w:rsidRDefault="000230E8" w:rsidP="00A51C1B">
            <w:pPr>
              <w:spacing w:after="0"/>
              <w:ind w:left="720"/>
              <w:jc w:val="right"/>
            </w:pPr>
            <w:r>
              <w:t>10</w:t>
            </w:r>
          </w:p>
        </w:tc>
      </w:tr>
      <w:tr w:rsidR="000230E8" w:rsidRPr="002056F5" w14:paraId="76ADF972" w14:textId="77777777" w:rsidTr="00A51C1B">
        <w:tc>
          <w:tcPr>
            <w:tcW w:w="3544" w:type="dxa"/>
            <w:shd w:val="clear" w:color="auto" w:fill="auto"/>
          </w:tcPr>
          <w:p w14:paraId="4D66DE92" w14:textId="77777777" w:rsidR="000230E8" w:rsidRPr="002056F5" w:rsidRDefault="000230E8" w:rsidP="00A51C1B">
            <w:pPr>
              <w:spacing w:after="0"/>
              <w:jc w:val="both"/>
            </w:pPr>
            <w:r w:rsidRPr="002056F5">
              <w:t>David Joyce</w:t>
            </w:r>
          </w:p>
        </w:tc>
        <w:tc>
          <w:tcPr>
            <w:tcW w:w="4376" w:type="dxa"/>
            <w:shd w:val="clear" w:color="auto" w:fill="auto"/>
          </w:tcPr>
          <w:p w14:paraId="7E755795" w14:textId="77777777" w:rsidR="000230E8" w:rsidRPr="002056F5" w:rsidRDefault="000230E8" w:rsidP="00A51C1B">
            <w:pPr>
              <w:spacing w:after="0"/>
              <w:ind w:left="720"/>
              <w:jc w:val="right"/>
            </w:pPr>
            <w:r>
              <w:t>6</w:t>
            </w:r>
          </w:p>
        </w:tc>
      </w:tr>
      <w:tr w:rsidR="000230E8" w:rsidRPr="002056F5" w14:paraId="636A4F49" w14:textId="77777777" w:rsidTr="00A51C1B">
        <w:tc>
          <w:tcPr>
            <w:tcW w:w="3544" w:type="dxa"/>
            <w:shd w:val="clear" w:color="auto" w:fill="auto"/>
          </w:tcPr>
          <w:p w14:paraId="0B47703F" w14:textId="77777777" w:rsidR="000230E8" w:rsidRPr="002056F5" w:rsidRDefault="000230E8" w:rsidP="00A51C1B">
            <w:pPr>
              <w:spacing w:after="0"/>
              <w:jc w:val="both"/>
            </w:pPr>
            <w:r w:rsidRPr="002056F5">
              <w:t>Des Kenny</w:t>
            </w:r>
          </w:p>
        </w:tc>
        <w:tc>
          <w:tcPr>
            <w:tcW w:w="4376" w:type="dxa"/>
            <w:shd w:val="clear" w:color="auto" w:fill="auto"/>
          </w:tcPr>
          <w:p w14:paraId="4EA9CEAB" w14:textId="77777777" w:rsidR="000230E8" w:rsidRPr="002056F5" w:rsidRDefault="000230E8" w:rsidP="00A51C1B">
            <w:pPr>
              <w:spacing w:after="0"/>
              <w:ind w:left="720"/>
              <w:jc w:val="right"/>
            </w:pPr>
            <w:r>
              <w:t>9</w:t>
            </w:r>
          </w:p>
        </w:tc>
      </w:tr>
      <w:tr w:rsidR="000230E8" w:rsidRPr="002056F5" w14:paraId="27CC2995" w14:textId="77777777" w:rsidTr="00A51C1B">
        <w:tc>
          <w:tcPr>
            <w:tcW w:w="3544" w:type="dxa"/>
            <w:shd w:val="clear" w:color="auto" w:fill="auto"/>
          </w:tcPr>
          <w:p w14:paraId="00708335" w14:textId="77777777" w:rsidR="000230E8" w:rsidRPr="002056F5" w:rsidRDefault="000230E8" w:rsidP="00A51C1B">
            <w:pPr>
              <w:spacing w:after="0"/>
              <w:jc w:val="both"/>
            </w:pPr>
            <w:r w:rsidRPr="002056F5">
              <w:t>Mary Lavelle</w:t>
            </w:r>
          </w:p>
        </w:tc>
        <w:tc>
          <w:tcPr>
            <w:tcW w:w="4376" w:type="dxa"/>
            <w:shd w:val="clear" w:color="auto" w:fill="auto"/>
          </w:tcPr>
          <w:p w14:paraId="77663A01" w14:textId="77777777" w:rsidR="000230E8" w:rsidRPr="002056F5" w:rsidRDefault="000230E8" w:rsidP="00A51C1B">
            <w:pPr>
              <w:spacing w:after="0"/>
              <w:ind w:left="720"/>
              <w:jc w:val="right"/>
            </w:pPr>
            <w:r>
              <w:t>9</w:t>
            </w:r>
          </w:p>
        </w:tc>
      </w:tr>
      <w:tr w:rsidR="000230E8" w:rsidRPr="002056F5" w14:paraId="45E212EE" w14:textId="77777777" w:rsidTr="00A51C1B">
        <w:tc>
          <w:tcPr>
            <w:tcW w:w="3544" w:type="dxa"/>
            <w:shd w:val="clear" w:color="auto" w:fill="auto"/>
          </w:tcPr>
          <w:p w14:paraId="5E6409D3" w14:textId="77777777" w:rsidR="000230E8" w:rsidRPr="002056F5" w:rsidRDefault="000230E8" w:rsidP="00A51C1B">
            <w:pPr>
              <w:spacing w:after="0"/>
              <w:jc w:val="both"/>
            </w:pPr>
            <w:r w:rsidRPr="002056F5">
              <w:t xml:space="preserve">Joanne Mc </w:t>
            </w:r>
            <w:proofErr w:type="spellStart"/>
            <w:r w:rsidRPr="002056F5">
              <w:t>Carthy</w:t>
            </w:r>
            <w:proofErr w:type="spellEnd"/>
          </w:p>
        </w:tc>
        <w:tc>
          <w:tcPr>
            <w:tcW w:w="4376" w:type="dxa"/>
            <w:shd w:val="clear" w:color="auto" w:fill="auto"/>
          </w:tcPr>
          <w:p w14:paraId="3ED9D58B" w14:textId="77777777" w:rsidR="000230E8" w:rsidRPr="002056F5" w:rsidRDefault="000230E8" w:rsidP="00A51C1B">
            <w:pPr>
              <w:spacing w:after="0"/>
              <w:ind w:left="720"/>
              <w:jc w:val="right"/>
            </w:pPr>
            <w:r>
              <w:t>6</w:t>
            </w:r>
            <w:r w:rsidRPr="00A51C1B">
              <w:rPr>
                <w:vertAlign w:val="superscript"/>
              </w:rPr>
              <w:t>2</w:t>
            </w:r>
          </w:p>
        </w:tc>
      </w:tr>
    </w:tbl>
    <w:p w14:paraId="0CFD21B6" w14:textId="77777777" w:rsidR="000230E8" w:rsidRPr="002056F5" w:rsidRDefault="00835188" w:rsidP="000230E8">
      <w:pPr>
        <w:pStyle w:val="Heading3"/>
      </w:pPr>
      <w:bookmarkStart w:id="274" w:name="_Toc335836415"/>
      <w:r>
        <w:br/>
      </w:r>
      <w:r w:rsidR="000230E8" w:rsidRPr="002056F5">
        <w:t>Audit Committee</w:t>
      </w:r>
      <w:bookmarkEnd w:id="274"/>
    </w:p>
    <w:p w14:paraId="6602F026" w14:textId="77777777" w:rsidR="000230E8" w:rsidRPr="002056F5" w:rsidRDefault="000230E8" w:rsidP="000230E8">
      <w:pPr>
        <w:spacing w:after="0"/>
        <w:rPr>
          <w:lang w:val="en-GB" w:eastAsia="en-GB"/>
        </w:rPr>
      </w:pPr>
      <w:r w:rsidRPr="002056F5">
        <w:rPr>
          <w:lang w:val="en-GB" w:eastAsia="en-GB"/>
        </w:rPr>
        <w:t>Donal Lawlor (Chair)</w:t>
      </w:r>
      <w:r w:rsidRPr="002056F5">
        <w:rPr>
          <w:lang w:val="en-GB" w:eastAsia="en-GB"/>
        </w:rPr>
        <w:tab/>
      </w:r>
    </w:p>
    <w:p w14:paraId="19C3C204" w14:textId="77777777" w:rsidR="000230E8" w:rsidRPr="002056F5" w:rsidRDefault="000230E8" w:rsidP="000230E8">
      <w:pPr>
        <w:spacing w:after="0"/>
        <w:rPr>
          <w:lang w:val="en-GB" w:eastAsia="en-GB"/>
        </w:rPr>
      </w:pPr>
      <w:r w:rsidRPr="002056F5">
        <w:rPr>
          <w:lang w:val="en-GB" w:eastAsia="en-GB"/>
        </w:rPr>
        <w:t xml:space="preserve">Robert </w:t>
      </w:r>
      <w:proofErr w:type="spellStart"/>
      <w:r w:rsidRPr="002056F5">
        <w:rPr>
          <w:lang w:val="en-GB" w:eastAsia="en-GB"/>
        </w:rPr>
        <w:t>Cashell</w:t>
      </w:r>
      <w:proofErr w:type="spellEnd"/>
    </w:p>
    <w:p w14:paraId="05F6CFA0" w14:textId="77777777" w:rsidR="000230E8" w:rsidRDefault="000230E8" w:rsidP="000230E8">
      <w:pPr>
        <w:spacing w:after="0"/>
        <w:rPr>
          <w:lang w:val="en-GB" w:eastAsia="en-GB"/>
        </w:rPr>
      </w:pPr>
      <w:r w:rsidRPr="002056F5">
        <w:rPr>
          <w:lang w:val="en-GB" w:eastAsia="en-GB"/>
        </w:rPr>
        <w:t xml:space="preserve">Frank </w:t>
      </w:r>
      <w:proofErr w:type="spellStart"/>
      <w:r w:rsidRPr="002056F5">
        <w:rPr>
          <w:lang w:val="en-GB" w:eastAsia="en-GB"/>
        </w:rPr>
        <w:t>Cunneen</w:t>
      </w:r>
      <w:proofErr w:type="spellEnd"/>
    </w:p>
    <w:p w14:paraId="6887DB21" w14:textId="77777777" w:rsidR="000230E8" w:rsidRPr="002056F5" w:rsidRDefault="000230E8" w:rsidP="000230E8">
      <w:pPr>
        <w:spacing w:after="0"/>
        <w:rPr>
          <w:lang w:val="en-GB" w:eastAsia="en-GB"/>
        </w:rPr>
      </w:pPr>
      <w:r>
        <w:rPr>
          <w:lang w:val="en-GB" w:eastAsia="en-GB"/>
        </w:rPr>
        <w:t>Brian Duffy</w:t>
      </w:r>
    </w:p>
    <w:p w14:paraId="3EEE6F0F" w14:textId="77777777" w:rsidR="000230E8" w:rsidRDefault="000230E8" w:rsidP="000230E8">
      <w:pPr>
        <w:rPr>
          <w:lang w:val="en-GB" w:eastAsia="en-GB"/>
        </w:rPr>
      </w:pPr>
      <w:r w:rsidRPr="002056F5">
        <w:rPr>
          <w:lang w:val="en-GB" w:eastAsia="en-GB"/>
        </w:rPr>
        <w:t>Des Kenny</w:t>
      </w:r>
    </w:p>
    <w:p w14:paraId="5C2765C5" w14:textId="77777777" w:rsidR="000230E8" w:rsidRPr="002056F5" w:rsidRDefault="000230E8" w:rsidP="000230E8">
      <w:pPr>
        <w:pStyle w:val="Heading3"/>
      </w:pPr>
      <w:bookmarkStart w:id="275" w:name="_Toc335836416"/>
      <w:r w:rsidRPr="002056F5">
        <w:t>Finance Committee</w:t>
      </w:r>
      <w:bookmarkEnd w:id="275"/>
    </w:p>
    <w:p w14:paraId="6E780FCE" w14:textId="77777777" w:rsidR="000230E8" w:rsidRPr="002056F5" w:rsidRDefault="000230E8" w:rsidP="000230E8">
      <w:pPr>
        <w:spacing w:after="0"/>
        <w:rPr>
          <w:lang w:val="en-GB" w:eastAsia="en-GB"/>
        </w:rPr>
      </w:pPr>
      <w:r w:rsidRPr="002056F5">
        <w:rPr>
          <w:lang w:val="en-GB" w:eastAsia="en-GB"/>
        </w:rPr>
        <w:t xml:space="preserve">Frank </w:t>
      </w:r>
      <w:proofErr w:type="spellStart"/>
      <w:r w:rsidRPr="002056F5">
        <w:rPr>
          <w:lang w:val="en-GB" w:eastAsia="en-GB"/>
        </w:rPr>
        <w:t>Cunneen</w:t>
      </w:r>
      <w:proofErr w:type="spellEnd"/>
      <w:r w:rsidRPr="002056F5">
        <w:rPr>
          <w:lang w:val="en-GB" w:eastAsia="en-GB"/>
        </w:rPr>
        <w:t xml:space="preserve"> (Chair)</w:t>
      </w:r>
    </w:p>
    <w:p w14:paraId="0F03387E" w14:textId="77777777" w:rsidR="000230E8" w:rsidRPr="002056F5" w:rsidRDefault="000230E8" w:rsidP="000230E8">
      <w:pPr>
        <w:spacing w:after="0"/>
        <w:rPr>
          <w:lang w:val="en-GB" w:eastAsia="en-GB"/>
        </w:rPr>
      </w:pPr>
      <w:r w:rsidRPr="002056F5">
        <w:rPr>
          <w:lang w:val="en-GB" w:eastAsia="en-GB"/>
        </w:rPr>
        <w:t>Caroline Burrell</w:t>
      </w:r>
    </w:p>
    <w:p w14:paraId="099AE78F" w14:textId="77777777" w:rsidR="000230E8" w:rsidRPr="002056F5" w:rsidRDefault="000230E8" w:rsidP="000230E8">
      <w:pPr>
        <w:spacing w:after="0"/>
        <w:rPr>
          <w:lang w:val="en-GB" w:eastAsia="en-GB"/>
        </w:rPr>
      </w:pPr>
      <w:r w:rsidRPr="002056F5">
        <w:rPr>
          <w:lang w:val="en-GB" w:eastAsia="en-GB"/>
        </w:rPr>
        <w:t>David Joyce</w:t>
      </w:r>
    </w:p>
    <w:p w14:paraId="16B20BC1" w14:textId="77777777" w:rsidR="000230E8" w:rsidRPr="002056F5" w:rsidRDefault="000230E8" w:rsidP="000230E8">
      <w:pPr>
        <w:spacing w:after="0"/>
        <w:rPr>
          <w:lang w:val="en-GB" w:eastAsia="en-GB"/>
        </w:rPr>
      </w:pPr>
      <w:r w:rsidRPr="002056F5">
        <w:rPr>
          <w:lang w:val="en-GB" w:eastAsia="en-GB"/>
        </w:rPr>
        <w:t>Des Kenny</w:t>
      </w:r>
    </w:p>
    <w:p w14:paraId="4779A46F" w14:textId="77777777" w:rsidR="000230E8" w:rsidRDefault="000230E8" w:rsidP="000230E8">
      <w:pPr>
        <w:rPr>
          <w:lang w:val="en-GB" w:eastAsia="en-GB"/>
        </w:rPr>
      </w:pPr>
      <w:r w:rsidRPr="002056F5">
        <w:rPr>
          <w:lang w:val="en-GB" w:eastAsia="en-GB"/>
        </w:rPr>
        <w:t>David Scott</w:t>
      </w:r>
    </w:p>
    <w:p w14:paraId="20A60E71" w14:textId="77777777" w:rsidR="000230E8" w:rsidRPr="002056F5" w:rsidRDefault="000230E8" w:rsidP="000230E8">
      <w:pPr>
        <w:pStyle w:val="Heading3"/>
      </w:pPr>
      <w:bookmarkStart w:id="276" w:name="_Toc335836417"/>
      <w:r w:rsidRPr="002056F5">
        <w:t>National Disability Strategy Sub-committee</w:t>
      </w:r>
      <w:bookmarkEnd w:id="276"/>
    </w:p>
    <w:p w14:paraId="1D84CFE8" w14:textId="77777777" w:rsidR="000230E8" w:rsidRPr="002056F5" w:rsidRDefault="000230E8" w:rsidP="000230E8">
      <w:pPr>
        <w:spacing w:after="0"/>
        <w:rPr>
          <w:lang w:val="en-GB" w:eastAsia="en-GB"/>
        </w:rPr>
      </w:pPr>
      <w:r w:rsidRPr="002056F5">
        <w:rPr>
          <w:lang w:val="en-GB" w:eastAsia="en-GB"/>
        </w:rPr>
        <w:t>Shane Hogan (Chair)</w:t>
      </w:r>
    </w:p>
    <w:p w14:paraId="0B28BC5E" w14:textId="77777777" w:rsidR="000230E8" w:rsidRDefault="000230E8" w:rsidP="000230E8">
      <w:pPr>
        <w:spacing w:after="0"/>
        <w:rPr>
          <w:rFonts w:cs="Helv"/>
          <w:lang w:val="en-GB" w:eastAsia="en-GB"/>
        </w:rPr>
      </w:pPr>
      <w:r w:rsidRPr="002056F5">
        <w:rPr>
          <w:rFonts w:cs="Helv"/>
          <w:lang w:val="en-GB" w:eastAsia="en-GB"/>
        </w:rPr>
        <w:t xml:space="preserve">Tara Cunningham </w:t>
      </w:r>
    </w:p>
    <w:p w14:paraId="34CF27C2" w14:textId="77777777" w:rsidR="000230E8" w:rsidRPr="002056F5" w:rsidRDefault="000230E8" w:rsidP="000230E8">
      <w:pPr>
        <w:spacing w:after="0"/>
        <w:rPr>
          <w:rFonts w:cs="Helv"/>
          <w:lang w:val="en-GB" w:eastAsia="en-GB"/>
        </w:rPr>
      </w:pPr>
      <w:r>
        <w:rPr>
          <w:rFonts w:cs="Helv"/>
          <w:lang w:val="en-GB" w:eastAsia="en-GB"/>
        </w:rPr>
        <w:lastRenderedPageBreak/>
        <w:t>James O’Grady</w:t>
      </w:r>
      <w:r>
        <w:rPr>
          <w:rStyle w:val="FootnoteReference0"/>
          <w:rFonts w:cs="Helv"/>
          <w:color w:val="000000"/>
          <w:lang w:val="en-GB" w:eastAsia="en-GB"/>
        </w:rPr>
        <w:footnoteReference w:id="4"/>
      </w:r>
    </w:p>
    <w:p w14:paraId="0A350D81" w14:textId="77777777" w:rsidR="000230E8" w:rsidRPr="002056F5" w:rsidRDefault="000230E8" w:rsidP="000230E8">
      <w:pPr>
        <w:spacing w:after="0"/>
        <w:rPr>
          <w:rFonts w:cs="Helv"/>
          <w:lang w:val="en-GB" w:eastAsia="en-GB"/>
        </w:rPr>
      </w:pPr>
      <w:r w:rsidRPr="002056F5">
        <w:rPr>
          <w:rFonts w:cs="Helv"/>
          <w:lang w:val="en-GB" w:eastAsia="en-GB"/>
        </w:rPr>
        <w:t xml:space="preserve">David Joyce </w:t>
      </w:r>
    </w:p>
    <w:p w14:paraId="3053C10A" w14:textId="77777777" w:rsidR="000230E8" w:rsidRPr="002056F5" w:rsidRDefault="000230E8" w:rsidP="000230E8">
      <w:pPr>
        <w:spacing w:after="0"/>
        <w:rPr>
          <w:rFonts w:cs="Helv"/>
          <w:lang w:val="en-GB" w:eastAsia="en-GB"/>
        </w:rPr>
      </w:pPr>
      <w:r w:rsidRPr="002056F5">
        <w:rPr>
          <w:rFonts w:cs="Helv"/>
          <w:lang w:val="en-GB" w:eastAsia="en-GB"/>
        </w:rPr>
        <w:t>Mary Lavelle</w:t>
      </w:r>
    </w:p>
    <w:p w14:paraId="182178CC" w14:textId="77777777" w:rsidR="000230E8" w:rsidRPr="002056F5" w:rsidRDefault="000230E8" w:rsidP="000230E8">
      <w:pPr>
        <w:rPr>
          <w:rFonts w:cs="Helv"/>
          <w:lang w:val="en-GB" w:eastAsia="en-GB"/>
        </w:rPr>
      </w:pPr>
      <w:r w:rsidRPr="002056F5">
        <w:rPr>
          <w:rFonts w:cs="Helv"/>
          <w:lang w:val="en-GB" w:eastAsia="en-GB"/>
        </w:rPr>
        <w:t xml:space="preserve">Joanne McCarthy </w:t>
      </w:r>
    </w:p>
    <w:p w14:paraId="5723ED9E" w14:textId="77777777" w:rsidR="000230E8" w:rsidRDefault="000230E8" w:rsidP="000230E8">
      <w:pPr>
        <w:pStyle w:val="Heading1"/>
      </w:pPr>
      <w:bookmarkStart w:id="277" w:name="_Toc335828915"/>
      <w:bookmarkStart w:id="278" w:name="_Toc335829653"/>
      <w:bookmarkStart w:id="279" w:name="_Toc335836418"/>
      <w:bookmarkStart w:id="280" w:name="_Toc335983442"/>
      <w:bookmarkStart w:id="281" w:name="_Toc335986611"/>
      <w:r>
        <w:t>Appendix 2: Representation on external bodies in 2011</w:t>
      </w:r>
      <w:bookmarkEnd w:id="277"/>
      <w:bookmarkEnd w:id="278"/>
      <w:bookmarkEnd w:id="279"/>
      <w:bookmarkEnd w:id="280"/>
      <w:bookmarkEnd w:id="281"/>
    </w:p>
    <w:p w14:paraId="185FB97E" w14:textId="77777777" w:rsidR="000230E8" w:rsidRPr="001F2B46" w:rsidRDefault="000230E8" w:rsidP="000230E8">
      <w:pPr>
        <w:pStyle w:val="Heading2"/>
      </w:pPr>
      <w:bookmarkStart w:id="282" w:name="_Toc335836419"/>
      <w:r w:rsidRPr="001F2B46">
        <w:t>Commission for Communications Regulation</w:t>
      </w:r>
      <w:bookmarkEnd w:id="282"/>
      <w:r w:rsidRPr="001F2B46">
        <w:t xml:space="preserve"> </w:t>
      </w:r>
    </w:p>
    <w:p w14:paraId="2B5BCA40" w14:textId="77777777" w:rsidR="000230E8" w:rsidRPr="001F2B46" w:rsidRDefault="000230E8" w:rsidP="000230E8">
      <w:r w:rsidRPr="001F2B46">
        <w:t xml:space="preserve">Consumer </w:t>
      </w:r>
      <w:r>
        <w:t xml:space="preserve">Advisory </w:t>
      </w:r>
      <w:r w:rsidRPr="001F2B46">
        <w:t>Panel</w:t>
      </w:r>
    </w:p>
    <w:p w14:paraId="7B6ACAEB" w14:textId="77777777" w:rsidR="000230E8" w:rsidRDefault="000230E8" w:rsidP="000230E8">
      <w:r w:rsidRPr="001F2B46">
        <w:t>Industry Forum on Services for People with Disabilities</w:t>
      </w:r>
    </w:p>
    <w:p w14:paraId="4AF79920" w14:textId="77777777" w:rsidR="000230E8" w:rsidRPr="001F2B46" w:rsidRDefault="000230E8" w:rsidP="000230E8">
      <w:pPr>
        <w:pStyle w:val="Heading2"/>
      </w:pPr>
      <w:bookmarkStart w:id="283" w:name="_Toc335836420"/>
      <w:r w:rsidRPr="001F2B46">
        <w:t xml:space="preserve">Department of </w:t>
      </w:r>
      <w:r>
        <w:t>Children and Youth Affairs</w:t>
      </w:r>
      <w:bookmarkEnd w:id="283"/>
    </w:p>
    <w:p w14:paraId="17BA2EEE" w14:textId="77777777" w:rsidR="000230E8" w:rsidRPr="00EE0D8D" w:rsidRDefault="000230E8" w:rsidP="000230E8">
      <w:r w:rsidRPr="00EE0D8D">
        <w:t>National Children’s Advisory Council</w:t>
      </w:r>
    </w:p>
    <w:p w14:paraId="5CA70CD1" w14:textId="77777777" w:rsidR="000230E8" w:rsidRPr="001F2B46" w:rsidRDefault="000230E8" w:rsidP="000230E8">
      <w:pPr>
        <w:pStyle w:val="Heading2"/>
      </w:pPr>
      <w:bookmarkStart w:id="284" w:name="_Toc335836421"/>
      <w:r w:rsidRPr="001F2B46">
        <w:t>Department of Communications, Energy and Natural Resources</w:t>
      </w:r>
      <w:bookmarkEnd w:id="284"/>
    </w:p>
    <w:p w14:paraId="0FA39C26" w14:textId="77777777" w:rsidR="000230E8" w:rsidRPr="001F2B46" w:rsidRDefault="000230E8" w:rsidP="000230E8">
      <w:r w:rsidRPr="001F2B46">
        <w:t>Sectoral Plan and Part 5 Monitoring Committee</w:t>
      </w:r>
    </w:p>
    <w:p w14:paraId="12AA18B4" w14:textId="77777777" w:rsidR="000230E8" w:rsidRPr="001F2B46" w:rsidRDefault="000230E8" w:rsidP="000230E8">
      <w:pPr>
        <w:pStyle w:val="Heading2"/>
      </w:pPr>
      <w:bookmarkStart w:id="285" w:name="_Toc335836422"/>
      <w:r w:rsidRPr="001F2B46">
        <w:t>Department of Transport</w:t>
      </w:r>
      <w:r>
        <w:t>, Tourism and Sport</w:t>
      </w:r>
      <w:bookmarkEnd w:id="285"/>
    </w:p>
    <w:p w14:paraId="22825C07" w14:textId="77777777" w:rsidR="000230E8" w:rsidRDefault="000230E8" w:rsidP="000230E8">
      <w:r w:rsidRPr="001F2B46">
        <w:t>Public Transport A</w:t>
      </w:r>
      <w:r>
        <w:t>ccessibility</w:t>
      </w:r>
      <w:r w:rsidRPr="001F2B46">
        <w:t xml:space="preserve"> Committee </w:t>
      </w:r>
    </w:p>
    <w:p w14:paraId="7E113994" w14:textId="77777777" w:rsidR="000230E8" w:rsidRDefault="000230E8" w:rsidP="000230E8">
      <w:r>
        <w:t>Taxi Regulation Review Steering Group</w:t>
      </w:r>
    </w:p>
    <w:p w14:paraId="75DAD614" w14:textId="77777777" w:rsidR="000230E8" w:rsidRDefault="000230E8" w:rsidP="000230E8">
      <w:r>
        <w:t>Working Group on Licensing and Administration</w:t>
      </w:r>
    </w:p>
    <w:p w14:paraId="6753AC15" w14:textId="77777777" w:rsidR="000230E8" w:rsidRDefault="000230E8" w:rsidP="000230E8">
      <w:pPr>
        <w:pStyle w:val="Heading2"/>
      </w:pPr>
      <w:bookmarkStart w:id="286" w:name="_Toc335836423"/>
      <w:r>
        <w:t>Equality Authority</w:t>
      </w:r>
      <w:bookmarkEnd w:id="286"/>
    </w:p>
    <w:p w14:paraId="0FFD9459" w14:textId="77777777" w:rsidR="000230E8" w:rsidRDefault="000230E8" w:rsidP="000230E8">
      <w:r w:rsidRPr="003B680E">
        <w:t xml:space="preserve">Public Sector </w:t>
      </w:r>
      <w:r>
        <w:t>Equality Learning Network</w:t>
      </w:r>
    </w:p>
    <w:p w14:paraId="0E30D155" w14:textId="77777777" w:rsidR="000230E8" w:rsidRPr="003B680E" w:rsidRDefault="000230E8" w:rsidP="000230E8">
      <w:r>
        <w:t>Progress Advisory Committee</w:t>
      </w:r>
    </w:p>
    <w:p w14:paraId="01DB69CC" w14:textId="77777777" w:rsidR="000230E8" w:rsidRPr="00981CA8" w:rsidRDefault="000230E8" w:rsidP="000230E8">
      <w:pPr>
        <w:pStyle w:val="Heading2"/>
      </w:pPr>
      <w:bookmarkStart w:id="287" w:name="_Toc335836424"/>
      <w:r>
        <w:t>Health Service Executive</w:t>
      </w:r>
      <w:bookmarkEnd w:id="287"/>
    </w:p>
    <w:p w14:paraId="59766843" w14:textId="77777777" w:rsidR="000230E8" w:rsidRDefault="000230E8" w:rsidP="000230E8">
      <w:pPr>
        <w:rPr>
          <w:bCs/>
        </w:rPr>
      </w:pPr>
      <w:r w:rsidRPr="00CA7FA0">
        <w:rPr>
          <w:bCs/>
        </w:rPr>
        <w:t>Universal Access Policy Working Group</w:t>
      </w:r>
    </w:p>
    <w:p w14:paraId="2E8AB22D" w14:textId="77777777" w:rsidR="000230E8" w:rsidRPr="005A6983" w:rsidRDefault="000230E8" w:rsidP="000230E8">
      <w:pPr>
        <w:pStyle w:val="Heading2"/>
      </w:pPr>
      <w:bookmarkStart w:id="288" w:name="_Toc335836425"/>
      <w:r w:rsidRPr="005A6983">
        <w:t>Local Government Management Services Board</w:t>
      </w:r>
      <w:bookmarkEnd w:id="288"/>
      <w:r w:rsidRPr="005A6983">
        <w:t xml:space="preserve"> </w:t>
      </w:r>
    </w:p>
    <w:p w14:paraId="19E23F0B" w14:textId="77777777" w:rsidR="000230E8" w:rsidRPr="005A6983" w:rsidRDefault="000230E8" w:rsidP="000230E8">
      <w:pPr>
        <w:rPr>
          <w:bCs/>
        </w:rPr>
      </w:pPr>
      <w:r w:rsidRPr="005A6983">
        <w:rPr>
          <w:bCs/>
        </w:rPr>
        <w:t>Disability Act Steering Group, and its subgroups on Training and Communications; Access; and Disability Access Certificates</w:t>
      </w:r>
    </w:p>
    <w:p w14:paraId="1799428B" w14:textId="77777777" w:rsidR="000230E8" w:rsidRPr="00CA7FA0" w:rsidRDefault="000230E8" w:rsidP="000230E8">
      <w:pPr>
        <w:pStyle w:val="Heading2"/>
      </w:pPr>
      <w:bookmarkStart w:id="289" w:name="_Toc335836426"/>
      <w:r w:rsidRPr="00CA7FA0">
        <w:t>National Council for Special Education</w:t>
      </w:r>
      <w:bookmarkEnd w:id="289"/>
      <w:r w:rsidRPr="00CA7FA0">
        <w:t xml:space="preserve"> </w:t>
      </w:r>
    </w:p>
    <w:p w14:paraId="6D9A9527" w14:textId="77777777" w:rsidR="000230E8" w:rsidRPr="00CA7FA0" w:rsidRDefault="000230E8" w:rsidP="000230E8">
      <w:pPr>
        <w:rPr>
          <w:bCs/>
        </w:rPr>
      </w:pPr>
      <w:r w:rsidRPr="00CA7FA0">
        <w:rPr>
          <w:bCs/>
        </w:rPr>
        <w:t xml:space="preserve">Board </w:t>
      </w:r>
    </w:p>
    <w:p w14:paraId="5E58DE05" w14:textId="77777777" w:rsidR="000230E8" w:rsidRDefault="000230E8" w:rsidP="000230E8">
      <w:pPr>
        <w:rPr>
          <w:bCs/>
        </w:rPr>
      </w:pPr>
      <w:r>
        <w:rPr>
          <w:bCs/>
        </w:rPr>
        <w:lastRenderedPageBreak/>
        <w:t>Audit Committee</w:t>
      </w:r>
    </w:p>
    <w:p w14:paraId="124A528A" w14:textId="77777777" w:rsidR="000230E8" w:rsidRPr="00CA7FA0" w:rsidRDefault="000230E8" w:rsidP="000230E8">
      <w:pPr>
        <w:rPr>
          <w:bCs/>
        </w:rPr>
      </w:pPr>
      <w:r>
        <w:rPr>
          <w:bCs/>
        </w:rPr>
        <w:t>Finance Committee</w:t>
      </w:r>
    </w:p>
    <w:p w14:paraId="484D411D" w14:textId="77777777" w:rsidR="000230E8" w:rsidRPr="004A6CB4" w:rsidRDefault="000230E8" w:rsidP="000230E8">
      <w:pPr>
        <w:pStyle w:val="Heading2"/>
      </w:pPr>
      <w:bookmarkStart w:id="290" w:name="_Toc335836427"/>
      <w:r w:rsidRPr="004A6CB4">
        <w:t>National Standards Authority of Ireland</w:t>
      </w:r>
      <w:bookmarkEnd w:id="290"/>
      <w:r w:rsidRPr="004A6CB4">
        <w:t xml:space="preserve"> </w:t>
      </w:r>
    </w:p>
    <w:p w14:paraId="56C7CC3A" w14:textId="77777777" w:rsidR="000230E8" w:rsidRPr="001F2B46" w:rsidRDefault="000230E8" w:rsidP="000230E8">
      <w:r w:rsidRPr="004A6CB4">
        <w:t>Accessibility for All Standards Consultative Committee</w:t>
      </w:r>
      <w:r>
        <w:t xml:space="preserve">/Working Group 6: </w:t>
      </w:r>
      <w:r w:rsidRPr="004A6CB4">
        <w:t>Universal Design in Energy Customer Services</w:t>
      </w:r>
    </w:p>
    <w:p w14:paraId="49F2ACFA" w14:textId="77777777" w:rsidR="000230E8" w:rsidRPr="001F2B46" w:rsidRDefault="000230E8" w:rsidP="000230E8">
      <w:pPr>
        <w:pStyle w:val="Heading2"/>
      </w:pPr>
      <w:bookmarkStart w:id="291" w:name="_Toc335836428"/>
      <w:r>
        <w:t>National Transport Authority</w:t>
      </w:r>
      <w:bookmarkEnd w:id="291"/>
      <w:r>
        <w:t xml:space="preserve"> </w:t>
      </w:r>
    </w:p>
    <w:p w14:paraId="7DE2DFD6" w14:textId="77777777" w:rsidR="000230E8" w:rsidRDefault="000230E8" w:rsidP="000230E8">
      <w:r w:rsidRPr="001F2B46">
        <w:t>Taxi Advisory Council</w:t>
      </w:r>
    </w:p>
    <w:p w14:paraId="03B21FF7" w14:textId="77777777" w:rsidR="000230E8" w:rsidRPr="001F2B46" w:rsidRDefault="000230E8" w:rsidP="000230E8">
      <w:pPr>
        <w:pStyle w:val="Heading2"/>
      </w:pPr>
      <w:bookmarkStart w:id="292" w:name="_Toc335836429"/>
      <w:r w:rsidRPr="00CA7FA0">
        <w:t>Rehabilitation International/RI Europe</w:t>
      </w:r>
      <w:bookmarkEnd w:id="292"/>
    </w:p>
    <w:p w14:paraId="6380E6B9" w14:textId="77777777" w:rsidR="000230E8" w:rsidRDefault="000230E8" w:rsidP="000230E8">
      <w:pPr>
        <w:pStyle w:val="Heading1"/>
      </w:pPr>
      <w:r>
        <w:br w:type="page"/>
      </w:r>
      <w:bookmarkStart w:id="293" w:name="_Toc299360708"/>
      <w:bookmarkStart w:id="294" w:name="_Toc299362490"/>
      <w:bookmarkStart w:id="295" w:name="_Toc299362581"/>
      <w:bookmarkStart w:id="296" w:name="_Toc300742188"/>
      <w:bookmarkStart w:id="297" w:name="_Toc300742940"/>
      <w:bookmarkStart w:id="298" w:name="_Toc300744292"/>
      <w:bookmarkStart w:id="299" w:name="_Toc304371214"/>
      <w:bookmarkStart w:id="300" w:name="_Toc304381933"/>
      <w:bookmarkStart w:id="301" w:name="_Toc335828916"/>
      <w:bookmarkStart w:id="302" w:name="_Toc335829654"/>
      <w:bookmarkStart w:id="303" w:name="_Toc335836430"/>
      <w:bookmarkStart w:id="304" w:name="_Toc335983443"/>
      <w:bookmarkStart w:id="305" w:name="_Toc335986612"/>
      <w:r w:rsidRPr="002C6872">
        <w:lastRenderedPageBreak/>
        <w:t xml:space="preserve">Appendix </w:t>
      </w:r>
      <w:r>
        <w:t>3</w:t>
      </w:r>
      <w:bookmarkStart w:id="306" w:name="_Toc299362582"/>
      <w:bookmarkEnd w:id="293"/>
      <w:bookmarkEnd w:id="294"/>
      <w:bookmarkEnd w:id="295"/>
      <w:r>
        <w:t xml:space="preserve">: </w:t>
      </w:r>
      <w:r w:rsidRPr="002C6872">
        <w:t>Publications in 201</w:t>
      </w:r>
      <w:bookmarkEnd w:id="296"/>
      <w:bookmarkEnd w:id="297"/>
      <w:bookmarkEnd w:id="298"/>
      <w:bookmarkEnd w:id="299"/>
      <w:bookmarkEnd w:id="300"/>
      <w:bookmarkEnd w:id="306"/>
      <w:r>
        <w:t>1</w:t>
      </w:r>
      <w:bookmarkEnd w:id="301"/>
      <w:bookmarkEnd w:id="302"/>
      <w:bookmarkEnd w:id="303"/>
      <w:bookmarkEnd w:id="304"/>
      <w:bookmarkEnd w:id="305"/>
    </w:p>
    <w:p w14:paraId="6320368C" w14:textId="77777777" w:rsidR="000230E8" w:rsidRDefault="000230E8" w:rsidP="000230E8">
      <w:pPr>
        <w:rPr>
          <w:lang w:val="en-GB"/>
        </w:rPr>
      </w:pPr>
      <w:r>
        <w:rPr>
          <w:lang w:val="en-GB"/>
        </w:rPr>
        <w:t xml:space="preserve">2009 Report </w:t>
      </w:r>
      <w:r w:rsidRPr="0018507D">
        <w:rPr>
          <w:lang w:val="en-GB"/>
        </w:rPr>
        <w:t>on Compliance with Part 5 of the Disability Act 2005 on Employment of People with Disabilities in the Public Service</w:t>
      </w:r>
    </w:p>
    <w:p w14:paraId="65D995EA" w14:textId="77777777" w:rsidR="000230E8" w:rsidRDefault="000230E8" w:rsidP="000230E8">
      <w:pPr>
        <w:rPr>
          <w:lang w:val="en-GB"/>
        </w:rPr>
      </w:pPr>
      <w:r>
        <w:rPr>
          <w:lang w:val="en-GB"/>
        </w:rPr>
        <w:t xml:space="preserve">2010 Report </w:t>
      </w:r>
      <w:r w:rsidRPr="0018507D">
        <w:rPr>
          <w:lang w:val="en-GB"/>
        </w:rPr>
        <w:t>on Compliance with Part 5 of the Disability Act 2005 on Employment of People with Disabilities in the Public Service</w:t>
      </w:r>
    </w:p>
    <w:p w14:paraId="675911EA" w14:textId="77777777" w:rsidR="000230E8" w:rsidRDefault="000230E8" w:rsidP="000230E8">
      <w:pPr>
        <w:rPr>
          <w:lang w:val="en-GB"/>
        </w:rPr>
      </w:pPr>
      <w:r>
        <w:rPr>
          <w:lang w:val="en-GB"/>
        </w:rPr>
        <w:t>Annual Report 2010</w:t>
      </w:r>
    </w:p>
    <w:p w14:paraId="5F112B07" w14:textId="77777777" w:rsidR="000230E8" w:rsidRPr="00BA4F2E" w:rsidRDefault="000230E8" w:rsidP="000230E8">
      <w:pPr>
        <w:rPr>
          <w:lang w:val="en-GB"/>
        </w:rPr>
      </w:pPr>
      <w:r>
        <w:rPr>
          <w:lang w:val="en-GB"/>
        </w:rPr>
        <w:t xml:space="preserve">Code of Practice on </w:t>
      </w:r>
      <w:r w:rsidRPr="00BA4F2E">
        <w:rPr>
          <w:lang w:val="en-GB"/>
        </w:rPr>
        <w:t>Accessible</w:t>
      </w:r>
      <w:r>
        <w:rPr>
          <w:lang w:val="en-GB"/>
        </w:rPr>
        <w:t xml:space="preserve"> </w:t>
      </w:r>
      <w:r w:rsidRPr="00BA4F2E">
        <w:rPr>
          <w:lang w:val="en-GB"/>
        </w:rPr>
        <w:t>Heritage</w:t>
      </w:r>
      <w:r>
        <w:rPr>
          <w:lang w:val="en-GB"/>
        </w:rPr>
        <w:t xml:space="preserve"> </w:t>
      </w:r>
      <w:r w:rsidRPr="00BA4F2E">
        <w:rPr>
          <w:lang w:val="en-GB"/>
        </w:rPr>
        <w:t>Sites</w:t>
      </w:r>
      <w:r>
        <w:rPr>
          <w:rStyle w:val="FootnoteReference0"/>
          <w:lang w:val="en-GB"/>
        </w:rPr>
        <w:footnoteReference w:id="5"/>
      </w:r>
    </w:p>
    <w:p w14:paraId="30AC9066" w14:textId="77777777" w:rsidR="000230E8" w:rsidRDefault="000230E8" w:rsidP="000230E8">
      <w:pPr>
        <w:rPr>
          <w:lang w:val="en-GB"/>
        </w:rPr>
      </w:pPr>
      <w:r w:rsidRPr="0018507D">
        <w:rPr>
          <w:lang w:val="en-GB"/>
        </w:rPr>
        <w:t>Guidance on retaining employees with a disability</w:t>
      </w:r>
      <w:r>
        <w:rPr>
          <w:lang w:val="en-GB"/>
        </w:rPr>
        <w:t xml:space="preserve">: Literature review </w:t>
      </w:r>
    </w:p>
    <w:p w14:paraId="672C5F43" w14:textId="77777777" w:rsidR="000230E8" w:rsidRDefault="000230E8" w:rsidP="000230E8">
      <w:pPr>
        <w:rPr>
          <w:lang w:val="en-GB"/>
        </w:rPr>
      </w:pPr>
      <w:r w:rsidRPr="00B717A9">
        <w:rPr>
          <w:lang w:val="en-GB"/>
        </w:rPr>
        <w:t>Health and Personal Social Services for People with Disabilities in</w:t>
      </w:r>
      <w:r>
        <w:rPr>
          <w:lang w:val="en-GB"/>
        </w:rPr>
        <w:t xml:space="preserve"> </w:t>
      </w:r>
      <w:r w:rsidRPr="00B717A9">
        <w:rPr>
          <w:lang w:val="en-GB"/>
        </w:rPr>
        <w:t>England</w:t>
      </w:r>
      <w:r>
        <w:rPr>
          <w:lang w:val="en-GB"/>
        </w:rPr>
        <w:t xml:space="preserve">: </w:t>
      </w:r>
      <w:r w:rsidRPr="00B717A9">
        <w:rPr>
          <w:lang w:val="en-GB"/>
        </w:rPr>
        <w:t>A Contemporary Developments in Disability Services Paper</w:t>
      </w:r>
    </w:p>
    <w:p w14:paraId="2C4F6EC0" w14:textId="77777777" w:rsidR="000230E8" w:rsidRDefault="000230E8" w:rsidP="000230E8">
      <w:pPr>
        <w:rPr>
          <w:lang w:val="en-GB"/>
        </w:rPr>
      </w:pPr>
      <w:r w:rsidRPr="00B717A9">
        <w:rPr>
          <w:lang w:val="en-GB"/>
        </w:rPr>
        <w:t>Health and Personal Social Servic</w:t>
      </w:r>
      <w:r>
        <w:rPr>
          <w:lang w:val="en-GB"/>
        </w:rPr>
        <w:t xml:space="preserve">es for People with Disabilities </w:t>
      </w:r>
      <w:r w:rsidRPr="00B717A9">
        <w:rPr>
          <w:lang w:val="en-GB"/>
        </w:rPr>
        <w:t>in New Zealand</w:t>
      </w:r>
      <w:r>
        <w:rPr>
          <w:lang w:val="en-GB"/>
        </w:rPr>
        <w:t xml:space="preserve">: </w:t>
      </w:r>
      <w:r w:rsidRPr="00B717A9">
        <w:rPr>
          <w:lang w:val="en-GB"/>
        </w:rPr>
        <w:t>A Contemporary Developments in Disability Services Paper</w:t>
      </w:r>
    </w:p>
    <w:p w14:paraId="7E587451" w14:textId="77777777" w:rsidR="000230E8" w:rsidRDefault="000230E8" w:rsidP="000230E8">
      <w:pPr>
        <w:rPr>
          <w:lang w:val="en-GB"/>
        </w:rPr>
      </w:pPr>
      <w:r w:rsidRPr="00B717A9">
        <w:rPr>
          <w:lang w:val="en-GB"/>
        </w:rPr>
        <w:t>Health and Personal Social Services for People with Disabilities</w:t>
      </w:r>
      <w:r>
        <w:rPr>
          <w:lang w:val="en-GB"/>
        </w:rPr>
        <w:t xml:space="preserve"> </w:t>
      </w:r>
      <w:r w:rsidRPr="00B717A9">
        <w:rPr>
          <w:lang w:val="en-GB"/>
        </w:rPr>
        <w:t xml:space="preserve">in </w:t>
      </w:r>
      <w:r>
        <w:rPr>
          <w:lang w:val="en-GB"/>
        </w:rPr>
        <w:t xml:space="preserve">the Netherlands: </w:t>
      </w:r>
      <w:r w:rsidRPr="00B717A9">
        <w:rPr>
          <w:lang w:val="en-GB"/>
        </w:rPr>
        <w:t>A Contemporary Developments in Disability Services Paper</w:t>
      </w:r>
    </w:p>
    <w:p w14:paraId="22734CF3" w14:textId="77777777" w:rsidR="000230E8" w:rsidRDefault="000230E8" w:rsidP="000230E8">
      <w:pPr>
        <w:rPr>
          <w:lang w:val="en-GB"/>
        </w:rPr>
      </w:pPr>
      <w:r>
        <w:t>National Survey of Public Attitudes to Disability in Ireland</w:t>
      </w:r>
    </w:p>
    <w:p w14:paraId="3C5BD421" w14:textId="77777777" w:rsidR="000230E8" w:rsidRPr="00BA4F2E" w:rsidRDefault="000230E8" w:rsidP="000230E8">
      <w:pPr>
        <w:rPr>
          <w:lang w:val="en-GB"/>
        </w:rPr>
      </w:pPr>
      <w:r w:rsidRPr="00BA4F2E">
        <w:rPr>
          <w:lang w:val="en-GB"/>
        </w:rPr>
        <w:t>Retaining emp</w:t>
      </w:r>
      <w:r>
        <w:rPr>
          <w:lang w:val="en-GB"/>
        </w:rPr>
        <w:t xml:space="preserve">loyees who acquire a disability: </w:t>
      </w:r>
      <w:r w:rsidRPr="00BA4F2E">
        <w:rPr>
          <w:lang w:val="en-GB"/>
        </w:rPr>
        <w:t>A guide for employers</w:t>
      </w:r>
    </w:p>
    <w:p w14:paraId="29E5C544" w14:textId="77777777" w:rsidR="000230E8" w:rsidRDefault="000230E8" w:rsidP="000230E8">
      <w:pPr>
        <w:rPr>
          <w:lang w:val="en-GB"/>
        </w:rPr>
      </w:pPr>
      <w:r>
        <w:rPr>
          <w:lang w:val="en-GB"/>
        </w:rPr>
        <w:t xml:space="preserve">Safe Evacuation </w:t>
      </w:r>
      <w:proofErr w:type="gramStart"/>
      <w:r>
        <w:rPr>
          <w:lang w:val="en-GB"/>
        </w:rPr>
        <w:t>For</w:t>
      </w:r>
      <w:proofErr w:type="gramEnd"/>
      <w:r>
        <w:rPr>
          <w:lang w:val="en-GB"/>
        </w:rPr>
        <w:t xml:space="preserve"> All: </w:t>
      </w:r>
      <w:r w:rsidRPr="0018507D">
        <w:rPr>
          <w:lang w:val="en-GB"/>
        </w:rPr>
        <w:t>A Planning and Management Guide</w:t>
      </w:r>
      <w:r>
        <w:rPr>
          <w:lang w:val="en-GB"/>
        </w:rPr>
        <w:t xml:space="preserve"> (revised)</w:t>
      </w:r>
    </w:p>
    <w:p w14:paraId="6ECD7BEB" w14:textId="77777777" w:rsidR="000230E8" w:rsidRDefault="000230E8" w:rsidP="000230E8">
      <w:r w:rsidRPr="00AA4F4F">
        <w:t>Strategic approaches to employing people with intellectual disability: Lessons from the UK</w:t>
      </w:r>
    </w:p>
    <w:p w14:paraId="5C17EBBE" w14:textId="77777777" w:rsidR="000230E8" w:rsidRDefault="000230E8" w:rsidP="000230E8">
      <w:pPr>
        <w:rPr>
          <w:lang w:val="en-GB"/>
        </w:rPr>
      </w:pPr>
      <w:r w:rsidRPr="004C0D59">
        <w:t>Strategic approaches to employing people with mental health issues</w:t>
      </w:r>
    </w:p>
    <w:p w14:paraId="1CBBBE27" w14:textId="77777777" w:rsidR="000230E8" w:rsidRPr="0018507D" w:rsidRDefault="000230E8" w:rsidP="000230E8">
      <w:pPr>
        <w:rPr>
          <w:lang w:val="en-GB"/>
        </w:rPr>
      </w:pPr>
      <w:r w:rsidRPr="0018507D">
        <w:rPr>
          <w:lang w:val="en-GB"/>
        </w:rPr>
        <w:t>The Introduction of Individual Budgets as a Resource Allocation System for Disability Services in Ireland</w:t>
      </w:r>
      <w:r>
        <w:rPr>
          <w:lang w:val="en-GB"/>
        </w:rPr>
        <w:t xml:space="preserve">: </w:t>
      </w:r>
      <w:r w:rsidRPr="0018507D">
        <w:rPr>
          <w:lang w:val="en-GB"/>
        </w:rPr>
        <w:t>A Contemporary Developments in Disability Services Paper</w:t>
      </w:r>
    </w:p>
    <w:p w14:paraId="697AA7BF" w14:textId="77777777" w:rsidR="000230E8" w:rsidRDefault="000230E8" w:rsidP="000230E8">
      <w:pPr>
        <w:pStyle w:val="Heading1"/>
      </w:pPr>
      <w:r>
        <w:br w:type="page"/>
      </w:r>
      <w:bookmarkStart w:id="307" w:name="_Toc335828917"/>
      <w:bookmarkStart w:id="308" w:name="_Toc335829655"/>
      <w:bookmarkStart w:id="309" w:name="_Toc335836431"/>
      <w:bookmarkStart w:id="310" w:name="_Toc335983444"/>
      <w:bookmarkStart w:id="311" w:name="_Toc335986613"/>
      <w:r>
        <w:lastRenderedPageBreak/>
        <w:t>Appendix 4: Policy advice papers in 2011</w:t>
      </w:r>
      <w:bookmarkEnd w:id="307"/>
      <w:bookmarkEnd w:id="308"/>
      <w:bookmarkEnd w:id="309"/>
      <w:bookmarkEnd w:id="310"/>
      <w:bookmarkEnd w:id="311"/>
    </w:p>
    <w:p w14:paraId="21823277" w14:textId="77777777" w:rsidR="000230E8" w:rsidRPr="00981CA8" w:rsidRDefault="000230E8" w:rsidP="000230E8">
      <w:pPr>
        <w:pStyle w:val="Heading2"/>
      </w:pPr>
      <w:bookmarkStart w:id="312" w:name="_Toc335836432"/>
      <w:r>
        <w:t>Broadcasting Authority of Ireland</w:t>
      </w:r>
      <w:bookmarkEnd w:id="312"/>
    </w:p>
    <w:p w14:paraId="1AD6BE2C" w14:textId="77777777" w:rsidR="000230E8" w:rsidRDefault="000230E8" w:rsidP="000230E8">
      <w:pPr>
        <w:rPr>
          <w:lang w:val="en-GB"/>
        </w:rPr>
      </w:pPr>
      <w:r w:rsidRPr="00421502">
        <w:rPr>
          <w:lang w:val="en-GB"/>
        </w:rPr>
        <w:t>Draft Broadcasting Code on Referenda and Election Coverage</w:t>
      </w:r>
    </w:p>
    <w:p w14:paraId="3B4A67A4" w14:textId="77777777" w:rsidR="000230E8" w:rsidRPr="00AE5FB5" w:rsidRDefault="000230E8" w:rsidP="000230E8">
      <w:r w:rsidRPr="00AE5FB5">
        <w:t>Draft Broadcasting Services Strategy</w:t>
      </w:r>
    </w:p>
    <w:p w14:paraId="3076C743" w14:textId="77777777" w:rsidR="000230E8" w:rsidRPr="00981CA8" w:rsidRDefault="000230E8" w:rsidP="000230E8">
      <w:pPr>
        <w:pStyle w:val="Heading2"/>
      </w:pPr>
      <w:bookmarkStart w:id="313" w:name="_Toc335836433"/>
      <w:r w:rsidRPr="00981CA8">
        <w:t>Commission for Energy Regulation</w:t>
      </w:r>
      <w:bookmarkEnd w:id="313"/>
    </w:p>
    <w:p w14:paraId="57C71028" w14:textId="77777777" w:rsidR="000230E8" w:rsidRPr="00981CA8" w:rsidRDefault="000230E8" w:rsidP="000230E8">
      <w:r>
        <w:t xml:space="preserve">Consultation Paper on </w:t>
      </w:r>
      <w:r w:rsidRPr="00042175">
        <w:rPr>
          <w:lang w:val="en-GB"/>
        </w:rPr>
        <w:t>National Rollout of Electricity and Gas Smart Metering (CER11191)</w:t>
      </w:r>
    </w:p>
    <w:p w14:paraId="0AC3BEED" w14:textId="77777777" w:rsidR="000230E8" w:rsidRPr="00981CA8" w:rsidRDefault="000230E8" w:rsidP="000230E8">
      <w:pPr>
        <w:pStyle w:val="Heading2"/>
      </w:pPr>
      <w:bookmarkStart w:id="314" w:name="_Toc335836434"/>
      <w:r w:rsidRPr="00981CA8">
        <w:t>Commission for Communications Regulation</w:t>
      </w:r>
      <w:bookmarkEnd w:id="314"/>
    </w:p>
    <w:p w14:paraId="12804F42" w14:textId="77777777" w:rsidR="000230E8" w:rsidRPr="00AE5FB5" w:rsidRDefault="000230E8" w:rsidP="000230E8">
      <w:pPr>
        <w:rPr>
          <w:bCs/>
          <w:iCs/>
        </w:rPr>
      </w:pPr>
      <w:r w:rsidRPr="00AE5FB5">
        <w:rPr>
          <w:bCs/>
          <w:iCs/>
        </w:rPr>
        <w:t xml:space="preserve">Proposed consumer protection measures in respect of consumer bills and billing mediums and proposed amendments to General Authorisation. </w:t>
      </w:r>
      <w:proofErr w:type="spellStart"/>
      <w:r>
        <w:rPr>
          <w:bCs/>
          <w:iCs/>
        </w:rPr>
        <w:t>ComReg</w:t>
      </w:r>
      <w:proofErr w:type="spellEnd"/>
      <w:r w:rsidRPr="00AE5FB5">
        <w:rPr>
          <w:bCs/>
          <w:iCs/>
        </w:rPr>
        <w:t xml:space="preserve"> 11/78</w:t>
      </w:r>
    </w:p>
    <w:p w14:paraId="5F6D638D" w14:textId="77777777" w:rsidR="000230E8" w:rsidRPr="00981CA8" w:rsidRDefault="000230E8" w:rsidP="000230E8">
      <w:pPr>
        <w:pStyle w:val="Heading2"/>
      </w:pPr>
      <w:bookmarkStart w:id="315" w:name="_Toc335836435"/>
      <w:r>
        <w:t xml:space="preserve">Department of Agriculture, </w:t>
      </w:r>
      <w:proofErr w:type="gramStart"/>
      <w:r w:rsidRPr="00981CA8">
        <w:t>Food</w:t>
      </w:r>
      <w:proofErr w:type="gramEnd"/>
      <w:r>
        <w:t xml:space="preserve"> and the Marine</w:t>
      </w:r>
      <w:bookmarkEnd w:id="315"/>
    </w:p>
    <w:p w14:paraId="02910A7E" w14:textId="77777777" w:rsidR="000230E8" w:rsidRDefault="000230E8" w:rsidP="000230E8">
      <w:r w:rsidRPr="00981CA8">
        <w:t>Statement of Strategy 201</w:t>
      </w:r>
      <w:r>
        <w:t>2</w:t>
      </w:r>
      <w:r w:rsidRPr="00981CA8">
        <w:t>-201</w:t>
      </w:r>
      <w:r>
        <w:t>4</w:t>
      </w:r>
    </w:p>
    <w:p w14:paraId="114C3754" w14:textId="77777777" w:rsidR="000230E8" w:rsidRDefault="000230E8" w:rsidP="000230E8">
      <w:pPr>
        <w:pStyle w:val="Heading2"/>
      </w:pPr>
      <w:bookmarkStart w:id="316" w:name="_Toc335836436"/>
      <w:r w:rsidRPr="00981CA8">
        <w:t xml:space="preserve">Department of </w:t>
      </w:r>
      <w:r>
        <w:t>Children and Youth Affairs</w:t>
      </w:r>
      <w:bookmarkEnd w:id="316"/>
    </w:p>
    <w:p w14:paraId="33F343CC" w14:textId="77777777" w:rsidR="000230E8" w:rsidRPr="00A75C1A" w:rsidRDefault="000230E8" w:rsidP="000230E8">
      <w:r w:rsidRPr="00A75C1A">
        <w:t>Report on the Practice of Assessment of Need under Disability Act 2005</w:t>
      </w:r>
    </w:p>
    <w:p w14:paraId="167CAF05" w14:textId="77777777" w:rsidR="000230E8" w:rsidRPr="00981CA8" w:rsidRDefault="000230E8" w:rsidP="000230E8">
      <w:r w:rsidRPr="00981CA8">
        <w:t>Statement of Strategy 201</w:t>
      </w:r>
      <w:r>
        <w:t>2</w:t>
      </w:r>
      <w:r w:rsidRPr="00981CA8">
        <w:t>-201</w:t>
      </w:r>
      <w:r>
        <w:t>4</w:t>
      </w:r>
    </w:p>
    <w:p w14:paraId="4853185A" w14:textId="77777777" w:rsidR="000230E8" w:rsidRPr="00981CA8" w:rsidRDefault="000230E8" w:rsidP="000230E8">
      <w:pPr>
        <w:pStyle w:val="Heading2"/>
      </w:pPr>
      <w:bookmarkStart w:id="317" w:name="_Toc335836437"/>
      <w:r w:rsidRPr="00981CA8">
        <w:t>Department of Communications, Energy and Natural Resources</w:t>
      </w:r>
      <w:bookmarkEnd w:id="317"/>
    </w:p>
    <w:p w14:paraId="36D9FDC0" w14:textId="77777777" w:rsidR="000230E8" w:rsidRDefault="000230E8" w:rsidP="000230E8">
      <w:r w:rsidRPr="00981CA8">
        <w:t>Statement of Strategy 201</w:t>
      </w:r>
      <w:r>
        <w:t>2</w:t>
      </w:r>
      <w:r w:rsidRPr="00981CA8">
        <w:t>-201</w:t>
      </w:r>
      <w:r>
        <w:t>4</w:t>
      </w:r>
    </w:p>
    <w:p w14:paraId="63E88C69" w14:textId="77777777" w:rsidR="000230E8" w:rsidRPr="00981CA8" w:rsidRDefault="000230E8" w:rsidP="000230E8">
      <w:pPr>
        <w:pStyle w:val="Heading2"/>
      </w:pPr>
      <w:bookmarkStart w:id="318" w:name="_Toc335836438"/>
      <w:r w:rsidRPr="00981CA8">
        <w:t xml:space="preserve">Department of </w:t>
      </w:r>
      <w:r>
        <w:t>Defence</w:t>
      </w:r>
      <w:bookmarkEnd w:id="318"/>
    </w:p>
    <w:p w14:paraId="6B5F73EE" w14:textId="77777777" w:rsidR="000230E8" w:rsidRDefault="000230E8" w:rsidP="000230E8">
      <w:r w:rsidRPr="00981CA8">
        <w:t>Statement of Strategy 201</w:t>
      </w:r>
      <w:r>
        <w:t>2</w:t>
      </w:r>
      <w:r w:rsidRPr="00981CA8">
        <w:t>-201</w:t>
      </w:r>
      <w:r>
        <w:t>4</w:t>
      </w:r>
    </w:p>
    <w:p w14:paraId="47EF5EDB" w14:textId="77777777" w:rsidR="000230E8" w:rsidRDefault="000230E8" w:rsidP="000230E8">
      <w:pPr>
        <w:pStyle w:val="Heading2"/>
      </w:pPr>
      <w:bookmarkStart w:id="319" w:name="_Toc335836439"/>
      <w:r w:rsidRPr="00981CA8">
        <w:t xml:space="preserve">Department of </w:t>
      </w:r>
      <w:r>
        <w:t>Education and Skills</w:t>
      </w:r>
      <w:bookmarkEnd w:id="319"/>
    </w:p>
    <w:p w14:paraId="4516D8E4" w14:textId="77777777" w:rsidR="000230E8" w:rsidRDefault="000230E8" w:rsidP="000230E8">
      <w:r>
        <w:t>Continuum of teacher education</w:t>
      </w:r>
    </w:p>
    <w:p w14:paraId="188B7ACC" w14:textId="77777777" w:rsidR="000230E8" w:rsidRPr="005A6983" w:rsidRDefault="000230E8" w:rsidP="000230E8">
      <w:r>
        <w:t>I</w:t>
      </w:r>
      <w:r w:rsidRPr="005A6983">
        <w:t>nclusion of children with disabilities in preschools/early childhood care and education</w:t>
      </w:r>
    </w:p>
    <w:p w14:paraId="39F2A107" w14:textId="77777777" w:rsidR="000230E8" w:rsidRPr="00A75C1A" w:rsidRDefault="000230E8" w:rsidP="000230E8">
      <w:r w:rsidRPr="00A75C1A">
        <w:t>Report on the Practice of Assessment of Need under Disability Act 2005</w:t>
      </w:r>
    </w:p>
    <w:p w14:paraId="2C1856DF" w14:textId="77777777" w:rsidR="000230E8" w:rsidRDefault="000230E8" w:rsidP="000230E8">
      <w:r w:rsidRPr="00981CA8">
        <w:t>Statement of Strategy 201</w:t>
      </w:r>
      <w:r>
        <w:t>2</w:t>
      </w:r>
      <w:r w:rsidRPr="00981CA8">
        <w:t>-201</w:t>
      </w:r>
      <w:r>
        <w:t>4</w:t>
      </w:r>
    </w:p>
    <w:p w14:paraId="3CC96DDF" w14:textId="77777777" w:rsidR="000230E8" w:rsidRDefault="000230E8" w:rsidP="000230E8">
      <w:pPr>
        <w:pStyle w:val="Heading2"/>
      </w:pPr>
      <w:bookmarkStart w:id="320" w:name="_Toc335836440"/>
      <w:r w:rsidRPr="00981CA8">
        <w:t xml:space="preserve">Department of </w:t>
      </w:r>
      <w:r>
        <w:t>the Environment, Community and Local Government</w:t>
      </w:r>
      <w:bookmarkEnd w:id="320"/>
    </w:p>
    <w:p w14:paraId="1688DB15" w14:textId="77777777" w:rsidR="000230E8" w:rsidRPr="00EE0D8D" w:rsidRDefault="000230E8" w:rsidP="000230E8">
      <w:r w:rsidRPr="00EE0D8D">
        <w:t>Advice on draft Sectoral Plan</w:t>
      </w:r>
    </w:p>
    <w:p w14:paraId="1B496AA8" w14:textId="77777777" w:rsidR="000230E8" w:rsidRPr="00EE0D8D" w:rsidRDefault="000230E8" w:rsidP="000230E8">
      <w:r w:rsidRPr="00EE0D8D">
        <w:lastRenderedPageBreak/>
        <w:t>Review of Presiding Officers manual for Presidential election</w:t>
      </w:r>
    </w:p>
    <w:p w14:paraId="6A8D6115" w14:textId="77777777" w:rsidR="000230E8" w:rsidRDefault="000230E8" w:rsidP="000230E8">
      <w:r w:rsidRPr="00981CA8">
        <w:t>Statement of Strategy 201</w:t>
      </w:r>
      <w:r>
        <w:t>2</w:t>
      </w:r>
      <w:r w:rsidRPr="00981CA8">
        <w:t>-201</w:t>
      </w:r>
      <w:r>
        <w:t>4</w:t>
      </w:r>
    </w:p>
    <w:p w14:paraId="4CD2495B" w14:textId="77777777" w:rsidR="000230E8" w:rsidRPr="00981CA8" w:rsidRDefault="000230E8" w:rsidP="000230E8">
      <w:pPr>
        <w:pStyle w:val="Heading2"/>
      </w:pPr>
      <w:bookmarkStart w:id="321" w:name="_Toc335836441"/>
      <w:r w:rsidRPr="00981CA8">
        <w:t xml:space="preserve">Department of </w:t>
      </w:r>
      <w:r>
        <w:t>Foreign Affairs</w:t>
      </w:r>
      <w:bookmarkEnd w:id="321"/>
    </w:p>
    <w:p w14:paraId="3A550306" w14:textId="77777777" w:rsidR="000230E8" w:rsidRPr="00F03EBD" w:rsidRDefault="000230E8" w:rsidP="000230E8">
      <w:r w:rsidRPr="00981CA8">
        <w:t>Statement of Strategy 201</w:t>
      </w:r>
      <w:r>
        <w:t>2</w:t>
      </w:r>
      <w:r w:rsidRPr="00981CA8">
        <w:t>-201</w:t>
      </w:r>
      <w:r>
        <w:t>4</w:t>
      </w:r>
    </w:p>
    <w:p w14:paraId="6A61C449" w14:textId="77777777" w:rsidR="000230E8" w:rsidRPr="003E436E" w:rsidRDefault="000230E8" w:rsidP="000230E8">
      <w:pPr>
        <w:pStyle w:val="Heading2"/>
      </w:pPr>
      <w:bookmarkStart w:id="322" w:name="_Toc335836442"/>
      <w:r w:rsidRPr="00981CA8">
        <w:t xml:space="preserve">Department of </w:t>
      </w:r>
      <w:r>
        <w:t>Health</w:t>
      </w:r>
      <w:bookmarkEnd w:id="322"/>
    </w:p>
    <w:p w14:paraId="43B40CD2" w14:textId="77777777" w:rsidR="000230E8" w:rsidRDefault="000230E8" w:rsidP="000230E8">
      <w:r w:rsidRPr="00A75C1A">
        <w:t>Report on the Practice of Assessment of Need under Disability Act 2005</w:t>
      </w:r>
    </w:p>
    <w:p w14:paraId="6D5CA822" w14:textId="77777777" w:rsidR="000230E8" w:rsidRDefault="000230E8" w:rsidP="000230E8">
      <w:r>
        <w:t>Response to the Report of the Disability Policy Review</w:t>
      </w:r>
    </w:p>
    <w:p w14:paraId="16AB0402" w14:textId="77777777" w:rsidR="000230E8" w:rsidRDefault="000230E8" w:rsidP="000230E8">
      <w:r>
        <w:t>Review of Mental Health Act 2001</w:t>
      </w:r>
    </w:p>
    <w:p w14:paraId="39C58AAE" w14:textId="77777777" w:rsidR="000230E8" w:rsidRDefault="000230E8" w:rsidP="000230E8">
      <w:r w:rsidRPr="00981CA8">
        <w:t>Statement of Strategy 201</w:t>
      </w:r>
      <w:r>
        <w:t>2</w:t>
      </w:r>
      <w:r w:rsidRPr="00981CA8">
        <w:t>-201</w:t>
      </w:r>
      <w:r>
        <w:t>4</w:t>
      </w:r>
    </w:p>
    <w:p w14:paraId="6A6619C3" w14:textId="77777777" w:rsidR="000230E8" w:rsidRDefault="000230E8" w:rsidP="000230E8">
      <w:r>
        <w:t xml:space="preserve">Your Health is Your Wealth: </w:t>
      </w:r>
      <w:r w:rsidRPr="003E436E">
        <w:t>a public health policy framework for a healthier Ireland 2012-2020</w:t>
      </w:r>
    </w:p>
    <w:p w14:paraId="69F744E6" w14:textId="77777777" w:rsidR="000230E8" w:rsidRDefault="000230E8" w:rsidP="000230E8">
      <w:pPr>
        <w:pStyle w:val="Heading2"/>
      </w:pPr>
      <w:bookmarkStart w:id="323" w:name="_Toc335836443"/>
      <w:r>
        <w:t>Department of Justice and Equality</w:t>
      </w:r>
      <w:bookmarkEnd w:id="323"/>
    </w:p>
    <w:p w14:paraId="4E1B1D72" w14:textId="77777777" w:rsidR="000230E8" w:rsidRPr="005A6983" w:rsidRDefault="000230E8" w:rsidP="000230E8">
      <w:r>
        <w:t>N</w:t>
      </w:r>
      <w:r w:rsidRPr="005A6983">
        <w:t>ext steps in implementing the UN Convention</w:t>
      </w:r>
    </w:p>
    <w:p w14:paraId="01457BDB" w14:textId="77777777" w:rsidR="000230E8" w:rsidRDefault="000230E8" w:rsidP="000230E8">
      <w:r>
        <w:t>Statement of Strategy 2012-2014</w:t>
      </w:r>
    </w:p>
    <w:p w14:paraId="61AD2113" w14:textId="77777777" w:rsidR="000230E8" w:rsidRDefault="000230E8" w:rsidP="000230E8">
      <w:pPr>
        <w:pStyle w:val="Heading2"/>
      </w:pPr>
      <w:bookmarkStart w:id="324" w:name="_Toc335836444"/>
      <w:r>
        <w:t>Department of Social Protection</w:t>
      </w:r>
      <w:bookmarkEnd w:id="324"/>
    </w:p>
    <w:p w14:paraId="49DACFA9" w14:textId="77777777" w:rsidR="000230E8" w:rsidRPr="003E436E" w:rsidRDefault="000230E8" w:rsidP="000230E8">
      <w:r>
        <w:t>Response to Review of Disability Allowance</w:t>
      </w:r>
    </w:p>
    <w:p w14:paraId="6A5D7210" w14:textId="77777777" w:rsidR="000230E8" w:rsidRPr="003E436E" w:rsidRDefault="000230E8" w:rsidP="000230E8">
      <w:r>
        <w:t>Statement of Strategy 2012-2014</w:t>
      </w:r>
    </w:p>
    <w:p w14:paraId="1DEDD0B1" w14:textId="77777777" w:rsidR="000230E8" w:rsidRDefault="000230E8" w:rsidP="000230E8">
      <w:pPr>
        <w:pStyle w:val="Heading2"/>
      </w:pPr>
      <w:bookmarkStart w:id="325" w:name="_Toc335836445"/>
      <w:r>
        <w:t>Department of the Taoiseach</w:t>
      </w:r>
      <w:bookmarkEnd w:id="325"/>
    </w:p>
    <w:p w14:paraId="476BD9F6" w14:textId="77777777" w:rsidR="000230E8" w:rsidRDefault="000230E8" w:rsidP="000230E8">
      <w:r>
        <w:t>Statement of Strategy 2012-2014</w:t>
      </w:r>
    </w:p>
    <w:p w14:paraId="0F958D09" w14:textId="77777777" w:rsidR="000230E8" w:rsidRPr="00981CA8" w:rsidRDefault="000230E8" w:rsidP="000230E8">
      <w:pPr>
        <w:pStyle w:val="Heading2"/>
      </w:pPr>
      <w:bookmarkStart w:id="326" w:name="_Toc335836446"/>
      <w:r w:rsidRPr="00981CA8">
        <w:t>Department of Transport</w:t>
      </w:r>
      <w:r>
        <w:t>, Tourism and Sport</w:t>
      </w:r>
      <w:bookmarkEnd w:id="326"/>
    </w:p>
    <w:p w14:paraId="77503D80" w14:textId="77777777" w:rsidR="000230E8" w:rsidRPr="00981CA8" w:rsidRDefault="000230E8" w:rsidP="000230E8">
      <w:pPr>
        <w:rPr>
          <w:bCs/>
        </w:rPr>
      </w:pPr>
      <w:r w:rsidRPr="00981CA8">
        <w:rPr>
          <w:bCs/>
        </w:rPr>
        <w:t>Review of the Sectoral Plan for Accessible Transport under the Disability Act 2005</w:t>
      </w:r>
      <w:r>
        <w:rPr>
          <w:bCs/>
        </w:rPr>
        <w:t xml:space="preserve">: </w:t>
      </w:r>
      <w:r w:rsidRPr="00981CA8">
        <w:t>Transport Access for All</w:t>
      </w:r>
    </w:p>
    <w:p w14:paraId="5C545048" w14:textId="77777777" w:rsidR="000230E8" w:rsidRDefault="000230E8" w:rsidP="000230E8">
      <w:r w:rsidRPr="00981CA8">
        <w:t>Statement of Strategy 201</w:t>
      </w:r>
      <w:r>
        <w:t>2</w:t>
      </w:r>
      <w:r w:rsidRPr="00981CA8">
        <w:t>-201</w:t>
      </w:r>
      <w:r>
        <w:t>4</w:t>
      </w:r>
    </w:p>
    <w:p w14:paraId="2998D2DE" w14:textId="77777777" w:rsidR="000230E8" w:rsidRDefault="000230E8" w:rsidP="000230E8">
      <w:r>
        <w:t>Taxi Regulation Review</w:t>
      </w:r>
    </w:p>
    <w:p w14:paraId="66DE5A06" w14:textId="77777777" w:rsidR="000230E8" w:rsidRPr="00981CA8" w:rsidRDefault="000230E8" w:rsidP="000230E8">
      <w:pPr>
        <w:pStyle w:val="Heading2"/>
      </w:pPr>
      <w:bookmarkStart w:id="327" w:name="_Toc335836447"/>
      <w:r>
        <w:t>Local Government Management Services Board</w:t>
      </w:r>
      <w:bookmarkEnd w:id="327"/>
    </w:p>
    <w:p w14:paraId="7B308E0A" w14:textId="77777777" w:rsidR="000230E8" w:rsidRDefault="000230E8" w:rsidP="000230E8">
      <w:pPr>
        <w:rPr>
          <w:bCs/>
        </w:rPr>
      </w:pPr>
      <w:r w:rsidRPr="00EE0D8D">
        <w:rPr>
          <w:bCs/>
        </w:rPr>
        <w:t>Advice on Disability Access Certificate guidance</w:t>
      </w:r>
    </w:p>
    <w:p w14:paraId="10C60B20" w14:textId="77777777" w:rsidR="000230E8" w:rsidRPr="00EE0D8D" w:rsidRDefault="000230E8" w:rsidP="000230E8">
      <w:pPr>
        <w:rPr>
          <w:bCs/>
        </w:rPr>
      </w:pPr>
      <w:r w:rsidRPr="00EE0D8D">
        <w:rPr>
          <w:bCs/>
        </w:rPr>
        <w:t>A sample-based approach to applying for a Disability Access Certificate</w:t>
      </w:r>
    </w:p>
    <w:p w14:paraId="18A576E9" w14:textId="77777777" w:rsidR="000230E8" w:rsidRDefault="000230E8" w:rsidP="000230E8">
      <w:pPr>
        <w:pStyle w:val="Heading2"/>
      </w:pPr>
      <w:bookmarkStart w:id="328" w:name="_Toc335836448"/>
      <w:r>
        <w:lastRenderedPageBreak/>
        <w:t>National Standards Authority of Ireland</w:t>
      </w:r>
      <w:bookmarkEnd w:id="328"/>
    </w:p>
    <w:p w14:paraId="1ECF8989" w14:textId="77777777" w:rsidR="000230E8" w:rsidRPr="00EE0D8D" w:rsidRDefault="000230E8" w:rsidP="000230E8">
      <w:r>
        <w:t xml:space="preserve">ISO/TC 173 - ISO/FDIS 23599: </w:t>
      </w:r>
      <w:r w:rsidRPr="00EE0D8D">
        <w:t>Assistive products for blind and vision-impaired persons -- Tactile walking surface indicators</w:t>
      </w:r>
    </w:p>
    <w:p w14:paraId="1ADC0BC9" w14:textId="77777777" w:rsidR="000230E8" w:rsidRPr="00981CA8" w:rsidRDefault="000230E8" w:rsidP="000230E8">
      <w:pPr>
        <w:pStyle w:val="Heading2"/>
      </w:pPr>
      <w:bookmarkStart w:id="329" w:name="_Toc335836449"/>
      <w:r>
        <w:t>National Transport Authority</w:t>
      </w:r>
      <w:bookmarkEnd w:id="329"/>
      <w:r>
        <w:t xml:space="preserve"> </w:t>
      </w:r>
    </w:p>
    <w:p w14:paraId="06BCEEA5" w14:textId="77777777" w:rsidR="000230E8" w:rsidRPr="009A0C64" w:rsidRDefault="000230E8" w:rsidP="000230E8">
      <w:pPr>
        <w:rPr>
          <w:b/>
          <w:bCs/>
        </w:rPr>
      </w:pPr>
      <w:r w:rsidRPr="009A0C64">
        <w:rPr>
          <w:bCs/>
        </w:rPr>
        <w:t>Greater Dublin Area:</w:t>
      </w:r>
      <w:r>
        <w:rPr>
          <w:b/>
          <w:bCs/>
        </w:rPr>
        <w:t xml:space="preserve"> </w:t>
      </w:r>
      <w:r w:rsidRPr="009A0C64">
        <w:rPr>
          <w:bCs/>
          <w:lang w:val="en-US"/>
        </w:rPr>
        <w:t>Draft Transport Strategy 2011-2030</w:t>
      </w:r>
    </w:p>
    <w:p w14:paraId="191BF481" w14:textId="77777777" w:rsidR="000230E8" w:rsidRPr="00981CA8" w:rsidRDefault="000230E8" w:rsidP="000230E8">
      <w:pPr>
        <w:rPr>
          <w:b/>
          <w:bCs/>
        </w:rPr>
      </w:pPr>
      <w:r w:rsidRPr="00981CA8">
        <w:rPr>
          <w:bCs/>
        </w:rPr>
        <w:t>Vehicle Standards:</w:t>
      </w:r>
      <w:r>
        <w:rPr>
          <w:b/>
          <w:bCs/>
        </w:rPr>
        <w:t xml:space="preserve"> </w:t>
      </w:r>
      <w:r w:rsidRPr="00981CA8">
        <w:t>Consultation paper for the taxi</w:t>
      </w:r>
      <w:r>
        <w:t>,</w:t>
      </w:r>
      <w:r w:rsidRPr="00981CA8">
        <w:t xml:space="preserve"> </w:t>
      </w:r>
      <w:proofErr w:type="gramStart"/>
      <w:r w:rsidRPr="00981CA8">
        <w:t>hackney</w:t>
      </w:r>
      <w:proofErr w:type="gramEnd"/>
      <w:r w:rsidRPr="00981CA8">
        <w:t xml:space="preserve"> and limousine fleet</w:t>
      </w:r>
    </w:p>
    <w:p w14:paraId="607FB40E" w14:textId="77777777" w:rsidR="000230E8" w:rsidRPr="00981CA8" w:rsidRDefault="000230E8" w:rsidP="000230E8"/>
    <w:p w14:paraId="1E2B69F6" w14:textId="77777777" w:rsidR="00835188" w:rsidRDefault="00835188">
      <w:pPr>
        <w:pStyle w:val="Title"/>
        <w:sectPr w:rsidR="00835188">
          <w:footerReference w:type="even" r:id="rId9"/>
          <w:footerReference w:type="default" r:id="rId10"/>
          <w:pgSz w:w="12240" w:h="15840"/>
          <w:pgMar w:top="1440" w:right="1800" w:bottom="1440" w:left="1800" w:header="720" w:footer="708" w:gutter="0"/>
          <w:cols w:space="720"/>
          <w:docGrid w:linePitch="360"/>
        </w:sectPr>
      </w:pPr>
    </w:p>
    <w:p w14:paraId="028CB2ED" w14:textId="77777777" w:rsidR="0044019A" w:rsidRDefault="006C148C" w:rsidP="0044019A">
      <w:pPr>
        <w:pStyle w:val="Title"/>
      </w:pPr>
      <w:r>
        <w:t>Tuarascáil Bhliantúil 2011</w:t>
      </w:r>
    </w:p>
    <w:p w14:paraId="6AB8D62F" w14:textId="77777777" w:rsidR="00A02612" w:rsidRDefault="0044019A" w:rsidP="0044019A">
      <w:pPr>
        <w:pStyle w:val="Heading1"/>
        <w:rPr>
          <w:rFonts w:ascii="Times New Roman" w:hAnsi="Times New Roman"/>
          <w:noProof/>
          <w:sz w:val="24"/>
          <w:lang w:val="en-GB" w:eastAsia="en-GB"/>
        </w:rPr>
      </w:pPr>
      <w:r>
        <w:br w:type="page"/>
      </w:r>
      <w:r>
        <w:lastRenderedPageBreak/>
        <w:br w:type="page"/>
      </w:r>
      <w:bookmarkStart w:id="330" w:name="_Toc335986614"/>
      <w:r w:rsidR="006C148C">
        <w:lastRenderedPageBreak/>
        <w:t>Clár Ábhar</w:t>
      </w:r>
      <w:bookmarkEnd w:id="330"/>
      <w:r w:rsidR="006C148C">
        <w:fldChar w:fldCharType="begin"/>
      </w:r>
      <w:r w:rsidR="006C148C">
        <w:instrText xml:space="preserve"> TOC </w:instrText>
      </w:r>
      <w:r w:rsidR="006C148C">
        <w:fldChar w:fldCharType="separate"/>
      </w:r>
    </w:p>
    <w:p w14:paraId="4FFDA9BC"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Ráiteas an Chathaoirligh</w:t>
      </w:r>
      <w:r w:rsidRPr="005A0642">
        <w:rPr>
          <w:b w:val="0"/>
          <w:noProof/>
        </w:rPr>
        <w:tab/>
      </w:r>
      <w:r w:rsidRPr="005A0642">
        <w:rPr>
          <w:b w:val="0"/>
          <w:noProof/>
        </w:rPr>
        <w:fldChar w:fldCharType="begin"/>
      </w:r>
      <w:r w:rsidRPr="005A0642">
        <w:rPr>
          <w:b w:val="0"/>
          <w:noProof/>
        </w:rPr>
        <w:instrText xml:space="preserve"> PAGEREF _Toc335836450 \h </w:instrText>
      </w:r>
      <w:r w:rsidRPr="005A0642">
        <w:rPr>
          <w:b w:val="0"/>
          <w:noProof/>
        </w:rPr>
      </w:r>
      <w:r w:rsidRPr="005A0642">
        <w:rPr>
          <w:b w:val="0"/>
          <w:noProof/>
        </w:rPr>
        <w:fldChar w:fldCharType="separate"/>
      </w:r>
      <w:r w:rsidR="0010446A">
        <w:rPr>
          <w:b w:val="0"/>
          <w:noProof/>
        </w:rPr>
        <w:t>71</w:t>
      </w:r>
      <w:r w:rsidRPr="005A0642">
        <w:rPr>
          <w:b w:val="0"/>
          <w:noProof/>
        </w:rPr>
        <w:fldChar w:fldCharType="end"/>
      </w:r>
    </w:p>
    <w:p w14:paraId="516567EA"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Ráiteas an Stiúrthóra</w:t>
      </w:r>
      <w:r w:rsidRPr="005A0642">
        <w:rPr>
          <w:b w:val="0"/>
          <w:noProof/>
        </w:rPr>
        <w:tab/>
      </w:r>
      <w:r w:rsidRPr="005A0642">
        <w:rPr>
          <w:b w:val="0"/>
          <w:noProof/>
        </w:rPr>
        <w:fldChar w:fldCharType="begin"/>
      </w:r>
      <w:r w:rsidRPr="005A0642">
        <w:rPr>
          <w:b w:val="0"/>
          <w:noProof/>
        </w:rPr>
        <w:instrText xml:space="preserve"> PAGEREF _Toc335836451 \h </w:instrText>
      </w:r>
      <w:r w:rsidRPr="005A0642">
        <w:rPr>
          <w:b w:val="0"/>
          <w:noProof/>
        </w:rPr>
      </w:r>
      <w:r w:rsidRPr="005A0642">
        <w:rPr>
          <w:b w:val="0"/>
          <w:noProof/>
        </w:rPr>
        <w:fldChar w:fldCharType="separate"/>
      </w:r>
      <w:r w:rsidR="0010446A">
        <w:rPr>
          <w:b w:val="0"/>
          <w:noProof/>
        </w:rPr>
        <w:t>73</w:t>
      </w:r>
      <w:r w:rsidRPr="005A0642">
        <w:rPr>
          <w:b w:val="0"/>
          <w:noProof/>
        </w:rPr>
        <w:fldChar w:fldCharType="end"/>
      </w:r>
    </w:p>
    <w:p w14:paraId="3A5054F3"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Achoimre den bhliain 2011</w:t>
      </w:r>
      <w:r w:rsidRPr="005A0642">
        <w:rPr>
          <w:b w:val="0"/>
          <w:noProof/>
        </w:rPr>
        <w:tab/>
      </w:r>
      <w:r w:rsidRPr="005A0642">
        <w:rPr>
          <w:b w:val="0"/>
          <w:noProof/>
        </w:rPr>
        <w:fldChar w:fldCharType="begin"/>
      </w:r>
      <w:r w:rsidRPr="005A0642">
        <w:rPr>
          <w:b w:val="0"/>
          <w:noProof/>
        </w:rPr>
        <w:instrText xml:space="preserve"> PAGEREF _Toc335836452 \h </w:instrText>
      </w:r>
      <w:r w:rsidRPr="005A0642">
        <w:rPr>
          <w:b w:val="0"/>
          <w:noProof/>
        </w:rPr>
      </w:r>
      <w:r w:rsidRPr="005A0642">
        <w:rPr>
          <w:b w:val="0"/>
          <w:noProof/>
        </w:rPr>
        <w:fldChar w:fldCharType="separate"/>
      </w:r>
      <w:r w:rsidR="0010446A">
        <w:rPr>
          <w:b w:val="0"/>
          <w:noProof/>
        </w:rPr>
        <w:t>75</w:t>
      </w:r>
      <w:r w:rsidRPr="005A0642">
        <w:rPr>
          <w:b w:val="0"/>
          <w:noProof/>
        </w:rPr>
        <w:fldChar w:fldCharType="end"/>
      </w:r>
    </w:p>
    <w:p w14:paraId="36D7B90F"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lang w:val="es-ES"/>
        </w:rPr>
        <w:t>Tosaíocht Straitéiseach 1:  Tacaíocht agus comhairle fhianaise-bhunaithe a sholáthar do Ranna Rialtais agus Comhlachtaí Poiblí</w:t>
      </w:r>
      <w:r w:rsidRPr="005A0642">
        <w:rPr>
          <w:b w:val="0"/>
          <w:noProof/>
        </w:rPr>
        <w:tab/>
      </w:r>
      <w:r w:rsidRPr="005A0642">
        <w:rPr>
          <w:b w:val="0"/>
          <w:noProof/>
        </w:rPr>
        <w:fldChar w:fldCharType="begin"/>
      </w:r>
      <w:r w:rsidRPr="005A0642">
        <w:rPr>
          <w:b w:val="0"/>
          <w:noProof/>
        </w:rPr>
        <w:instrText xml:space="preserve"> PAGEREF _Toc335836453 \h </w:instrText>
      </w:r>
      <w:r w:rsidRPr="005A0642">
        <w:rPr>
          <w:b w:val="0"/>
          <w:noProof/>
        </w:rPr>
      </w:r>
      <w:r w:rsidRPr="005A0642">
        <w:rPr>
          <w:b w:val="0"/>
          <w:noProof/>
        </w:rPr>
        <w:fldChar w:fldCharType="separate"/>
      </w:r>
      <w:r w:rsidR="0010446A">
        <w:rPr>
          <w:b w:val="0"/>
          <w:noProof/>
        </w:rPr>
        <w:t>78</w:t>
      </w:r>
      <w:r w:rsidRPr="005A0642">
        <w:rPr>
          <w:b w:val="0"/>
          <w:noProof/>
        </w:rPr>
        <w:fldChar w:fldCharType="end"/>
      </w:r>
    </w:p>
    <w:p w14:paraId="0CE33291"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Tosaíocht Straitéiseach 2:  Comhairle beartais fhianaise-bhunaithe a sholáthar chun neamhspleáchas agus caighdeán an ghnáthshaoil laethúil a chur chun cinn do dhaoine le míchumais ó cheann ceann na beatha</w:t>
      </w:r>
      <w:r w:rsidRPr="005A0642">
        <w:rPr>
          <w:b w:val="0"/>
          <w:noProof/>
        </w:rPr>
        <w:tab/>
      </w:r>
      <w:r w:rsidRPr="005A0642">
        <w:rPr>
          <w:b w:val="0"/>
          <w:noProof/>
        </w:rPr>
        <w:fldChar w:fldCharType="begin"/>
      </w:r>
      <w:r w:rsidRPr="005A0642">
        <w:rPr>
          <w:b w:val="0"/>
          <w:noProof/>
        </w:rPr>
        <w:instrText xml:space="preserve"> PAGEREF _Toc335836478 \h </w:instrText>
      </w:r>
      <w:r w:rsidRPr="005A0642">
        <w:rPr>
          <w:b w:val="0"/>
          <w:noProof/>
        </w:rPr>
      </w:r>
      <w:r w:rsidRPr="005A0642">
        <w:rPr>
          <w:b w:val="0"/>
          <w:noProof/>
        </w:rPr>
        <w:fldChar w:fldCharType="separate"/>
      </w:r>
      <w:r w:rsidR="0010446A">
        <w:rPr>
          <w:b w:val="0"/>
          <w:noProof/>
        </w:rPr>
        <w:t>87</w:t>
      </w:r>
      <w:r w:rsidRPr="005A0642">
        <w:rPr>
          <w:b w:val="0"/>
          <w:noProof/>
        </w:rPr>
        <w:fldChar w:fldCharType="end"/>
      </w:r>
    </w:p>
    <w:p w14:paraId="0317AE69"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Tosaíocht Straitéiseach 3:  Cuimsiú a chur chun cinn trí inrochtaineacht agus dearadh uilíoch</w:t>
      </w:r>
      <w:r w:rsidRPr="005A0642">
        <w:rPr>
          <w:b w:val="0"/>
          <w:noProof/>
        </w:rPr>
        <w:tab/>
      </w:r>
      <w:r w:rsidRPr="005A0642">
        <w:rPr>
          <w:b w:val="0"/>
          <w:noProof/>
        </w:rPr>
        <w:fldChar w:fldCharType="begin"/>
      </w:r>
      <w:r w:rsidRPr="005A0642">
        <w:rPr>
          <w:b w:val="0"/>
          <w:noProof/>
        </w:rPr>
        <w:instrText xml:space="preserve"> PAGEREF _Toc335836493 \h </w:instrText>
      </w:r>
      <w:r w:rsidRPr="005A0642">
        <w:rPr>
          <w:b w:val="0"/>
          <w:noProof/>
        </w:rPr>
      </w:r>
      <w:r w:rsidRPr="005A0642">
        <w:rPr>
          <w:b w:val="0"/>
          <w:noProof/>
        </w:rPr>
        <w:fldChar w:fldCharType="separate"/>
      </w:r>
      <w:r w:rsidR="0010446A">
        <w:rPr>
          <w:b w:val="0"/>
          <w:noProof/>
        </w:rPr>
        <w:t>92</w:t>
      </w:r>
      <w:r w:rsidRPr="005A0642">
        <w:rPr>
          <w:b w:val="0"/>
          <w:noProof/>
        </w:rPr>
        <w:fldChar w:fldCharType="end"/>
      </w:r>
    </w:p>
    <w:p w14:paraId="3E8A9B6E"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Tosaíocht Straitéiseach 4:  Cumas an Údaráis Náisiúnta Míchumais a thógáil lena spriocanna straitéiseacha a sheachadadh</w:t>
      </w:r>
      <w:r w:rsidRPr="005A0642">
        <w:rPr>
          <w:b w:val="0"/>
          <w:noProof/>
        </w:rPr>
        <w:tab/>
      </w:r>
      <w:r w:rsidRPr="005A0642">
        <w:rPr>
          <w:b w:val="0"/>
          <w:noProof/>
        </w:rPr>
        <w:fldChar w:fldCharType="begin"/>
      </w:r>
      <w:r w:rsidRPr="005A0642">
        <w:rPr>
          <w:b w:val="0"/>
          <w:noProof/>
        </w:rPr>
        <w:instrText xml:space="preserve"> PAGEREF _Toc335836513 \h </w:instrText>
      </w:r>
      <w:r w:rsidRPr="005A0642">
        <w:rPr>
          <w:b w:val="0"/>
          <w:noProof/>
        </w:rPr>
      </w:r>
      <w:r w:rsidRPr="005A0642">
        <w:rPr>
          <w:b w:val="0"/>
          <w:noProof/>
        </w:rPr>
        <w:fldChar w:fldCharType="separate"/>
      </w:r>
      <w:r w:rsidR="0010446A">
        <w:rPr>
          <w:b w:val="0"/>
          <w:noProof/>
        </w:rPr>
        <w:t>97</w:t>
      </w:r>
      <w:r w:rsidRPr="005A0642">
        <w:rPr>
          <w:b w:val="0"/>
          <w:noProof/>
        </w:rPr>
        <w:fldChar w:fldCharType="end"/>
      </w:r>
    </w:p>
    <w:p w14:paraId="6679A806"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lang/>
        </w:rPr>
        <w:t>Ráitis Airgeadais 31 Nollaig 2011</w:t>
      </w:r>
      <w:r w:rsidRPr="005A0642">
        <w:rPr>
          <w:b w:val="0"/>
          <w:noProof/>
        </w:rPr>
        <w:tab/>
      </w:r>
      <w:r w:rsidRPr="005A0642">
        <w:rPr>
          <w:b w:val="0"/>
          <w:noProof/>
        </w:rPr>
        <w:fldChar w:fldCharType="begin"/>
      </w:r>
      <w:r w:rsidRPr="005A0642">
        <w:rPr>
          <w:b w:val="0"/>
          <w:noProof/>
        </w:rPr>
        <w:instrText xml:space="preserve"> PAGEREF _Toc335836525 \h </w:instrText>
      </w:r>
      <w:r w:rsidRPr="005A0642">
        <w:rPr>
          <w:b w:val="0"/>
          <w:noProof/>
        </w:rPr>
      </w:r>
      <w:r w:rsidRPr="005A0642">
        <w:rPr>
          <w:b w:val="0"/>
          <w:noProof/>
        </w:rPr>
        <w:fldChar w:fldCharType="separate"/>
      </w:r>
      <w:r w:rsidR="0010446A">
        <w:rPr>
          <w:b w:val="0"/>
          <w:noProof/>
        </w:rPr>
        <w:t>101</w:t>
      </w:r>
      <w:r w:rsidRPr="005A0642">
        <w:rPr>
          <w:b w:val="0"/>
          <w:noProof/>
        </w:rPr>
        <w:fldChar w:fldCharType="end"/>
      </w:r>
    </w:p>
    <w:p w14:paraId="642FCF96"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Foscríbhinní</w:t>
      </w:r>
      <w:r w:rsidRPr="005A0642">
        <w:rPr>
          <w:b w:val="0"/>
          <w:noProof/>
        </w:rPr>
        <w:tab/>
      </w:r>
      <w:r w:rsidRPr="005A0642">
        <w:rPr>
          <w:b w:val="0"/>
          <w:noProof/>
        </w:rPr>
        <w:fldChar w:fldCharType="begin"/>
      </w:r>
      <w:r w:rsidRPr="005A0642">
        <w:rPr>
          <w:b w:val="0"/>
          <w:noProof/>
        </w:rPr>
        <w:instrText xml:space="preserve"> PAGEREF _Toc335836568 \h </w:instrText>
      </w:r>
      <w:r w:rsidRPr="005A0642">
        <w:rPr>
          <w:b w:val="0"/>
          <w:noProof/>
        </w:rPr>
      </w:r>
      <w:r w:rsidRPr="005A0642">
        <w:rPr>
          <w:b w:val="0"/>
          <w:noProof/>
        </w:rPr>
        <w:fldChar w:fldCharType="separate"/>
      </w:r>
      <w:r w:rsidR="0010446A">
        <w:rPr>
          <w:b w:val="0"/>
          <w:noProof/>
        </w:rPr>
        <w:t>129</w:t>
      </w:r>
      <w:r w:rsidRPr="005A0642">
        <w:rPr>
          <w:b w:val="0"/>
          <w:noProof/>
        </w:rPr>
        <w:fldChar w:fldCharType="end"/>
      </w:r>
    </w:p>
    <w:p w14:paraId="193B8C6E"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lang w:val="es-ES"/>
        </w:rPr>
        <w:t>Foscríbhinn 1: Údarás agus Coistí eile i 2011</w:t>
      </w:r>
      <w:r w:rsidRPr="005A0642">
        <w:rPr>
          <w:b w:val="0"/>
          <w:noProof/>
        </w:rPr>
        <w:tab/>
      </w:r>
      <w:r w:rsidRPr="005A0642">
        <w:rPr>
          <w:b w:val="0"/>
          <w:noProof/>
        </w:rPr>
        <w:fldChar w:fldCharType="begin"/>
      </w:r>
      <w:r w:rsidRPr="005A0642">
        <w:rPr>
          <w:b w:val="0"/>
          <w:noProof/>
        </w:rPr>
        <w:instrText xml:space="preserve"> PAGEREF _Toc335836569 \h </w:instrText>
      </w:r>
      <w:r w:rsidRPr="005A0642">
        <w:rPr>
          <w:b w:val="0"/>
          <w:noProof/>
        </w:rPr>
      </w:r>
      <w:r w:rsidRPr="005A0642">
        <w:rPr>
          <w:b w:val="0"/>
          <w:noProof/>
        </w:rPr>
        <w:fldChar w:fldCharType="separate"/>
      </w:r>
      <w:r w:rsidR="0010446A">
        <w:rPr>
          <w:b w:val="0"/>
          <w:noProof/>
        </w:rPr>
        <w:t>130</w:t>
      </w:r>
      <w:r w:rsidRPr="005A0642">
        <w:rPr>
          <w:b w:val="0"/>
          <w:noProof/>
        </w:rPr>
        <w:fldChar w:fldCharType="end"/>
      </w:r>
    </w:p>
    <w:p w14:paraId="1C8710C2"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Foscríbhinn 2: Ionadaíocht ar chomhlachtaí seachtracha i 2011</w:t>
      </w:r>
      <w:r w:rsidRPr="005A0642">
        <w:rPr>
          <w:b w:val="0"/>
          <w:noProof/>
        </w:rPr>
        <w:tab/>
      </w:r>
      <w:r w:rsidRPr="005A0642">
        <w:rPr>
          <w:b w:val="0"/>
          <w:noProof/>
        </w:rPr>
        <w:fldChar w:fldCharType="begin"/>
      </w:r>
      <w:r w:rsidRPr="005A0642">
        <w:rPr>
          <w:b w:val="0"/>
          <w:noProof/>
        </w:rPr>
        <w:instrText xml:space="preserve"> PAGEREF _Toc335836574 \h </w:instrText>
      </w:r>
      <w:r w:rsidRPr="005A0642">
        <w:rPr>
          <w:b w:val="0"/>
          <w:noProof/>
        </w:rPr>
      </w:r>
      <w:r w:rsidRPr="005A0642">
        <w:rPr>
          <w:b w:val="0"/>
          <w:noProof/>
        </w:rPr>
        <w:fldChar w:fldCharType="separate"/>
      </w:r>
      <w:r w:rsidR="0010446A">
        <w:rPr>
          <w:b w:val="0"/>
          <w:noProof/>
        </w:rPr>
        <w:t>131</w:t>
      </w:r>
      <w:r w:rsidRPr="005A0642">
        <w:rPr>
          <w:b w:val="0"/>
          <w:noProof/>
        </w:rPr>
        <w:fldChar w:fldCharType="end"/>
      </w:r>
    </w:p>
    <w:p w14:paraId="049AB02E"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Foscríbhinn 3: Foilseacháin i 2011</w:t>
      </w:r>
      <w:r w:rsidRPr="005A0642">
        <w:rPr>
          <w:b w:val="0"/>
          <w:noProof/>
        </w:rPr>
        <w:tab/>
      </w:r>
      <w:r w:rsidRPr="005A0642">
        <w:rPr>
          <w:b w:val="0"/>
          <w:noProof/>
        </w:rPr>
        <w:fldChar w:fldCharType="begin"/>
      </w:r>
      <w:r w:rsidRPr="005A0642">
        <w:rPr>
          <w:b w:val="0"/>
          <w:noProof/>
        </w:rPr>
        <w:instrText xml:space="preserve"> PAGEREF _Toc335836586 \h </w:instrText>
      </w:r>
      <w:r w:rsidRPr="005A0642">
        <w:rPr>
          <w:b w:val="0"/>
          <w:noProof/>
        </w:rPr>
      </w:r>
      <w:r w:rsidRPr="005A0642">
        <w:rPr>
          <w:b w:val="0"/>
          <w:noProof/>
        </w:rPr>
        <w:fldChar w:fldCharType="separate"/>
      </w:r>
      <w:r w:rsidR="0010446A">
        <w:rPr>
          <w:b w:val="0"/>
          <w:noProof/>
        </w:rPr>
        <w:t>133</w:t>
      </w:r>
      <w:r w:rsidRPr="005A0642">
        <w:rPr>
          <w:b w:val="0"/>
          <w:noProof/>
        </w:rPr>
        <w:fldChar w:fldCharType="end"/>
      </w:r>
    </w:p>
    <w:p w14:paraId="3D65960D" w14:textId="77777777" w:rsidR="00A02612" w:rsidRPr="005A0642" w:rsidRDefault="00A02612">
      <w:pPr>
        <w:pStyle w:val="TOC1"/>
        <w:tabs>
          <w:tab w:val="right" w:leader="dot" w:pos="8630"/>
        </w:tabs>
        <w:rPr>
          <w:rFonts w:ascii="Times New Roman" w:hAnsi="Times New Roman"/>
          <w:b w:val="0"/>
          <w:noProof/>
          <w:sz w:val="24"/>
          <w:lang w:val="en-GB" w:eastAsia="en-GB"/>
        </w:rPr>
      </w:pPr>
      <w:r w:rsidRPr="005A0642">
        <w:rPr>
          <w:b w:val="0"/>
          <w:noProof/>
        </w:rPr>
        <w:t>Foscríbhinn 4: Páipéir chomhairle bheartais i 2011</w:t>
      </w:r>
      <w:r w:rsidRPr="005A0642">
        <w:rPr>
          <w:b w:val="0"/>
          <w:noProof/>
        </w:rPr>
        <w:tab/>
      </w:r>
      <w:r w:rsidRPr="005A0642">
        <w:rPr>
          <w:b w:val="0"/>
          <w:noProof/>
        </w:rPr>
        <w:fldChar w:fldCharType="begin"/>
      </w:r>
      <w:r w:rsidRPr="005A0642">
        <w:rPr>
          <w:b w:val="0"/>
          <w:noProof/>
        </w:rPr>
        <w:instrText xml:space="preserve"> PAGEREF _Toc335836587 \h </w:instrText>
      </w:r>
      <w:r w:rsidRPr="005A0642">
        <w:rPr>
          <w:b w:val="0"/>
          <w:noProof/>
        </w:rPr>
      </w:r>
      <w:r w:rsidRPr="005A0642">
        <w:rPr>
          <w:b w:val="0"/>
          <w:noProof/>
        </w:rPr>
        <w:fldChar w:fldCharType="separate"/>
      </w:r>
      <w:r w:rsidR="0010446A">
        <w:rPr>
          <w:b w:val="0"/>
          <w:noProof/>
        </w:rPr>
        <w:t>134</w:t>
      </w:r>
      <w:r w:rsidRPr="005A0642">
        <w:rPr>
          <w:b w:val="0"/>
          <w:noProof/>
        </w:rPr>
        <w:fldChar w:fldCharType="end"/>
      </w:r>
    </w:p>
    <w:p w14:paraId="7D3A332E" w14:textId="77777777" w:rsidR="006C148C" w:rsidRDefault="006C148C" w:rsidP="00892767">
      <w:pPr>
        <w:pStyle w:val="TOC1"/>
        <w:tabs>
          <w:tab w:val="right" w:leader="dot" w:pos="8640"/>
        </w:tabs>
      </w:pPr>
      <w:r>
        <w:fldChar w:fldCharType="end"/>
      </w:r>
    </w:p>
    <w:p w14:paraId="3CCA7056" w14:textId="77777777" w:rsidR="006C148C" w:rsidRDefault="006C148C">
      <w:pPr>
        <w:pStyle w:val="Heading1"/>
        <w:pageBreakBefore/>
      </w:pPr>
      <w:bookmarkStart w:id="331" w:name="_Toc335829656"/>
      <w:bookmarkStart w:id="332" w:name="_Toc335836450"/>
      <w:bookmarkStart w:id="333" w:name="_Toc335983445"/>
      <w:bookmarkStart w:id="334" w:name="_Toc335986615"/>
      <w:r>
        <w:lastRenderedPageBreak/>
        <w:t xml:space="preserve">Ráiteas an </w:t>
      </w:r>
      <w:proofErr w:type="spellStart"/>
      <w:r>
        <w:t>Chathaoirligh</w:t>
      </w:r>
      <w:bookmarkEnd w:id="331"/>
      <w:bookmarkEnd w:id="332"/>
      <w:bookmarkEnd w:id="333"/>
      <w:bookmarkEnd w:id="334"/>
      <w:proofErr w:type="spellEnd"/>
    </w:p>
    <w:p w14:paraId="3D445A33" w14:textId="77777777" w:rsidR="006C148C" w:rsidRDefault="006C148C">
      <w:r>
        <w:t xml:space="preserve">Is maith liom Tuarascáil Bhliantúil an Údaráis Náisiúnta </w:t>
      </w:r>
      <w:proofErr w:type="spellStart"/>
      <w:r>
        <w:t>Míchumais</w:t>
      </w:r>
      <w:proofErr w:type="spellEnd"/>
      <w:r>
        <w:t xml:space="preserve"> don bhliain 2011 a chur faoi bhráid an Aire Dlí agus Cirt, agus </w:t>
      </w:r>
      <w:proofErr w:type="spellStart"/>
      <w:r>
        <w:t>Comhionannais</w:t>
      </w:r>
      <w:proofErr w:type="spellEnd"/>
      <w:r>
        <w:t xml:space="preserve">.  Is é Údarás Náisiúnta </w:t>
      </w:r>
      <w:proofErr w:type="spellStart"/>
      <w:r>
        <w:t>Míchumais</w:t>
      </w:r>
      <w:proofErr w:type="spellEnd"/>
      <w:r>
        <w:t xml:space="preserve"> an comhlacht comhairleach neamhspleách náisiúnta don Aire i dtaobh </w:t>
      </w:r>
      <w:proofErr w:type="spellStart"/>
      <w:r>
        <w:t>saincheisteanna</w:t>
      </w:r>
      <w:proofErr w:type="spellEnd"/>
      <w:r>
        <w:t xml:space="preserve"> </w:t>
      </w:r>
      <w:proofErr w:type="spellStart"/>
      <w:r>
        <w:t>míchumais</w:t>
      </w:r>
      <w:proofErr w:type="spellEnd"/>
      <w:r>
        <w:t xml:space="preserve"> agus </w:t>
      </w:r>
      <w:proofErr w:type="spellStart"/>
      <w:r>
        <w:t>dearaidh</w:t>
      </w:r>
      <w:proofErr w:type="spellEnd"/>
      <w:r>
        <w:t xml:space="preserve"> </w:t>
      </w:r>
      <w:proofErr w:type="spellStart"/>
      <w:r>
        <w:t>uilíoch</w:t>
      </w:r>
      <w:proofErr w:type="spellEnd"/>
      <w:r>
        <w:t xml:space="preserve">, agus is sa tuarascáil seo </w:t>
      </w:r>
      <w:proofErr w:type="gramStart"/>
      <w:r>
        <w:t>a</w:t>
      </w:r>
      <w:proofErr w:type="gramEnd"/>
      <w:r>
        <w:t xml:space="preserve"> </w:t>
      </w:r>
      <w:proofErr w:type="spellStart"/>
      <w:r>
        <w:t>imlínítear</w:t>
      </w:r>
      <w:proofErr w:type="spellEnd"/>
      <w:r>
        <w:t xml:space="preserve"> a chuid </w:t>
      </w:r>
      <w:proofErr w:type="spellStart"/>
      <w:r>
        <w:t>gníomhaíochtaí</w:t>
      </w:r>
      <w:proofErr w:type="spellEnd"/>
      <w:r>
        <w:t xml:space="preserve">. </w:t>
      </w:r>
    </w:p>
    <w:p w14:paraId="024530E5" w14:textId="77777777" w:rsidR="006C148C" w:rsidRDefault="006C148C">
      <w:pPr>
        <w:spacing w:after="120"/>
      </w:pPr>
      <w:r>
        <w:t xml:space="preserve">Bíonn tionchar leanúnach ag na deacrachtaí </w:t>
      </w:r>
      <w:proofErr w:type="spellStart"/>
      <w:r>
        <w:t>eacnamúla</w:t>
      </w:r>
      <w:proofErr w:type="spellEnd"/>
      <w:r>
        <w:t xml:space="preserve"> ar bheatha na ndaoine le </w:t>
      </w:r>
      <w:proofErr w:type="spellStart"/>
      <w:r>
        <w:t>míchumas</w:t>
      </w:r>
      <w:proofErr w:type="spellEnd"/>
      <w:r>
        <w:t xml:space="preserve">. Is féidir leis na deacrachtaí úd bheith mar </w:t>
      </w:r>
      <w:proofErr w:type="gramStart"/>
      <w:r>
        <w:t>an</w:t>
      </w:r>
      <w:proofErr w:type="gramEnd"/>
      <w:r>
        <w:t xml:space="preserve"> spreagadh d'athrú cúrsa, agus tá an </w:t>
      </w:r>
      <w:proofErr w:type="spellStart"/>
      <w:r>
        <w:t>tÚdarás</w:t>
      </w:r>
      <w:proofErr w:type="spellEnd"/>
      <w:r>
        <w:t xml:space="preserve"> Náisiúnta </w:t>
      </w:r>
      <w:proofErr w:type="spellStart"/>
      <w:r>
        <w:t>Míchumais</w:t>
      </w:r>
      <w:proofErr w:type="spellEnd"/>
      <w:r>
        <w:t xml:space="preserve"> ag glacadh </w:t>
      </w:r>
      <w:proofErr w:type="spellStart"/>
      <w:r>
        <w:t>rannpháirte</w:t>
      </w:r>
      <w:proofErr w:type="spellEnd"/>
      <w:r>
        <w:t xml:space="preserve"> i roinnt tionscnamh éagsúil ina bhféachtar le seachadadh seirbhísí do dhaoine le </w:t>
      </w:r>
      <w:proofErr w:type="spellStart"/>
      <w:r>
        <w:t>míchumas</w:t>
      </w:r>
      <w:proofErr w:type="spellEnd"/>
      <w:r>
        <w:t xml:space="preserve"> a fheabhsú agus lena </w:t>
      </w:r>
      <w:proofErr w:type="spellStart"/>
      <w:r>
        <w:t>gcuimsiú</w:t>
      </w:r>
      <w:proofErr w:type="spellEnd"/>
      <w:r>
        <w:t xml:space="preserve"> sa tsochaí a fheabhsú a thuilleadh. </w:t>
      </w:r>
      <w:proofErr w:type="spellStart"/>
      <w:r>
        <w:t>Áiríodh</w:t>
      </w:r>
      <w:proofErr w:type="spellEnd"/>
      <w:r>
        <w:t xml:space="preserve"> le saothair an Údaráis Náisiúnta </w:t>
      </w:r>
      <w:proofErr w:type="spellStart"/>
      <w:r>
        <w:t>Míchumais</w:t>
      </w:r>
      <w:proofErr w:type="spellEnd"/>
      <w:r>
        <w:t xml:space="preserve"> sa bhliain 2011: </w:t>
      </w:r>
    </w:p>
    <w:p w14:paraId="337176EB" w14:textId="77777777" w:rsidR="006C148C" w:rsidRDefault="006C148C">
      <w:pPr>
        <w:pStyle w:val="ListBullet"/>
      </w:pPr>
      <w:r>
        <w:t xml:space="preserve">foilsiú tríú Suirbhé Náisiúnta an Údaráis Náisiúnta </w:t>
      </w:r>
      <w:proofErr w:type="spellStart"/>
      <w:r>
        <w:t>Míchumais</w:t>
      </w:r>
      <w:proofErr w:type="spellEnd"/>
      <w:r>
        <w:t xml:space="preserve"> um Dhearcadh an Phobail in Éirinn i leith an </w:t>
      </w:r>
      <w:proofErr w:type="spellStart"/>
      <w:r>
        <w:t>Mhíchumais</w:t>
      </w:r>
      <w:proofErr w:type="spellEnd"/>
    </w:p>
    <w:p w14:paraId="22EBD1EB" w14:textId="77777777" w:rsidR="006C148C" w:rsidRDefault="006C148C">
      <w:pPr>
        <w:pStyle w:val="ListBullet"/>
      </w:pPr>
      <w:r>
        <w:t xml:space="preserve">forbairt an chéad chaighdeán ar domhan don </w:t>
      </w:r>
      <w:proofErr w:type="spellStart"/>
      <w:r>
        <w:t>dearadh</w:t>
      </w:r>
      <w:proofErr w:type="spellEnd"/>
      <w:r>
        <w:t xml:space="preserve"> </w:t>
      </w:r>
      <w:proofErr w:type="spellStart"/>
      <w:r>
        <w:t>uilíoch</w:t>
      </w:r>
      <w:proofErr w:type="spellEnd"/>
      <w:r>
        <w:t xml:space="preserve"> i gcomhair na seirbhíse </w:t>
      </w:r>
      <w:proofErr w:type="spellStart"/>
      <w:r>
        <w:t>custaiméara</w:t>
      </w:r>
      <w:proofErr w:type="spellEnd"/>
      <w:r>
        <w:t xml:space="preserve"> sna </w:t>
      </w:r>
      <w:proofErr w:type="spellStart"/>
      <w:r>
        <w:t>soláthróirí</w:t>
      </w:r>
      <w:proofErr w:type="spellEnd"/>
      <w:r>
        <w:t xml:space="preserve"> fuinnimh phoiblí </w:t>
      </w:r>
    </w:p>
    <w:p w14:paraId="4BE0E5DC" w14:textId="77777777" w:rsidR="006C148C" w:rsidRDefault="006C148C">
      <w:pPr>
        <w:pStyle w:val="ListBullet"/>
      </w:pPr>
      <w:r>
        <w:t xml:space="preserve">foilsiú </w:t>
      </w:r>
      <w:proofErr w:type="spellStart"/>
      <w:r>
        <w:t>treoirleabhair</w:t>
      </w:r>
      <w:proofErr w:type="spellEnd"/>
      <w:r>
        <w:t xml:space="preserve"> </w:t>
      </w:r>
      <w:proofErr w:type="spellStart"/>
      <w:r>
        <w:t>d'fhostóirí</w:t>
      </w:r>
      <w:proofErr w:type="spellEnd"/>
      <w:r>
        <w:t xml:space="preserve"> faoin gcaoi le coinneáil na </w:t>
      </w:r>
      <w:proofErr w:type="spellStart"/>
      <w:r>
        <w:t>bhfostaithte</w:t>
      </w:r>
      <w:proofErr w:type="spellEnd"/>
      <w:r>
        <w:t xml:space="preserve"> a mbaineann </w:t>
      </w:r>
      <w:proofErr w:type="spellStart"/>
      <w:r>
        <w:t>míchumas</w:t>
      </w:r>
      <w:proofErr w:type="spellEnd"/>
      <w:r>
        <w:t xml:space="preserve"> dóibh</w:t>
      </w:r>
    </w:p>
    <w:p w14:paraId="0DDEF953" w14:textId="77777777" w:rsidR="006C148C" w:rsidRDefault="006C148C">
      <w:pPr>
        <w:pStyle w:val="ListBullet"/>
      </w:pPr>
      <w:r>
        <w:t xml:space="preserve">foilsiú </w:t>
      </w:r>
      <w:proofErr w:type="spellStart"/>
      <w:r>
        <w:t>cóid</w:t>
      </w:r>
      <w:proofErr w:type="spellEnd"/>
      <w:r>
        <w:t xml:space="preserve"> </w:t>
      </w:r>
      <w:proofErr w:type="spellStart"/>
      <w:r>
        <w:t>chleachtais</w:t>
      </w:r>
      <w:proofErr w:type="spellEnd"/>
      <w:r>
        <w:t xml:space="preserve"> reachtúil ag </w:t>
      </w:r>
      <w:proofErr w:type="spellStart"/>
      <w:r>
        <w:t>cuimsiú</w:t>
      </w:r>
      <w:proofErr w:type="spellEnd"/>
      <w:r>
        <w:t xml:space="preserve"> suíomh oidhreachta </w:t>
      </w:r>
      <w:proofErr w:type="spellStart"/>
      <w:r>
        <w:t>inrochtana</w:t>
      </w:r>
      <w:proofErr w:type="spellEnd"/>
    </w:p>
    <w:p w14:paraId="3E0F94CF" w14:textId="77777777" w:rsidR="006C148C" w:rsidRDefault="006C148C">
      <w:pPr>
        <w:pStyle w:val="ListBullet"/>
      </w:pPr>
      <w:r>
        <w:t xml:space="preserve">athbhreithniú ar fheidhmiú an phróisis reachtúil do </w:t>
      </w:r>
      <w:proofErr w:type="spellStart"/>
      <w:r>
        <w:t>mheasúnú</w:t>
      </w:r>
      <w:proofErr w:type="spellEnd"/>
      <w:r>
        <w:t xml:space="preserve"> éilimh, faoi Chuid 2 den Acht um </w:t>
      </w:r>
      <w:proofErr w:type="spellStart"/>
      <w:r>
        <w:t>Míchumas</w:t>
      </w:r>
      <w:proofErr w:type="spellEnd"/>
      <w:r>
        <w:t xml:space="preserve"> 2005</w:t>
      </w:r>
    </w:p>
    <w:p w14:paraId="76CC90C1" w14:textId="77777777" w:rsidR="006C148C" w:rsidRDefault="006C148C">
      <w:pPr>
        <w:pStyle w:val="ListBullet"/>
        <w:spacing w:after="240"/>
      </w:pPr>
      <w:r>
        <w:t xml:space="preserve">seoladh </w:t>
      </w:r>
      <w:proofErr w:type="spellStart"/>
      <w:r>
        <w:t>modúil</w:t>
      </w:r>
      <w:proofErr w:type="spellEnd"/>
      <w:r>
        <w:t xml:space="preserve"> </w:t>
      </w:r>
      <w:proofErr w:type="spellStart"/>
      <w:r>
        <w:t>ríomh-Fhoghlama</w:t>
      </w:r>
      <w:proofErr w:type="spellEnd"/>
      <w:r>
        <w:t xml:space="preserve"> </w:t>
      </w:r>
      <w:proofErr w:type="spellStart"/>
      <w:r>
        <w:t>saoir</w:t>
      </w:r>
      <w:proofErr w:type="spellEnd"/>
      <w:r>
        <w:t xml:space="preserve"> in aisce le </w:t>
      </w:r>
      <w:proofErr w:type="spellStart"/>
      <w:r>
        <w:t>hoiliúint</w:t>
      </w:r>
      <w:proofErr w:type="spellEnd"/>
      <w:r>
        <w:t xml:space="preserve"> a chur ar fhoireann na </w:t>
      </w:r>
      <w:proofErr w:type="spellStart"/>
      <w:r>
        <w:t>hearnála</w:t>
      </w:r>
      <w:proofErr w:type="spellEnd"/>
      <w:r>
        <w:t xml:space="preserve"> poiblí seirbhísí den scoth a sholáthar do dhaoine le </w:t>
      </w:r>
      <w:proofErr w:type="spellStart"/>
      <w:r>
        <w:t>míchumas</w:t>
      </w:r>
      <w:proofErr w:type="spellEnd"/>
    </w:p>
    <w:p w14:paraId="20DA27DD" w14:textId="77777777" w:rsidR="006C148C" w:rsidRDefault="006C148C">
      <w:r>
        <w:t xml:space="preserve">Mar ab amhlaidh i gcás go leor </w:t>
      </w:r>
      <w:proofErr w:type="spellStart"/>
      <w:r>
        <w:t>codanna</w:t>
      </w:r>
      <w:proofErr w:type="spellEnd"/>
      <w:r>
        <w:t xml:space="preserve"> eile den tseirbhís phoiblí, bliain </w:t>
      </w:r>
      <w:proofErr w:type="spellStart"/>
      <w:r>
        <w:t>dhúshlánach</w:t>
      </w:r>
      <w:proofErr w:type="spellEnd"/>
      <w:r>
        <w:t xml:space="preserve"> eile ab ea 2011 le tuilleadh </w:t>
      </w:r>
      <w:proofErr w:type="spellStart"/>
      <w:r>
        <w:t>laghduithe</w:t>
      </w:r>
      <w:proofErr w:type="spellEnd"/>
      <w:r>
        <w:t xml:space="preserve"> i líon na foirne. Ba chun na críche sin a cuireadh cuid mhaith den bhéim i gcaitheamh na bliana ar chinntiú </w:t>
      </w:r>
      <w:proofErr w:type="spellStart"/>
      <w:r>
        <w:t>solúbthacht</w:t>
      </w:r>
      <w:proofErr w:type="spellEnd"/>
      <w:r>
        <w:t xml:space="preserve"> na n-acmhainní agus ar </w:t>
      </w:r>
      <w:proofErr w:type="spellStart"/>
      <w:r>
        <w:t>imlonnú</w:t>
      </w:r>
      <w:proofErr w:type="spellEnd"/>
      <w:r>
        <w:t xml:space="preserve"> </w:t>
      </w:r>
      <w:proofErr w:type="spellStart"/>
      <w:r>
        <w:t>iomchuí</w:t>
      </w:r>
      <w:proofErr w:type="spellEnd"/>
      <w:r>
        <w:t xml:space="preserve"> na n-</w:t>
      </w:r>
      <w:proofErr w:type="spellStart"/>
      <w:r>
        <w:t>oilteachtaí</w:t>
      </w:r>
      <w:proofErr w:type="spellEnd"/>
      <w:r>
        <w:t xml:space="preserve"> ar fud an eagrais, chun </w:t>
      </w:r>
      <w:proofErr w:type="spellStart"/>
      <w:r>
        <w:t>sainchúram</w:t>
      </w:r>
      <w:proofErr w:type="spellEnd"/>
      <w:r>
        <w:t xml:space="preserve"> an Údaráis Náisiúnta </w:t>
      </w:r>
      <w:proofErr w:type="spellStart"/>
      <w:r>
        <w:t>Míchumais</w:t>
      </w:r>
      <w:proofErr w:type="spellEnd"/>
      <w:r>
        <w:t xml:space="preserve"> a </w:t>
      </w:r>
      <w:proofErr w:type="spellStart"/>
      <w:r>
        <w:t>sheachadadh</w:t>
      </w:r>
      <w:proofErr w:type="spellEnd"/>
      <w:r>
        <w:t xml:space="preserve"> go héifeachtach agus go </w:t>
      </w:r>
      <w:proofErr w:type="spellStart"/>
      <w:r>
        <w:t>héifeachtúil</w:t>
      </w:r>
      <w:proofErr w:type="spellEnd"/>
      <w:r>
        <w:t xml:space="preserve">. Leagadh an bhéim freisin ar thuilleadh </w:t>
      </w:r>
      <w:proofErr w:type="spellStart"/>
      <w:r>
        <w:t>éifeachtúlachtaí</w:t>
      </w:r>
      <w:proofErr w:type="spellEnd"/>
      <w:r>
        <w:t xml:space="preserve"> agus </w:t>
      </w:r>
      <w:proofErr w:type="spellStart"/>
      <w:r>
        <w:t>luacha</w:t>
      </w:r>
      <w:proofErr w:type="spellEnd"/>
      <w:r>
        <w:t xml:space="preserve"> airgid a ghnóthú ar fud gach </w:t>
      </w:r>
      <w:proofErr w:type="spellStart"/>
      <w:r>
        <w:t>oibríocht</w:t>
      </w:r>
      <w:proofErr w:type="spellEnd"/>
      <w:r>
        <w:t>.</w:t>
      </w:r>
    </w:p>
    <w:p w14:paraId="6C38048D" w14:textId="77777777" w:rsidR="006C148C" w:rsidRDefault="006C148C">
      <w:r>
        <w:t xml:space="preserve">Ba mhaith liom buíochas a ghabháil le foireann na </w:t>
      </w:r>
      <w:proofErr w:type="spellStart"/>
      <w:r>
        <w:t>rannóige</w:t>
      </w:r>
      <w:proofErr w:type="spellEnd"/>
      <w:r>
        <w:t xml:space="preserve"> Beartais </w:t>
      </w:r>
      <w:proofErr w:type="spellStart"/>
      <w:r>
        <w:t>Mhícumais</w:t>
      </w:r>
      <w:proofErr w:type="spellEnd"/>
      <w:r>
        <w:t xml:space="preserve"> sa Roinn Dlí agus Cirt agus </w:t>
      </w:r>
      <w:proofErr w:type="spellStart"/>
      <w:r>
        <w:t>Comhionannais</w:t>
      </w:r>
      <w:proofErr w:type="spellEnd"/>
      <w:r>
        <w:t xml:space="preserve">, chomh le foireann an aonaid Seirbhísí Airgeadais agus na seirbhísí TF </w:t>
      </w:r>
      <w:proofErr w:type="spellStart"/>
      <w:r>
        <w:t>comhroinnte</w:t>
      </w:r>
      <w:proofErr w:type="spellEnd"/>
      <w:r>
        <w:t xml:space="preserve">. Thug siad cúnamh don Údaráis Náisiúnta </w:t>
      </w:r>
      <w:proofErr w:type="spellStart"/>
      <w:r>
        <w:t>Míchumais</w:t>
      </w:r>
      <w:proofErr w:type="spellEnd"/>
      <w:r>
        <w:t xml:space="preserve"> lena aistriú ar ais chuig an Roinn </w:t>
      </w:r>
      <w:proofErr w:type="spellStart"/>
      <w:r>
        <w:t>nua-bhunaithe</w:t>
      </w:r>
      <w:proofErr w:type="spellEnd"/>
      <w:r>
        <w:t xml:space="preserve"> ón iar-Roinn Gnóthaí Pobail, </w:t>
      </w:r>
      <w:proofErr w:type="spellStart"/>
      <w:r>
        <w:t>Comhionannais</w:t>
      </w:r>
      <w:proofErr w:type="spellEnd"/>
      <w:r>
        <w:t xml:space="preserve"> agus Gaeltachta. Ba mhaith liom buíochas a </w:t>
      </w:r>
      <w:r>
        <w:lastRenderedPageBreak/>
        <w:t xml:space="preserve">ghabháil freisin leis na grúpaí úd a sholáthraigh comhairle agus </w:t>
      </w:r>
      <w:proofErr w:type="spellStart"/>
      <w:r>
        <w:t>maoirsiú</w:t>
      </w:r>
      <w:proofErr w:type="spellEnd"/>
      <w:r>
        <w:t xml:space="preserve"> ar </w:t>
      </w:r>
      <w:proofErr w:type="spellStart"/>
      <w:r>
        <w:t>thionscadail</w:t>
      </w:r>
      <w:proofErr w:type="spellEnd"/>
      <w:r>
        <w:t xml:space="preserve"> aonair. </w:t>
      </w:r>
    </w:p>
    <w:p w14:paraId="3C138910" w14:textId="77777777" w:rsidR="006C148C" w:rsidRDefault="006C148C">
      <w:r>
        <w:t xml:space="preserve">Leath bealaigh atá ann i mbliain i </w:t>
      </w:r>
      <w:proofErr w:type="spellStart"/>
      <w:r>
        <w:t>dtéarma</w:t>
      </w:r>
      <w:proofErr w:type="spellEnd"/>
      <w:r>
        <w:t xml:space="preserve"> cheithre bliana an Údaráis reatha. Táim ag </w:t>
      </w:r>
      <w:proofErr w:type="spellStart"/>
      <w:r>
        <w:t>tapú</w:t>
      </w:r>
      <w:proofErr w:type="spellEnd"/>
      <w:r>
        <w:t xml:space="preserve"> na deise seo buíochas a ghabháil leis na baill as ucht a saothair sa tréimhse sin, agus freisin le baill na gcoistí Airgeadais agus </w:t>
      </w:r>
      <w:proofErr w:type="spellStart"/>
      <w:r>
        <w:t>Iniúchóireachta</w:t>
      </w:r>
      <w:proofErr w:type="spellEnd"/>
      <w:r>
        <w:t xml:space="preserve">. Léirigh an leibhéal </w:t>
      </w:r>
      <w:proofErr w:type="spellStart"/>
      <w:r>
        <w:t>tinrimh</w:t>
      </w:r>
      <w:proofErr w:type="spellEnd"/>
      <w:r>
        <w:t xml:space="preserve"> </w:t>
      </w:r>
      <w:proofErr w:type="spellStart"/>
      <w:r>
        <w:t>chomhsheasmhach</w:t>
      </w:r>
      <w:proofErr w:type="spellEnd"/>
      <w:r>
        <w:t xml:space="preserve"> agus caighdeán ard na </w:t>
      </w:r>
      <w:proofErr w:type="spellStart"/>
      <w:r>
        <w:t>rannchur</w:t>
      </w:r>
      <w:proofErr w:type="spellEnd"/>
      <w:r>
        <w:t xml:space="preserve"> i measc an bhoird </w:t>
      </w:r>
      <w:proofErr w:type="spellStart"/>
      <w:r>
        <w:t>tiomantas</w:t>
      </w:r>
      <w:proofErr w:type="spellEnd"/>
      <w:r>
        <w:t xml:space="preserve"> láidir don bheart de réir </w:t>
      </w:r>
      <w:proofErr w:type="spellStart"/>
      <w:r>
        <w:t>briathair</w:t>
      </w:r>
      <w:proofErr w:type="spellEnd"/>
      <w:r>
        <w:t>.</w:t>
      </w:r>
    </w:p>
    <w:p w14:paraId="547DFDC2" w14:textId="77777777" w:rsidR="006C148C" w:rsidRDefault="006C148C">
      <w:r>
        <w:t xml:space="preserve">Ba mhaith liom aitheantas a thabhairt do </w:t>
      </w:r>
      <w:proofErr w:type="spellStart"/>
      <w:r>
        <w:t>dhúthracht</w:t>
      </w:r>
      <w:proofErr w:type="spellEnd"/>
      <w:r>
        <w:t xml:space="preserve">, díograis agus </w:t>
      </w:r>
      <w:proofErr w:type="spellStart"/>
      <w:r>
        <w:t>saineolas</w:t>
      </w:r>
      <w:proofErr w:type="spellEnd"/>
      <w:r>
        <w:t xml:space="preserve"> leanúnach fhoireann an Údaráis Náisiúnta </w:t>
      </w:r>
      <w:proofErr w:type="spellStart"/>
      <w:r>
        <w:t>Míchumais</w:t>
      </w:r>
      <w:proofErr w:type="spellEnd"/>
      <w:r>
        <w:t xml:space="preserve">. Níl aon amhras orm ach </w:t>
      </w:r>
      <w:proofErr w:type="gramStart"/>
      <w:r>
        <w:t>go  leanfaidh</w:t>
      </w:r>
      <w:proofErr w:type="gramEnd"/>
      <w:r>
        <w:t xml:space="preserve"> siad ar aghaidh ag saothrú go dúthrachtach chun eolas agus comhairle den scoth a sholáthar don rialtas d'fhonn an beartas agus an </w:t>
      </w:r>
      <w:proofErr w:type="spellStart"/>
      <w:r>
        <w:t>cleachtas</w:t>
      </w:r>
      <w:proofErr w:type="spellEnd"/>
      <w:r>
        <w:t xml:space="preserve"> do dhaoine le </w:t>
      </w:r>
      <w:proofErr w:type="spellStart"/>
      <w:r>
        <w:t>míchumais</w:t>
      </w:r>
      <w:proofErr w:type="spellEnd"/>
      <w:r>
        <w:t xml:space="preserve"> a </w:t>
      </w:r>
      <w:proofErr w:type="spellStart"/>
      <w:r>
        <w:t>threorú</w:t>
      </w:r>
      <w:proofErr w:type="spellEnd"/>
      <w:r>
        <w:t xml:space="preserve">.  </w:t>
      </w:r>
    </w:p>
    <w:p w14:paraId="007CD83E" w14:textId="77777777" w:rsidR="006C148C" w:rsidRDefault="006C148C">
      <w:r>
        <w:t xml:space="preserve">Peter </w:t>
      </w:r>
      <w:proofErr w:type="spellStart"/>
      <w:r>
        <w:t>McKevitt</w:t>
      </w:r>
      <w:proofErr w:type="spellEnd"/>
    </w:p>
    <w:p w14:paraId="5080710E" w14:textId="77777777" w:rsidR="006C148C" w:rsidRDefault="006C148C">
      <w:r>
        <w:t>Cathaoirleach</w:t>
      </w:r>
    </w:p>
    <w:p w14:paraId="6A7DF835" w14:textId="77777777" w:rsidR="006C148C" w:rsidRDefault="006C148C">
      <w:pPr>
        <w:pStyle w:val="Heading1"/>
        <w:pageBreakBefore/>
      </w:pPr>
      <w:bookmarkStart w:id="335" w:name="_Toc335829657"/>
      <w:bookmarkStart w:id="336" w:name="_Toc335836451"/>
      <w:bookmarkStart w:id="337" w:name="_Toc335983446"/>
      <w:bookmarkStart w:id="338" w:name="_Toc335986616"/>
      <w:r>
        <w:lastRenderedPageBreak/>
        <w:t xml:space="preserve">Ráiteas an </w:t>
      </w:r>
      <w:proofErr w:type="spellStart"/>
      <w:r>
        <w:t>Stiúrthóra</w:t>
      </w:r>
      <w:bookmarkEnd w:id="335"/>
      <w:bookmarkEnd w:id="336"/>
      <w:bookmarkEnd w:id="337"/>
      <w:bookmarkEnd w:id="338"/>
      <w:proofErr w:type="spellEnd"/>
    </w:p>
    <w:p w14:paraId="7DA7F18D" w14:textId="77777777" w:rsidR="006C148C" w:rsidRDefault="006C148C">
      <w:proofErr w:type="spellStart"/>
      <w:r>
        <w:t>Sheachaid</w:t>
      </w:r>
      <w:proofErr w:type="spellEnd"/>
      <w:r>
        <w:t xml:space="preserve"> an </w:t>
      </w:r>
      <w:proofErr w:type="spellStart"/>
      <w:r>
        <w:t>tÚdarás</w:t>
      </w:r>
      <w:proofErr w:type="spellEnd"/>
      <w:r>
        <w:t xml:space="preserve"> Náisiúnta </w:t>
      </w:r>
      <w:proofErr w:type="spellStart"/>
      <w:r>
        <w:t>Míchumais</w:t>
      </w:r>
      <w:proofErr w:type="spellEnd"/>
      <w:r>
        <w:t xml:space="preserve"> clár oibre iomlán sa bhliain 2011 faoin dara bliain dár </w:t>
      </w:r>
      <w:proofErr w:type="spellStart"/>
      <w:r>
        <w:t>bPlean</w:t>
      </w:r>
      <w:proofErr w:type="spellEnd"/>
      <w:r>
        <w:t xml:space="preserve"> </w:t>
      </w:r>
      <w:proofErr w:type="spellStart"/>
      <w:r>
        <w:t>Straitéiseach</w:t>
      </w:r>
      <w:proofErr w:type="spellEnd"/>
      <w:r>
        <w:t xml:space="preserve"> reatha 2010-2012. Leagadh béim ár gcuid saothair ar thacaíocht a thabhairt </w:t>
      </w:r>
      <w:proofErr w:type="spellStart"/>
      <w:r>
        <w:t>d'fhorfheidhmiú</w:t>
      </w:r>
      <w:proofErr w:type="spellEnd"/>
      <w:r>
        <w:t xml:space="preserve"> </w:t>
      </w:r>
      <w:proofErr w:type="spellStart"/>
      <w:r>
        <w:t>leanúnacha</w:t>
      </w:r>
      <w:proofErr w:type="spellEnd"/>
      <w:r>
        <w:t xml:space="preserve"> na </w:t>
      </w:r>
      <w:proofErr w:type="spellStart"/>
      <w:r>
        <w:t>Straitéise</w:t>
      </w:r>
      <w:proofErr w:type="spellEnd"/>
      <w:r>
        <w:t xml:space="preserve"> Náisiúnta </w:t>
      </w:r>
      <w:proofErr w:type="spellStart"/>
      <w:r>
        <w:t>Míchumais</w:t>
      </w:r>
      <w:proofErr w:type="spellEnd"/>
      <w:r>
        <w:t xml:space="preserve">; </w:t>
      </w:r>
      <w:proofErr w:type="spellStart"/>
      <w:r>
        <w:t>treorú</w:t>
      </w:r>
      <w:proofErr w:type="spellEnd"/>
      <w:r>
        <w:t xml:space="preserve"> an bheartais chun </w:t>
      </w:r>
      <w:proofErr w:type="spellStart"/>
      <w:r>
        <w:t>tacaíochtaí</w:t>
      </w:r>
      <w:proofErr w:type="spellEnd"/>
      <w:r>
        <w:t xml:space="preserve"> éifeachtacha a chinntiú do ghnáthshaol neamhspleách sa </w:t>
      </w:r>
      <w:proofErr w:type="gramStart"/>
      <w:r>
        <w:t>phobal;  agus</w:t>
      </w:r>
      <w:proofErr w:type="gramEnd"/>
      <w:r>
        <w:t xml:space="preserve"> chun </w:t>
      </w:r>
      <w:proofErr w:type="spellStart"/>
      <w:r>
        <w:t>dearadh</w:t>
      </w:r>
      <w:proofErr w:type="spellEnd"/>
      <w:r>
        <w:t xml:space="preserve"> </w:t>
      </w:r>
      <w:proofErr w:type="spellStart"/>
      <w:r>
        <w:t>uilíoch</w:t>
      </w:r>
      <w:proofErr w:type="spellEnd"/>
      <w:r>
        <w:t xml:space="preserve"> agus </w:t>
      </w:r>
      <w:proofErr w:type="spellStart"/>
      <w:r>
        <w:t>inrochaineacht</w:t>
      </w:r>
      <w:proofErr w:type="spellEnd"/>
      <w:r>
        <w:t xml:space="preserve"> earraí, seirbhísí agus ionad a chur chun cinn. </w:t>
      </w:r>
    </w:p>
    <w:p w14:paraId="2EEAA86F" w14:textId="77777777" w:rsidR="006C148C" w:rsidRDefault="006C148C">
      <w:r>
        <w:t xml:space="preserve">Choinnigh an </w:t>
      </w:r>
      <w:proofErr w:type="spellStart"/>
      <w:r>
        <w:t>tÚdarás</w:t>
      </w:r>
      <w:proofErr w:type="spellEnd"/>
      <w:r>
        <w:t xml:space="preserve"> Náisiúnta </w:t>
      </w:r>
      <w:proofErr w:type="spellStart"/>
      <w:r>
        <w:t>Míchumais</w:t>
      </w:r>
      <w:proofErr w:type="spellEnd"/>
      <w:r>
        <w:t xml:space="preserve"> air ag tabhairt comhairle do Ranna i leith a gclár aonair atá mar bhonn den Straitéis Náisiúnta </w:t>
      </w:r>
      <w:proofErr w:type="spellStart"/>
      <w:r>
        <w:t>Míchumais</w:t>
      </w:r>
      <w:proofErr w:type="spellEnd"/>
      <w:r>
        <w:t xml:space="preserve">. Le hathruithe sna cúraimí </w:t>
      </w:r>
      <w:proofErr w:type="spellStart"/>
      <w:r>
        <w:t>Rannacha</w:t>
      </w:r>
      <w:proofErr w:type="spellEnd"/>
      <w:r>
        <w:t xml:space="preserve">, agus aird ar an méid a </w:t>
      </w:r>
      <w:proofErr w:type="spellStart"/>
      <w:r>
        <w:t>gnóthaíodh</w:t>
      </w:r>
      <w:proofErr w:type="spellEnd"/>
      <w:r>
        <w:t xml:space="preserve"> chun </w:t>
      </w:r>
      <w:proofErr w:type="spellStart"/>
      <w:r>
        <w:t>Coinbhinsiún</w:t>
      </w:r>
      <w:proofErr w:type="spellEnd"/>
      <w:r>
        <w:t xml:space="preserve"> na NA um Chearta na </w:t>
      </w:r>
      <w:proofErr w:type="spellStart"/>
      <w:r>
        <w:t>nDaoine</w:t>
      </w:r>
      <w:proofErr w:type="spellEnd"/>
      <w:r>
        <w:t xml:space="preserve"> le </w:t>
      </w:r>
      <w:proofErr w:type="spellStart"/>
      <w:r>
        <w:t>Míchumais</w:t>
      </w:r>
      <w:proofErr w:type="spellEnd"/>
      <w:r>
        <w:t xml:space="preserve"> a </w:t>
      </w:r>
      <w:proofErr w:type="spellStart"/>
      <w:r>
        <w:t>dhaingniú</w:t>
      </w:r>
      <w:proofErr w:type="spellEnd"/>
      <w:r>
        <w:t xml:space="preserve">, is amhlaidh a </w:t>
      </w:r>
      <w:proofErr w:type="spellStart"/>
      <w:r>
        <w:t>fhormhéadófar</w:t>
      </w:r>
      <w:proofErr w:type="spellEnd"/>
      <w:r>
        <w:t xml:space="preserve"> an scóip le limistéir nua a thabhairt faoi scáth na </w:t>
      </w:r>
      <w:proofErr w:type="spellStart"/>
      <w:r>
        <w:t>Straitéise</w:t>
      </w:r>
      <w:proofErr w:type="spellEnd"/>
      <w:r>
        <w:t xml:space="preserve"> Náisiúnta </w:t>
      </w:r>
      <w:proofErr w:type="spellStart"/>
      <w:r>
        <w:t>Míchumais</w:t>
      </w:r>
      <w:proofErr w:type="spellEnd"/>
      <w:r>
        <w:t xml:space="preserve">, ar nós na reachtaíocht um </w:t>
      </w:r>
      <w:proofErr w:type="spellStart"/>
      <w:r>
        <w:t>inniúlacht</w:t>
      </w:r>
      <w:proofErr w:type="spellEnd"/>
      <w:r>
        <w:t xml:space="preserve"> </w:t>
      </w:r>
      <w:proofErr w:type="spellStart"/>
      <w:r>
        <w:t>meabhrach</w:t>
      </w:r>
      <w:proofErr w:type="spellEnd"/>
      <w:r>
        <w:t xml:space="preserve">, agus limistéir an chultúir, na turasóireachta agus an spóirt. </w:t>
      </w:r>
    </w:p>
    <w:p w14:paraId="7B4C67B0" w14:textId="77777777" w:rsidR="006C148C" w:rsidRDefault="006C148C">
      <w:r>
        <w:t xml:space="preserve">Tharla go leor forbairtí dearfacha le linn na bliana 2011 lenar </w:t>
      </w:r>
      <w:proofErr w:type="spellStart"/>
      <w:r>
        <w:t>áiríodh</w:t>
      </w:r>
      <w:proofErr w:type="spellEnd"/>
      <w:r>
        <w:t xml:space="preserve"> foilsiú an </w:t>
      </w:r>
      <w:proofErr w:type="spellStart"/>
      <w:r>
        <w:t>Athbhreithnithe</w:t>
      </w:r>
      <w:proofErr w:type="spellEnd"/>
      <w:r>
        <w:t xml:space="preserve"> Beartais um </w:t>
      </w:r>
      <w:proofErr w:type="spellStart"/>
      <w:r>
        <w:t>Sheirbhísí</w:t>
      </w:r>
      <w:proofErr w:type="spellEnd"/>
      <w:r>
        <w:t xml:space="preserve"> </w:t>
      </w:r>
      <w:proofErr w:type="spellStart"/>
      <w:r>
        <w:t>Míchumais</w:t>
      </w:r>
      <w:proofErr w:type="spellEnd"/>
      <w:r>
        <w:t xml:space="preserve"> arna tháirgeadh ag an </w:t>
      </w:r>
      <w:proofErr w:type="spellStart"/>
      <w:r>
        <w:t>nGrúpa</w:t>
      </w:r>
      <w:proofErr w:type="spellEnd"/>
      <w:r>
        <w:t xml:space="preserve"> </w:t>
      </w:r>
      <w:proofErr w:type="spellStart"/>
      <w:r>
        <w:t>Saineolach</w:t>
      </w:r>
      <w:proofErr w:type="spellEnd"/>
      <w:r>
        <w:t xml:space="preserve"> faoi </w:t>
      </w:r>
      <w:proofErr w:type="spellStart"/>
      <w:r>
        <w:t>chathaoirleacht</w:t>
      </w:r>
      <w:proofErr w:type="spellEnd"/>
      <w:r>
        <w:t xml:space="preserve"> na Roinne Sláinte, agus foilsiú na </w:t>
      </w:r>
      <w:proofErr w:type="spellStart"/>
      <w:r>
        <w:t>Straitéise</w:t>
      </w:r>
      <w:proofErr w:type="spellEnd"/>
      <w:r>
        <w:t xml:space="preserve"> Tithíochta do Dhaoine le </w:t>
      </w:r>
      <w:proofErr w:type="spellStart"/>
      <w:r>
        <w:t>Míchumas</w:t>
      </w:r>
      <w:proofErr w:type="spellEnd"/>
      <w:r>
        <w:t xml:space="preserve">. Tá an </w:t>
      </w:r>
      <w:proofErr w:type="spellStart"/>
      <w:r>
        <w:t>tÚdarás</w:t>
      </w:r>
      <w:proofErr w:type="spellEnd"/>
      <w:r>
        <w:t xml:space="preserve"> Náisiúnta </w:t>
      </w:r>
      <w:proofErr w:type="spellStart"/>
      <w:r>
        <w:t>Míchumais</w:t>
      </w:r>
      <w:proofErr w:type="spellEnd"/>
      <w:r>
        <w:t xml:space="preserve"> tar éis bheith ag saothrú chun treoir a thabhairt i leith na gcóras agus na </w:t>
      </w:r>
      <w:proofErr w:type="spellStart"/>
      <w:r>
        <w:t>gcleachtas</w:t>
      </w:r>
      <w:proofErr w:type="spellEnd"/>
      <w:r>
        <w:t xml:space="preserve"> a </w:t>
      </w:r>
      <w:proofErr w:type="spellStart"/>
      <w:r>
        <w:t>fhéadann</w:t>
      </w:r>
      <w:proofErr w:type="spellEnd"/>
      <w:r>
        <w:t xml:space="preserve"> seachadadh </w:t>
      </w:r>
      <w:proofErr w:type="spellStart"/>
      <w:r>
        <w:t>tacaíochtaí</w:t>
      </w:r>
      <w:proofErr w:type="spellEnd"/>
      <w:r>
        <w:t xml:space="preserve"> éifeachtacha do dhaoine le </w:t>
      </w:r>
      <w:proofErr w:type="spellStart"/>
      <w:r>
        <w:t>míchumais</w:t>
      </w:r>
      <w:proofErr w:type="spellEnd"/>
      <w:r>
        <w:t xml:space="preserve"> - óir go mbainfidh </w:t>
      </w:r>
      <w:proofErr w:type="spellStart"/>
      <w:r>
        <w:t>forfheidhmiú</w:t>
      </w:r>
      <w:proofErr w:type="spellEnd"/>
      <w:r>
        <w:t xml:space="preserve"> na </w:t>
      </w:r>
      <w:proofErr w:type="spellStart"/>
      <w:r>
        <w:t>dtreonna</w:t>
      </w:r>
      <w:proofErr w:type="spellEnd"/>
      <w:r>
        <w:t xml:space="preserve"> beartais nua de réir mar a </w:t>
      </w:r>
      <w:proofErr w:type="spellStart"/>
      <w:r>
        <w:t>ghlactar</w:t>
      </w:r>
      <w:proofErr w:type="spellEnd"/>
      <w:r>
        <w:t xml:space="preserve"> leo leis </w:t>
      </w:r>
      <w:proofErr w:type="gramStart"/>
      <w:r>
        <w:t>an</w:t>
      </w:r>
      <w:proofErr w:type="gramEnd"/>
      <w:r>
        <w:t xml:space="preserve"> gcéad chéim eile - lena n-áirítear taighde i limistéar na </w:t>
      </w:r>
      <w:proofErr w:type="spellStart"/>
      <w:r>
        <w:t>mbuiséad</w:t>
      </w:r>
      <w:proofErr w:type="spellEnd"/>
      <w:r>
        <w:t xml:space="preserve"> </w:t>
      </w:r>
      <w:proofErr w:type="spellStart"/>
      <w:r>
        <w:t>aonraithe</w:t>
      </w:r>
      <w:proofErr w:type="spellEnd"/>
      <w:r>
        <w:t xml:space="preserve"> agus na </w:t>
      </w:r>
      <w:proofErr w:type="spellStart"/>
      <w:r>
        <w:t>dtacaíochtaí</w:t>
      </w:r>
      <w:proofErr w:type="spellEnd"/>
      <w:r>
        <w:t xml:space="preserve"> nádúrtha ón bpobal.  </w:t>
      </w:r>
    </w:p>
    <w:p w14:paraId="3D32C213" w14:textId="77777777" w:rsidR="006C148C" w:rsidRDefault="006C148C">
      <w:r>
        <w:t xml:space="preserve">Choinnigh Lárionad an Údaráis Náisiúnta </w:t>
      </w:r>
      <w:proofErr w:type="spellStart"/>
      <w:r>
        <w:t>Míchumais</w:t>
      </w:r>
      <w:proofErr w:type="spellEnd"/>
      <w:r>
        <w:t xml:space="preserve"> don Fheabhas sa </w:t>
      </w:r>
      <w:proofErr w:type="spellStart"/>
      <w:r>
        <w:t>Dearadh</w:t>
      </w:r>
      <w:proofErr w:type="spellEnd"/>
      <w:r>
        <w:t xml:space="preserve"> </w:t>
      </w:r>
      <w:proofErr w:type="spellStart"/>
      <w:r>
        <w:t>Uilíoch</w:t>
      </w:r>
      <w:proofErr w:type="spellEnd"/>
      <w:r>
        <w:t xml:space="preserve"> air i </w:t>
      </w:r>
      <w:proofErr w:type="spellStart"/>
      <w:r>
        <w:t>gceannródaíocht</w:t>
      </w:r>
      <w:proofErr w:type="spellEnd"/>
      <w:r>
        <w:t xml:space="preserve"> chur chun cinn an </w:t>
      </w:r>
      <w:proofErr w:type="spellStart"/>
      <w:r>
        <w:t>dearaidh</w:t>
      </w:r>
      <w:proofErr w:type="spellEnd"/>
      <w:r>
        <w:t xml:space="preserve"> </w:t>
      </w:r>
      <w:proofErr w:type="spellStart"/>
      <w:r>
        <w:t>uilíoch</w:t>
      </w:r>
      <w:proofErr w:type="spellEnd"/>
      <w:r>
        <w:t xml:space="preserve"> ar ábhartha don phobal i gcoitinne é. Tá an saothar sin rí-ábhartha do </w:t>
      </w:r>
      <w:proofErr w:type="spellStart"/>
      <w:r>
        <w:t>shochaí</w:t>
      </w:r>
      <w:proofErr w:type="spellEnd"/>
      <w:r>
        <w:t xml:space="preserve"> atá ag dul in aois, agus do na </w:t>
      </w:r>
      <w:proofErr w:type="spellStart"/>
      <w:r>
        <w:t>saincheisteanna</w:t>
      </w:r>
      <w:proofErr w:type="spellEnd"/>
      <w:r>
        <w:t xml:space="preserve"> a bhfuiltear á bplé sa Bhliain Eorpach 2012 don Dul in Aois Ghníomhach. </w:t>
      </w:r>
      <w:proofErr w:type="spellStart"/>
      <w:r>
        <w:t>Díreofar</w:t>
      </w:r>
      <w:proofErr w:type="spellEnd"/>
      <w:r>
        <w:t xml:space="preserve"> aird ar leith sa saothar sa bhliain 2012 ar an gcaoi inar féidir leis </w:t>
      </w:r>
      <w:proofErr w:type="gramStart"/>
      <w:r>
        <w:t>an</w:t>
      </w:r>
      <w:proofErr w:type="gramEnd"/>
      <w:r>
        <w:t xml:space="preserve"> teicneolaíocht tacú le daoine ina mbaile féin trí mheán an Chúraim </w:t>
      </w:r>
      <w:proofErr w:type="spellStart"/>
      <w:r>
        <w:t>Chianda</w:t>
      </w:r>
      <w:proofErr w:type="spellEnd"/>
      <w:r>
        <w:t xml:space="preserve"> agus na Sláinte </w:t>
      </w:r>
      <w:proofErr w:type="spellStart"/>
      <w:r>
        <w:t>Cianda</w:t>
      </w:r>
      <w:proofErr w:type="spellEnd"/>
      <w:r>
        <w:t xml:space="preserve">. </w:t>
      </w:r>
    </w:p>
    <w:p w14:paraId="5F4C258C" w14:textId="77777777" w:rsidR="006C148C" w:rsidRDefault="006C148C">
      <w:r>
        <w:t xml:space="preserve">Bhí an deis agam feidhmiú mar ionadaí an Údaráis Náisiúnta </w:t>
      </w:r>
      <w:proofErr w:type="spellStart"/>
      <w:r>
        <w:t>Míchumais</w:t>
      </w:r>
      <w:proofErr w:type="spellEnd"/>
      <w:r>
        <w:t xml:space="preserve"> ar an </w:t>
      </w:r>
      <w:proofErr w:type="spellStart"/>
      <w:r>
        <w:t>nGrúpa</w:t>
      </w:r>
      <w:proofErr w:type="spellEnd"/>
      <w:r>
        <w:t xml:space="preserve"> Stiúrtha </w:t>
      </w:r>
      <w:proofErr w:type="spellStart"/>
      <w:r>
        <w:t>d'Athbhreithniú</w:t>
      </w:r>
      <w:proofErr w:type="spellEnd"/>
      <w:r>
        <w:t xml:space="preserve"> na </w:t>
      </w:r>
      <w:proofErr w:type="spellStart"/>
      <w:r>
        <w:t>Rialála</w:t>
      </w:r>
      <w:proofErr w:type="spellEnd"/>
      <w:r>
        <w:t xml:space="preserve"> Tacsaithe agus ar an </w:t>
      </w:r>
      <w:proofErr w:type="spellStart"/>
      <w:r>
        <w:t>nGrúpa</w:t>
      </w:r>
      <w:proofErr w:type="spellEnd"/>
      <w:r>
        <w:t xml:space="preserve"> Oibre </w:t>
      </w:r>
      <w:proofErr w:type="spellStart"/>
      <w:r>
        <w:t>comhghaolmhar</w:t>
      </w:r>
      <w:proofErr w:type="spellEnd"/>
      <w:r>
        <w:t xml:space="preserve"> um </w:t>
      </w:r>
      <w:proofErr w:type="spellStart"/>
      <w:r>
        <w:t>Cheadúnú</w:t>
      </w:r>
      <w:proofErr w:type="spellEnd"/>
      <w:r>
        <w:t xml:space="preserve"> agus </w:t>
      </w:r>
      <w:proofErr w:type="spellStart"/>
      <w:r>
        <w:t>Riarachán</w:t>
      </w:r>
      <w:proofErr w:type="spellEnd"/>
      <w:r>
        <w:t xml:space="preserve">. Bhain tábhacht leis sin mar </w:t>
      </w:r>
      <w:proofErr w:type="spellStart"/>
      <w:r>
        <w:t>threorú</w:t>
      </w:r>
      <w:proofErr w:type="spellEnd"/>
      <w:r>
        <w:t xml:space="preserve"> i leith </w:t>
      </w:r>
      <w:proofErr w:type="spellStart"/>
      <w:r>
        <w:t>saincheisteanna</w:t>
      </w:r>
      <w:proofErr w:type="spellEnd"/>
      <w:r>
        <w:t xml:space="preserve"> ar ábhartha do </w:t>
      </w:r>
      <w:proofErr w:type="spellStart"/>
      <w:r>
        <w:t>chustaiméirí</w:t>
      </w:r>
      <w:proofErr w:type="spellEnd"/>
      <w:r>
        <w:t xml:space="preserve"> le </w:t>
      </w:r>
      <w:proofErr w:type="spellStart"/>
      <w:r>
        <w:t>míchumas</w:t>
      </w:r>
      <w:proofErr w:type="spellEnd"/>
      <w:r>
        <w:t xml:space="preserve"> iad, lena n-áirítear </w:t>
      </w:r>
      <w:proofErr w:type="spellStart"/>
      <w:r>
        <w:t>inrochtaineacht</w:t>
      </w:r>
      <w:proofErr w:type="spellEnd"/>
      <w:r>
        <w:t xml:space="preserve">, </w:t>
      </w:r>
      <w:proofErr w:type="spellStart"/>
      <w:r>
        <w:t>infhaighteacht</w:t>
      </w:r>
      <w:proofErr w:type="spellEnd"/>
      <w:r>
        <w:t xml:space="preserve"> agus </w:t>
      </w:r>
      <w:proofErr w:type="spellStart"/>
      <w:r>
        <w:t>inacmhainneacht</w:t>
      </w:r>
      <w:proofErr w:type="spellEnd"/>
      <w:r>
        <w:t xml:space="preserve">. Táthar ag dúil le tuarascáil an Ghrúpa Stiúrtha go luath sa bhliain 2012.  </w:t>
      </w:r>
    </w:p>
    <w:p w14:paraId="0749531D" w14:textId="77777777" w:rsidR="006C148C" w:rsidRDefault="006C148C">
      <w:proofErr w:type="spellStart"/>
      <w:r>
        <w:lastRenderedPageBreak/>
        <w:t>B'fhurasta</w:t>
      </w:r>
      <w:proofErr w:type="spellEnd"/>
      <w:r>
        <w:t xml:space="preserve"> an t-aistriú ar ais chuig an Roinn Dlí agus Cirt, agus </w:t>
      </w:r>
      <w:proofErr w:type="spellStart"/>
      <w:r>
        <w:t>Comhionannais</w:t>
      </w:r>
      <w:proofErr w:type="spellEnd"/>
      <w:r>
        <w:t xml:space="preserve"> ón Roinn Gnóthaí Pobail, </w:t>
      </w:r>
      <w:proofErr w:type="spellStart"/>
      <w:r>
        <w:t>Comhionannais</w:t>
      </w:r>
      <w:proofErr w:type="spellEnd"/>
      <w:r>
        <w:t xml:space="preserve"> agus Gaeltachta. Táimid buíoch as </w:t>
      </w:r>
      <w:proofErr w:type="gramStart"/>
      <w:r>
        <w:t>an</w:t>
      </w:r>
      <w:proofErr w:type="gramEnd"/>
      <w:r>
        <w:t xml:space="preserve"> tacaíocht uathu siúd go léir a bhí páirteach agus astu siúd a </w:t>
      </w:r>
      <w:proofErr w:type="spellStart"/>
      <w:r>
        <w:t>riarann</w:t>
      </w:r>
      <w:proofErr w:type="spellEnd"/>
      <w:r>
        <w:t xml:space="preserve"> na </w:t>
      </w:r>
      <w:proofErr w:type="spellStart"/>
      <w:r>
        <w:t>saoráidí</w:t>
      </w:r>
      <w:proofErr w:type="spellEnd"/>
      <w:r>
        <w:t xml:space="preserve"> seirbhísí </w:t>
      </w:r>
      <w:proofErr w:type="spellStart"/>
      <w:r>
        <w:t>comhroinnte</w:t>
      </w:r>
      <w:proofErr w:type="spellEnd"/>
      <w:r>
        <w:t xml:space="preserve"> san Airgeadas agus i dTeicneolaíocht na Faisnéise a </w:t>
      </w:r>
      <w:proofErr w:type="spellStart"/>
      <w:r>
        <w:t>thacaíonn</w:t>
      </w:r>
      <w:proofErr w:type="spellEnd"/>
      <w:r>
        <w:t xml:space="preserve"> le saothar an Údaráis Náisiúnta </w:t>
      </w:r>
      <w:proofErr w:type="spellStart"/>
      <w:r>
        <w:t>Míchumais</w:t>
      </w:r>
      <w:proofErr w:type="spellEnd"/>
      <w:r>
        <w:t>.</w:t>
      </w:r>
    </w:p>
    <w:p w14:paraId="23063E8D" w14:textId="77777777" w:rsidR="006C148C" w:rsidRDefault="006C148C">
      <w:r>
        <w:t xml:space="preserve">Lean an </w:t>
      </w:r>
      <w:proofErr w:type="spellStart"/>
      <w:r>
        <w:t>tÚdarás</w:t>
      </w:r>
      <w:proofErr w:type="spellEnd"/>
      <w:r>
        <w:t xml:space="preserve"> Náisiúnta </w:t>
      </w:r>
      <w:proofErr w:type="spellStart"/>
      <w:r>
        <w:t>Míchumais</w:t>
      </w:r>
      <w:proofErr w:type="spellEnd"/>
      <w:r>
        <w:t xml:space="preserve"> ar aghaidh ag saothrú chun </w:t>
      </w:r>
      <w:proofErr w:type="spellStart"/>
      <w:r>
        <w:t>éifeachtúlachtaí</w:t>
      </w:r>
      <w:proofErr w:type="spellEnd"/>
      <w:r>
        <w:t xml:space="preserve"> a ghnóthú sna </w:t>
      </w:r>
      <w:proofErr w:type="spellStart"/>
      <w:r>
        <w:t>hoibríochtaí</w:t>
      </w:r>
      <w:proofErr w:type="spellEnd"/>
      <w:r>
        <w:t xml:space="preserve">, mar a gealladh inár bplean gnímh faoi Chomhaontú na Seirbhíse Poiblí (Pháirc an </w:t>
      </w:r>
      <w:proofErr w:type="spellStart"/>
      <w:r>
        <w:t>Chrócaigh</w:t>
      </w:r>
      <w:proofErr w:type="spellEnd"/>
      <w:r>
        <w:t xml:space="preserve">), agus cé go mb'amhlaidh gur baineadh roinnt foirne dínn i rith na bliana, </w:t>
      </w:r>
      <w:proofErr w:type="spellStart"/>
      <w:r>
        <w:t>d'oibríomar</w:t>
      </w:r>
      <w:proofErr w:type="spellEnd"/>
      <w:r>
        <w:t xml:space="preserve"> chun </w:t>
      </w:r>
      <w:proofErr w:type="spellStart"/>
      <w:r>
        <w:t>fuílleach</w:t>
      </w:r>
      <w:proofErr w:type="spellEnd"/>
      <w:r>
        <w:t xml:space="preserve"> na n-acmhainní </w:t>
      </w:r>
      <w:proofErr w:type="gramStart"/>
      <w:r>
        <w:t>a</w:t>
      </w:r>
      <w:proofErr w:type="gramEnd"/>
      <w:r>
        <w:t xml:space="preserve"> </w:t>
      </w:r>
      <w:proofErr w:type="spellStart"/>
      <w:r>
        <w:t>imlonnú</w:t>
      </w:r>
      <w:proofErr w:type="spellEnd"/>
      <w:r>
        <w:t xml:space="preserve"> an oiread agus ab fhéidir. </w:t>
      </w:r>
      <w:proofErr w:type="spellStart"/>
      <w:r>
        <w:t>Sheachaid</w:t>
      </w:r>
      <w:proofErr w:type="spellEnd"/>
      <w:r>
        <w:t xml:space="preserve"> an fhoireann clár oibre </w:t>
      </w:r>
      <w:proofErr w:type="spellStart"/>
      <w:r>
        <w:t>uaillmhianach</w:t>
      </w:r>
      <w:proofErr w:type="spellEnd"/>
      <w:r>
        <w:t xml:space="preserve">, rud a léirigh </w:t>
      </w:r>
      <w:proofErr w:type="spellStart"/>
      <w:r>
        <w:t>solúbthacht</w:t>
      </w:r>
      <w:proofErr w:type="spellEnd"/>
      <w:r>
        <w:t xml:space="preserve">, </w:t>
      </w:r>
      <w:proofErr w:type="spellStart"/>
      <w:r>
        <w:t>tiomantas</w:t>
      </w:r>
      <w:proofErr w:type="spellEnd"/>
      <w:r>
        <w:t xml:space="preserve">, </w:t>
      </w:r>
      <w:proofErr w:type="spellStart"/>
      <w:r>
        <w:t>leibhéil</w:t>
      </w:r>
      <w:proofErr w:type="spellEnd"/>
      <w:r>
        <w:t xml:space="preserve"> arda </w:t>
      </w:r>
      <w:proofErr w:type="spellStart"/>
      <w:r>
        <w:t>feidhmíochta</w:t>
      </w:r>
      <w:proofErr w:type="spellEnd"/>
      <w:r>
        <w:t xml:space="preserve"> agus tionscnaimh, leis </w:t>
      </w:r>
      <w:proofErr w:type="gramStart"/>
      <w:r>
        <w:t>an</w:t>
      </w:r>
      <w:proofErr w:type="gramEnd"/>
      <w:r>
        <w:t xml:space="preserve"> sprioc i gcoitinne an beartas agus an </w:t>
      </w:r>
      <w:proofErr w:type="spellStart"/>
      <w:r>
        <w:t>cleachtas</w:t>
      </w:r>
      <w:proofErr w:type="spellEnd"/>
      <w:r>
        <w:t xml:space="preserve"> a mhúnlú ar féidir leo dul i bhfeidhm ar bheatha daoine le </w:t>
      </w:r>
      <w:proofErr w:type="spellStart"/>
      <w:r>
        <w:t>míchumas</w:t>
      </w:r>
      <w:proofErr w:type="spellEnd"/>
      <w:r>
        <w:t>. Táim buíoch díobh as sin.</w:t>
      </w:r>
    </w:p>
    <w:p w14:paraId="419A77D9" w14:textId="77777777" w:rsidR="006C148C" w:rsidRDefault="006C148C">
      <w:r>
        <w:t xml:space="preserve">Ba mhaith liom buíochas a ghabháil freisin leis an </w:t>
      </w:r>
      <w:proofErr w:type="spellStart"/>
      <w:r>
        <w:t>gCathaoirleach</w:t>
      </w:r>
      <w:proofErr w:type="spellEnd"/>
      <w:r>
        <w:t xml:space="preserve"> agus le baill an Údaráis as ucht a </w:t>
      </w:r>
      <w:proofErr w:type="spellStart"/>
      <w:r>
        <w:t>dtreorach</w:t>
      </w:r>
      <w:proofErr w:type="spellEnd"/>
      <w:r>
        <w:t xml:space="preserve"> </w:t>
      </w:r>
      <w:proofErr w:type="spellStart"/>
      <w:r>
        <w:t>straitéisí</w:t>
      </w:r>
      <w:proofErr w:type="spellEnd"/>
      <w:r>
        <w:t xml:space="preserve">, a </w:t>
      </w:r>
      <w:proofErr w:type="spellStart"/>
      <w:r>
        <w:t>bhfíse</w:t>
      </w:r>
      <w:proofErr w:type="spellEnd"/>
      <w:r>
        <w:t xml:space="preserve"> agus a </w:t>
      </w:r>
      <w:proofErr w:type="spellStart"/>
      <w:r>
        <w:t>dtacaíochta</w:t>
      </w:r>
      <w:proofErr w:type="spellEnd"/>
      <w:r>
        <w:t xml:space="preserve"> don </w:t>
      </w:r>
      <w:proofErr w:type="spellStart"/>
      <w:r>
        <w:t>fheidhmeannas</w:t>
      </w:r>
      <w:proofErr w:type="spellEnd"/>
      <w:r>
        <w:t xml:space="preserve"> chun an clár seo a </w:t>
      </w:r>
      <w:proofErr w:type="spellStart"/>
      <w:r>
        <w:t>sheachadadh</w:t>
      </w:r>
      <w:proofErr w:type="spellEnd"/>
      <w:r>
        <w:t xml:space="preserve"> i </w:t>
      </w:r>
      <w:proofErr w:type="spellStart"/>
      <w:r>
        <w:t>gcomhréir</w:t>
      </w:r>
      <w:proofErr w:type="spellEnd"/>
      <w:r>
        <w:t xml:space="preserve"> le cuspóirí </w:t>
      </w:r>
      <w:proofErr w:type="spellStart"/>
      <w:r>
        <w:t>straitéiseacha</w:t>
      </w:r>
      <w:proofErr w:type="spellEnd"/>
      <w:r>
        <w:t xml:space="preserve"> an Údaráis Náisiúnta </w:t>
      </w:r>
      <w:proofErr w:type="spellStart"/>
      <w:r>
        <w:t>Míchumais</w:t>
      </w:r>
      <w:proofErr w:type="spellEnd"/>
      <w:r>
        <w:t xml:space="preserve">. </w:t>
      </w:r>
    </w:p>
    <w:p w14:paraId="5DF48464" w14:textId="77777777" w:rsidR="006C148C" w:rsidRDefault="006C148C">
      <w:r>
        <w:t>Siobhan Barron</w:t>
      </w:r>
    </w:p>
    <w:p w14:paraId="0887D1E3" w14:textId="77777777" w:rsidR="006C148C" w:rsidRDefault="006C148C">
      <w:r>
        <w:t>Stiúrthóir</w:t>
      </w:r>
    </w:p>
    <w:p w14:paraId="5D8BB7F9" w14:textId="77777777" w:rsidR="006C148C" w:rsidRDefault="006C148C">
      <w:pPr>
        <w:pStyle w:val="Heading1"/>
        <w:pageBreakBefore/>
      </w:pPr>
      <w:bookmarkStart w:id="339" w:name="_Toc335829658"/>
      <w:bookmarkStart w:id="340" w:name="_Toc335836452"/>
      <w:bookmarkStart w:id="341" w:name="_Toc335983447"/>
      <w:bookmarkStart w:id="342" w:name="_Toc335986617"/>
      <w:r>
        <w:lastRenderedPageBreak/>
        <w:t>Achoimre den bhliain 2011</w:t>
      </w:r>
      <w:bookmarkEnd w:id="339"/>
      <w:bookmarkEnd w:id="340"/>
      <w:bookmarkEnd w:id="341"/>
      <w:bookmarkEnd w:id="342"/>
    </w:p>
    <w:p w14:paraId="541DA25F" w14:textId="77777777" w:rsidR="006C148C" w:rsidRDefault="006C148C">
      <w:r>
        <w:t xml:space="preserve">Choinnigh an </w:t>
      </w:r>
      <w:proofErr w:type="spellStart"/>
      <w:r>
        <w:t>tÚdarás</w:t>
      </w:r>
      <w:proofErr w:type="spellEnd"/>
      <w:r>
        <w:t xml:space="preserve"> Náisiúnta </w:t>
      </w:r>
      <w:proofErr w:type="spellStart"/>
      <w:r>
        <w:t>Míchumais</w:t>
      </w:r>
      <w:proofErr w:type="spellEnd"/>
      <w:r>
        <w:t xml:space="preserve"> air ag comhlíonadh a </w:t>
      </w:r>
      <w:proofErr w:type="spellStart"/>
      <w:r>
        <w:t>shainchúraim</w:t>
      </w:r>
      <w:proofErr w:type="spellEnd"/>
      <w:r>
        <w:t xml:space="preserve"> trí chomhairle agus treoir a thairiscint do chur chun cinn daoine le </w:t>
      </w:r>
      <w:proofErr w:type="spellStart"/>
      <w:r>
        <w:t>míchumas</w:t>
      </w:r>
      <w:proofErr w:type="spellEnd"/>
      <w:r>
        <w:t xml:space="preserve">. Chuathas i mbun na hoibre sin le ní ba lú acmhainní </w:t>
      </w:r>
      <w:proofErr w:type="spellStart"/>
      <w:r>
        <w:t>infhaighte</w:t>
      </w:r>
      <w:proofErr w:type="spellEnd"/>
      <w:r>
        <w:t xml:space="preserve"> le hais na mblianta roimhe sin de bharr an </w:t>
      </w:r>
      <w:proofErr w:type="spellStart"/>
      <w:r>
        <w:t>chúlaithe</w:t>
      </w:r>
      <w:proofErr w:type="spellEnd"/>
      <w:r>
        <w:t xml:space="preserve"> eacnamaíochta agus an </w:t>
      </w:r>
      <w:proofErr w:type="spellStart"/>
      <w:r>
        <w:t>tionchair</w:t>
      </w:r>
      <w:proofErr w:type="spellEnd"/>
      <w:r>
        <w:t xml:space="preserve"> dhiúltaigh a d'fheidhmigh sé ar an airgeadas poiblí. </w:t>
      </w:r>
    </w:p>
    <w:p w14:paraId="0FEB0B54" w14:textId="77777777" w:rsidR="006C148C" w:rsidRDefault="006C148C">
      <w:r>
        <w:t xml:space="preserve">Ceapadh Rialtas nua sa bhliain 2011, </w:t>
      </w:r>
      <w:proofErr w:type="spellStart"/>
      <w:r>
        <w:t>ónar</w:t>
      </w:r>
      <w:proofErr w:type="spellEnd"/>
      <w:r>
        <w:t xml:space="preserve"> tháinig athrú i </w:t>
      </w:r>
      <w:proofErr w:type="spellStart"/>
      <w:r>
        <w:t>bhfeidhmeanna</w:t>
      </w:r>
      <w:proofErr w:type="spellEnd"/>
      <w:r>
        <w:t xml:space="preserve"> na Ranna Rialtais aonair.  Leagadh amach sa chlár don Rialtas </w:t>
      </w:r>
      <w:proofErr w:type="spellStart"/>
      <w:r>
        <w:t>tiomantais</w:t>
      </w:r>
      <w:proofErr w:type="spellEnd"/>
      <w:r>
        <w:t xml:space="preserve"> chun plean </w:t>
      </w:r>
      <w:proofErr w:type="spellStart"/>
      <w:r>
        <w:t>forfheidhmiúcháin</w:t>
      </w:r>
      <w:proofErr w:type="spellEnd"/>
      <w:r>
        <w:t xml:space="preserve"> a fhoilsiú don Straitéis Náisiúnta </w:t>
      </w:r>
      <w:proofErr w:type="spellStart"/>
      <w:r>
        <w:t>Míchumais</w:t>
      </w:r>
      <w:proofErr w:type="spellEnd"/>
      <w:r>
        <w:t xml:space="preserve"> agus chun aistriú chuig </w:t>
      </w:r>
      <w:proofErr w:type="spellStart"/>
      <w:r>
        <w:t>buiséid</w:t>
      </w:r>
      <w:proofErr w:type="spellEnd"/>
      <w:r>
        <w:t xml:space="preserve"> </w:t>
      </w:r>
      <w:proofErr w:type="spellStart"/>
      <w:r>
        <w:t>fhéinoiriúnaithe</w:t>
      </w:r>
      <w:proofErr w:type="spellEnd"/>
      <w:r>
        <w:t xml:space="preserve"> do dhaoine le </w:t>
      </w:r>
      <w:proofErr w:type="spellStart"/>
      <w:r>
        <w:t>míchumas</w:t>
      </w:r>
      <w:proofErr w:type="spellEnd"/>
      <w:r>
        <w:t xml:space="preserve">.  Ba ina theannta sin a bhunaigh an tAire </w:t>
      </w:r>
      <w:proofErr w:type="spellStart"/>
      <w:r>
        <w:t>Míchumais</w:t>
      </w:r>
      <w:proofErr w:type="spellEnd"/>
      <w:r>
        <w:t xml:space="preserve">, </w:t>
      </w:r>
      <w:proofErr w:type="spellStart"/>
      <w:proofErr w:type="gramStart"/>
      <w:r>
        <w:t>Comhionannais</w:t>
      </w:r>
      <w:proofErr w:type="spellEnd"/>
      <w:r>
        <w:t>,  Meabhair</w:t>
      </w:r>
      <w:proofErr w:type="gramEnd"/>
      <w:r>
        <w:t xml:space="preserve">-Shláinte agus Daoine </w:t>
      </w:r>
      <w:proofErr w:type="spellStart"/>
      <w:r>
        <w:t>Scothaosta</w:t>
      </w:r>
      <w:proofErr w:type="spellEnd"/>
      <w:r>
        <w:t xml:space="preserve"> struchtúir nua chun tacú le forbairt an Phlean </w:t>
      </w:r>
      <w:proofErr w:type="spellStart"/>
      <w:r>
        <w:t>Fhorfheidhmiúcháin</w:t>
      </w:r>
      <w:proofErr w:type="spellEnd"/>
      <w:r>
        <w:t xml:space="preserve"> agus chun tacú lena </w:t>
      </w:r>
      <w:proofErr w:type="spellStart"/>
      <w:r>
        <w:t>fhorfheidhmiú</w:t>
      </w:r>
      <w:proofErr w:type="spellEnd"/>
      <w:r>
        <w:t xml:space="preserve"> praiticiúil. Thug an </w:t>
      </w:r>
      <w:proofErr w:type="spellStart"/>
      <w:r>
        <w:t>tÚdarás</w:t>
      </w:r>
      <w:proofErr w:type="spellEnd"/>
      <w:r>
        <w:t xml:space="preserve"> Náisiúnta </w:t>
      </w:r>
      <w:proofErr w:type="spellStart"/>
      <w:r>
        <w:t>Míchumais</w:t>
      </w:r>
      <w:proofErr w:type="spellEnd"/>
      <w:r>
        <w:t xml:space="preserve"> comhairle faoin gcreatlach don Phlean agus lean sé ar aghaidh lena ról mar chomhlacht comhairleach neamhspleách laistigh de na struchtúir nua. </w:t>
      </w:r>
    </w:p>
    <w:p w14:paraId="471E4FCF" w14:textId="77777777" w:rsidR="006C148C" w:rsidRDefault="006C148C">
      <w:r>
        <w:t xml:space="preserve">Táthar tar éis roinnt </w:t>
      </w:r>
      <w:proofErr w:type="spellStart"/>
      <w:r>
        <w:t>tuarascálacha</w:t>
      </w:r>
      <w:proofErr w:type="spellEnd"/>
      <w:r>
        <w:t xml:space="preserve"> móra a fhoilsiú ar thodhchaí na seirbhísí tacaíochta </w:t>
      </w:r>
      <w:proofErr w:type="spellStart"/>
      <w:r>
        <w:t>míchumais</w:t>
      </w:r>
      <w:proofErr w:type="spellEnd"/>
      <w:r>
        <w:t xml:space="preserve"> arna </w:t>
      </w:r>
      <w:proofErr w:type="spellStart"/>
      <w:r>
        <w:t>gcistiú</w:t>
      </w:r>
      <w:proofErr w:type="spellEnd"/>
      <w:r>
        <w:t xml:space="preserve"> ag Feidhmeannas na Seirbhíse Sláinte. </w:t>
      </w:r>
      <w:proofErr w:type="spellStart"/>
      <w:r>
        <w:t>Áirítear</w:t>
      </w:r>
      <w:proofErr w:type="spellEnd"/>
      <w:r>
        <w:t xml:space="preserve"> leo sin </w:t>
      </w:r>
      <w:r>
        <w:rPr>
          <w:b/>
        </w:rPr>
        <w:t xml:space="preserve">Tuarascáil an </w:t>
      </w:r>
      <w:proofErr w:type="spellStart"/>
      <w:r>
        <w:rPr>
          <w:b/>
        </w:rPr>
        <w:t>Athbhreithnithe</w:t>
      </w:r>
      <w:proofErr w:type="spellEnd"/>
      <w:r>
        <w:rPr>
          <w:b/>
        </w:rPr>
        <w:t xml:space="preserve"> um Beartas </w:t>
      </w:r>
      <w:proofErr w:type="spellStart"/>
      <w:r>
        <w:rPr>
          <w:b/>
        </w:rPr>
        <w:t>Míchumais</w:t>
      </w:r>
      <w:proofErr w:type="spellEnd"/>
      <w:r>
        <w:t xml:space="preserve"> agus an </w:t>
      </w:r>
      <w:proofErr w:type="gramStart"/>
      <w:r>
        <w:t xml:space="preserve">tuarascáil  </w:t>
      </w:r>
      <w:r>
        <w:rPr>
          <w:b/>
        </w:rPr>
        <w:t>Time</w:t>
      </w:r>
      <w:proofErr w:type="gramEnd"/>
      <w:r>
        <w:rPr>
          <w:b/>
        </w:rPr>
        <w:t xml:space="preserve"> to Move on from Congregated Settings (In Am Bogadh ar Aghaidh ó </w:t>
      </w:r>
      <w:proofErr w:type="spellStart"/>
      <w:r>
        <w:rPr>
          <w:b/>
        </w:rPr>
        <w:t>Láithreacha</w:t>
      </w:r>
      <w:proofErr w:type="spellEnd"/>
      <w:r>
        <w:rPr>
          <w:b/>
        </w:rPr>
        <w:t xml:space="preserve"> </w:t>
      </w:r>
      <w:proofErr w:type="spellStart"/>
      <w:r>
        <w:rPr>
          <w:b/>
        </w:rPr>
        <w:t>Cuallachta</w:t>
      </w:r>
      <w:proofErr w:type="spellEnd"/>
      <w:r>
        <w:rPr>
          <w:b/>
        </w:rPr>
        <w:t>)</w:t>
      </w:r>
      <w:r>
        <w:t xml:space="preserve">, chomh maith le </w:t>
      </w:r>
      <w:proofErr w:type="spellStart"/>
      <w:r>
        <w:t>hathbhreithniú</w:t>
      </w:r>
      <w:proofErr w:type="spellEnd"/>
      <w:r>
        <w:t xml:space="preserve"> ar thodhchaí na seirbhísí </w:t>
      </w:r>
      <w:proofErr w:type="spellStart"/>
      <w:r>
        <w:t>isló</w:t>
      </w:r>
      <w:proofErr w:type="spellEnd"/>
      <w:r>
        <w:t xml:space="preserve"> </w:t>
      </w:r>
      <w:proofErr w:type="spellStart"/>
      <w:r>
        <w:t>d'aosaigh</w:t>
      </w:r>
      <w:proofErr w:type="spellEnd"/>
      <w:r>
        <w:t xml:space="preserve">. Ina theannta sin, thug an Rialtas </w:t>
      </w:r>
      <w:proofErr w:type="spellStart"/>
      <w:proofErr w:type="gramStart"/>
      <w:r>
        <w:t>tiomantas</w:t>
      </w:r>
      <w:proofErr w:type="spellEnd"/>
      <w:r>
        <w:t xml:space="preserve">  cion</w:t>
      </w:r>
      <w:proofErr w:type="gramEnd"/>
      <w:r>
        <w:t xml:space="preserve"> den </w:t>
      </w:r>
      <w:proofErr w:type="spellStart"/>
      <w:r>
        <w:t>chistiú</w:t>
      </w:r>
      <w:proofErr w:type="spellEnd"/>
      <w:r>
        <w:t xml:space="preserve"> </w:t>
      </w:r>
      <w:proofErr w:type="spellStart"/>
      <w:r>
        <w:t>míchumais</w:t>
      </w:r>
      <w:proofErr w:type="spellEnd"/>
      <w:r>
        <w:t xml:space="preserve"> a aistriú chuig </w:t>
      </w:r>
      <w:proofErr w:type="spellStart"/>
      <w:r>
        <w:t>samhail</w:t>
      </w:r>
      <w:proofErr w:type="spellEnd"/>
      <w:r>
        <w:t xml:space="preserve"> an bhuiséid </w:t>
      </w:r>
      <w:proofErr w:type="spellStart"/>
      <w:r>
        <w:t>fhéinoiriúnaithe</w:t>
      </w:r>
      <w:proofErr w:type="spellEnd"/>
      <w:r>
        <w:t xml:space="preserve">. Beidh athruithe nach beag don chaoi a n-eagraítear agus a </w:t>
      </w:r>
      <w:proofErr w:type="spellStart"/>
      <w:r>
        <w:t>gcistítear</w:t>
      </w:r>
      <w:proofErr w:type="spellEnd"/>
      <w:r>
        <w:t xml:space="preserve"> na seirbhísí </w:t>
      </w:r>
      <w:proofErr w:type="spellStart"/>
      <w:r>
        <w:t>míchumais</w:t>
      </w:r>
      <w:proofErr w:type="spellEnd"/>
      <w:r>
        <w:t xml:space="preserve"> dá </w:t>
      </w:r>
      <w:proofErr w:type="spellStart"/>
      <w:r>
        <w:t>dtoradh</w:t>
      </w:r>
      <w:proofErr w:type="spellEnd"/>
      <w:r>
        <w:t xml:space="preserve"> sin. Lean an </w:t>
      </w:r>
      <w:proofErr w:type="spellStart"/>
      <w:r>
        <w:t>an</w:t>
      </w:r>
      <w:proofErr w:type="spellEnd"/>
      <w:r>
        <w:t xml:space="preserve"> </w:t>
      </w:r>
      <w:proofErr w:type="spellStart"/>
      <w:r>
        <w:t>tÚdarás</w:t>
      </w:r>
      <w:proofErr w:type="spellEnd"/>
      <w:r>
        <w:t xml:space="preserve"> Náisiúnta </w:t>
      </w:r>
      <w:proofErr w:type="spellStart"/>
      <w:r>
        <w:t>Míchumais</w:t>
      </w:r>
      <w:proofErr w:type="spellEnd"/>
      <w:r>
        <w:t xml:space="preserve"> air ag dul i mbun taighde ábhartha agus comhairle agus eolas beartais a sholáthar chun tacú le saothar fhorbairt agus </w:t>
      </w:r>
      <w:proofErr w:type="spellStart"/>
      <w:r>
        <w:t>fhorfheidhmiú</w:t>
      </w:r>
      <w:proofErr w:type="spellEnd"/>
      <w:r>
        <w:t xml:space="preserve"> beartais, chun </w:t>
      </w:r>
      <w:proofErr w:type="spellStart"/>
      <w:r>
        <w:t>córais</w:t>
      </w:r>
      <w:proofErr w:type="spellEnd"/>
      <w:r>
        <w:t xml:space="preserve"> nua </w:t>
      </w:r>
      <w:proofErr w:type="spellStart"/>
      <w:r>
        <w:t>cistithe</w:t>
      </w:r>
      <w:proofErr w:type="spellEnd"/>
      <w:r>
        <w:t xml:space="preserve"> agus tacaíochta do dhaoine le </w:t>
      </w:r>
      <w:proofErr w:type="spellStart"/>
      <w:r>
        <w:t>míchumas</w:t>
      </w:r>
      <w:proofErr w:type="spellEnd"/>
      <w:r>
        <w:t xml:space="preserve"> a </w:t>
      </w:r>
      <w:proofErr w:type="spellStart"/>
      <w:r>
        <w:t>threorú</w:t>
      </w:r>
      <w:proofErr w:type="spellEnd"/>
      <w:r>
        <w:t xml:space="preserve">.  D'fheidhmigh an </w:t>
      </w:r>
      <w:proofErr w:type="spellStart"/>
      <w:r>
        <w:t>tÚdarás</w:t>
      </w:r>
      <w:proofErr w:type="spellEnd"/>
      <w:r>
        <w:t xml:space="preserve"> Náisiúnta </w:t>
      </w:r>
      <w:proofErr w:type="spellStart"/>
      <w:proofErr w:type="gramStart"/>
      <w:r>
        <w:t>Míchumais</w:t>
      </w:r>
      <w:proofErr w:type="spellEnd"/>
      <w:r>
        <w:t xml:space="preserve">  mar</w:t>
      </w:r>
      <w:proofErr w:type="gramEnd"/>
      <w:r>
        <w:t xml:space="preserve"> </w:t>
      </w:r>
      <w:proofErr w:type="spellStart"/>
      <w:r>
        <w:t>óstach</w:t>
      </w:r>
      <w:proofErr w:type="spellEnd"/>
      <w:r>
        <w:t xml:space="preserve"> freisin do </w:t>
      </w:r>
      <w:proofErr w:type="spellStart"/>
      <w:r>
        <w:t>chomhdhálacha</w:t>
      </w:r>
      <w:proofErr w:type="spellEnd"/>
      <w:r>
        <w:t xml:space="preserve">, </w:t>
      </w:r>
      <w:proofErr w:type="spellStart"/>
      <w:r>
        <w:t>seimineáir</w:t>
      </w:r>
      <w:proofErr w:type="spellEnd"/>
      <w:r>
        <w:t xml:space="preserve"> agus ceardlanna, ag soláthar deise do </w:t>
      </w:r>
      <w:proofErr w:type="spellStart"/>
      <w:r>
        <w:t>chleachtóirí</w:t>
      </w:r>
      <w:proofErr w:type="spellEnd"/>
      <w:r>
        <w:t xml:space="preserve"> </w:t>
      </w:r>
      <w:proofErr w:type="spellStart"/>
      <w:r>
        <w:t>agus</w:t>
      </w:r>
      <w:proofErr w:type="spellEnd"/>
      <w:r>
        <w:t xml:space="preserve"> </w:t>
      </w:r>
      <w:proofErr w:type="spellStart"/>
      <w:r>
        <w:t>lucht</w:t>
      </w:r>
      <w:proofErr w:type="spellEnd"/>
      <w:r>
        <w:t xml:space="preserve"> </w:t>
      </w:r>
      <w:proofErr w:type="spellStart"/>
      <w:r>
        <w:t>ceaptha</w:t>
      </w:r>
      <w:proofErr w:type="spellEnd"/>
      <w:r>
        <w:t xml:space="preserve"> </w:t>
      </w:r>
      <w:proofErr w:type="spellStart"/>
      <w:r>
        <w:t>beartais</w:t>
      </w:r>
      <w:proofErr w:type="spellEnd"/>
      <w:r>
        <w:t xml:space="preserve"> </w:t>
      </w:r>
      <w:proofErr w:type="spellStart"/>
      <w:r>
        <w:t>chun</w:t>
      </w:r>
      <w:proofErr w:type="spellEnd"/>
      <w:r>
        <w:t xml:space="preserve"> </w:t>
      </w:r>
      <w:proofErr w:type="spellStart"/>
      <w:r>
        <w:t>foghlaim</w:t>
      </w:r>
      <w:proofErr w:type="spellEnd"/>
      <w:r>
        <w:t xml:space="preserve"> ó </w:t>
      </w:r>
      <w:proofErr w:type="spellStart"/>
      <w:r>
        <w:t>thorthaí</w:t>
      </w:r>
      <w:proofErr w:type="spellEnd"/>
      <w:r>
        <w:t xml:space="preserve"> </w:t>
      </w:r>
      <w:proofErr w:type="spellStart"/>
      <w:r>
        <w:t>taighde</w:t>
      </w:r>
      <w:proofErr w:type="spellEnd"/>
      <w:r>
        <w:t xml:space="preserve"> </w:t>
      </w:r>
      <w:proofErr w:type="spellStart"/>
      <w:r>
        <w:t>agus</w:t>
      </w:r>
      <w:proofErr w:type="spellEnd"/>
      <w:r>
        <w:t xml:space="preserve"> </w:t>
      </w:r>
      <w:proofErr w:type="spellStart"/>
      <w:r>
        <w:t>ón</w:t>
      </w:r>
      <w:proofErr w:type="spellEnd"/>
      <w:r>
        <w:t xml:space="preserve"> </w:t>
      </w:r>
      <w:proofErr w:type="spellStart"/>
      <w:r>
        <w:t>dea-chleachtas</w:t>
      </w:r>
      <w:proofErr w:type="spellEnd"/>
      <w:r>
        <w:t xml:space="preserve"> </w:t>
      </w:r>
      <w:proofErr w:type="spellStart"/>
      <w:r>
        <w:t>i</w:t>
      </w:r>
      <w:proofErr w:type="spellEnd"/>
      <w:r>
        <w:t xml:space="preserve"> </w:t>
      </w:r>
      <w:proofErr w:type="spellStart"/>
      <w:r>
        <w:t>ndlínsí</w:t>
      </w:r>
      <w:proofErr w:type="spellEnd"/>
      <w:r>
        <w:t xml:space="preserve"> </w:t>
      </w:r>
      <w:proofErr w:type="spellStart"/>
      <w:r>
        <w:t>eile</w:t>
      </w:r>
      <w:proofErr w:type="spellEnd"/>
      <w:r>
        <w:t xml:space="preserve">. </w:t>
      </w:r>
    </w:p>
    <w:p w14:paraId="70E89E2D" w14:textId="77777777" w:rsidR="006C148C" w:rsidRDefault="006C148C">
      <w:r>
        <w:t xml:space="preserve">I </w:t>
      </w:r>
      <w:proofErr w:type="spellStart"/>
      <w:r>
        <w:t>gcomhréir</w:t>
      </w:r>
      <w:proofErr w:type="spellEnd"/>
      <w:r>
        <w:t xml:space="preserve"> leis an </w:t>
      </w:r>
      <w:proofErr w:type="spellStart"/>
      <w:r>
        <w:t>bPlean</w:t>
      </w:r>
      <w:proofErr w:type="spellEnd"/>
      <w:r>
        <w:t xml:space="preserve"> </w:t>
      </w:r>
      <w:proofErr w:type="spellStart"/>
      <w:r>
        <w:t>Straitéiseach</w:t>
      </w:r>
      <w:proofErr w:type="spellEnd"/>
      <w:r>
        <w:t xml:space="preserve"> ab amhlaidh a choinnigh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ar</w:t>
      </w:r>
      <w:proofErr w:type="spellEnd"/>
      <w:r>
        <w:t xml:space="preserve"> </w:t>
      </w:r>
      <w:proofErr w:type="spellStart"/>
      <w:r>
        <w:t>aghaidh</w:t>
      </w:r>
      <w:proofErr w:type="spellEnd"/>
      <w:r>
        <w:t xml:space="preserve"> ag </w:t>
      </w:r>
      <w:proofErr w:type="spellStart"/>
      <w:r>
        <w:t>obair</w:t>
      </w:r>
      <w:proofErr w:type="spellEnd"/>
      <w:r>
        <w:t xml:space="preserve"> </w:t>
      </w:r>
      <w:proofErr w:type="spellStart"/>
      <w:r>
        <w:t>ar</w:t>
      </w:r>
      <w:proofErr w:type="spellEnd"/>
      <w:r>
        <w:t xml:space="preserve"> </w:t>
      </w:r>
      <w:proofErr w:type="spellStart"/>
      <w:r>
        <w:t>shaincheisteanna</w:t>
      </w:r>
      <w:proofErr w:type="spellEnd"/>
      <w:r>
        <w:t xml:space="preserve"> </w:t>
      </w:r>
      <w:proofErr w:type="spellStart"/>
      <w:r>
        <w:t>míchumais</w:t>
      </w:r>
      <w:proofErr w:type="spellEnd"/>
      <w:r>
        <w:t xml:space="preserve"> </w:t>
      </w:r>
      <w:proofErr w:type="spellStart"/>
      <w:r>
        <w:t>ar</w:t>
      </w:r>
      <w:proofErr w:type="spellEnd"/>
      <w:r>
        <w:t xml:space="preserve"> fud </w:t>
      </w:r>
      <w:proofErr w:type="spellStart"/>
      <w:r>
        <w:t>na</w:t>
      </w:r>
      <w:proofErr w:type="spellEnd"/>
      <w:r>
        <w:t xml:space="preserve"> </w:t>
      </w:r>
      <w:proofErr w:type="spellStart"/>
      <w:r>
        <w:t>beatha</w:t>
      </w:r>
      <w:proofErr w:type="spellEnd"/>
      <w:r>
        <w:t xml:space="preserve">. </w:t>
      </w:r>
      <w:proofErr w:type="spellStart"/>
      <w:r>
        <w:t>Chuaigh</w:t>
      </w:r>
      <w:proofErr w:type="spellEnd"/>
      <w:r>
        <w:t xml:space="preserve">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i</w:t>
      </w:r>
      <w:proofErr w:type="spellEnd"/>
      <w:r>
        <w:t xml:space="preserve"> </w:t>
      </w:r>
      <w:proofErr w:type="spellStart"/>
      <w:r>
        <w:t>mbun</w:t>
      </w:r>
      <w:proofErr w:type="spellEnd"/>
      <w:r>
        <w:t xml:space="preserve"> </w:t>
      </w:r>
      <w:proofErr w:type="spellStart"/>
      <w:r>
        <w:t>staidéir</w:t>
      </w:r>
      <w:proofErr w:type="spellEnd"/>
      <w:r>
        <w:t xml:space="preserve"> </w:t>
      </w:r>
      <w:proofErr w:type="spellStart"/>
      <w:r>
        <w:t>i</w:t>
      </w:r>
      <w:proofErr w:type="spellEnd"/>
      <w:r>
        <w:t xml:space="preserve"> </w:t>
      </w:r>
      <w:proofErr w:type="spellStart"/>
      <w:r>
        <w:t>gcaitheamh</w:t>
      </w:r>
      <w:proofErr w:type="spellEnd"/>
      <w:r>
        <w:t xml:space="preserve"> </w:t>
      </w:r>
      <w:proofErr w:type="spellStart"/>
      <w:r>
        <w:t>na</w:t>
      </w:r>
      <w:proofErr w:type="spellEnd"/>
      <w:r>
        <w:t xml:space="preserve"> </w:t>
      </w:r>
      <w:proofErr w:type="spellStart"/>
      <w:r>
        <w:t>bliana</w:t>
      </w:r>
      <w:proofErr w:type="spellEnd"/>
      <w:r>
        <w:t xml:space="preserve"> </w:t>
      </w:r>
      <w:proofErr w:type="spellStart"/>
      <w:r>
        <w:t>ar</w:t>
      </w:r>
      <w:proofErr w:type="spellEnd"/>
      <w:r>
        <w:t xml:space="preserve"> </w:t>
      </w:r>
      <w:proofErr w:type="spellStart"/>
      <w:r>
        <w:t>bheartas</w:t>
      </w:r>
      <w:proofErr w:type="spellEnd"/>
      <w:r>
        <w:t xml:space="preserve"> </w:t>
      </w:r>
      <w:proofErr w:type="spellStart"/>
      <w:r>
        <w:t>agus</w:t>
      </w:r>
      <w:proofErr w:type="spellEnd"/>
      <w:r>
        <w:t xml:space="preserve"> </w:t>
      </w:r>
      <w:proofErr w:type="spellStart"/>
      <w:r>
        <w:t>cleachtas</w:t>
      </w:r>
      <w:proofErr w:type="spellEnd"/>
      <w:r>
        <w:t xml:space="preserve"> </w:t>
      </w:r>
      <w:proofErr w:type="spellStart"/>
      <w:r>
        <w:t>i</w:t>
      </w:r>
      <w:proofErr w:type="spellEnd"/>
      <w:r>
        <w:t xml:space="preserve"> </w:t>
      </w:r>
      <w:proofErr w:type="spellStart"/>
      <w:r>
        <w:t>ndlínsí</w:t>
      </w:r>
      <w:proofErr w:type="spellEnd"/>
      <w:r>
        <w:t xml:space="preserve"> </w:t>
      </w:r>
      <w:proofErr w:type="spellStart"/>
      <w:r>
        <w:t>eile</w:t>
      </w:r>
      <w:proofErr w:type="spellEnd"/>
      <w:r>
        <w:t xml:space="preserve"> </w:t>
      </w:r>
      <w:proofErr w:type="spellStart"/>
      <w:r>
        <w:t>i</w:t>
      </w:r>
      <w:proofErr w:type="spellEnd"/>
      <w:r>
        <w:t xml:space="preserve"> </w:t>
      </w:r>
      <w:proofErr w:type="spellStart"/>
      <w:r>
        <w:t>ndáil</w:t>
      </w:r>
      <w:proofErr w:type="spellEnd"/>
      <w:r>
        <w:t xml:space="preserve"> le </w:t>
      </w:r>
      <w:proofErr w:type="spellStart"/>
      <w:r>
        <w:t>Cúram</w:t>
      </w:r>
      <w:proofErr w:type="spellEnd"/>
      <w:r>
        <w:t xml:space="preserve"> </w:t>
      </w:r>
      <w:proofErr w:type="spellStart"/>
      <w:r>
        <w:t>agus</w:t>
      </w:r>
      <w:proofErr w:type="spellEnd"/>
      <w:r>
        <w:t xml:space="preserve"> </w:t>
      </w:r>
      <w:proofErr w:type="spellStart"/>
      <w:r>
        <w:t>Oideachas</w:t>
      </w:r>
      <w:proofErr w:type="spellEnd"/>
      <w:r>
        <w:t xml:space="preserve"> </w:t>
      </w:r>
      <w:proofErr w:type="spellStart"/>
      <w:r>
        <w:t>Leanbhaoise</w:t>
      </w:r>
      <w:proofErr w:type="spellEnd"/>
      <w:r>
        <w:t xml:space="preserve"> </w:t>
      </w:r>
      <w:proofErr w:type="spellStart"/>
      <w:r>
        <w:t>Luaithe</w:t>
      </w:r>
      <w:proofErr w:type="spellEnd"/>
      <w:r>
        <w:t xml:space="preserve">. </w:t>
      </w:r>
      <w:proofErr w:type="spellStart"/>
      <w:r>
        <w:t>Chuaigh</w:t>
      </w:r>
      <w:proofErr w:type="spellEnd"/>
      <w:r>
        <w:t xml:space="preserve">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i</w:t>
      </w:r>
      <w:proofErr w:type="spellEnd"/>
      <w:r>
        <w:t xml:space="preserve"> </w:t>
      </w:r>
      <w:proofErr w:type="spellStart"/>
      <w:r>
        <w:t>mbun</w:t>
      </w:r>
      <w:proofErr w:type="spellEnd"/>
      <w:r>
        <w:t xml:space="preserve"> </w:t>
      </w:r>
      <w:proofErr w:type="spellStart"/>
      <w:r>
        <w:t>staidéir</w:t>
      </w:r>
      <w:proofErr w:type="spellEnd"/>
      <w:r>
        <w:t xml:space="preserve"> </w:t>
      </w:r>
      <w:proofErr w:type="spellStart"/>
      <w:r>
        <w:t>freisin</w:t>
      </w:r>
      <w:proofErr w:type="spellEnd"/>
      <w:r>
        <w:t xml:space="preserve"> </w:t>
      </w:r>
      <w:proofErr w:type="spellStart"/>
      <w:r>
        <w:t>ar</w:t>
      </w:r>
      <w:proofErr w:type="spellEnd"/>
      <w:r>
        <w:t xml:space="preserve"> an </w:t>
      </w:r>
      <w:proofErr w:type="spellStart"/>
      <w:r>
        <w:t>gcaoi</w:t>
      </w:r>
      <w:proofErr w:type="spellEnd"/>
      <w:r>
        <w:t xml:space="preserve"> a </w:t>
      </w:r>
      <w:proofErr w:type="spellStart"/>
      <w:r>
        <w:t>rabhthas</w:t>
      </w:r>
      <w:proofErr w:type="spellEnd"/>
      <w:r>
        <w:t xml:space="preserve"> ag </w:t>
      </w:r>
      <w:proofErr w:type="spellStart"/>
      <w:r>
        <w:t>seachadadh</w:t>
      </w:r>
      <w:proofErr w:type="spellEnd"/>
      <w:r>
        <w:t xml:space="preserve"> </w:t>
      </w:r>
      <w:proofErr w:type="spellStart"/>
      <w:r>
        <w:t>measúnú</w:t>
      </w:r>
      <w:proofErr w:type="spellEnd"/>
      <w:r>
        <w:t xml:space="preserve"> </w:t>
      </w:r>
      <w:proofErr w:type="spellStart"/>
      <w:r>
        <w:t>reachtúil</w:t>
      </w:r>
      <w:proofErr w:type="spellEnd"/>
      <w:r>
        <w:t xml:space="preserve"> </w:t>
      </w:r>
      <w:proofErr w:type="spellStart"/>
      <w:r>
        <w:t>ar</w:t>
      </w:r>
      <w:proofErr w:type="spellEnd"/>
      <w:r>
        <w:t xml:space="preserve"> </w:t>
      </w:r>
      <w:proofErr w:type="spellStart"/>
      <w:r>
        <w:t>éileamh</w:t>
      </w:r>
      <w:proofErr w:type="spellEnd"/>
      <w:r>
        <w:t xml:space="preserve"> </w:t>
      </w:r>
      <w:proofErr w:type="spellStart"/>
      <w:r>
        <w:t>leanaí</w:t>
      </w:r>
      <w:proofErr w:type="spellEnd"/>
      <w:r>
        <w:t xml:space="preserve"> </w:t>
      </w:r>
      <w:proofErr w:type="spellStart"/>
      <w:r>
        <w:t>óga</w:t>
      </w:r>
      <w:proofErr w:type="spellEnd"/>
      <w:r>
        <w:t xml:space="preserve"> go </w:t>
      </w:r>
      <w:proofErr w:type="spellStart"/>
      <w:r>
        <w:t>praiticiúil</w:t>
      </w:r>
      <w:proofErr w:type="spellEnd"/>
      <w:r>
        <w:t xml:space="preserve"> in </w:t>
      </w:r>
      <w:proofErr w:type="spellStart"/>
      <w:r>
        <w:t>Éirinn</w:t>
      </w:r>
      <w:proofErr w:type="spellEnd"/>
      <w:r>
        <w:t xml:space="preserve">. </w:t>
      </w:r>
    </w:p>
    <w:p w14:paraId="2709065B" w14:textId="77777777" w:rsidR="006C148C" w:rsidRDefault="006C148C">
      <w:r>
        <w:lastRenderedPageBreak/>
        <w:t xml:space="preserve">Agus aitheantas á thabhairt go mbaineann </w:t>
      </w:r>
      <w:proofErr w:type="spellStart"/>
      <w:r>
        <w:t>míchumais</w:t>
      </w:r>
      <w:proofErr w:type="spellEnd"/>
      <w:r>
        <w:t xml:space="preserve"> don chuid is </w:t>
      </w:r>
      <w:proofErr w:type="spellStart"/>
      <w:r>
        <w:t>mó</w:t>
      </w:r>
      <w:proofErr w:type="spellEnd"/>
      <w:r>
        <w:t xml:space="preserve"> </w:t>
      </w:r>
      <w:proofErr w:type="spellStart"/>
      <w:r>
        <w:t>daoine</w:t>
      </w:r>
      <w:proofErr w:type="spellEnd"/>
      <w:r>
        <w:t xml:space="preserve"> le </w:t>
      </w:r>
      <w:proofErr w:type="spellStart"/>
      <w:r>
        <w:t>linn</w:t>
      </w:r>
      <w:proofErr w:type="spellEnd"/>
      <w:r>
        <w:t xml:space="preserve"> a </w:t>
      </w:r>
      <w:proofErr w:type="spellStart"/>
      <w:r>
        <w:t>mbeatha</w:t>
      </w:r>
      <w:proofErr w:type="spellEnd"/>
      <w:r>
        <w:t xml:space="preserve"> </w:t>
      </w:r>
      <w:proofErr w:type="spellStart"/>
      <w:r>
        <w:t>oibre</w:t>
      </w:r>
      <w:proofErr w:type="spellEnd"/>
      <w:r>
        <w:t xml:space="preserve">, </w:t>
      </w:r>
      <w:proofErr w:type="spellStart"/>
      <w:r>
        <w:t>d'fhoilsíomar</w:t>
      </w:r>
      <w:proofErr w:type="spellEnd"/>
      <w:r>
        <w:t xml:space="preserve"> </w:t>
      </w:r>
      <w:proofErr w:type="spellStart"/>
      <w:r>
        <w:t>treoirlínte</w:t>
      </w:r>
      <w:proofErr w:type="spellEnd"/>
      <w:r>
        <w:t xml:space="preserve"> </w:t>
      </w:r>
      <w:proofErr w:type="spellStart"/>
      <w:r>
        <w:t>freisin</w:t>
      </w:r>
      <w:proofErr w:type="spellEnd"/>
      <w:r>
        <w:t xml:space="preserve"> </w:t>
      </w:r>
      <w:proofErr w:type="spellStart"/>
      <w:r>
        <w:t>chun</w:t>
      </w:r>
      <w:proofErr w:type="spellEnd"/>
      <w:r>
        <w:t xml:space="preserve"> </w:t>
      </w:r>
      <w:proofErr w:type="spellStart"/>
      <w:r>
        <w:t>tacú</w:t>
      </w:r>
      <w:proofErr w:type="spellEnd"/>
      <w:r>
        <w:t xml:space="preserve"> le </w:t>
      </w:r>
      <w:proofErr w:type="spellStart"/>
      <w:r>
        <w:t>coinneáil</w:t>
      </w:r>
      <w:proofErr w:type="spellEnd"/>
      <w:r>
        <w:t xml:space="preserve"> </w:t>
      </w:r>
      <w:proofErr w:type="spellStart"/>
      <w:r>
        <w:t>foirne</w:t>
      </w:r>
      <w:proofErr w:type="spellEnd"/>
      <w:r>
        <w:t xml:space="preserve"> le </w:t>
      </w:r>
      <w:proofErr w:type="spellStart"/>
      <w:r>
        <w:t>míchumas</w:t>
      </w:r>
      <w:proofErr w:type="spellEnd"/>
      <w:r>
        <w:t xml:space="preserve"> </w:t>
      </w:r>
      <w:proofErr w:type="spellStart"/>
      <w:r>
        <w:t>i</w:t>
      </w:r>
      <w:proofErr w:type="spellEnd"/>
      <w:r>
        <w:t xml:space="preserve"> </w:t>
      </w:r>
      <w:proofErr w:type="spellStart"/>
      <w:r>
        <w:t>mbun</w:t>
      </w:r>
      <w:proofErr w:type="spellEnd"/>
      <w:r>
        <w:t xml:space="preserve"> </w:t>
      </w:r>
      <w:proofErr w:type="spellStart"/>
      <w:r>
        <w:t>fostaíochta</w:t>
      </w:r>
      <w:proofErr w:type="spellEnd"/>
      <w:r>
        <w:t xml:space="preserve">.  </w:t>
      </w:r>
      <w:proofErr w:type="spellStart"/>
      <w:r>
        <w:t>Rinneadh</w:t>
      </w:r>
      <w:proofErr w:type="spellEnd"/>
      <w:r>
        <w:t xml:space="preserve"> </w:t>
      </w:r>
      <w:proofErr w:type="spellStart"/>
      <w:r>
        <w:t>sraith</w:t>
      </w:r>
      <w:proofErr w:type="spellEnd"/>
      <w:r>
        <w:t xml:space="preserve"> </w:t>
      </w:r>
      <w:proofErr w:type="spellStart"/>
      <w:r>
        <w:t>ceardlann</w:t>
      </w:r>
      <w:proofErr w:type="spellEnd"/>
      <w:r>
        <w:t xml:space="preserve"> </w:t>
      </w:r>
      <w:proofErr w:type="spellStart"/>
      <w:r>
        <w:t>ar</w:t>
      </w:r>
      <w:proofErr w:type="spellEnd"/>
      <w:r>
        <w:t xml:space="preserve"> an </w:t>
      </w:r>
      <w:proofErr w:type="spellStart"/>
      <w:r>
        <w:t>bhfostaíocht</w:t>
      </w:r>
      <w:proofErr w:type="spellEnd"/>
      <w:r>
        <w:t xml:space="preserve">, ag </w:t>
      </w:r>
      <w:proofErr w:type="spellStart"/>
      <w:r>
        <w:t>féachaint</w:t>
      </w:r>
      <w:proofErr w:type="spellEnd"/>
      <w:r>
        <w:t xml:space="preserve"> </w:t>
      </w:r>
      <w:proofErr w:type="spellStart"/>
      <w:r>
        <w:t>ar</w:t>
      </w:r>
      <w:proofErr w:type="spellEnd"/>
      <w:r>
        <w:t xml:space="preserve"> </w:t>
      </w:r>
      <w:proofErr w:type="spellStart"/>
      <w:r>
        <w:t>leithligh</w:t>
      </w:r>
      <w:proofErr w:type="spellEnd"/>
      <w:r>
        <w:t xml:space="preserve"> </w:t>
      </w:r>
      <w:proofErr w:type="spellStart"/>
      <w:r>
        <w:t>ar</w:t>
      </w:r>
      <w:proofErr w:type="spellEnd"/>
      <w:r>
        <w:t xml:space="preserve"> </w:t>
      </w:r>
      <w:proofErr w:type="spellStart"/>
      <w:r>
        <w:t>chórais</w:t>
      </w:r>
      <w:proofErr w:type="spellEnd"/>
      <w:r>
        <w:t xml:space="preserve"> </w:t>
      </w:r>
      <w:proofErr w:type="spellStart"/>
      <w:r>
        <w:t>tacaíochta</w:t>
      </w:r>
      <w:proofErr w:type="spellEnd"/>
      <w:r>
        <w:t xml:space="preserve"> </w:t>
      </w:r>
      <w:proofErr w:type="spellStart"/>
      <w:r>
        <w:t>comhtháite</w:t>
      </w:r>
      <w:proofErr w:type="spellEnd"/>
      <w:r>
        <w:t xml:space="preserve"> </w:t>
      </w:r>
      <w:proofErr w:type="spellStart"/>
      <w:r>
        <w:t>chun</w:t>
      </w:r>
      <w:proofErr w:type="spellEnd"/>
      <w:r>
        <w:t xml:space="preserve"> </w:t>
      </w:r>
      <w:proofErr w:type="spellStart"/>
      <w:r>
        <w:t>fostaíocht</w:t>
      </w:r>
      <w:proofErr w:type="spellEnd"/>
      <w:r>
        <w:t xml:space="preserve"> </w:t>
      </w:r>
      <w:proofErr w:type="spellStart"/>
      <w:r>
        <w:t>na</w:t>
      </w:r>
      <w:proofErr w:type="spellEnd"/>
      <w:r>
        <w:t xml:space="preserve"> </w:t>
      </w:r>
      <w:proofErr w:type="spellStart"/>
      <w:r>
        <w:t>ndaoine</w:t>
      </w:r>
      <w:proofErr w:type="spellEnd"/>
      <w:r>
        <w:t xml:space="preserve"> le </w:t>
      </w:r>
      <w:proofErr w:type="spellStart"/>
      <w:r>
        <w:t>míchumas</w:t>
      </w:r>
      <w:proofErr w:type="spellEnd"/>
      <w:r>
        <w:t xml:space="preserve"> </w:t>
      </w:r>
      <w:proofErr w:type="spellStart"/>
      <w:r>
        <w:t>meabhrach</w:t>
      </w:r>
      <w:proofErr w:type="spellEnd"/>
      <w:r>
        <w:t xml:space="preserve">, le </w:t>
      </w:r>
      <w:proofErr w:type="spellStart"/>
      <w:r>
        <w:t>deacrachtaí</w:t>
      </w:r>
      <w:proofErr w:type="spellEnd"/>
      <w:r>
        <w:t xml:space="preserve"> </w:t>
      </w:r>
      <w:proofErr w:type="spellStart"/>
      <w:r>
        <w:t>meabhair-shláinte</w:t>
      </w:r>
      <w:proofErr w:type="spellEnd"/>
      <w:r>
        <w:t xml:space="preserve">, </w:t>
      </w:r>
      <w:proofErr w:type="spellStart"/>
      <w:r>
        <w:t>agus</w:t>
      </w:r>
      <w:proofErr w:type="spellEnd"/>
      <w:r>
        <w:t xml:space="preserve"> le </w:t>
      </w:r>
      <w:proofErr w:type="spellStart"/>
      <w:r>
        <w:t>míchumas</w:t>
      </w:r>
      <w:proofErr w:type="spellEnd"/>
      <w:r>
        <w:t xml:space="preserve"> </w:t>
      </w:r>
      <w:proofErr w:type="spellStart"/>
      <w:r>
        <w:t>colanda</w:t>
      </w:r>
      <w:proofErr w:type="spellEnd"/>
      <w:r>
        <w:t xml:space="preserve"> </w:t>
      </w:r>
      <w:proofErr w:type="spellStart"/>
      <w:r>
        <w:t>nó</w:t>
      </w:r>
      <w:proofErr w:type="spellEnd"/>
      <w:r>
        <w:t xml:space="preserve"> </w:t>
      </w:r>
      <w:proofErr w:type="spellStart"/>
      <w:r>
        <w:t>céadfach</w:t>
      </w:r>
      <w:proofErr w:type="spellEnd"/>
      <w:r>
        <w:t xml:space="preserve"> a chur </w:t>
      </w:r>
      <w:proofErr w:type="spellStart"/>
      <w:r>
        <w:t>chun</w:t>
      </w:r>
      <w:proofErr w:type="spellEnd"/>
      <w:r>
        <w:t xml:space="preserve"> </w:t>
      </w:r>
      <w:proofErr w:type="spellStart"/>
      <w:r>
        <w:t>cinn</w:t>
      </w:r>
      <w:proofErr w:type="spellEnd"/>
      <w:r>
        <w:t xml:space="preserve"> </w:t>
      </w:r>
      <w:proofErr w:type="spellStart"/>
      <w:r>
        <w:t>agus</w:t>
      </w:r>
      <w:proofErr w:type="spellEnd"/>
      <w:r>
        <w:t xml:space="preserve"> a </w:t>
      </w:r>
      <w:proofErr w:type="spellStart"/>
      <w:r>
        <w:t>bhuanú</w:t>
      </w:r>
      <w:proofErr w:type="spellEnd"/>
      <w:r>
        <w:t xml:space="preserve">.  </w:t>
      </w:r>
    </w:p>
    <w:p w14:paraId="20459B04" w14:textId="77777777" w:rsidR="006C148C" w:rsidRDefault="006C148C">
      <w:r>
        <w:t xml:space="preserve">D'fhoilsigh an </w:t>
      </w:r>
      <w:proofErr w:type="spellStart"/>
      <w:r>
        <w:t>tÚdarás</w:t>
      </w:r>
      <w:proofErr w:type="spellEnd"/>
      <w:r>
        <w:t xml:space="preserve"> Náisiúnta </w:t>
      </w:r>
      <w:proofErr w:type="spellStart"/>
      <w:r>
        <w:t>Míchumais</w:t>
      </w:r>
      <w:proofErr w:type="spellEnd"/>
      <w:r>
        <w:t xml:space="preserve"> taighde inar </w:t>
      </w:r>
      <w:proofErr w:type="spellStart"/>
      <w:r>
        <w:t>athbhreithníodh</w:t>
      </w:r>
      <w:proofErr w:type="spellEnd"/>
      <w:r>
        <w:t xml:space="preserve"> an litríocht faoi </w:t>
      </w:r>
      <w:proofErr w:type="spellStart"/>
      <w:r>
        <w:t>shamhlacha</w:t>
      </w:r>
      <w:proofErr w:type="spellEnd"/>
      <w:r>
        <w:t xml:space="preserve"> </w:t>
      </w:r>
      <w:proofErr w:type="spellStart"/>
      <w:r>
        <w:t>leithdháilte</w:t>
      </w:r>
      <w:proofErr w:type="spellEnd"/>
      <w:r>
        <w:t xml:space="preserve"> </w:t>
      </w:r>
      <w:proofErr w:type="spellStart"/>
      <w:r>
        <w:t>acmhainne</w:t>
      </w:r>
      <w:proofErr w:type="spellEnd"/>
      <w:r>
        <w:t xml:space="preserve">, ag tarraingt ar chórais </w:t>
      </w:r>
      <w:proofErr w:type="spellStart"/>
      <w:r>
        <w:t>mheasúnaithe</w:t>
      </w:r>
      <w:proofErr w:type="spellEnd"/>
      <w:r>
        <w:t xml:space="preserve"> agus </w:t>
      </w:r>
      <w:proofErr w:type="spellStart"/>
      <w:r>
        <w:t>leithdháilte</w:t>
      </w:r>
      <w:proofErr w:type="spellEnd"/>
      <w:r>
        <w:t xml:space="preserve"> </w:t>
      </w:r>
      <w:proofErr w:type="spellStart"/>
      <w:r>
        <w:t>acmhainne</w:t>
      </w:r>
      <w:proofErr w:type="spellEnd"/>
      <w:r>
        <w:t xml:space="preserve"> </w:t>
      </w:r>
      <w:proofErr w:type="spellStart"/>
      <w:r>
        <w:t>d'aosaigh</w:t>
      </w:r>
      <w:proofErr w:type="spellEnd"/>
      <w:r>
        <w:t xml:space="preserve"> i </w:t>
      </w:r>
      <w:proofErr w:type="spellStart"/>
      <w:r>
        <w:t>ndlínsí</w:t>
      </w:r>
      <w:proofErr w:type="spellEnd"/>
      <w:r>
        <w:t xml:space="preserve"> eile. Féadtar acmhainní a chur in oiriúint don éileamh na </w:t>
      </w:r>
      <w:proofErr w:type="spellStart"/>
      <w:r>
        <w:t>samhlacha</w:t>
      </w:r>
      <w:proofErr w:type="spellEnd"/>
      <w:r>
        <w:t xml:space="preserve"> sin </w:t>
      </w:r>
      <w:proofErr w:type="spellStart"/>
      <w:r>
        <w:t>ar</w:t>
      </w:r>
      <w:proofErr w:type="spellEnd"/>
      <w:r>
        <w:t xml:space="preserve"> </w:t>
      </w:r>
      <w:proofErr w:type="spellStart"/>
      <w:r>
        <w:t>bhealach</w:t>
      </w:r>
      <w:proofErr w:type="spellEnd"/>
      <w:r>
        <w:t xml:space="preserve"> </w:t>
      </w:r>
      <w:proofErr w:type="spellStart"/>
      <w:r>
        <w:t>cothrom</w:t>
      </w:r>
      <w:proofErr w:type="spellEnd"/>
      <w:r>
        <w:t xml:space="preserve"> </w:t>
      </w:r>
      <w:proofErr w:type="spellStart"/>
      <w:r>
        <w:t>agus</w:t>
      </w:r>
      <w:proofErr w:type="spellEnd"/>
      <w:r>
        <w:t xml:space="preserve"> </w:t>
      </w:r>
      <w:proofErr w:type="spellStart"/>
      <w:r>
        <w:t>atá</w:t>
      </w:r>
      <w:proofErr w:type="spellEnd"/>
      <w:r>
        <w:t xml:space="preserve"> mar </w:t>
      </w:r>
      <w:proofErr w:type="spellStart"/>
      <w:r>
        <w:t>bhunús</w:t>
      </w:r>
      <w:proofErr w:type="spellEnd"/>
      <w:r>
        <w:t xml:space="preserve"> do </w:t>
      </w:r>
      <w:proofErr w:type="spellStart"/>
      <w:r>
        <w:t>chórais</w:t>
      </w:r>
      <w:proofErr w:type="spellEnd"/>
      <w:r>
        <w:t xml:space="preserve"> </w:t>
      </w:r>
      <w:proofErr w:type="spellStart"/>
      <w:r>
        <w:t>bhuiséad</w:t>
      </w:r>
      <w:proofErr w:type="spellEnd"/>
      <w:r>
        <w:t xml:space="preserve"> </w:t>
      </w:r>
      <w:proofErr w:type="spellStart"/>
      <w:r>
        <w:t>féinoiriúnaithe</w:t>
      </w:r>
      <w:proofErr w:type="spellEnd"/>
      <w:r>
        <w:t xml:space="preserve">. </w:t>
      </w:r>
      <w:proofErr w:type="spellStart"/>
      <w:r>
        <w:t>Thosaigh</w:t>
      </w:r>
      <w:proofErr w:type="spellEnd"/>
      <w:r>
        <w:t xml:space="preserve">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triail</w:t>
      </w:r>
      <w:proofErr w:type="spellEnd"/>
      <w:r>
        <w:t xml:space="preserve"> </w:t>
      </w:r>
      <w:proofErr w:type="spellStart"/>
      <w:r>
        <w:t>allamuigh</w:t>
      </w:r>
      <w:proofErr w:type="spellEnd"/>
      <w:r>
        <w:t xml:space="preserve"> </w:t>
      </w:r>
      <w:proofErr w:type="spellStart"/>
      <w:r>
        <w:t>ar</w:t>
      </w:r>
      <w:proofErr w:type="spellEnd"/>
      <w:r>
        <w:t xml:space="preserve"> </w:t>
      </w:r>
      <w:proofErr w:type="spellStart"/>
      <w:r>
        <w:t>dhá</w:t>
      </w:r>
      <w:proofErr w:type="spellEnd"/>
      <w:r>
        <w:t xml:space="preserve"> </w:t>
      </w:r>
      <w:proofErr w:type="spellStart"/>
      <w:r>
        <w:t>cheann</w:t>
      </w:r>
      <w:proofErr w:type="spellEnd"/>
      <w:r>
        <w:t xml:space="preserve"> de </w:t>
      </w:r>
      <w:proofErr w:type="spellStart"/>
      <w:r>
        <w:t>na</w:t>
      </w:r>
      <w:proofErr w:type="spellEnd"/>
      <w:r>
        <w:t xml:space="preserve"> </w:t>
      </w:r>
      <w:proofErr w:type="spellStart"/>
      <w:r>
        <w:t>huirlisí</w:t>
      </w:r>
      <w:proofErr w:type="spellEnd"/>
      <w:r>
        <w:t xml:space="preserve"> </w:t>
      </w:r>
      <w:proofErr w:type="spellStart"/>
      <w:r>
        <w:t>measúnaithe</w:t>
      </w:r>
      <w:proofErr w:type="spellEnd"/>
      <w:r>
        <w:t xml:space="preserve"> is </w:t>
      </w:r>
      <w:proofErr w:type="spellStart"/>
      <w:r>
        <w:t>forleithne</w:t>
      </w:r>
      <w:proofErr w:type="spellEnd"/>
      <w:r>
        <w:t xml:space="preserve"> as a </w:t>
      </w:r>
      <w:proofErr w:type="spellStart"/>
      <w:r>
        <w:t>mbaintear</w:t>
      </w:r>
      <w:proofErr w:type="spellEnd"/>
      <w:r>
        <w:t xml:space="preserve"> leas </w:t>
      </w:r>
      <w:proofErr w:type="spellStart"/>
      <w:r>
        <w:t>chun</w:t>
      </w:r>
      <w:proofErr w:type="spellEnd"/>
      <w:r>
        <w:t xml:space="preserve"> </w:t>
      </w:r>
      <w:proofErr w:type="spellStart"/>
      <w:r>
        <w:t>rogha</w:t>
      </w:r>
      <w:proofErr w:type="spellEnd"/>
      <w:r>
        <w:t xml:space="preserve"> </w:t>
      </w:r>
      <w:proofErr w:type="spellStart"/>
      <w:r>
        <w:t>phraiticiúil</w:t>
      </w:r>
      <w:proofErr w:type="spellEnd"/>
      <w:r>
        <w:t xml:space="preserve"> </w:t>
      </w:r>
      <w:proofErr w:type="spellStart"/>
      <w:r>
        <w:t>na</w:t>
      </w:r>
      <w:proofErr w:type="spellEnd"/>
      <w:r>
        <w:t xml:space="preserve"> </w:t>
      </w:r>
      <w:proofErr w:type="spellStart"/>
      <w:r>
        <w:t>samhlach</w:t>
      </w:r>
      <w:proofErr w:type="spellEnd"/>
      <w:r>
        <w:t xml:space="preserve"> </w:t>
      </w:r>
      <w:proofErr w:type="spellStart"/>
      <w:r>
        <w:t>leithdháilte</w:t>
      </w:r>
      <w:proofErr w:type="spellEnd"/>
      <w:r>
        <w:t xml:space="preserve"> </w:t>
      </w:r>
      <w:proofErr w:type="spellStart"/>
      <w:r>
        <w:t>acmhainne</w:t>
      </w:r>
      <w:proofErr w:type="spellEnd"/>
      <w:r>
        <w:t xml:space="preserve"> </w:t>
      </w:r>
      <w:proofErr w:type="spellStart"/>
      <w:r>
        <w:t>d'Éirinn</w:t>
      </w:r>
      <w:proofErr w:type="spellEnd"/>
      <w:r>
        <w:t xml:space="preserve"> a </w:t>
      </w:r>
      <w:proofErr w:type="spellStart"/>
      <w:r>
        <w:t>mhúnlú</w:t>
      </w:r>
      <w:proofErr w:type="spellEnd"/>
      <w:r>
        <w:t xml:space="preserve">. </w:t>
      </w:r>
    </w:p>
    <w:p w14:paraId="2958A6A5" w14:textId="77777777" w:rsidR="006C148C" w:rsidRDefault="006C148C">
      <w:r>
        <w:t xml:space="preserve">Aithnítear gurb í an éagsúlacht </w:t>
      </w:r>
      <w:proofErr w:type="spellStart"/>
      <w:r>
        <w:t>tacaíochtaí</w:t>
      </w:r>
      <w:proofErr w:type="spellEnd"/>
      <w:r>
        <w:t xml:space="preserve"> a </w:t>
      </w:r>
      <w:proofErr w:type="spellStart"/>
      <w:r>
        <w:t>chumasaíonn</w:t>
      </w:r>
      <w:proofErr w:type="spellEnd"/>
      <w:r>
        <w:t xml:space="preserve"> rannpháirtíocht níos mó sa phobal áitiúil, lena n-áirítear an </w:t>
      </w:r>
      <w:proofErr w:type="spellStart"/>
      <w:r>
        <w:t>teaghlach</w:t>
      </w:r>
      <w:proofErr w:type="spellEnd"/>
      <w:r>
        <w:t xml:space="preserve">, </w:t>
      </w:r>
      <w:proofErr w:type="spellStart"/>
      <w:r>
        <w:t>eagrais</w:t>
      </w:r>
      <w:proofErr w:type="spellEnd"/>
      <w:r>
        <w:t xml:space="preserve"> </w:t>
      </w:r>
      <w:proofErr w:type="spellStart"/>
      <w:r>
        <w:t>phríomhshrutha</w:t>
      </w:r>
      <w:proofErr w:type="spellEnd"/>
      <w:r>
        <w:t xml:space="preserve"> </w:t>
      </w:r>
      <w:proofErr w:type="spellStart"/>
      <w:r>
        <w:t>agus</w:t>
      </w:r>
      <w:proofErr w:type="spellEnd"/>
      <w:r>
        <w:t xml:space="preserve"> </w:t>
      </w:r>
      <w:proofErr w:type="spellStart"/>
      <w:proofErr w:type="gramStart"/>
      <w:r>
        <w:t>seirbhísí</w:t>
      </w:r>
      <w:proofErr w:type="spellEnd"/>
      <w:r>
        <w:t xml:space="preserve">  </w:t>
      </w:r>
      <w:proofErr w:type="spellStart"/>
      <w:r>
        <w:t>atá</w:t>
      </w:r>
      <w:proofErr w:type="spellEnd"/>
      <w:proofErr w:type="gramEnd"/>
      <w:r>
        <w:t xml:space="preserve"> </w:t>
      </w:r>
      <w:proofErr w:type="spellStart"/>
      <w:r>
        <w:t>ar</w:t>
      </w:r>
      <w:proofErr w:type="spellEnd"/>
      <w:r>
        <w:t xml:space="preserve"> </w:t>
      </w:r>
      <w:proofErr w:type="spellStart"/>
      <w:r>
        <w:t>fáil</w:t>
      </w:r>
      <w:proofErr w:type="spellEnd"/>
      <w:r>
        <w:t xml:space="preserve"> don </w:t>
      </w:r>
      <w:proofErr w:type="spellStart"/>
      <w:r>
        <w:t>phobal</w:t>
      </w:r>
      <w:proofErr w:type="spellEnd"/>
      <w:r>
        <w:t xml:space="preserve"> </w:t>
      </w:r>
      <w:proofErr w:type="spellStart"/>
      <w:r>
        <w:t>i</w:t>
      </w:r>
      <w:proofErr w:type="spellEnd"/>
      <w:r>
        <w:t xml:space="preserve"> </w:t>
      </w:r>
      <w:proofErr w:type="spellStart"/>
      <w:r>
        <w:t>gcoitinne</w:t>
      </w:r>
      <w:proofErr w:type="spellEnd"/>
      <w:r>
        <w:t xml:space="preserve">. Ba </w:t>
      </w:r>
      <w:proofErr w:type="spellStart"/>
      <w:r>
        <w:t>chuige</w:t>
      </w:r>
      <w:proofErr w:type="spellEnd"/>
      <w:r>
        <w:t xml:space="preserve"> sin a </w:t>
      </w:r>
      <w:proofErr w:type="spellStart"/>
      <w:r>
        <w:t>chuaigh</w:t>
      </w:r>
      <w:proofErr w:type="spellEnd"/>
      <w:r>
        <w:t xml:space="preserve">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i</w:t>
      </w:r>
      <w:proofErr w:type="spellEnd"/>
      <w:r>
        <w:t xml:space="preserve"> </w:t>
      </w:r>
      <w:proofErr w:type="spellStart"/>
      <w:r>
        <w:t>mbun</w:t>
      </w:r>
      <w:proofErr w:type="spellEnd"/>
      <w:r>
        <w:t xml:space="preserve"> </w:t>
      </w:r>
      <w:proofErr w:type="spellStart"/>
      <w:r>
        <w:t>taighde</w:t>
      </w:r>
      <w:proofErr w:type="spellEnd"/>
      <w:r>
        <w:t xml:space="preserve"> </w:t>
      </w:r>
      <w:proofErr w:type="spellStart"/>
      <w:r>
        <w:t>ar</w:t>
      </w:r>
      <w:proofErr w:type="spellEnd"/>
      <w:r>
        <w:t xml:space="preserve"> </w:t>
      </w:r>
      <w:proofErr w:type="spellStart"/>
      <w:r>
        <w:t>ról</w:t>
      </w:r>
      <w:proofErr w:type="spellEnd"/>
      <w:r>
        <w:t xml:space="preserve"> </w:t>
      </w:r>
      <w:proofErr w:type="spellStart"/>
      <w:r>
        <w:t>na</w:t>
      </w:r>
      <w:proofErr w:type="spellEnd"/>
      <w:r>
        <w:t xml:space="preserve"> </w:t>
      </w:r>
      <w:proofErr w:type="spellStart"/>
      <w:r>
        <w:t>dtacaíochtaí</w:t>
      </w:r>
      <w:proofErr w:type="spellEnd"/>
      <w:r>
        <w:t xml:space="preserve"> </w:t>
      </w:r>
      <w:proofErr w:type="spellStart"/>
      <w:r>
        <w:t>pobail</w:t>
      </w:r>
      <w:proofErr w:type="spellEnd"/>
      <w:r>
        <w:t xml:space="preserve"> </w:t>
      </w:r>
      <w:proofErr w:type="spellStart"/>
      <w:r>
        <w:t>nádúrtha</w:t>
      </w:r>
      <w:proofErr w:type="spellEnd"/>
      <w:r>
        <w:t xml:space="preserve">, </w:t>
      </w:r>
      <w:proofErr w:type="spellStart"/>
      <w:r>
        <w:t>agus</w:t>
      </w:r>
      <w:proofErr w:type="spellEnd"/>
      <w:r>
        <w:t xml:space="preserve"> </w:t>
      </w:r>
      <w:proofErr w:type="spellStart"/>
      <w:r>
        <w:t>ar</w:t>
      </w:r>
      <w:proofErr w:type="spellEnd"/>
      <w:r>
        <w:t xml:space="preserve"> an </w:t>
      </w:r>
      <w:proofErr w:type="spellStart"/>
      <w:r>
        <w:t>gcaoi</w:t>
      </w:r>
      <w:proofErr w:type="spellEnd"/>
      <w:r>
        <w:t xml:space="preserve"> </w:t>
      </w:r>
      <w:proofErr w:type="spellStart"/>
      <w:r>
        <w:t>ar</w:t>
      </w:r>
      <w:proofErr w:type="spellEnd"/>
      <w:r>
        <w:t xml:space="preserve"> </w:t>
      </w:r>
      <w:proofErr w:type="spellStart"/>
      <w:r>
        <w:t>féidir</w:t>
      </w:r>
      <w:proofErr w:type="spellEnd"/>
      <w:r>
        <w:t xml:space="preserve"> </w:t>
      </w:r>
      <w:proofErr w:type="spellStart"/>
      <w:r>
        <w:t>tacú</w:t>
      </w:r>
      <w:proofErr w:type="spellEnd"/>
      <w:r>
        <w:t xml:space="preserve"> le </w:t>
      </w:r>
      <w:proofErr w:type="spellStart"/>
      <w:r>
        <w:t>daoine</w:t>
      </w:r>
      <w:proofErr w:type="spellEnd"/>
      <w:r>
        <w:t xml:space="preserve"> le </w:t>
      </w:r>
      <w:proofErr w:type="spellStart"/>
      <w:r>
        <w:t>míchumas</w:t>
      </w:r>
      <w:proofErr w:type="spellEnd"/>
      <w:r>
        <w:t xml:space="preserve"> </w:t>
      </w:r>
      <w:proofErr w:type="spellStart"/>
      <w:r>
        <w:t>dul</w:t>
      </w:r>
      <w:proofErr w:type="spellEnd"/>
      <w:r>
        <w:t xml:space="preserve"> </w:t>
      </w:r>
      <w:proofErr w:type="spellStart"/>
      <w:r>
        <w:t>i</w:t>
      </w:r>
      <w:proofErr w:type="spellEnd"/>
      <w:r>
        <w:t xml:space="preserve"> </w:t>
      </w:r>
      <w:proofErr w:type="spellStart"/>
      <w:r>
        <w:t>ngleic</w:t>
      </w:r>
      <w:proofErr w:type="spellEnd"/>
      <w:r>
        <w:t xml:space="preserve"> le </w:t>
      </w:r>
      <w:proofErr w:type="spellStart"/>
      <w:r>
        <w:t>gníomhaíochtaí</w:t>
      </w:r>
      <w:proofErr w:type="spellEnd"/>
      <w:r>
        <w:t xml:space="preserve"> pobail </w:t>
      </w:r>
      <w:proofErr w:type="spellStart"/>
      <w:r>
        <w:t>phríomhshrutha</w:t>
      </w:r>
      <w:proofErr w:type="spellEnd"/>
      <w:r>
        <w:t>.</w:t>
      </w:r>
    </w:p>
    <w:p w14:paraId="48FDD8A4" w14:textId="77777777" w:rsidR="006C148C" w:rsidRDefault="006C148C">
      <w:r>
        <w:t xml:space="preserve">Foilsíodh an </w:t>
      </w:r>
      <w:r>
        <w:rPr>
          <w:b/>
          <w:bCs/>
        </w:rPr>
        <w:t xml:space="preserve">Suirbhé Náisiúnta um Dhearcadh an Phobail i leith </w:t>
      </w:r>
      <w:proofErr w:type="spellStart"/>
      <w:r>
        <w:rPr>
          <w:b/>
          <w:bCs/>
        </w:rPr>
        <w:t>Míchumais</w:t>
      </w:r>
      <w:proofErr w:type="spellEnd"/>
      <w:r>
        <w:rPr>
          <w:b/>
          <w:bCs/>
        </w:rPr>
        <w:t xml:space="preserve"> in Éirinn</w:t>
      </w:r>
      <w:r>
        <w:t xml:space="preserve"> i dtreo deireadh na bliana. Tugadh le fios ó </w:t>
      </w:r>
      <w:proofErr w:type="spellStart"/>
      <w:r>
        <w:t>thorthaí</w:t>
      </w:r>
      <w:proofErr w:type="spellEnd"/>
      <w:r>
        <w:t xml:space="preserve"> </w:t>
      </w:r>
      <w:proofErr w:type="spellStart"/>
      <w:r>
        <w:t>ár</w:t>
      </w:r>
      <w:proofErr w:type="spellEnd"/>
      <w:r>
        <w:t xml:space="preserve"> </w:t>
      </w:r>
      <w:proofErr w:type="spellStart"/>
      <w:r>
        <w:t>staidéir</w:t>
      </w:r>
      <w:proofErr w:type="spellEnd"/>
      <w:r>
        <w:t xml:space="preserve"> go </w:t>
      </w:r>
      <w:proofErr w:type="spellStart"/>
      <w:r>
        <w:t>raibh</w:t>
      </w:r>
      <w:proofErr w:type="spellEnd"/>
      <w:r>
        <w:t xml:space="preserve"> an </w:t>
      </w:r>
      <w:proofErr w:type="spellStart"/>
      <w:r>
        <w:t>dearcadh</w:t>
      </w:r>
      <w:proofErr w:type="spellEnd"/>
      <w:r>
        <w:t xml:space="preserve"> ag </w:t>
      </w:r>
      <w:proofErr w:type="spellStart"/>
      <w:r>
        <w:t>éirí</w:t>
      </w:r>
      <w:proofErr w:type="spellEnd"/>
      <w:r>
        <w:t xml:space="preserve"> </w:t>
      </w:r>
      <w:proofErr w:type="spellStart"/>
      <w:r>
        <w:t>ní</w:t>
      </w:r>
      <w:proofErr w:type="spellEnd"/>
      <w:r>
        <w:t xml:space="preserve"> </w:t>
      </w:r>
      <w:proofErr w:type="spellStart"/>
      <w:r>
        <w:t>ba</w:t>
      </w:r>
      <w:proofErr w:type="spellEnd"/>
      <w:r>
        <w:t xml:space="preserve"> </w:t>
      </w:r>
      <w:proofErr w:type="spellStart"/>
      <w:r>
        <w:t>ghéire</w:t>
      </w:r>
      <w:proofErr w:type="spellEnd"/>
      <w:r>
        <w:t xml:space="preserve"> </w:t>
      </w:r>
      <w:proofErr w:type="spellStart"/>
      <w:r>
        <w:t>i</w:t>
      </w:r>
      <w:proofErr w:type="spellEnd"/>
      <w:r>
        <w:t xml:space="preserve"> </w:t>
      </w:r>
      <w:proofErr w:type="spellStart"/>
      <w:r>
        <w:t>leith</w:t>
      </w:r>
      <w:proofErr w:type="spellEnd"/>
      <w:r>
        <w:t xml:space="preserve"> </w:t>
      </w:r>
      <w:proofErr w:type="spellStart"/>
      <w:r>
        <w:t>gach</w:t>
      </w:r>
      <w:proofErr w:type="spellEnd"/>
      <w:r>
        <w:t xml:space="preserve"> </w:t>
      </w:r>
      <w:proofErr w:type="spellStart"/>
      <w:r>
        <w:t>cineál</w:t>
      </w:r>
      <w:proofErr w:type="spellEnd"/>
      <w:r>
        <w:t xml:space="preserve"> </w:t>
      </w:r>
      <w:proofErr w:type="spellStart"/>
      <w:r>
        <w:t>lagú</w:t>
      </w:r>
      <w:proofErr w:type="spellEnd"/>
      <w:r>
        <w:t xml:space="preserve"> </w:t>
      </w:r>
      <w:proofErr w:type="spellStart"/>
      <w:r>
        <w:t>agus</w:t>
      </w:r>
      <w:proofErr w:type="spellEnd"/>
      <w:r>
        <w:t xml:space="preserve"> </w:t>
      </w:r>
      <w:proofErr w:type="spellStart"/>
      <w:r>
        <w:t>limistéar</w:t>
      </w:r>
      <w:proofErr w:type="spellEnd"/>
      <w:r>
        <w:t xml:space="preserve"> </w:t>
      </w:r>
      <w:proofErr w:type="spellStart"/>
      <w:r>
        <w:t>gnáthshaoil</w:t>
      </w:r>
      <w:proofErr w:type="spellEnd"/>
      <w:r>
        <w:t xml:space="preserve">, le </w:t>
      </w:r>
      <w:proofErr w:type="spellStart"/>
      <w:r>
        <w:t>hais</w:t>
      </w:r>
      <w:proofErr w:type="spellEnd"/>
      <w:r>
        <w:t xml:space="preserve"> an </w:t>
      </w:r>
      <w:proofErr w:type="spellStart"/>
      <w:r>
        <w:t>tsuirbhé</w:t>
      </w:r>
      <w:proofErr w:type="spellEnd"/>
      <w:r>
        <w:t xml:space="preserve"> </w:t>
      </w:r>
      <w:proofErr w:type="spellStart"/>
      <w:r>
        <w:t>roimhe</w:t>
      </w:r>
      <w:proofErr w:type="spellEnd"/>
      <w:r>
        <w:t xml:space="preserve"> sin </w:t>
      </w:r>
      <w:proofErr w:type="spellStart"/>
      <w:r>
        <w:t>thiar</w:t>
      </w:r>
      <w:proofErr w:type="spellEnd"/>
      <w:r>
        <w:t xml:space="preserve"> </w:t>
      </w:r>
      <w:proofErr w:type="spellStart"/>
      <w:r>
        <w:t>sa</w:t>
      </w:r>
      <w:proofErr w:type="spellEnd"/>
      <w:r>
        <w:t xml:space="preserve"> </w:t>
      </w:r>
      <w:proofErr w:type="spellStart"/>
      <w:r>
        <w:t>bhliain</w:t>
      </w:r>
      <w:proofErr w:type="spellEnd"/>
      <w:r>
        <w:t xml:space="preserve"> 2006. </w:t>
      </w:r>
      <w:proofErr w:type="spellStart"/>
      <w:r>
        <w:t>Bainfidh</w:t>
      </w:r>
      <w:proofErr w:type="spellEnd"/>
      <w:r>
        <w:t xml:space="preserve"> </w:t>
      </w:r>
      <w:proofErr w:type="spellStart"/>
      <w:r>
        <w:t>ábharthacht</w:t>
      </w:r>
      <w:proofErr w:type="spellEnd"/>
      <w:r>
        <w:t xml:space="preserve"> leis </w:t>
      </w:r>
      <w:proofErr w:type="spellStart"/>
      <w:r>
        <w:t>na</w:t>
      </w:r>
      <w:proofErr w:type="spellEnd"/>
      <w:r>
        <w:t xml:space="preserve"> </w:t>
      </w:r>
      <w:proofErr w:type="spellStart"/>
      <w:r>
        <w:t>torthaí</w:t>
      </w:r>
      <w:proofErr w:type="spellEnd"/>
      <w:r>
        <w:t xml:space="preserve"> do go </w:t>
      </w:r>
      <w:proofErr w:type="spellStart"/>
      <w:r>
        <w:t>leor</w:t>
      </w:r>
      <w:proofErr w:type="spellEnd"/>
      <w:r>
        <w:t xml:space="preserve"> </w:t>
      </w:r>
      <w:proofErr w:type="spellStart"/>
      <w:r>
        <w:t>earnálacha</w:t>
      </w:r>
      <w:proofErr w:type="spellEnd"/>
      <w:r>
        <w:t xml:space="preserve"> </w:t>
      </w:r>
      <w:proofErr w:type="spellStart"/>
      <w:r>
        <w:t>agus</w:t>
      </w:r>
      <w:proofErr w:type="spellEnd"/>
      <w:r>
        <w:t xml:space="preserve"> </w:t>
      </w:r>
      <w:proofErr w:type="spellStart"/>
      <w:r>
        <w:t>dóibh</w:t>
      </w:r>
      <w:proofErr w:type="spellEnd"/>
      <w:r>
        <w:t xml:space="preserve"> </w:t>
      </w:r>
      <w:proofErr w:type="spellStart"/>
      <w:r>
        <w:t>siúd</w:t>
      </w:r>
      <w:proofErr w:type="spellEnd"/>
      <w:r>
        <w:t xml:space="preserve"> </w:t>
      </w:r>
      <w:proofErr w:type="spellStart"/>
      <w:r>
        <w:t>ar</w:t>
      </w:r>
      <w:proofErr w:type="spellEnd"/>
      <w:r>
        <w:t xml:space="preserve"> </w:t>
      </w:r>
      <w:proofErr w:type="spellStart"/>
      <w:r>
        <w:t>féidir</w:t>
      </w:r>
      <w:proofErr w:type="spellEnd"/>
      <w:r>
        <w:t xml:space="preserve"> </w:t>
      </w:r>
      <w:proofErr w:type="spellStart"/>
      <w:r>
        <w:t>leo</w:t>
      </w:r>
      <w:proofErr w:type="spellEnd"/>
      <w:r>
        <w:t xml:space="preserve"> </w:t>
      </w:r>
      <w:proofErr w:type="spellStart"/>
      <w:r>
        <w:t>tionchar</w:t>
      </w:r>
      <w:proofErr w:type="spellEnd"/>
      <w:r>
        <w:t xml:space="preserve"> a </w:t>
      </w:r>
      <w:proofErr w:type="spellStart"/>
      <w:r>
        <w:t>fheidhmiú</w:t>
      </w:r>
      <w:proofErr w:type="spellEnd"/>
      <w:r>
        <w:t xml:space="preserve"> </w:t>
      </w:r>
      <w:proofErr w:type="spellStart"/>
      <w:r>
        <w:t>ar</w:t>
      </w:r>
      <w:proofErr w:type="spellEnd"/>
      <w:r>
        <w:t xml:space="preserve"> </w:t>
      </w:r>
      <w:proofErr w:type="spellStart"/>
      <w:r>
        <w:t>athrú</w:t>
      </w:r>
      <w:proofErr w:type="spellEnd"/>
      <w:r>
        <w:t xml:space="preserve"> </w:t>
      </w:r>
      <w:proofErr w:type="spellStart"/>
      <w:r>
        <w:t>dearfach</w:t>
      </w:r>
      <w:proofErr w:type="spellEnd"/>
      <w:r>
        <w:t xml:space="preserve">, </w:t>
      </w:r>
      <w:proofErr w:type="spellStart"/>
      <w:r>
        <w:t>óir</w:t>
      </w:r>
      <w:proofErr w:type="spellEnd"/>
      <w:r>
        <w:t xml:space="preserve"> </w:t>
      </w:r>
      <w:proofErr w:type="spellStart"/>
      <w:r>
        <w:t>gurb</w:t>
      </w:r>
      <w:proofErr w:type="spellEnd"/>
      <w:r>
        <w:t xml:space="preserve"> é an </w:t>
      </w:r>
      <w:proofErr w:type="spellStart"/>
      <w:r>
        <w:t>dearcadh</w:t>
      </w:r>
      <w:proofErr w:type="spellEnd"/>
      <w:r>
        <w:t xml:space="preserve"> </w:t>
      </w:r>
      <w:proofErr w:type="spellStart"/>
      <w:r>
        <w:t>atá</w:t>
      </w:r>
      <w:proofErr w:type="spellEnd"/>
      <w:r>
        <w:t xml:space="preserve"> mar </w:t>
      </w:r>
      <w:proofErr w:type="spellStart"/>
      <w:r>
        <w:t>cheann</w:t>
      </w:r>
      <w:proofErr w:type="spellEnd"/>
      <w:r>
        <w:t xml:space="preserve"> de </w:t>
      </w:r>
      <w:proofErr w:type="spellStart"/>
      <w:r>
        <w:t>na</w:t>
      </w:r>
      <w:proofErr w:type="spellEnd"/>
      <w:r>
        <w:t xml:space="preserve"> </w:t>
      </w:r>
      <w:proofErr w:type="spellStart"/>
      <w:r>
        <w:t>príomh-chonstaicí</w:t>
      </w:r>
      <w:proofErr w:type="spellEnd"/>
      <w:r>
        <w:t xml:space="preserve"> do </w:t>
      </w:r>
      <w:proofErr w:type="spellStart"/>
      <w:r>
        <w:t>chuimsiú</w:t>
      </w:r>
      <w:proofErr w:type="spellEnd"/>
      <w:r>
        <w:t xml:space="preserve"> </w:t>
      </w:r>
      <w:proofErr w:type="spellStart"/>
      <w:r>
        <w:t>daoine</w:t>
      </w:r>
      <w:proofErr w:type="spellEnd"/>
      <w:r>
        <w:t xml:space="preserve"> le </w:t>
      </w:r>
      <w:proofErr w:type="spellStart"/>
      <w:r>
        <w:t>míchumas</w:t>
      </w:r>
      <w:proofErr w:type="spellEnd"/>
      <w:r>
        <w:t xml:space="preserve"> </w:t>
      </w:r>
      <w:proofErr w:type="spellStart"/>
      <w:r>
        <w:t>sa</w:t>
      </w:r>
      <w:proofErr w:type="spellEnd"/>
      <w:r>
        <w:t xml:space="preserve"> </w:t>
      </w:r>
      <w:proofErr w:type="spellStart"/>
      <w:r>
        <w:t>tsochaí</w:t>
      </w:r>
      <w:proofErr w:type="spellEnd"/>
      <w:r>
        <w:t xml:space="preserve"> </w:t>
      </w:r>
      <w:proofErr w:type="spellStart"/>
      <w:r>
        <w:t>i</w:t>
      </w:r>
      <w:proofErr w:type="spellEnd"/>
      <w:r>
        <w:t xml:space="preserve"> </w:t>
      </w:r>
      <w:proofErr w:type="spellStart"/>
      <w:r>
        <w:t>gcoitinne</w:t>
      </w:r>
      <w:proofErr w:type="spellEnd"/>
      <w:r>
        <w:t xml:space="preserve">. </w:t>
      </w:r>
    </w:p>
    <w:p w14:paraId="4D6CD71B" w14:textId="77777777" w:rsidR="006C148C" w:rsidRDefault="006C148C">
      <w:r>
        <w:t xml:space="preserve">Foilsíodh an </w:t>
      </w:r>
      <w:r>
        <w:rPr>
          <w:b/>
          <w:bCs/>
        </w:rPr>
        <w:t xml:space="preserve">Cód Cleachtais um </w:t>
      </w:r>
      <w:proofErr w:type="spellStart"/>
      <w:r>
        <w:rPr>
          <w:b/>
          <w:bCs/>
        </w:rPr>
        <w:t>Láithreacha</w:t>
      </w:r>
      <w:proofErr w:type="spellEnd"/>
      <w:r>
        <w:rPr>
          <w:b/>
          <w:bCs/>
        </w:rPr>
        <w:t xml:space="preserve"> </w:t>
      </w:r>
      <w:proofErr w:type="spellStart"/>
      <w:r>
        <w:rPr>
          <w:b/>
          <w:bCs/>
        </w:rPr>
        <w:t>Oidhreachta</w:t>
      </w:r>
      <w:proofErr w:type="spellEnd"/>
      <w:r>
        <w:rPr>
          <w:b/>
          <w:bCs/>
        </w:rPr>
        <w:t xml:space="preserve"> </w:t>
      </w:r>
      <w:proofErr w:type="spellStart"/>
      <w:r>
        <w:rPr>
          <w:b/>
          <w:bCs/>
        </w:rPr>
        <w:t>Inrochtana</w:t>
      </w:r>
      <w:proofErr w:type="spellEnd"/>
      <w:r>
        <w:t xml:space="preserve">, arna </w:t>
      </w:r>
      <w:proofErr w:type="spellStart"/>
      <w:r>
        <w:t>fhorbairt</w:t>
      </w:r>
      <w:proofErr w:type="spellEnd"/>
      <w:r>
        <w:t xml:space="preserve"> ag an </w:t>
      </w:r>
      <w:proofErr w:type="spellStart"/>
      <w:r>
        <w:t>Údarás</w:t>
      </w:r>
      <w:proofErr w:type="spellEnd"/>
      <w:r>
        <w:t xml:space="preserve"> </w:t>
      </w:r>
      <w:proofErr w:type="spellStart"/>
      <w:r>
        <w:t>Náisiúnta</w:t>
      </w:r>
      <w:proofErr w:type="spellEnd"/>
      <w:r>
        <w:t xml:space="preserve"> </w:t>
      </w:r>
      <w:proofErr w:type="spellStart"/>
      <w:r>
        <w:t>Míchumais</w:t>
      </w:r>
      <w:proofErr w:type="spellEnd"/>
      <w:r>
        <w:t xml:space="preserve">, ag </w:t>
      </w:r>
      <w:proofErr w:type="spellStart"/>
      <w:r>
        <w:t>soláthar</w:t>
      </w:r>
      <w:proofErr w:type="spellEnd"/>
      <w:r>
        <w:t xml:space="preserve"> </w:t>
      </w:r>
      <w:proofErr w:type="spellStart"/>
      <w:r>
        <w:t>comhairle</w:t>
      </w:r>
      <w:proofErr w:type="spellEnd"/>
      <w:r>
        <w:t xml:space="preserve"> </w:t>
      </w:r>
      <w:proofErr w:type="spellStart"/>
      <w:r>
        <w:t>praiticiúla</w:t>
      </w:r>
      <w:proofErr w:type="spellEnd"/>
      <w:r>
        <w:t xml:space="preserve"> </w:t>
      </w:r>
      <w:proofErr w:type="spellStart"/>
      <w:r>
        <w:t>faoi</w:t>
      </w:r>
      <w:proofErr w:type="spellEnd"/>
      <w:r>
        <w:t xml:space="preserve"> </w:t>
      </w:r>
      <w:proofErr w:type="spellStart"/>
      <w:r>
        <w:t>inrochtaineacht</w:t>
      </w:r>
      <w:proofErr w:type="spellEnd"/>
      <w:r>
        <w:t xml:space="preserve"> </w:t>
      </w:r>
      <w:proofErr w:type="spellStart"/>
      <w:r>
        <w:t>suímh</w:t>
      </w:r>
      <w:proofErr w:type="spellEnd"/>
      <w:r>
        <w:t xml:space="preserve"> </w:t>
      </w:r>
      <w:proofErr w:type="spellStart"/>
      <w:r>
        <w:t>oidhreachta</w:t>
      </w:r>
      <w:proofErr w:type="spellEnd"/>
      <w:r>
        <w:t xml:space="preserve"> a </w:t>
      </w:r>
      <w:proofErr w:type="spellStart"/>
      <w:r>
        <w:t>éascú</w:t>
      </w:r>
      <w:proofErr w:type="spellEnd"/>
      <w:r>
        <w:t xml:space="preserve"> </w:t>
      </w:r>
      <w:proofErr w:type="spellStart"/>
      <w:r>
        <w:t>gan</w:t>
      </w:r>
      <w:proofErr w:type="spellEnd"/>
      <w:r>
        <w:t xml:space="preserve"> </w:t>
      </w:r>
      <w:proofErr w:type="spellStart"/>
      <w:r>
        <w:t>dochar</w:t>
      </w:r>
      <w:proofErr w:type="spellEnd"/>
      <w:r>
        <w:t xml:space="preserve"> a </w:t>
      </w:r>
      <w:proofErr w:type="spellStart"/>
      <w:r>
        <w:t>dhéanamh</w:t>
      </w:r>
      <w:proofErr w:type="spellEnd"/>
      <w:r>
        <w:t xml:space="preserve"> </w:t>
      </w:r>
      <w:proofErr w:type="spellStart"/>
      <w:r>
        <w:t>dá</w:t>
      </w:r>
      <w:proofErr w:type="spellEnd"/>
      <w:r>
        <w:t xml:space="preserve"> </w:t>
      </w:r>
      <w:proofErr w:type="spellStart"/>
      <w:r>
        <w:t>luach</w:t>
      </w:r>
      <w:proofErr w:type="spellEnd"/>
      <w:r>
        <w:t xml:space="preserve"> </w:t>
      </w:r>
      <w:proofErr w:type="spellStart"/>
      <w:r>
        <w:t>oidhreachta</w:t>
      </w:r>
      <w:proofErr w:type="spellEnd"/>
      <w:r>
        <w:t xml:space="preserve">. </w:t>
      </w:r>
    </w:p>
    <w:p w14:paraId="6385043E" w14:textId="77777777" w:rsidR="006C148C" w:rsidRDefault="006C148C">
      <w:pPr>
        <w:rPr>
          <w:lang w:val="es-ES"/>
        </w:rPr>
      </w:pPr>
      <w:r>
        <w:t xml:space="preserve">Rinne an </w:t>
      </w:r>
      <w:proofErr w:type="spellStart"/>
      <w:r>
        <w:t>tÚdarás</w:t>
      </w:r>
      <w:proofErr w:type="spellEnd"/>
      <w:r>
        <w:t xml:space="preserve"> Náisiúnta </w:t>
      </w:r>
      <w:proofErr w:type="spellStart"/>
      <w:r>
        <w:t>Míchumais</w:t>
      </w:r>
      <w:proofErr w:type="spellEnd"/>
      <w:r>
        <w:t xml:space="preserve"> </w:t>
      </w:r>
      <w:proofErr w:type="spellStart"/>
      <w:r>
        <w:t>modúl</w:t>
      </w:r>
      <w:proofErr w:type="spellEnd"/>
      <w:r>
        <w:t xml:space="preserve"> oiliúna </w:t>
      </w:r>
      <w:proofErr w:type="spellStart"/>
      <w:r>
        <w:t>feasachta</w:t>
      </w:r>
      <w:proofErr w:type="spellEnd"/>
      <w:r>
        <w:t xml:space="preserve"> </w:t>
      </w:r>
      <w:proofErr w:type="spellStart"/>
      <w:r>
        <w:t>míchumais</w:t>
      </w:r>
      <w:proofErr w:type="spellEnd"/>
      <w:r>
        <w:t xml:space="preserve"> </w:t>
      </w:r>
      <w:proofErr w:type="spellStart"/>
      <w:r>
        <w:t>ríomh-Fhoghlama</w:t>
      </w:r>
      <w:proofErr w:type="spellEnd"/>
      <w:r>
        <w:t xml:space="preserve"> a </w:t>
      </w:r>
      <w:proofErr w:type="spellStart"/>
      <w:r>
        <w:t>phíolótú</w:t>
      </w:r>
      <w:proofErr w:type="spellEnd"/>
      <w:r>
        <w:t xml:space="preserve"> agus a sheoladh do gach foireann san earnáil phoiblí go </w:t>
      </w:r>
      <w:proofErr w:type="spellStart"/>
      <w:r>
        <w:t>foirmiúil</w:t>
      </w:r>
      <w:proofErr w:type="spellEnd"/>
      <w:r>
        <w:t xml:space="preserve"> </w:t>
      </w:r>
      <w:proofErr w:type="spellStart"/>
      <w:r>
        <w:t>freisin</w:t>
      </w:r>
      <w:proofErr w:type="spellEnd"/>
      <w:r>
        <w:t xml:space="preserve">. </w:t>
      </w:r>
      <w:proofErr w:type="spellStart"/>
      <w:r>
        <w:t>Tá</w:t>
      </w:r>
      <w:proofErr w:type="spellEnd"/>
      <w:r>
        <w:t xml:space="preserve"> </w:t>
      </w:r>
      <w:proofErr w:type="spellStart"/>
      <w:r>
        <w:t>sé</w:t>
      </w:r>
      <w:proofErr w:type="spellEnd"/>
      <w:r>
        <w:t xml:space="preserve"> </w:t>
      </w:r>
      <w:proofErr w:type="spellStart"/>
      <w:r>
        <w:t>seo</w:t>
      </w:r>
      <w:proofErr w:type="spellEnd"/>
      <w:r>
        <w:t xml:space="preserve"> </w:t>
      </w:r>
      <w:proofErr w:type="spellStart"/>
      <w:r>
        <w:t>ar</w:t>
      </w:r>
      <w:proofErr w:type="spellEnd"/>
      <w:r>
        <w:t xml:space="preserve"> </w:t>
      </w:r>
      <w:proofErr w:type="spellStart"/>
      <w:r>
        <w:t>fáil</w:t>
      </w:r>
      <w:proofErr w:type="spellEnd"/>
      <w:r>
        <w:t xml:space="preserve"> </w:t>
      </w:r>
      <w:proofErr w:type="spellStart"/>
      <w:r>
        <w:t>lena</w:t>
      </w:r>
      <w:proofErr w:type="spellEnd"/>
      <w:r>
        <w:t xml:space="preserve"> </w:t>
      </w:r>
      <w:proofErr w:type="spellStart"/>
      <w:r>
        <w:t>íoslódáil</w:t>
      </w:r>
      <w:proofErr w:type="spellEnd"/>
      <w:r>
        <w:t xml:space="preserve">, </w:t>
      </w:r>
      <w:proofErr w:type="spellStart"/>
      <w:r>
        <w:t>saor</w:t>
      </w:r>
      <w:proofErr w:type="spellEnd"/>
      <w:r>
        <w:t xml:space="preserve"> in </w:t>
      </w:r>
      <w:proofErr w:type="spellStart"/>
      <w:r>
        <w:t>aisce</w:t>
      </w:r>
      <w:proofErr w:type="spellEnd"/>
      <w:r>
        <w:t xml:space="preserve">, </w:t>
      </w:r>
      <w:proofErr w:type="spellStart"/>
      <w:r>
        <w:t>agus</w:t>
      </w:r>
      <w:proofErr w:type="spellEnd"/>
      <w:r>
        <w:t xml:space="preserve"> </w:t>
      </w:r>
      <w:proofErr w:type="spellStart"/>
      <w:r>
        <w:t>glacfaidh</w:t>
      </w:r>
      <w:proofErr w:type="spellEnd"/>
      <w:r>
        <w:t xml:space="preserve"> </w:t>
      </w:r>
      <w:proofErr w:type="spellStart"/>
      <w:r>
        <w:t>sé</w:t>
      </w:r>
      <w:proofErr w:type="spellEnd"/>
      <w:r>
        <w:t xml:space="preserve"> </w:t>
      </w:r>
      <w:proofErr w:type="spellStart"/>
      <w:r>
        <w:t>timpeall</w:t>
      </w:r>
      <w:proofErr w:type="spellEnd"/>
      <w:r>
        <w:t xml:space="preserve"> 90 </w:t>
      </w:r>
      <w:proofErr w:type="spellStart"/>
      <w:r>
        <w:t>nóiméad</w:t>
      </w:r>
      <w:proofErr w:type="spellEnd"/>
      <w:r>
        <w:t xml:space="preserve"> é a </w:t>
      </w:r>
      <w:proofErr w:type="spellStart"/>
      <w:r>
        <w:t>chomhlánú</w:t>
      </w:r>
      <w:proofErr w:type="spellEnd"/>
      <w:r>
        <w:t xml:space="preserve">. Is bealach </w:t>
      </w:r>
      <w:proofErr w:type="spellStart"/>
      <w:r>
        <w:t>éifeachtach</w:t>
      </w:r>
      <w:proofErr w:type="spellEnd"/>
      <w:r>
        <w:t xml:space="preserve"> ó </w:t>
      </w:r>
      <w:proofErr w:type="spellStart"/>
      <w:r>
        <w:t>thaobh</w:t>
      </w:r>
      <w:proofErr w:type="spellEnd"/>
      <w:r>
        <w:t xml:space="preserve"> </w:t>
      </w:r>
      <w:proofErr w:type="spellStart"/>
      <w:r>
        <w:t>na</w:t>
      </w:r>
      <w:proofErr w:type="spellEnd"/>
      <w:r>
        <w:t xml:space="preserve"> </w:t>
      </w:r>
      <w:proofErr w:type="spellStart"/>
      <w:r>
        <w:t>gcostas</w:t>
      </w:r>
      <w:proofErr w:type="spellEnd"/>
      <w:r>
        <w:t xml:space="preserve"> de é </w:t>
      </w:r>
      <w:proofErr w:type="spellStart"/>
      <w:r>
        <w:t>seo</w:t>
      </w:r>
      <w:proofErr w:type="spellEnd"/>
      <w:r>
        <w:t xml:space="preserve">, </w:t>
      </w:r>
      <w:proofErr w:type="spellStart"/>
      <w:r>
        <w:t>i</w:t>
      </w:r>
      <w:proofErr w:type="spellEnd"/>
      <w:r>
        <w:t xml:space="preserve"> </w:t>
      </w:r>
      <w:proofErr w:type="spellStart"/>
      <w:r>
        <w:t>gcomhréir</w:t>
      </w:r>
      <w:proofErr w:type="spellEnd"/>
      <w:r>
        <w:t xml:space="preserve"> leis </w:t>
      </w:r>
      <w:proofErr w:type="gramStart"/>
      <w:r>
        <w:t>an</w:t>
      </w:r>
      <w:proofErr w:type="gramEnd"/>
      <w:r>
        <w:t xml:space="preserve"> </w:t>
      </w:r>
      <w:proofErr w:type="spellStart"/>
      <w:r>
        <w:t>gclár</w:t>
      </w:r>
      <w:proofErr w:type="spellEnd"/>
      <w:r>
        <w:t xml:space="preserve"> </w:t>
      </w:r>
      <w:proofErr w:type="spellStart"/>
      <w:r>
        <w:t>claochlaithe</w:t>
      </w:r>
      <w:proofErr w:type="spellEnd"/>
      <w:r>
        <w:t xml:space="preserve"> </w:t>
      </w:r>
      <w:proofErr w:type="spellStart"/>
      <w:r>
        <w:t>san</w:t>
      </w:r>
      <w:proofErr w:type="spellEnd"/>
      <w:r>
        <w:t xml:space="preserve"> </w:t>
      </w:r>
      <w:proofErr w:type="spellStart"/>
      <w:r>
        <w:t>earnáil</w:t>
      </w:r>
      <w:proofErr w:type="spellEnd"/>
      <w:r>
        <w:t xml:space="preserve"> </w:t>
      </w:r>
      <w:proofErr w:type="spellStart"/>
      <w:r>
        <w:t>phoiblí</w:t>
      </w:r>
      <w:proofErr w:type="spellEnd"/>
      <w:r>
        <w:t xml:space="preserve">, </w:t>
      </w:r>
      <w:proofErr w:type="spellStart"/>
      <w:r>
        <w:t>chun</w:t>
      </w:r>
      <w:proofErr w:type="spellEnd"/>
      <w:r>
        <w:t xml:space="preserve"> an t-</w:t>
      </w:r>
      <w:proofErr w:type="spellStart"/>
      <w:r>
        <w:t>eolas</w:t>
      </w:r>
      <w:proofErr w:type="spellEnd"/>
      <w:r>
        <w:t xml:space="preserve"> </w:t>
      </w:r>
      <w:proofErr w:type="spellStart"/>
      <w:r>
        <w:t>agus</w:t>
      </w:r>
      <w:proofErr w:type="spellEnd"/>
      <w:r>
        <w:t xml:space="preserve"> </w:t>
      </w:r>
      <w:proofErr w:type="spellStart"/>
      <w:r>
        <w:t>na</w:t>
      </w:r>
      <w:proofErr w:type="spellEnd"/>
      <w:r>
        <w:t xml:space="preserve"> </w:t>
      </w:r>
      <w:proofErr w:type="spellStart"/>
      <w:r>
        <w:t>hoilteachtaí</w:t>
      </w:r>
      <w:proofErr w:type="spellEnd"/>
      <w:r>
        <w:t xml:space="preserve"> a </w:t>
      </w:r>
      <w:proofErr w:type="spellStart"/>
      <w:r>
        <w:t>sholáthar</w:t>
      </w:r>
      <w:proofErr w:type="spellEnd"/>
      <w:r>
        <w:t xml:space="preserve"> </w:t>
      </w:r>
      <w:proofErr w:type="spellStart"/>
      <w:r>
        <w:t>d'fhoireann</w:t>
      </w:r>
      <w:proofErr w:type="spellEnd"/>
      <w:r>
        <w:t xml:space="preserve"> </w:t>
      </w:r>
      <w:proofErr w:type="spellStart"/>
      <w:r>
        <w:t>na</w:t>
      </w:r>
      <w:proofErr w:type="spellEnd"/>
      <w:r>
        <w:t xml:space="preserve"> </w:t>
      </w:r>
      <w:proofErr w:type="spellStart"/>
      <w:r>
        <w:t>seirbhíse</w:t>
      </w:r>
      <w:proofErr w:type="spellEnd"/>
      <w:r>
        <w:t xml:space="preserve"> </w:t>
      </w:r>
      <w:proofErr w:type="spellStart"/>
      <w:r>
        <w:t>poiblí</w:t>
      </w:r>
      <w:proofErr w:type="spellEnd"/>
      <w:r>
        <w:t xml:space="preserve"> </w:t>
      </w:r>
      <w:proofErr w:type="spellStart"/>
      <w:r>
        <w:t>agus</w:t>
      </w:r>
      <w:proofErr w:type="spellEnd"/>
      <w:r>
        <w:t xml:space="preserve"> </w:t>
      </w:r>
      <w:proofErr w:type="spellStart"/>
      <w:r>
        <w:t>eile</w:t>
      </w:r>
      <w:proofErr w:type="spellEnd"/>
      <w:r>
        <w:t xml:space="preserve"> </w:t>
      </w:r>
      <w:proofErr w:type="spellStart"/>
      <w:r>
        <w:t>chun</w:t>
      </w:r>
      <w:proofErr w:type="spellEnd"/>
      <w:r>
        <w:t xml:space="preserve"> </w:t>
      </w:r>
      <w:proofErr w:type="spellStart"/>
      <w:r>
        <w:t>seirbhísí</w:t>
      </w:r>
      <w:proofErr w:type="spellEnd"/>
      <w:r>
        <w:t xml:space="preserve"> do </w:t>
      </w:r>
      <w:proofErr w:type="spellStart"/>
      <w:r>
        <w:t>dhaoine</w:t>
      </w:r>
      <w:proofErr w:type="spellEnd"/>
      <w:r>
        <w:t xml:space="preserve"> le </w:t>
      </w:r>
      <w:proofErr w:type="spellStart"/>
      <w:r>
        <w:t>míchumas</w:t>
      </w:r>
      <w:proofErr w:type="spellEnd"/>
      <w:r>
        <w:t xml:space="preserve"> a </w:t>
      </w:r>
      <w:proofErr w:type="spellStart"/>
      <w:r>
        <w:t>fheabhsú</w:t>
      </w:r>
      <w:proofErr w:type="spellEnd"/>
      <w:r>
        <w:t xml:space="preserve">. </w:t>
      </w:r>
      <w:r>
        <w:rPr>
          <w:lang w:val="es-ES"/>
        </w:rPr>
        <w:t>Is uirlis í a fhéadann cuidiú le dearcadh daoine a iompú.</w:t>
      </w:r>
    </w:p>
    <w:p w14:paraId="0100ABC6" w14:textId="77777777" w:rsidR="006C148C" w:rsidRPr="000230E8" w:rsidRDefault="006C148C">
      <w:pPr>
        <w:rPr>
          <w:kern w:val="1"/>
          <w:lang w:val="es-ES"/>
        </w:rPr>
      </w:pPr>
      <w:r>
        <w:rPr>
          <w:lang w:val="es-ES"/>
        </w:rPr>
        <w:lastRenderedPageBreak/>
        <w:t>Bhí baint lárnach ag Lárionad Feabhais an Údaráis Náisiúnta Míchumais sa Dearadh Uilíoch le dréachtú an chéad chaighdeán náisiúnta ar domhan don dearadh uilíoch sna seirbhísí do chustaiméirí arna soláthar ag cuideachtaí fuinnimh phoiblí. D'fhoilsigh sé treoirlínte freisin do threalamh agus seirbhísí teilifíse digití roimh an aistriú digiteach náisiúnta i mí Dheireadh Fómhair</w:t>
      </w:r>
      <w:r>
        <w:rPr>
          <w:kern w:val="1"/>
          <w:lang w:val="es-ES"/>
        </w:rPr>
        <w:t xml:space="preserve"> 2012. </w:t>
      </w:r>
      <w:r w:rsidRPr="000230E8">
        <w:rPr>
          <w:kern w:val="1"/>
          <w:lang w:val="es-ES"/>
        </w:rPr>
        <w:t>Is féidir leis an tsochaí i gcoitinne leas a bhaint as an nglacadh leanúnach de chur chuige an dearaidh uilíoch – an dearadh ceart ón tús agus coigilteas ar iarfheistiú agus réitigh shainiúla.  Tacaíodh le spreagadh na feasachta trí Dhúshlán an Dearaidh Uilíoch mar a bhfaigheann mic léinn i ndearadh tuiscint ar éilimh agus roghanna éagsúla inár sochaí trí oibriú le comhpháirtithe ag feidhmiú mar ionadaithe do limistéir na haoise, na méide, an chumais nó an mhíchumais.</w:t>
      </w:r>
    </w:p>
    <w:p w14:paraId="11CA77F7" w14:textId="77777777" w:rsidR="006C148C" w:rsidRPr="000230E8" w:rsidRDefault="00892767">
      <w:pPr>
        <w:pStyle w:val="Heading1"/>
        <w:rPr>
          <w:lang w:val="es-ES"/>
        </w:rPr>
      </w:pPr>
      <w:bookmarkStart w:id="343" w:name="_Toc335829659"/>
      <w:bookmarkStart w:id="344" w:name="_Toc335836453"/>
      <w:bookmarkStart w:id="345" w:name="_Toc335983448"/>
      <w:r>
        <w:rPr>
          <w:lang w:val="es-ES"/>
        </w:rPr>
        <w:br w:type="page"/>
      </w:r>
      <w:bookmarkStart w:id="346" w:name="_Toc335986618"/>
      <w:r w:rsidR="006C148C" w:rsidRPr="000230E8">
        <w:rPr>
          <w:lang w:val="es-ES"/>
        </w:rPr>
        <w:lastRenderedPageBreak/>
        <w:t>Tosaíocht Straitéiseach 1:  Tacaíocht agus comhairle fhianaise-bhunaithe a sholáthar do Ranna Rialtais agus Comhlachtaí Poiblí</w:t>
      </w:r>
      <w:bookmarkEnd w:id="343"/>
      <w:bookmarkEnd w:id="344"/>
      <w:bookmarkEnd w:id="345"/>
      <w:bookmarkEnd w:id="346"/>
    </w:p>
    <w:p w14:paraId="1F68F894" w14:textId="77777777" w:rsidR="006C148C" w:rsidRPr="000230E8" w:rsidRDefault="006C148C">
      <w:pPr>
        <w:pStyle w:val="ListBullet"/>
        <w:rPr>
          <w:b/>
          <w:lang w:val="es-ES"/>
        </w:rPr>
      </w:pPr>
      <w:r w:rsidRPr="000230E8">
        <w:rPr>
          <w:b/>
          <w:lang w:val="es-ES"/>
        </w:rPr>
        <w:t xml:space="preserve">Tacú le forfheidhmiú éifeachtach na Straitéise Náisiúnta Míchumais </w:t>
      </w:r>
    </w:p>
    <w:p w14:paraId="19150D70" w14:textId="77777777" w:rsidR="006C148C" w:rsidRDefault="006C148C">
      <w:pPr>
        <w:pStyle w:val="ListBullet"/>
        <w:spacing w:after="360"/>
        <w:rPr>
          <w:b/>
        </w:rPr>
      </w:pPr>
      <w:proofErr w:type="spellStart"/>
      <w:r>
        <w:rPr>
          <w:b/>
        </w:rPr>
        <w:t>monatóireacht</w:t>
      </w:r>
      <w:proofErr w:type="spellEnd"/>
      <w:r>
        <w:rPr>
          <w:b/>
        </w:rPr>
        <w:t xml:space="preserve"> </w:t>
      </w:r>
      <w:proofErr w:type="spellStart"/>
      <w:r>
        <w:rPr>
          <w:b/>
        </w:rPr>
        <w:t>ar</w:t>
      </w:r>
      <w:proofErr w:type="spellEnd"/>
      <w:r>
        <w:rPr>
          <w:b/>
        </w:rPr>
        <w:t xml:space="preserve"> </w:t>
      </w:r>
      <w:proofErr w:type="spellStart"/>
      <w:r>
        <w:rPr>
          <w:b/>
        </w:rPr>
        <w:t>thionchar</w:t>
      </w:r>
      <w:proofErr w:type="spellEnd"/>
      <w:r>
        <w:rPr>
          <w:b/>
        </w:rPr>
        <w:t xml:space="preserve"> </w:t>
      </w:r>
      <w:proofErr w:type="spellStart"/>
      <w:r>
        <w:rPr>
          <w:b/>
        </w:rPr>
        <w:t>na</w:t>
      </w:r>
      <w:proofErr w:type="spellEnd"/>
      <w:r>
        <w:rPr>
          <w:b/>
        </w:rPr>
        <w:t xml:space="preserve"> </w:t>
      </w:r>
      <w:proofErr w:type="spellStart"/>
      <w:r>
        <w:rPr>
          <w:b/>
        </w:rPr>
        <w:t>Straitéise</w:t>
      </w:r>
      <w:proofErr w:type="spellEnd"/>
      <w:r>
        <w:rPr>
          <w:b/>
        </w:rPr>
        <w:t xml:space="preserve"> </w:t>
      </w:r>
      <w:proofErr w:type="spellStart"/>
      <w:r>
        <w:rPr>
          <w:b/>
        </w:rPr>
        <w:t>Náisiúnta</w:t>
      </w:r>
      <w:proofErr w:type="spellEnd"/>
      <w:r>
        <w:rPr>
          <w:b/>
        </w:rPr>
        <w:t xml:space="preserve"> </w:t>
      </w:r>
      <w:proofErr w:type="spellStart"/>
      <w:r>
        <w:rPr>
          <w:b/>
        </w:rPr>
        <w:t>Míchumais</w:t>
      </w:r>
      <w:proofErr w:type="spellEnd"/>
    </w:p>
    <w:p w14:paraId="57B13E57" w14:textId="77777777" w:rsidR="006C148C" w:rsidRDefault="006C148C">
      <w:pPr>
        <w:pStyle w:val="Heading2"/>
      </w:pPr>
      <w:bookmarkStart w:id="347" w:name="_Toc335836454"/>
      <w:r>
        <w:t xml:space="preserve">An Straitéis Náisiúnta </w:t>
      </w:r>
      <w:proofErr w:type="spellStart"/>
      <w:r>
        <w:t>Míchumais</w:t>
      </w:r>
      <w:bookmarkEnd w:id="347"/>
      <w:proofErr w:type="spellEnd"/>
    </w:p>
    <w:p w14:paraId="45B17E16" w14:textId="77777777" w:rsidR="006C148C" w:rsidRDefault="006C148C">
      <w:proofErr w:type="spellStart"/>
      <w:r>
        <w:t>Leanadh</w:t>
      </w:r>
      <w:proofErr w:type="spellEnd"/>
      <w:r>
        <w:t xml:space="preserve"> ar aghaidh ag cur chun cinn na </w:t>
      </w:r>
      <w:proofErr w:type="spellStart"/>
      <w:r>
        <w:t>Straitéise</w:t>
      </w:r>
      <w:proofErr w:type="spellEnd"/>
      <w:r>
        <w:t xml:space="preserve"> Náisiúnta </w:t>
      </w:r>
      <w:proofErr w:type="spellStart"/>
      <w:r>
        <w:t>Míchumais</w:t>
      </w:r>
      <w:proofErr w:type="spellEnd"/>
      <w:r>
        <w:t xml:space="preserve"> mar chur chuige lán-rialtais don saothrú faoi chomhair rannpháirtíocht agus </w:t>
      </w:r>
      <w:proofErr w:type="spellStart"/>
      <w:r>
        <w:t>cuimsitheacht</w:t>
      </w:r>
      <w:proofErr w:type="spellEnd"/>
      <w:r>
        <w:t xml:space="preserve"> na ndaoine le </w:t>
      </w:r>
      <w:proofErr w:type="spellStart"/>
      <w:r>
        <w:t>míchumas</w:t>
      </w:r>
      <w:proofErr w:type="spellEnd"/>
      <w:r>
        <w:t xml:space="preserve"> a ghnóthú i sochaí na </w:t>
      </w:r>
      <w:proofErr w:type="spellStart"/>
      <w:r>
        <w:t>hÉireann</w:t>
      </w:r>
      <w:proofErr w:type="spellEnd"/>
      <w:r>
        <w:t xml:space="preserve"> </w:t>
      </w:r>
      <w:proofErr w:type="spellStart"/>
      <w:r>
        <w:t>i</w:t>
      </w:r>
      <w:proofErr w:type="spellEnd"/>
      <w:r>
        <w:t xml:space="preserve"> </w:t>
      </w:r>
      <w:proofErr w:type="spellStart"/>
      <w:r>
        <w:t>gcoitinne</w:t>
      </w:r>
      <w:proofErr w:type="spellEnd"/>
      <w:r>
        <w:t xml:space="preserve">. Thug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comhairle</w:t>
      </w:r>
      <w:proofErr w:type="spellEnd"/>
      <w:r>
        <w:t xml:space="preserve"> </w:t>
      </w:r>
      <w:proofErr w:type="spellStart"/>
      <w:r>
        <w:t>leanúnach</w:t>
      </w:r>
      <w:proofErr w:type="spellEnd"/>
      <w:r>
        <w:t xml:space="preserve"> </w:t>
      </w:r>
      <w:proofErr w:type="spellStart"/>
      <w:r>
        <w:t>faoi</w:t>
      </w:r>
      <w:proofErr w:type="spellEnd"/>
      <w:r>
        <w:t xml:space="preserve"> </w:t>
      </w:r>
      <w:proofErr w:type="spellStart"/>
      <w:r>
        <w:t>fhorfheidhmiú</w:t>
      </w:r>
      <w:proofErr w:type="spellEnd"/>
      <w:r>
        <w:t xml:space="preserve"> </w:t>
      </w:r>
      <w:proofErr w:type="spellStart"/>
      <w:r>
        <w:t>na</w:t>
      </w:r>
      <w:proofErr w:type="spellEnd"/>
      <w:r>
        <w:t xml:space="preserve"> </w:t>
      </w:r>
      <w:proofErr w:type="spellStart"/>
      <w:r>
        <w:t>Straitéise</w:t>
      </w:r>
      <w:proofErr w:type="spellEnd"/>
      <w:r>
        <w:t xml:space="preserve"> </w:t>
      </w:r>
      <w:proofErr w:type="spellStart"/>
      <w:r>
        <w:t>Náisiúnta</w:t>
      </w:r>
      <w:proofErr w:type="spellEnd"/>
      <w:r>
        <w:t xml:space="preserve"> </w:t>
      </w:r>
      <w:proofErr w:type="spellStart"/>
      <w:r>
        <w:t>Míchumais</w:t>
      </w:r>
      <w:proofErr w:type="spellEnd"/>
      <w:r>
        <w:t xml:space="preserve"> don Aire </w:t>
      </w:r>
      <w:proofErr w:type="spellStart"/>
      <w:r>
        <w:t>Stáit</w:t>
      </w:r>
      <w:proofErr w:type="spellEnd"/>
      <w:r>
        <w:t xml:space="preserve"> le </w:t>
      </w:r>
      <w:proofErr w:type="spellStart"/>
      <w:r>
        <w:t>freagracht</w:t>
      </w:r>
      <w:proofErr w:type="spellEnd"/>
      <w:r>
        <w:t xml:space="preserve"> </w:t>
      </w:r>
      <w:proofErr w:type="spellStart"/>
      <w:r>
        <w:t>ar</w:t>
      </w:r>
      <w:proofErr w:type="spellEnd"/>
      <w:r>
        <w:t xml:space="preserve"> </w:t>
      </w:r>
      <w:proofErr w:type="spellStart"/>
      <w:r>
        <w:t>leith</w:t>
      </w:r>
      <w:proofErr w:type="spellEnd"/>
      <w:r>
        <w:t xml:space="preserve"> do </w:t>
      </w:r>
      <w:proofErr w:type="spellStart"/>
      <w:r>
        <w:t>Mhíchumas</w:t>
      </w:r>
      <w:proofErr w:type="spellEnd"/>
      <w:r>
        <w:t xml:space="preserve">, </w:t>
      </w:r>
      <w:proofErr w:type="spellStart"/>
      <w:r>
        <w:t>Comhionannas</w:t>
      </w:r>
      <w:proofErr w:type="spellEnd"/>
      <w:r>
        <w:t xml:space="preserve">, </w:t>
      </w:r>
      <w:proofErr w:type="spellStart"/>
      <w:r>
        <w:t>Meabhair-Shláinte</w:t>
      </w:r>
      <w:proofErr w:type="spellEnd"/>
      <w:r>
        <w:t xml:space="preserve"> </w:t>
      </w:r>
      <w:proofErr w:type="spellStart"/>
      <w:r>
        <w:t>agus</w:t>
      </w:r>
      <w:proofErr w:type="spellEnd"/>
      <w:r>
        <w:t xml:space="preserve"> </w:t>
      </w:r>
      <w:proofErr w:type="spellStart"/>
      <w:r>
        <w:t>Daoine</w:t>
      </w:r>
      <w:proofErr w:type="spellEnd"/>
      <w:r>
        <w:t xml:space="preserve"> </w:t>
      </w:r>
      <w:proofErr w:type="spellStart"/>
      <w:r>
        <w:t>Scothaosta</w:t>
      </w:r>
      <w:proofErr w:type="spellEnd"/>
      <w:r>
        <w:t xml:space="preserve">, do </w:t>
      </w:r>
      <w:proofErr w:type="spellStart"/>
      <w:r>
        <w:t>na</w:t>
      </w:r>
      <w:proofErr w:type="spellEnd"/>
      <w:r>
        <w:t xml:space="preserve"> Ranna </w:t>
      </w:r>
      <w:proofErr w:type="spellStart"/>
      <w:r>
        <w:t>Rialtais</w:t>
      </w:r>
      <w:proofErr w:type="spellEnd"/>
      <w:r>
        <w:t xml:space="preserve"> </w:t>
      </w:r>
      <w:proofErr w:type="spellStart"/>
      <w:r>
        <w:t>ábhartha</w:t>
      </w:r>
      <w:proofErr w:type="spellEnd"/>
      <w:r>
        <w:t xml:space="preserve"> </w:t>
      </w:r>
      <w:proofErr w:type="spellStart"/>
      <w:r>
        <w:t>agus</w:t>
      </w:r>
      <w:proofErr w:type="spellEnd"/>
      <w:r>
        <w:t xml:space="preserve"> do </w:t>
      </w:r>
      <w:proofErr w:type="spellStart"/>
      <w:r>
        <w:t>na</w:t>
      </w:r>
      <w:proofErr w:type="spellEnd"/>
      <w:r>
        <w:t xml:space="preserve"> </w:t>
      </w:r>
      <w:proofErr w:type="spellStart"/>
      <w:r>
        <w:t>comhlachtaí</w:t>
      </w:r>
      <w:proofErr w:type="spellEnd"/>
      <w:r>
        <w:t xml:space="preserve"> </w:t>
      </w:r>
      <w:proofErr w:type="spellStart"/>
      <w:r>
        <w:t>poiblí</w:t>
      </w:r>
      <w:proofErr w:type="spellEnd"/>
      <w:r>
        <w:t xml:space="preserve"> </w:t>
      </w:r>
      <w:proofErr w:type="spellStart"/>
      <w:r>
        <w:t>ábhartha</w:t>
      </w:r>
      <w:proofErr w:type="spellEnd"/>
      <w:r>
        <w:t xml:space="preserve"> </w:t>
      </w:r>
      <w:proofErr w:type="spellStart"/>
      <w:r>
        <w:t>ar</w:t>
      </w:r>
      <w:proofErr w:type="spellEnd"/>
      <w:r>
        <w:t xml:space="preserve"> </w:t>
      </w:r>
      <w:proofErr w:type="spellStart"/>
      <w:r>
        <w:t>nós</w:t>
      </w:r>
      <w:proofErr w:type="spellEnd"/>
      <w:r>
        <w:t xml:space="preserve"> </w:t>
      </w:r>
      <w:proofErr w:type="spellStart"/>
      <w:r>
        <w:t>Fheidhmeannas</w:t>
      </w:r>
      <w:proofErr w:type="spellEnd"/>
      <w:r>
        <w:t xml:space="preserve"> </w:t>
      </w:r>
      <w:proofErr w:type="spellStart"/>
      <w:r>
        <w:t>na</w:t>
      </w:r>
      <w:proofErr w:type="spellEnd"/>
      <w:r>
        <w:t xml:space="preserve"> </w:t>
      </w:r>
      <w:proofErr w:type="spellStart"/>
      <w:r>
        <w:t>Seirbhíse</w:t>
      </w:r>
      <w:proofErr w:type="spellEnd"/>
      <w:r>
        <w:t xml:space="preserve"> </w:t>
      </w:r>
      <w:proofErr w:type="spellStart"/>
      <w:r>
        <w:t>Sláinte</w:t>
      </w:r>
      <w:proofErr w:type="spellEnd"/>
      <w:r>
        <w:t xml:space="preserve">, </w:t>
      </w:r>
      <w:proofErr w:type="spellStart"/>
      <w:r>
        <w:t>d'údaráis</w:t>
      </w:r>
      <w:proofErr w:type="spellEnd"/>
      <w:r>
        <w:t xml:space="preserve"> </w:t>
      </w:r>
      <w:proofErr w:type="spellStart"/>
      <w:r>
        <w:t>áitiúla</w:t>
      </w:r>
      <w:proofErr w:type="spellEnd"/>
      <w:r>
        <w:t xml:space="preserve">, </w:t>
      </w:r>
      <w:proofErr w:type="spellStart"/>
      <w:r>
        <w:t>cuideachtaí</w:t>
      </w:r>
      <w:proofErr w:type="spellEnd"/>
      <w:r>
        <w:t xml:space="preserve"> </w:t>
      </w:r>
      <w:proofErr w:type="spellStart"/>
      <w:r>
        <w:t>iompair</w:t>
      </w:r>
      <w:proofErr w:type="spellEnd"/>
      <w:r>
        <w:t xml:space="preserve"> </w:t>
      </w:r>
      <w:proofErr w:type="spellStart"/>
      <w:r>
        <w:t>stáit</w:t>
      </w:r>
      <w:proofErr w:type="spellEnd"/>
      <w:r>
        <w:t xml:space="preserve"> </w:t>
      </w:r>
      <w:proofErr w:type="spellStart"/>
      <w:r>
        <w:t>agus</w:t>
      </w:r>
      <w:proofErr w:type="spellEnd"/>
      <w:r>
        <w:t xml:space="preserve"> do </w:t>
      </w:r>
      <w:proofErr w:type="spellStart"/>
      <w:r>
        <w:t>na</w:t>
      </w:r>
      <w:proofErr w:type="spellEnd"/>
      <w:r>
        <w:t xml:space="preserve"> hearnálacha cumarsáide agus fuinnimh.</w:t>
      </w:r>
    </w:p>
    <w:p w14:paraId="453EF87E" w14:textId="77777777" w:rsidR="006C148C" w:rsidRDefault="006C148C">
      <w:r>
        <w:t>Gealladh sa Chlár don Rialtas</w:t>
      </w:r>
      <w:r>
        <w:rPr>
          <w:rStyle w:val="CarachtairFhonta"/>
        </w:rPr>
        <w:footnoteReference w:id="6"/>
      </w:r>
      <w:r>
        <w:t xml:space="preserve">: “plean </w:t>
      </w:r>
      <w:proofErr w:type="spellStart"/>
      <w:r>
        <w:t>fofheidhmiúcháin</w:t>
      </w:r>
      <w:proofErr w:type="spellEnd"/>
      <w:r>
        <w:t xml:space="preserve"> </w:t>
      </w:r>
      <w:proofErr w:type="spellStart"/>
      <w:r>
        <w:t>réalaíoch</w:t>
      </w:r>
      <w:proofErr w:type="spellEnd"/>
      <w:r>
        <w:t xml:space="preserve"> don Straitéis Náisiúnta </w:t>
      </w:r>
      <w:proofErr w:type="spellStart"/>
      <w:r>
        <w:t>Míchumais</w:t>
      </w:r>
      <w:proofErr w:type="spellEnd"/>
      <w:r>
        <w:t xml:space="preserve">” a fhoilsiú. Ceann de na hathruithe luatha sa chur chuige ab ea </w:t>
      </w:r>
      <w:proofErr w:type="spellStart"/>
      <w:r>
        <w:t>athbhunú</w:t>
      </w:r>
      <w:proofErr w:type="spellEnd"/>
      <w:r>
        <w:t xml:space="preserve"> an choiste náisiúnta do </w:t>
      </w:r>
      <w:proofErr w:type="spellStart"/>
      <w:r>
        <w:t>mhaoirsiú</w:t>
      </w:r>
      <w:proofErr w:type="spellEnd"/>
      <w:r>
        <w:t xml:space="preserve"> an tsaothair sin trí cheapadh bhaill an Ghrúpa </w:t>
      </w:r>
      <w:proofErr w:type="spellStart"/>
      <w:r>
        <w:t>Forfheidhmiúcháin</w:t>
      </w:r>
      <w:proofErr w:type="spellEnd"/>
      <w:r>
        <w:t xml:space="preserve"> do </w:t>
      </w:r>
      <w:proofErr w:type="spellStart"/>
      <w:r>
        <w:t>Gheallsealbhóirí</w:t>
      </w:r>
      <w:proofErr w:type="spellEnd"/>
      <w:r>
        <w:t xml:space="preserve"> </w:t>
      </w:r>
      <w:proofErr w:type="spellStart"/>
      <w:r>
        <w:t>na</w:t>
      </w:r>
      <w:proofErr w:type="spellEnd"/>
      <w:r>
        <w:t xml:space="preserve"> </w:t>
      </w:r>
      <w:proofErr w:type="spellStart"/>
      <w:r>
        <w:t>Straitéise</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Feidhmeannaigh</w:t>
      </w:r>
      <w:proofErr w:type="spellEnd"/>
      <w:r>
        <w:t xml:space="preserve"> </w:t>
      </w:r>
      <w:proofErr w:type="spellStart"/>
      <w:r>
        <w:t>shinsearacha</w:t>
      </w:r>
      <w:proofErr w:type="spellEnd"/>
      <w:r>
        <w:t xml:space="preserve"> </w:t>
      </w:r>
      <w:proofErr w:type="spellStart"/>
      <w:r>
        <w:t>atá</w:t>
      </w:r>
      <w:proofErr w:type="spellEnd"/>
      <w:r>
        <w:t xml:space="preserve"> sa Ghrúpa nua seo ó 10 </w:t>
      </w:r>
      <w:proofErr w:type="spellStart"/>
      <w:r>
        <w:t>Roinn</w:t>
      </w:r>
      <w:proofErr w:type="spellEnd"/>
      <w:r>
        <w:t xml:space="preserve"> </w:t>
      </w:r>
      <w:proofErr w:type="spellStart"/>
      <w:r>
        <w:t>Rialtais</w:t>
      </w:r>
      <w:proofErr w:type="spellEnd"/>
      <w:r>
        <w:t xml:space="preserve">, </w:t>
      </w:r>
      <w:proofErr w:type="spellStart"/>
      <w:r>
        <w:t>ón</w:t>
      </w:r>
      <w:proofErr w:type="spellEnd"/>
      <w:r>
        <w:t xml:space="preserve"> </w:t>
      </w:r>
      <w:proofErr w:type="spellStart"/>
      <w:r>
        <w:t>Údarás</w:t>
      </w:r>
      <w:proofErr w:type="spellEnd"/>
      <w:r>
        <w:t xml:space="preserve"> </w:t>
      </w:r>
      <w:proofErr w:type="spellStart"/>
      <w:r>
        <w:t>Náisiúnta</w:t>
      </w:r>
      <w:proofErr w:type="spellEnd"/>
      <w:r>
        <w:t xml:space="preserve"> </w:t>
      </w:r>
      <w:proofErr w:type="spellStart"/>
      <w:r>
        <w:t>Míchumais</w:t>
      </w:r>
      <w:proofErr w:type="spellEnd"/>
      <w:r>
        <w:t xml:space="preserve">, ó </w:t>
      </w:r>
      <w:proofErr w:type="spellStart"/>
      <w:r>
        <w:t>Chumann</w:t>
      </w:r>
      <w:proofErr w:type="spellEnd"/>
      <w:r>
        <w:t xml:space="preserve"> </w:t>
      </w:r>
      <w:proofErr w:type="spellStart"/>
      <w:r>
        <w:t>na</w:t>
      </w:r>
      <w:proofErr w:type="spellEnd"/>
      <w:r>
        <w:t xml:space="preserve"> </w:t>
      </w:r>
      <w:proofErr w:type="spellStart"/>
      <w:r>
        <w:t>mBainisteoirí</w:t>
      </w:r>
      <w:proofErr w:type="spellEnd"/>
      <w:r>
        <w:t xml:space="preserve"> </w:t>
      </w:r>
      <w:proofErr w:type="spellStart"/>
      <w:r>
        <w:t>Contae</w:t>
      </w:r>
      <w:proofErr w:type="spellEnd"/>
      <w:r>
        <w:t xml:space="preserve"> </w:t>
      </w:r>
      <w:proofErr w:type="spellStart"/>
      <w:r>
        <w:t>agus</w:t>
      </w:r>
      <w:proofErr w:type="spellEnd"/>
      <w:r>
        <w:t xml:space="preserve"> </w:t>
      </w:r>
      <w:proofErr w:type="spellStart"/>
      <w:r>
        <w:t>Cathrach</w:t>
      </w:r>
      <w:proofErr w:type="spellEnd"/>
      <w:r>
        <w:t xml:space="preserve"> </w:t>
      </w:r>
      <w:proofErr w:type="spellStart"/>
      <w:r>
        <w:t>agus</w:t>
      </w:r>
      <w:proofErr w:type="spellEnd"/>
      <w:r>
        <w:t xml:space="preserve"> </w:t>
      </w:r>
      <w:proofErr w:type="spellStart"/>
      <w:r>
        <w:t>áirítear</w:t>
      </w:r>
      <w:proofErr w:type="spellEnd"/>
      <w:r>
        <w:t xml:space="preserve"> leis an Grúpa </w:t>
      </w:r>
      <w:proofErr w:type="spellStart"/>
      <w:r>
        <w:t>Geallsealbhóirí</w:t>
      </w:r>
      <w:proofErr w:type="spellEnd"/>
      <w:r>
        <w:t xml:space="preserve"> </w:t>
      </w:r>
      <w:proofErr w:type="spellStart"/>
      <w:r>
        <w:t>Míchumais</w:t>
      </w:r>
      <w:proofErr w:type="spellEnd"/>
      <w:r>
        <w:t xml:space="preserve"> a </w:t>
      </w:r>
      <w:proofErr w:type="spellStart"/>
      <w:r>
        <w:t>fheidhmíonn</w:t>
      </w:r>
      <w:proofErr w:type="spellEnd"/>
      <w:r>
        <w:t xml:space="preserve"> mar ionadaí do dhaoine le </w:t>
      </w:r>
      <w:proofErr w:type="spellStart"/>
      <w:r>
        <w:t>míchumas</w:t>
      </w:r>
      <w:proofErr w:type="spellEnd"/>
      <w:r>
        <w:t xml:space="preserve">.  </w:t>
      </w:r>
    </w:p>
    <w:p w14:paraId="1BCFE632" w14:textId="77777777" w:rsidR="006C148C" w:rsidRDefault="006C148C">
      <w:pPr>
        <w:spacing w:after="120"/>
      </w:pPr>
      <w:r>
        <w:t xml:space="preserve">Is éard is cuspóir don Ghrúpa </w:t>
      </w:r>
      <w:proofErr w:type="spellStart"/>
      <w:r>
        <w:t>Forfheidhmiúcháin</w:t>
      </w:r>
      <w:proofErr w:type="spellEnd"/>
      <w:r>
        <w:t xml:space="preserve"> do </w:t>
      </w:r>
      <w:proofErr w:type="spellStart"/>
      <w:r>
        <w:t>Gheallsealbhóirí</w:t>
      </w:r>
      <w:proofErr w:type="spellEnd"/>
      <w:r>
        <w:t xml:space="preserve"> na </w:t>
      </w:r>
      <w:proofErr w:type="spellStart"/>
      <w:r>
        <w:t>Straitéise</w:t>
      </w:r>
      <w:proofErr w:type="spellEnd"/>
      <w:r>
        <w:t xml:space="preserve"> Náisiúnta </w:t>
      </w:r>
      <w:proofErr w:type="spellStart"/>
      <w:r>
        <w:t>Míchumais</w:t>
      </w:r>
      <w:proofErr w:type="spellEnd"/>
      <w:r>
        <w:t>:</w:t>
      </w:r>
    </w:p>
    <w:p w14:paraId="11BEDFA3" w14:textId="77777777" w:rsidR="006C148C" w:rsidRDefault="006C148C">
      <w:pPr>
        <w:pStyle w:val="ListBullet"/>
      </w:pPr>
      <w:r>
        <w:t xml:space="preserve">Fóram a sholáthar faoi cheannaireacht an Aire Stáit, inar féidir le </w:t>
      </w:r>
      <w:proofErr w:type="spellStart"/>
      <w:r>
        <w:t>feidhmeannaigh</w:t>
      </w:r>
      <w:proofErr w:type="spellEnd"/>
      <w:r>
        <w:t xml:space="preserve"> </w:t>
      </w:r>
      <w:proofErr w:type="spellStart"/>
      <w:r>
        <w:t>rialtais</w:t>
      </w:r>
      <w:proofErr w:type="spellEnd"/>
      <w:r>
        <w:t xml:space="preserve"> </w:t>
      </w:r>
      <w:proofErr w:type="spellStart"/>
      <w:r>
        <w:t>agus</w:t>
      </w:r>
      <w:proofErr w:type="spellEnd"/>
      <w:r>
        <w:t xml:space="preserve"> </w:t>
      </w:r>
      <w:proofErr w:type="spellStart"/>
      <w:r>
        <w:t>geallsealbhóirí</w:t>
      </w:r>
      <w:proofErr w:type="spellEnd"/>
      <w:r>
        <w:t xml:space="preserve"> </w:t>
      </w:r>
      <w:proofErr w:type="spellStart"/>
      <w:r>
        <w:t>míchumais</w:t>
      </w:r>
      <w:proofErr w:type="spellEnd"/>
      <w:r>
        <w:t xml:space="preserve"> </w:t>
      </w:r>
      <w:proofErr w:type="spellStart"/>
      <w:r>
        <w:t>obair</w:t>
      </w:r>
      <w:proofErr w:type="spellEnd"/>
      <w:r>
        <w:t xml:space="preserve"> le </w:t>
      </w:r>
      <w:proofErr w:type="spellStart"/>
      <w:r>
        <w:t>chéile</w:t>
      </w:r>
      <w:proofErr w:type="spellEnd"/>
      <w:r>
        <w:t xml:space="preserve">, </w:t>
      </w:r>
      <w:proofErr w:type="spellStart"/>
      <w:r>
        <w:t>chun</w:t>
      </w:r>
      <w:proofErr w:type="spellEnd"/>
      <w:r>
        <w:t xml:space="preserve"> </w:t>
      </w:r>
      <w:proofErr w:type="spellStart"/>
      <w:r>
        <w:t>forbairt</w:t>
      </w:r>
      <w:proofErr w:type="spellEnd"/>
      <w:r>
        <w:t xml:space="preserve"> </w:t>
      </w:r>
      <w:proofErr w:type="spellStart"/>
      <w:r>
        <w:t>Phlean</w:t>
      </w:r>
      <w:proofErr w:type="spellEnd"/>
      <w:r>
        <w:t xml:space="preserve"> </w:t>
      </w:r>
      <w:proofErr w:type="spellStart"/>
      <w:r>
        <w:t>Forfheidhmiúcháin</w:t>
      </w:r>
      <w:proofErr w:type="spellEnd"/>
      <w:r>
        <w:t xml:space="preserve"> </w:t>
      </w:r>
      <w:proofErr w:type="spellStart"/>
      <w:r>
        <w:t>na</w:t>
      </w:r>
      <w:proofErr w:type="spellEnd"/>
      <w:r>
        <w:t xml:space="preserve"> </w:t>
      </w:r>
      <w:proofErr w:type="spellStart"/>
      <w:r>
        <w:t>Straitéise</w:t>
      </w:r>
      <w:proofErr w:type="spellEnd"/>
      <w:r>
        <w:t xml:space="preserve"> Náisiúnta </w:t>
      </w:r>
      <w:proofErr w:type="spellStart"/>
      <w:r>
        <w:t>Míchumais</w:t>
      </w:r>
      <w:proofErr w:type="spellEnd"/>
      <w:r>
        <w:t xml:space="preserve"> a </w:t>
      </w:r>
      <w:proofErr w:type="spellStart"/>
      <w:r>
        <w:t>threorú</w:t>
      </w:r>
      <w:proofErr w:type="spellEnd"/>
      <w:r>
        <w:t xml:space="preserve"> agus </w:t>
      </w:r>
      <w:proofErr w:type="spellStart"/>
      <w:r>
        <w:t>chun</w:t>
      </w:r>
      <w:proofErr w:type="spellEnd"/>
      <w:r>
        <w:t xml:space="preserve"> </w:t>
      </w:r>
      <w:proofErr w:type="spellStart"/>
      <w:r>
        <w:t>comhoibriú</w:t>
      </w:r>
      <w:proofErr w:type="spellEnd"/>
      <w:r>
        <w:t xml:space="preserve"> le </w:t>
      </w:r>
      <w:proofErr w:type="spellStart"/>
      <w:r>
        <w:t>chéile</w:t>
      </w:r>
      <w:proofErr w:type="spellEnd"/>
      <w:r>
        <w:t xml:space="preserve"> </w:t>
      </w:r>
      <w:proofErr w:type="spellStart"/>
      <w:r>
        <w:t>faoina</w:t>
      </w:r>
      <w:proofErr w:type="spellEnd"/>
      <w:r>
        <w:t xml:space="preserve"> </w:t>
      </w:r>
      <w:proofErr w:type="spellStart"/>
      <w:r>
        <w:t>fhorfheidhmiú</w:t>
      </w:r>
      <w:proofErr w:type="spellEnd"/>
      <w:r>
        <w:t xml:space="preserve">, </w:t>
      </w:r>
      <w:proofErr w:type="spellStart"/>
      <w:r>
        <w:t>lena</w:t>
      </w:r>
      <w:proofErr w:type="spellEnd"/>
      <w:r>
        <w:t xml:space="preserve"> n-</w:t>
      </w:r>
      <w:proofErr w:type="spellStart"/>
      <w:r>
        <w:t>áirítear</w:t>
      </w:r>
      <w:proofErr w:type="spellEnd"/>
      <w:r>
        <w:t xml:space="preserve"> </w:t>
      </w:r>
      <w:proofErr w:type="spellStart"/>
      <w:r>
        <w:t>comhairle</w:t>
      </w:r>
      <w:proofErr w:type="spellEnd"/>
      <w:r>
        <w:t xml:space="preserve"> a </w:t>
      </w:r>
      <w:proofErr w:type="spellStart"/>
      <w:r>
        <w:t>thabhairt</w:t>
      </w:r>
      <w:proofErr w:type="spellEnd"/>
      <w:r>
        <w:t xml:space="preserve"> </w:t>
      </w:r>
      <w:proofErr w:type="spellStart"/>
      <w:r>
        <w:t>faoi</w:t>
      </w:r>
      <w:proofErr w:type="spellEnd"/>
      <w:r>
        <w:t xml:space="preserve"> </w:t>
      </w:r>
      <w:proofErr w:type="spellStart"/>
      <w:r>
        <w:t>réiteach</w:t>
      </w:r>
      <w:proofErr w:type="spellEnd"/>
      <w:r>
        <w:t xml:space="preserve"> </w:t>
      </w:r>
      <w:proofErr w:type="spellStart"/>
      <w:r>
        <w:t>na</w:t>
      </w:r>
      <w:proofErr w:type="spellEnd"/>
      <w:r>
        <w:t xml:space="preserve"> </w:t>
      </w:r>
      <w:proofErr w:type="spellStart"/>
      <w:r>
        <w:t>ndeacrachtaí</w:t>
      </w:r>
      <w:proofErr w:type="spellEnd"/>
      <w:r>
        <w:t xml:space="preserve"> </w:t>
      </w:r>
      <w:proofErr w:type="spellStart"/>
      <w:r>
        <w:t>forfheidhmiúcháin</w:t>
      </w:r>
      <w:proofErr w:type="spellEnd"/>
    </w:p>
    <w:p w14:paraId="62963107" w14:textId="77777777" w:rsidR="006C148C" w:rsidRDefault="006C148C">
      <w:pPr>
        <w:pStyle w:val="ListBullet"/>
      </w:pPr>
      <w:r>
        <w:t xml:space="preserve">Taithí bheatha na ndaoine le </w:t>
      </w:r>
      <w:proofErr w:type="spellStart"/>
      <w:r>
        <w:t>míchumas</w:t>
      </w:r>
      <w:proofErr w:type="spellEnd"/>
      <w:r>
        <w:t xml:space="preserve"> a chur </w:t>
      </w:r>
      <w:proofErr w:type="spellStart"/>
      <w:r>
        <w:t>chun</w:t>
      </w:r>
      <w:proofErr w:type="spellEnd"/>
      <w:r>
        <w:t xml:space="preserve"> </w:t>
      </w:r>
      <w:proofErr w:type="spellStart"/>
      <w:r>
        <w:t>feidhme</w:t>
      </w:r>
      <w:proofErr w:type="spellEnd"/>
      <w:r>
        <w:t xml:space="preserve"> </w:t>
      </w:r>
      <w:proofErr w:type="spellStart"/>
      <w:r>
        <w:t>i</w:t>
      </w:r>
      <w:proofErr w:type="spellEnd"/>
      <w:r>
        <w:t xml:space="preserve"> </w:t>
      </w:r>
      <w:proofErr w:type="spellStart"/>
      <w:r>
        <w:t>leith</w:t>
      </w:r>
      <w:proofErr w:type="spellEnd"/>
      <w:r>
        <w:t xml:space="preserve"> </w:t>
      </w:r>
      <w:proofErr w:type="spellStart"/>
      <w:r>
        <w:t>saincheisteanna</w:t>
      </w:r>
      <w:proofErr w:type="spellEnd"/>
      <w:r>
        <w:t xml:space="preserve"> </w:t>
      </w:r>
      <w:proofErr w:type="spellStart"/>
      <w:r>
        <w:t>forfheidhmiúcháin</w:t>
      </w:r>
      <w:proofErr w:type="spellEnd"/>
      <w:r>
        <w:t xml:space="preserve"> </w:t>
      </w:r>
      <w:proofErr w:type="spellStart"/>
      <w:r>
        <w:t>straitéiseacha</w:t>
      </w:r>
      <w:proofErr w:type="spellEnd"/>
      <w:r>
        <w:t xml:space="preserve"> </w:t>
      </w:r>
      <w:proofErr w:type="spellStart"/>
      <w:r>
        <w:t>agus</w:t>
      </w:r>
      <w:proofErr w:type="spellEnd"/>
      <w:r>
        <w:t xml:space="preserve"> </w:t>
      </w:r>
      <w:proofErr w:type="spellStart"/>
      <w:r>
        <w:t>tras-earnálacha</w:t>
      </w:r>
      <w:proofErr w:type="spellEnd"/>
      <w:r>
        <w:t xml:space="preserve">            </w:t>
      </w:r>
    </w:p>
    <w:p w14:paraId="36E3B7F4" w14:textId="77777777" w:rsidR="006C148C" w:rsidRDefault="006C148C">
      <w:pPr>
        <w:pStyle w:val="ListBullet"/>
      </w:pPr>
      <w:proofErr w:type="spellStart"/>
      <w:r>
        <w:t>Athrú</w:t>
      </w:r>
      <w:proofErr w:type="spellEnd"/>
      <w:r>
        <w:t xml:space="preserve"> </w:t>
      </w:r>
      <w:proofErr w:type="spellStart"/>
      <w:r>
        <w:t>dearfach</w:t>
      </w:r>
      <w:proofErr w:type="spellEnd"/>
      <w:r>
        <w:t xml:space="preserve"> </w:t>
      </w:r>
      <w:proofErr w:type="spellStart"/>
      <w:r>
        <w:t>sa</w:t>
      </w:r>
      <w:proofErr w:type="spellEnd"/>
      <w:r>
        <w:t xml:space="preserve"> </w:t>
      </w:r>
      <w:proofErr w:type="spellStart"/>
      <w:r>
        <w:t>dearcadh</w:t>
      </w:r>
      <w:proofErr w:type="spellEnd"/>
      <w:r>
        <w:t xml:space="preserve"> </w:t>
      </w:r>
      <w:proofErr w:type="spellStart"/>
      <w:r>
        <w:t>i</w:t>
      </w:r>
      <w:proofErr w:type="spellEnd"/>
      <w:r>
        <w:t xml:space="preserve"> </w:t>
      </w:r>
      <w:proofErr w:type="spellStart"/>
      <w:r>
        <w:t>leith</w:t>
      </w:r>
      <w:proofErr w:type="spellEnd"/>
      <w:r>
        <w:t xml:space="preserve"> an </w:t>
      </w:r>
      <w:proofErr w:type="spellStart"/>
      <w:r>
        <w:t>mhíchumais</w:t>
      </w:r>
      <w:proofErr w:type="spellEnd"/>
      <w:r>
        <w:t xml:space="preserve"> a chur </w:t>
      </w:r>
      <w:proofErr w:type="spellStart"/>
      <w:r>
        <w:t>chun</w:t>
      </w:r>
      <w:proofErr w:type="spellEnd"/>
      <w:r>
        <w:t xml:space="preserve"> </w:t>
      </w:r>
      <w:proofErr w:type="spellStart"/>
      <w:r>
        <w:t>cinn</w:t>
      </w:r>
      <w:proofErr w:type="spellEnd"/>
    </w:p>
    <w:p w14:paraId="5914E062" w14:textId="77777777" w:rsidR="006C148C" w:rsidRDefault="006C148C">
      <w:pPr>
        <w:pStyle w:val="ListBullet"/>
        <w:spacing w:after="240"/>
      </w:pPr>
      <w:r>
        <w:lastRenderedPageBreak/>
        <w:t xml:space="preserve">Tacú leis an Aire Stáit </w:t>
      </w:r>
      <w:proofErr w:type="spellStart"/>
      <w:r>
        <w:t>chun</w:t>
      </w:r>
      <w:proofErr w:type="spellEnd"/>
      <w:r>
        <w:t xml:space="preserve"> </w:t>
      </w:r>
      <w:proofErr w:type="spellStart"/>
      <w:r>
        <w:t>tuairisciú</w:t>
      </w:r>
      <w:proofErr w:type="spellEnd"/>
      <w:r>
        <w:t xml:space="preserve"> </w:t>
      </w:r>
      <w:proofErr w:type="spellStart"/>
      <w:r>
        <w:t>ar</w:t>
      </w:r>
      <w:proofErr w:type="spellEnd"/>
      <w:r>
        <w:t xml:space="preserve"> an </w:t>
      </w:r>
      <w:proofErr w:type="spellStart"/>
      <w:r>
        <w:t>bPlean</w:t>
      </w:r>
      <w:proofErr w:type="spellEnd"/>
      <w:r>
        <w:t xml:space="preserve"> </w:t>
      </w:r>
      <w:proofErr w:type="spellStart"/>
      <w:r>
        <w:t>Forfheidhmiúcháin</w:t>
      </w:r>
      <w:proofErr w:type="spellEnd"/>
      <w:r>
        <w:t xml:space="preserve"> de </w:t>
      </w:r>
      <w:proofErr w:type="spellStart"/>
      <w:r>
        <w:t>réir</w:t>
      </w:r>
      <w:proofErr w:type="spellEnd"/>
      <w:r>
        <w:t xml:space="preserve"> mar is </w:t>
      </w:r>
      <w:proofErr w:type="spellStart"/>
      <w:r>
        <w:t>gá</w:t>
      </w:r>
      <w:proofErr w:type="spellEnd"/>
      <w:r>
        <w:t xml:space="preserve"> </w:t>
      </w:r>
      <w:proofErr w:type="spellStart"/>
      <w:r>
        <w:t>chuig</w:t>
      </w:r>
      <w:proofErr w:type="spellEnd"/>
      <w:r>
        <w:t xml:space="preserve"> </w:t>
      </w:r>
      <w:proofErr w:type="spellStart"/>
      <w:r>
        <w:t>Coiste</w:t>
      </w:r>
      <w:proofErr w:type="spellEnd"/>
      <w:r>
        <w:t xml:space="preserve"> </w:t>
      </w:r>
      <w:proofErr w:type="spellStart"/>
      <w:r>
        <w:t>na</w:t>
      </w:r>
      <w:proofErr w:type="spellEnd"/>
      <w:r>
        <w:t xml:space="preserve"> </w:t>
      </w:r>
      <w:proofErr w:type="spellStart"/>
      <w:r>
        <w:t>Comhaireachta</w:t>
      </w:r>
      <w:proofErr w:type="spellEnd"/>
      <w:r>
        <w:t xml:space="preserve"> um </w:t>
      </w:r>
      <w:proofErr w:type="spellStart"/>
      <w:r>
        <w:t>Beartas</w:t>
      </w:r>
      <w:proofErr w:type="spellEnd"/>
      <w:r>
        <w:t xml:space="preserve"> </w:t>
      </w:r>
      <w:proofErr w:type="spellStart"/>
      <w:r>
        <w:t>Sóisialta</w:t>
      </w:r>
      <w:proofErr w:type="spellEnd"/>
    </w:p>
    <w:p w14:paraId="10F0FA27" w14:textId="77777777" w:rsidR="006C148C" w:rsidRDefault="006C148C">
      <w:r>
        <w:t xml:space="preserve">Sholáthair an </w:t>
      </w:r>
      <w:proofErr w:type="spellStart"/>
      <w:r>
        <w:t>tÚdarás</w:t>
      </w:r>
      <w:proofErr w:type="spellEnd"/>
      <w:r>
        <w:t xml:space="preserve"> Náisiúnta </w:t>
      </w:r>
      <w:proofErr w:type="spellStart"/>
      <w:r>
        <w:t>Míchumais</w:t>
      </w:r>
      <w:proofErr w:type="spellEnd"/>
      <w:r>
        <w:t xml:space="preserve"> comhairle scríofa do Ghrúpa </w:t>
      </w:r>
      <w:proofErr w:type="spellStart"/>
      <w:r>
        <w:t>Forfheidhmiúcháin</w:t>
      </w:r>
      <w:proofErr w:type="spellEnd"/>
      <w:r>
        <w:t xml:space="preserve"> do </w:t>
      </w:r>
      <w:proofErr w:type="spellStart"/>
      <w:r>
        <w:t>Gheallsealbhóirí</w:t>
      </w:r>
      <w:proofErr w:type="spellEnd"/>
      <w:r>
        <w:t xml:space="preserve"> na </w:t>
      </w:r>
      <w:proofErr w:type="spellStart"/>
      <w:r>
        <w:t>Straitéise</w:t>
      </w:r>
      <w:proofErr w:type="spellEnd"/>
      <w:r>
        <w:t xml:space="preserve"> Náisiúnta </w:t>
      </w:r>
      <w:proofErr w:type="spellStart"/>
      <w:r>
        <w:t>Míchumais</w:t>
      </w:r>
      <w:proofErr w:type="spellEnd"/>
      <w:r>
        <w:t xml:space="preserve"> i </w:t>
      </w:r>
      <w:proofErr w:type="spellStart"/>
      <w:r>
        <w:t>gcáil</w:t>
      </w:r>
      <w:proofErr w:type="spellEnd"/>
      <w:r>
        <w:t xml:space="preserve"> neamhspleách agus d'fhreastail ar a chéad chruinniú i mí na Samhna 2011.  Cheap an tAire baill chuig an </w:t>
      </w:r>
      <w:proofErr w:type="spellStart"/>
      <w:r>
        <w:t>nGrúpa</w:t>
      </w:r>
      <w:proofErr w:type="spellEnd"/>
      <w:r>
        <w:t xml:space="preserve"> </w:t>
      </w:r>
      <w:proofErr w:type="spellStart"/>
      <w:r>
        <w:t>Geallsealbhóirí</w:t>
      </w:r>
      <w:proofErr w:type="spellEnd"/>
      <w:r>
        <w:t xml:space="preserve"> </w:t>
      </w:r>
      <w:proofErr w:type="spellStart"/>
      <w:r>
        <w:t>Míchumais</w:t>
      </w:r>
      <w:proofErr w:type="spellEnd"/>
      <w:r>
        <w:t xml:space="preserve"> dár tugadh an </w:t>
      </w:r>
      <w:proofErr w:type="spellStart"/>
      <w:r>
        <w:t>tasc</w:t>
      </w:r>
      <w:proofErr w:type="spellEnd"/>
      <w:r>
        <w:t xml:space="preserve"> oibriú le Ranna chun tacú le forbairt agus </w:t>
      </w:r>
      <w:proofErr w:type="spellStart"/>
      <w:r>
        <w:t>forfheidhmiú</w:t>
      </w:r>
      <w:proofErr w:type="spellEnd"/>
      <w:r>
        <w:t xml:space="preserve"> chlár gnímh 3 bliana don </w:t>
      </w:r>
      <w:proofErr w:type="spellStart"/>
      <w:r>
        <w:t>Straitéis</w:t>
      </w:r>
      <w:proofErr w:type="spellEnd"/>
      <w:r>
        <w:t xml:space="preserve">.  Cheap an </w:t>
      </w:r>
      <w:proofErr w:type="spellStart"/>
      <w:r>
        <w:t>tAire</w:t>
      </w:r>
      <w:proofErr w:type="spellEnd"/>
      <w:r>
        <w:t xml:space="preserve"> </w:t>
      </w:r>
      <w:proofErr w:type="spellStart"/>
      <w:r>
        <w:t>Stiúrthóir</w:t>
      </w:r>
      <w:proofErr w:type="spellEnd"/>
      <w:r>
        <w:t xml:space="preserve"> an </w:t>
      </w:r>
      <w:proofErr w:type="spellStart"/>
      <w:r>
        <w:t>Údaráis</w:t>
      </w:r>
      <w:proofErr w:type="spellEnd"/>
      <w:r>
        <w:t xml:space="preserve"> </w:t>
      </w:r>
      <w:proofErr w:type="spellStart"/>
      <w:r>
        <w:t>Náisiúnta</w:t>
      </w:r>
      <w:proofErr w:type="spellEnd"/>
      <w:r>
        <w:t xml:space="preserve"> </w:t>
      </w:r>
      <w:proofErr w:type="spellStart"/>
      <w:r>
        <w:t>Míchumais</w:t>
      </w:r>
      <w:proofErr w:type="spellEnd"/>
      <w:r>
        <w:t xml:space="preserve"> mar </w:t>
      </w:r>
      <w:proofErr w:type="spellStart"/>
      <w:r>
        <w:t>chathaoirleach</w:t>
      </w:r>
      <w:proofErr w:type="spellEnd"/>
      <w:r>
        <w:t xml:space="preserve"> </w:t>
      </w:r>
      <w:proofErr w:type="spellStart"/>
      <w:r>
        <w:t>neamhspleách</w:t>
      </w:r>
      <w:proofErr w:type="spellEnd"/>
      <w:r>
        <w:t xml:space="preserve"> den </w:t>
      </w:r>
      <w:proofErr w:type="spellStart"/>
      <w:r>
        <w:t>Ghrúpa</w:t>
      </w:r>
      <w:proofErr w:type="spellEnd"/>
      <w:r>
        <w:t xml:space="preserve"> </w:t>
      </w:r>
      <w:proofErr w:type="spellStart"/>
      <w:r>
        <w:t>Geallsealbhóirí</w:t>
      </w:r>
      <w:proofErr w:type="spellEnd"/>
      <w:r>
        <w:t xml:space="preserve"> </w:t>
      </w:r>
      <w:proofErr w:type="spellStart"/>
      <w:r>
        <w:t>Míchumais</w:t>
      </w:r>
      <w:proofErr w:type="spellEnd"/>
      <w:r>
        <w:t xml:space="preserve"> </w:t>
      </w:r>
      <w:proofErr w:type="spellStart"/>
      <w:r>
        <w:t>chun</w:t>
      </w:r>
      <w:proofErr w:type="spellEnd"/>
      <w:r>
        <w:t xml:space="preserve"> </w:t>
      </w:r>
      <w:proofErr w:type="spellStart"/>
      <w:r>
        <w:t>ionchur</w:t>
      </w:r>
      <w:proofErr w:type="spellEnd"/>
      <w:r>
        <w:t xml:space="preserve"> </w:t>
      </w:r>
      <w:proofErr w:type="spellStart"/>
      <w:r>
        <w:t>comhordaithe</w:t>
      </w:r>
      <w:proofErr w:type="spellEnd"/>
      <w:r>
        <w:t xml:space="preserve"> don </w:t>
      </w:r>
      <w:proofErr w:type="spellStart"/>
      <w:r>
        <w:t>Ghrúpa</w:t>
      </w:r>
      <w:proofErr w:type="spellEnd"/>
      <w:r>
        <w:t xml:space="preserve"> </w:t>
      </w:r>
      <w:proofErr w:type="spellStart"/>
      <w:r>
        <w:t>Forfheidhmiúcháin</w:t>
      </w:r>
      <w:proofErr w:type="spellEnd"/>
      <w:r>
        <w:t xml:space="preserve"> do </w:t>
      </w:r>
      <w:proofErr w:type="spellStart"/>
      <w:r>
        <w:t>Gheallsealbhóirí</w:t>
      </w:r>
      <w:proofErr w:type="spellEnd"/>
      <w:r>
        <w:t xml:space="preserve"> </w:t>
      </w:r>
      <w:proofErr w:type="spellStart"/>
      <w:r>
        <w:t>na</w:t>
      </w:r>
      <w:proofErr w:type="spellEnd"/>
      <w:r>
        <w:t xml:space="preserve"> </w:t>
      </w:r>
      <w:proofErr w:type="spellStart"/>
      <w:r>
        <w:t>Straitéise</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agus</w:t>
      </w:r>
      <w:proofErr w:type="spellEnd"/>
      <w:r>
        <w:t xml:space="preserve"> is é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a sholáthraíonn a </w:t>
      </w:r>
      <w:proofErr w:type="spellStart"/>
      <w:r>
        <w:t>rúnaireacht</w:t>
      </w:r>
      <w:proofErr w:type="spellEnd"/>
      <w:r>
        <w:t>.</w:t>
      </w:r>
    </w:p>
    <w:p w14:paraId="07B968E3" w14:textId="77777777" w:rsidR="006C148C" w:rsidRDefault="006C148C">
      <w:pPr>
        <w:pStyle w:val="Heading2"/>
      </w:pPr>
      <w:bookmarkStart w:id="348" w:name="_Toc335836455"/>
      <w:proofErr w:type="spellStart"/>
      <w:r>
        <w:t>Ráitis</w:t>
      </w:r>
      <w:proofErr w:type="spellEnd"/>
      <w:r>
        <w:t xml:space="preserve"> </w:t>
      </w:r>
      <w:proofErr w:type="spellStart"/>
      <w:r>
        <w:t>Straitéise</w:t>
      </w:r>
      <w:proofErr w:type="spellEnd"/>
      <w:r>
        <w:t xml:space="preserve"> </w:t>
      </w:r>
      <w:proofErr w:type="spellStart"/>
      <w:r>
        <w:t>Rannacha</w:t>
      </w:r>
      <w:bookmarkEnd w:id="348"/>
      <w:proofErr w:type="spellEnd"/>
      <w:r>
        <w:t xml:space="preserve"> </w:t>
      </w:r>
    </w:p>
    <w:p w14:paraId="6EF98136" w14:textId="77777777" w:rsidR="006C148C" w:rsidRDefault="006C148C">
      <w:proofErr w:type="spellStart"/>
      <w:r>
        <w:t>Rannchuir</w:t>
      </w:r>
      <w:proofErr w:type="spellEnd"/>
      <w:r>
        <w:t xml:space="preserve"> an </w:t>
      </w:r>
      <w:proofErr w:type="spellStart"/>
      <w:r>
        <w:t>tÚdarás</w:t>
      </w:r>
      <w:proofErr w:type="spellEnd"/>
      <w:r>
        <w:t xml:space="preserve"> Náisiúnta </w:t>
      </w:r>
      <w:proofErr w:type="spellStart"/>
      <w:r>
        <w:t>Míchumais</w:t>
      </w:r>
      <w:proofErr w:type="spellEnd"/>
      <w:r>
        <w:t xml:space="preserve"> comhairle beartais do ranna rialtais i </w:t>
      </w:r>
      <w:proofErr w:type="spellStart"/>
      <w:r>
        <w:t>ndáil</w:t>
      </w:r>
      <w:proofErr w:type="spellEnd"/>
      <w:r>
        <w:t xml:space="preserve"> le </w:t>
      </w:r>
      <w:proofErr w:type="spellStart"/>
      <w:r>
        <w:t>Ráitis</w:t>
      </w:r>
      <w:proofErr w:type="spellEnd"/>
      <w:r>
        <w:t xml:space="preserve"> </w:t>
      </w:r>
      <w:proofErr w:type="spellStart"/>
      <w:r>
        <w:t>Straitéise</w:t>
      </w:r>
      <w:proofErr w:type="spellEnd"/>
      <w:r>
        <w:t xml:space="preserve"> nua atá éigeantach go dlíthiúil tar éis athrú Rialtais.  Is sna páipéir chomhairle </w:t>
      </w:r>
      <w:proofErr w:type="spellStart"/>
      <w:r>
        <w:t>beartais</w:t>
      </w:r>
      <w:proofErr w:type="spellEnd"/>
      <w:r>
        <w:t xml:space="preserve"> sin a </w:t>
      </w:r>
      <w:proofErr w:type="spellStart"/>
      <w:r>
        <w:t>fuarthas</w:t>
      </w:r>
      <w:proofErr w:type="spellEnd"/>
      <w:r>
        <w:t xml:space="preserve"> </w:t>
      </w:r>
      <w:proofErr w:type="spellStart"/>
      <w:r>
        <w:t>moltaí</w:t>
      </w:r>
      <w:proofErr w:type="spellEnd"/>
      <w:r>
        <w:t xml:space="preserve"> </w:t>
      </w:r>
      <w:proofErr w:type="spellStart"/>
      <w:r>
        <w:t>sonracha</w:t>
      </w:r>
      <w:proofErr w:type="spellEnd"/>
      <w:r>
        <w:t xml:space="preserve"> do </w:t>
      </w:r>
      <w:proofErr w:type="spellStart"/>
      <w:r>
        <w:t>chúrsaí</w:t>
      </w:r>
      <w:proofErr w:type="spellEnd"/>
      <w:r>
        <w:t xml:space="preserve"> </w:t>
      </w:r>
      <w:proofErr w:type="spellStart"/>
      <w:r>
        <w:t>míchumais</w:t>
      </w:r>
      <w:proofErr w:type="spellEnd"/>
      <w:r>
        <w:t xml:space="preserve"> </w:t>
      </w:r>
      <w:proofErr w:type="spellStart"/>
      <w:r>
        <w:t>lena</w:t>
      </w:r>
      <w:proofErr w:type="spellEnd"/>
      <w:r>
        <w:t xml:space="preserve"> n-</w:t>
      </w:r>
      <w:proofErr w:type="spellStart"/>
      <w:r>
        <w:t>áireamh</w:t>
      </w:r>
      <w:proofErr w:type="spellEnd"/>
      <w:r>
        <w:t xml:space="preserve"> </w:t>
      </w:r>
      <w:proofErr w:type="spellStart"/>
      <w:r>
        <w:t>sna</w:t>
      </w:r>
      <w:proofErr w:type="spellEnd"/>
      <w:r>
        <w:t xml:space="preserve"> </w:t>
      </w:r>
      <w:proofErr w:type="spellStart"/>
      <w:r>
        <w:t>ráitis</w:t>
      </w:r>
      <w:proofErr w:type="spellEnd"/>
      <w:r>
        <w:t xml:space="preserve"> </w:t>
      </w:r>
      <w:proofErr w:type="spellStart"/>
      <w:r>
        <w:t>straitéise</w:t>
      </w:r>
      <w:proofErr w:type="spellEnd"/>
      <w:r>
        <w:t xml:space="preserve">. </w:t>
      </w:r>
      <w:proofErr w:type="spellStart"/>
      <w:r>
        <w:t>Leathnaíodh</w:t>
      </w:r>
      <w:proofErr w:type="spellEnd"/>
      <w:r>
        <w:t xml:space="preserve"> </w:t>
      </w:r>
      <w:proofErr w:type="spellStart"/>
      <w:r>
        <w:t>sainchúram</w:t>
      </w:r>
      <w:proofErr w:type="spellEnd"/>
      <w:r>
        <w:t xml:space="preserve"> </w:t>
      </w:r>
      <w:proofErr w:type="spellStart"/>
      <w:r>
        <w:t>na</w:t>
      </w:r>
      <w:proofErr w:type="spellEnd"/>
      <w:r>
        <w:t xml:space="preserve"> Ranna </w:t>
      </w:r>
      <w:proofErr w:type="spellStart"/>
      <w:r>
        <w:t>úd</w:t>
      </w:r>
      <w:proofErr w:type="spellEnd"/>
      <w:r>
        <w:t xml:space="preserve"> </w:t>
      </w:r>
      <w:proofErr w:type="spellStart"/>
      <w:r>
        <w:t>nach</w:t>
      </w:r>
      <w:proofErr w:type="spellEnd"/>
      <w:r>
        <w:t xml:space="preserve"> </w:t>
      </w:r>
      <w:proofErr w:type="spellStart"/>
      <w:r>
        <w:t>foláir</w:t>
      </w:r>
      <w:proofErr w:type="spellEnd"/>
      <w:r>
        <w:t xml:space="preserve"> </w:t>
      </w:r>
      <w:proofErr w:type="spellStart"/>
      <w:r>
        <w:t>pleananna</w:t>
      </w:r>
      <w:proofErr w:type="spellEnd"/>
      <w:r>
        <w:t xml:space="preserve"> </w:t>
      </w:r>
      <w:proofErr w:type="spellStart"/>
      <w:r>
        <w:t>earnálacha</w:t>
      </w:r>
      <w:proofErr w:type="spellEnd"/>
      <w:r>
        <w:t xml:space="preserve"> don </w:t>
      </w:r>
      <w:proofErr w:type="spellStart"/>
      <w:r>
        <w:t>mhíchumas</w:t>
      </w:r>
      <w:proofErr w:type="spellEnd"/>
      <w:r>
        <w:t xml:space="preserve"> </w:t>
      </w:r>
      <w:proofErr w:type="spellStart"/>
      <w:r>
        <w:t>bheith</w:t>
      </w:r>
      <w:proofErr w:type="spellEnd"/>
      <w:r>
        <w:t xml:space="preserve"> </w:t>
      </w:r>
      <w:proofErr w:type="spellStart"/>
      <w:r>
        <w:t>acu</w:t>
      </w:r>
      <w:proofErr w:type="spellEnd"/>
      <w:r>
        <w:t xml:space="preserve"> </w:t>
      </w:r>
      <w:proofErr w:type="spellStart"/>
      <w:r>
        <w:t>faoin</w:t>
      </w:r>
      <w:proofErr w:type="spellEnd"/>
      <w:r>
        <w:t xml:space="preserve"> </w:t>
      </w:r>
      <w:proofErr w:type="spellStart"/>
      <w:r>
        <w:t>Acht</w:t>
      </w:r>
      <w:proofErr w:type="spellEnd"/>
      <w:r>
        <w:t xml:space="preserve"> </w:t>
      </w:r>
      <w:proofErr w:type="spellStart"/>
      <w:r>
        <w:t>Míchumais</w:t>
      </w:r>
      <w:proofErr w:type="spellEnd"/>
      <w:r>
        <w:t xml:space="preserve"> go </w:t>
      </w:r>
      <w:proofErr w:type="spellStart"/>
      <w:r>
        <w:t>sonrach</w:t>
      </w:r>
      <w:proofErr w:type="spellEnd"/>
      <w:r>
        <w:t xml:space="preserve"> le </w:t>
      </w:r>
      <w:proofErr w:type="spellStart"/>
      <w:r>
        <w:t>hatheagrú</w:t>
      </w:r>
      <w:proofErr w:type="spellEnd"/>
      <w:r>
        <w:t xml:space="preserve"> </w:t>
      </w:r>
      <w:proofErr w:type="spellStart"/>
      <w:r>
        <w:t>na</w:t>
      </w:r>
      <w:proofErr w:type="spellEnd"/>
      <w:r>
        <w:t xml:space="preserve"> Ranna </w:t>
      </w:r>
      <w:proofErr w:type="spellStart"/>
      <w:r>
        <w:t>i</w:t>
      </w:r>
      <w:proofErr w:type="spellEnd"/>
      <w:r>
        <w:t xml:space="preserve"> </w:t>
      </w:r>
      <w:proofErr w:type="spellStart"/>
      <w:r>
        <w:t>mí</w:t>
      </w:r>
      <w:proofErr w:type="spellEnd"/>
      <w:r>
        <w:t xml:space="preserve"> an </w:t>
      </w:r>
      <w:proofErr w:type="spellStart"/>
      <w:r>
        <w:t>Mhárta</w:t>
      </w:r>
      <w:proofErr w:type="spellEnd"/>
      <w:r>
        <w:t xml:space="preserve"> 2011, ag cruthú na deise béim ní ba threise a leagan ar an </w:t>
      </w:r>
      <w:proofErr w:type="spellStart"/>
      <w:r>
        <w:t>míchumas</w:t>
      </w:r>
      <w:proofErr w:type="spellEnd"/>
      <w:r>
        <w:t xml:space="preserve"> </w:t>
      </w:r>
      <w:proofErr w:type="spellStart"/>
      <w:r>
        <w:t>i</w:t>
      </w:r>
      <w:proofErr w:type="spellEnd"/>
      <w:r>
        <w:t xml:space="preserve"> </w:t>
      </w:r>
      <w:proofErr w:type="spellStart"/>
      <w:r>
        <w:t>saothar</w:t>
      </w:r>
      <w:proofErr w:type="spellEnd"/>
      <w:r>
        <w:t xml:space="preserve"> </w:t>
      </w:r>
      <w:proofErr w:type="spellStart"/>
      <w:r>
        <w:t>ní</w:t>
      </w:r>
      <w:proofErr w:type="spellEnd"/>
      <w:r>
        <w:t xml:space="preserve"> </w:t>
      </w:r>
      <w:proofErr w:type="spellStart"/>
      <w:r>
        <w:t>b'fhorleithne</w:t>
      </w:r>
      <w:proofErr w:type="spellEnd"/>
      <w:r>
        <w:t xml:space="preserve"> </w:t>
      </w:r>
      <w:proofErr w:type="spellStart"/>
      <w:r>
        <w:t>na</w:t>
      </w:r>
      <w:proofErr w:type="spellEnd"/>
      <w:r>
        <w:t xml:space="preserve"> Ranna </w:t>
      </w:r>
      <w:proofErr w:type="spellStart"/>
      <w:r>
        <w:t>úd</w:t>
      </w:r>
      <w:proofErr w:type="spellEnd"/>
      <w:r>
        <w:t xml:space="preserve">.  Thug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comhairle</w:t>
      </w:r>
      <w:proofErr w:type="spellEnd"/>
      <w:r>
        <w:t xml:space="preserve"> </w:t>
      </w:r>
      <w:proofErr w:type="spellStart"/>
      <w:r>
        <w:t>freisin</w:t>
      </w:r>
      <w:proofErr w:type="spellEnd"/>
      <w:r>
        <w:t xml:space="preserve"> </w:t>
      </w:r>
      <w:proofErr w:type="spellStart"/>
      <w:r>
        <w:t>faoi</w:t>
      </w:r>
      <w:proofErr w:type="spellEnd"/>
      <w:r>
        <w:t xml:space="preserve"> </w:t>
      </w:r>
      <w:proofErr w:type="spellStart"/>
      <w:r>
        <w:t>na</w:t>
      </w:r>
      <w:proofErr w:type="spellEnd"/>
      <w:r>
        <w:t xml:space="preserve"> </w:t>
      </w:r>
      <w:proofErr w:type="spellStart"/>
      <w:r>
        <w:t>bearta</w:t>
      </w:r>
      <w:proofErr w:type="spellEnd"/>
      <w:r>
        <w:t xml:space="preserve"> a </w:t>
      </w:r>
      <w:proofErr w:type="spellStart"/>
      <w:r>
        <w:t>theastaíonn</w:t>
      </w:r>
      <w:proofErr w:type="spellEnd"/>
      <w:r>
        <w:t xml:space="preserve"> </w:t>
      </w:r>
      <w:proofErr w:type="spellStart"/>
      <w:r>
        <w:t>chun</w:t>
      </w:r>
      <w:proofErr w:type="spellEnd"/>
      <w:r>
        <w:t xml:space="preserve"> </w:t>
      </w:r>
      <w:proofErr w:type="spellStart"/>
      <w:r>
        <w:t>cloí</w:t>
      </w:r>
      <w:proofErr w:type="spellEnd"/>
      <w:r>
        <w:t xml:space="preserve"> leis </w:t>
      </w:r>
      <w:proofErr w:type="gramStart"/>
      <w:r>
        <w:t>an</w:t>
      </w:r>
      <w:proofErr w:type="gramEnd"/>
      <w:r>
        <w:t xml:space="preserve"> </w:t>
      </w:r>
      <w:proofErr w:type="spellStart"/>
      <w:r>
        <w:t>gceangaltas</w:t>
      </w:r>
      <w:proofErr w:type="spellEnd"/>
      <w:r>
        <w:t xml:space="preserve"> </w:t>
      </w:r>
      <w:proofErr w:type="spellStart"/>
      <w:r>
        <w:t>seirbhísí</w:t>
      </w:r>
      <w:proofErr w:type="spellEnd"/>
      <w:r>
        <w:t xml:space="preserve"> </w:t>
      </w:r>
      <w:proofErr w:type="spellStart"/>
      <w:r>
        <w:t>poiblí</w:t>
      </w:r>
      <w:proofErr w:type="spellEnd"/>
      <w:r>
        <w:t xml:space="preserve"> </w:t>
      </w:r>
      <w:proofErr w:type="spellStart"/>
      <w:r>
        <w:t>inrochtana</w:t>
      </w:r>
      <w:proofErr w:type="spellEnd"/>
      <w:r>
        <w:t xml:space="preserve"> a </w:t>
      </w:r>
      <w:proofErr w:type="spellStart"/>
      <w:r>
        <w:t>sheachadadh</w:t>
      </w:r>
      <w:proofErr w:type="spellEnd"/>
      <w:r>
        <w:t xml:space="preserve"> </w:t>
      </w:r>
      <w:proofErr w:type="spellStart"/>
      <w:r>
        <w:t>agus</w:t>
      </w:r>
      <w:proofErr w:type="spellEnd"/>
      <w:r>
        <w:t xml:space="preserve"> </w:t>
      </w:r>
      <w:proofErr w:type="spellStart"/>
      <w:r>
        <w:t>chun</w:t>
      </w:r>
      <w:proofErr w:type="spellEnd"/>
      <w:r>
        <w:t xml:space="preserve"> </w:t>
      </w:r>
      <w:proofErr w:type="spellStart"/>
      <w:r>
        <w:t>fostaíocht</w:t>
      </w:r>
      <w:proofErr w:type="spellEnd"/>
      <w:r>
        <w:t xml:space="preserve"> </w:t>
      </w:r>
      <w:proofErr w:type="spellStart"/>
      <w:r>
        <w:t>na</w:t>
      </w:r>
      <w:proofErr w:type="spellEnd"/>
      <w:r>
        <w:t xml:space="preserve"> </w:t>
      </w:r>
      <w:proofErr w:type="spellStart"/>
      <w:r>
        <w:t>ndaoine</w:t>
      </w:r>
      <w:proofErr w:type="spellEnd"/>
      <w:r>
        <w:t xml:space="preserve"> le </w:t>
      </w:r>
      <w:proofErr w:type="spellStart"/>
      <w:r>
        <w:t>míchumas</w:t>
      </w:r>
      <w:proofErr w:type="spellEnd"/>
      <w:r>
        <w:t xml:space="preserve"> a chur </w:t>
      </w:r>
      <w:proofErr w:type="spellStart"/>
      <w:r>
        <w:t>chun</w:t>
      </w:r>
      <w:proofErr w:type="spellEnd"/>
      <w:r>
        <w:t xml:space="preserve"> </w:t>
      </w:r>
      <w:proofErr w:type="spellStart"/>
      <w:r>
        <w:t>cinn</w:t>
      </w:r>
      <w:proofErr w:type="spellEnd"/>
      <w:r>
        <w:t xml:space="preserve"> </w:t>
      </w:r>
      <w:proofErr w:type="spellStart"/>
      <w:r>
        <w:t>agus</w:t>
      </w:r>
      <w:proofErr w:type="spellEnd"/>
      <w:r>
        <w:t xml:space="preserve"> </w:t>
      </w:r>
      <w:proofErr w:type="spellStart"/>
      <w:r>
        <w:t>chun</w:t>
      </w:r>
      <w:proofErr w:type="spellEnd"/>
      <w:r>
        <w:t xml:space="preserve"> </w:t>
      </w:r>
      <w:proofErr w:type="spellStart"/>
      <w:r>
        <w:t>tacú</w:t>
      </w:r>
      <w:proofErr w:type="spellEnd"/>
      <w:r>
        <w:t xml:space="preserve"> </w:t>
      </w:r>
      <w:proofErr w:type="spellStart"/>
      <w:r>
        <w:t>léi</w:t>
      </w:r>
      <w:proofErr w:type="spellEnd"/>
      <w:r>
        <w:t xml:space="preserve">. </w:t>
      </w:r>
    </w:p>
    <w:p w14:paraId="74DEF005" w14:textId="77777777" w:rsidR="006C148C" w:rsidRDefault="006C148C">
      <w:pPr>
        <w:pStyle w:val="Heading2"/>
      </w:pPr>
      <w:bookmarkStart w:id="349" w:name="_Toc335836456"/>
      <w:proofErr w:type="spellStart"/>
      <w:r>
        <w:t>Measúnacht</w:t>
      </w:r>
      <w:proofErr w:type="spellEnd"/>
      <w:r>
        <w:t xml:space="preserve"> </w:t>
      </w:r>
      <w:proofErr w:type="spellStart"/>
      <w:r>
        <w:t>Tionchair</w:t>
      </w:r>
      <w:proofErr w:type="spellEnd"/>
      <w:r>
        <w:t xml:space="preserve"> </w:t>
      </w:r>
      <w:proofErr w:type="spellStart"/>
      <w:r>
        <w:t>Mhíchumais</w:t>
      </w:r>
      <w:bookmarkEnd w:id="349"/>
      <w:proofErr w:type="spellEnd"/>
    </w:p>
    <w:p w14:paraId="27AAF651" w14:textId="77777777" w:rsidR="006C148C" w:rsidRDefault="006C148C">
      <w:r>
        <w:t xml:space="preserve">D'oibrigh an </w:t>
      </w:r>
      <w:proofErr w:type="spellStart"/>
      <w:r>
        <w:t>tÚdarás</w:t>
      </w:r>
      <w:proofErr w:type="spellEnd"/>
      <w:r>
        <w:t xml:space="preserve"> Náisiúnta </w:t>
      </w:r>
      <w:proofErr w:type="spellStart"/>
      <w:r>
        <w:t>Míchumais</w:t>
      </w:r>
      <w:proofErr w:type="spellEnd"/>
      <w:r>
        <w:t xml:space="preserve"> i </w:t>
      </w:r>
      <w:proofErr w:type="spellStart"/>
      <w:r>
        <w:t>gcomhpháirt</w:t>
      </w:r>
      <w:proofErr w:type="spellEnd"/>
      <w:r>
        <w:t xml:space="preserve"> leis an Roinn Dlí agus Cirt, agus </w:t>
      </w:r>
      <w:proofErr w:type="spellStart"/>
      <w:r>
        <w:t>Comhionannais</w:t>
      </w:r>
      <w:proofErr w:type="spellEnd"/>
      <w:r>
        <w:t xml:space="preserve">, agus leis an Údarás </w:t>
      </w:r>
      <w:proofErr w:type="spellStart"/>
      <w:r>
        <w:t>Comhionannais</w:t>
      </w:r>
      <w:proofErr w:type="spellEnd"/>
      <w:r>
        <w:t xml:space="preserve">, i bhforbairt na </w:t>
      </w:r>
      <w:proofErr w:type="spellStart"/>
      <w:r>
        <w:t>dtreoirlínte</w:t>
      </w:r>
      <w:proofErr w:type="spellEnd"/>
      <w:r>
        <w:t xml:space="preserve"> do </w:t>
      </w:r>
      <w:proofErr w:type="spellStart"/>
      <w:r>
        <w:t>ranna</w:t>
      </w:r>
      <w:proofErr w:type="spellEnd"/>
      <w:r>
        <w:t xml:space="preserve"> </w:t>
      </w:r>
      <w:proofErr w:type="spellStart"/>
      <w:r>
        <w:t>rialtais</w:t>
      </w:r>
      <w:proofErr w:type="spellEnd"/>
      <w:r>
        <w:t xml:space="preserve"> </w:t>
      </w:r>
      <w:proofErr w:type="spellStart"/>
      <w:r>
        <w:t>faoin</w:t>
      </w:r>
      <w:proofErr w:type="spellEnd"/>
      <w:r>
        <w:t xml:space="preserve"> </w:t>
      </w:r>
      <w:proofErr w:type="spellStart"/>
      <w:r>
        <w:t>gcaoi</w:t>
      </w:r>
      <w:proofErr w:type="spellEnd"/>
      <w:r>
        <w:t xml:space="preserve"> </w:t>
      </w:r>
      <w:proofErr w:type="spellStart"/>
      <w:r>
        <w:t>chun</w:t>
      </w:r>
      <w:proofErr w:type="spellEnd"/>
      <w:r>
        <w:t xml:space="preserve"> </w:t>
      </w:r>
      <w:proofErr w:type="spellStart"/>
      <w:r>
        <w:t>Measúnú</w:t>
      </w:r>
      <w:proofErr w:type="spellEnd"/>
      <w:r>
        <w:t xml:space="preserve"> </w:t>
      </w:r>
      <w:proofErr w:type="spellStart"/>
      <w:r>
        <w:t>Tionchair</w:t>
      </w:r>
      <w:proofErr w:type="spellEnd"/>
      <w:r>
        <w:t xml:space="preserve"> </w:t>
      </w:r>
      <w:proofErr w:type="spellStart"/>
      <w:r>
        <w:t>Mhíchumais</w:t>
      </w:r>
      <w:proofErr w:type="spellEnd"/>
      <w:r>
        <w:t xml:space="preserve"> a </w:t>
      </w:r>
      <w:proofErr w:type="spellStart"/>
      <w:r>
        <w:t>chomhlánú</w:t>
      </w:r>
      <w:proofErr w:type="spellEnd"/>
      <w:r>
        <w:t xml:space="preserve">.  Is </w:t>
      </w:r>
      <w:proofErr w:type="spellStart"/>
      <w:r>
        <w:t>i</w:t>
      </w:r>
      <w:proofErr w:type="spellEnd"/>
      <w:r>
        <w:t xml:space="preserve"> </w:t>
      </w:r>
      <w:proofErr w:type="spellStart"/>
      <w:r>
        <w:t>Measúnú</w:t>
      </w:r>
      <w:proofErr w:type="spellEnd"/>
      <w:r>
        <w:t xml:space="preserve"> </w:t>
      </w:r>
      <w:proofErr w:type="spellStart"/>
      <w:r>
        <w:t>Tionchair</w:t>
      </w:r>
      <w:proofErr w:type="spellEnd"/>
      <w:r>
        <w:t xml:space="preserve"> </w:t>
      </w:r>
      <w:proofErr w:type="spellStart"/>
      <w:r>
        <w:t>Mhíchumais</w:t>
      </w:r>
      <w:proofErr w:type="spellEnd"/>
      <w:r>
        <w:t xml:space="preserve"> a </w:t>
      </w:r>
      <w:proofErr w:type="spellStart"/>
      <w:r>
        <w:t>fhéachtar</w:t>
      </w:r>
      <w:proofErr w:type="spellEnd"/>
      <w:r>
        <w:t xml:space="preserve"> </w:t>
      </w:r>
      <w:proofErr w:type="spellStart"/>
      <w:r>
        <w:t>ar</w:t>
      </w:r>
      <w:proofErr w:type="spellEnd"/>
      <w:r>
        <w:t xml:space="preserve"> </w:t>
      </w:r>
      <w:proofErr w:type="spellStart"/>
      <w:r>
        <w:t>na</w:t>
      </w:r>
      <w:proofErr w:type="spellEnd"/>
      <w:r>
        <w:t xml:space="preserve"> </w:t>
      </w:r>
      <w:proofErr w:type="spellStart"/>
      <w:r>
        <w:t>tionchair</w:t>
      </w:r>
      <w:proofErr w:type="spellEnd"/>
      <w:r>
        <w:t xml:space="preserve"> </w:t>
      </w:r>
      <w:proofErr w:type="spellStart"/>
      <w:r>
        <w:t>dhóchúla</w:t>
      </w:r>
      <w:proofErr w:type="spellEnd"/>
      <w:r>
        <w:t xml:space="preserve">, </w:t>
      </w:r>
      <w:proofErr w:type="gramStart"/>
      <w:r>
        <w:t>a</w:t>
      </w:r>
      <w:proofErr w:type="gramEnd"/>
      <w:r>
        <w:t xml:space="preserve"> </w:t>
      </w:r>
      <w:proofErr w:type="spellStart"/>
      <w:r>
        <w:t>aithnítear</w:t>
      </w:r>
      <w:proofErr w:type="spellEnd"/>
      <w:r>
        <w:t xml:space="preserve"> </w:t>
      </w:r>
      <w:proofErr w:type="spellStart"/>
      <w:r>
        <w:t>eochaircheisteanna</w:t>
      </w:r>
      <w:proofErr w:type="spellEnd"/>
      <w:r>
        <w:t xml:space="preserve"> </w:t>
      </w:r>
      <w:proofErr w:type="spellStart"/>
      <w:r>
        <w:t>agus</w:t>
      </w:r>
      <w:proofErr w:type="spellEnd"/>
      <w:r>
        <w:t xml:space="preserve"> a </w:t>
      </w:r>
      <w:proofErr w:type="spellStart"/>
      <w:r>
        <w:t>chuirtear</w:t>
      </w:r>
      <w:proofErr w:type="spellEnd"/>
      <w:r>
        <w:t xml:space="preserve"> </w:t>
      </w:r>
      <w:proofErr w:type="spellStart"/>
      <w:r>
        <w:t>bearta</w:t>
      </w:r>
      <w:proofErr w:type="spellEnd"/>
      <w:r>
        <w:t xml:space="preserve"> </w:t>
      </w:r>
      <w:proofErr w:type="spellStart"/>
      <w:r>
        <w:t>réasúnacha</w:t>
      </w:r>
      <w:proofErr w:type="spellEnd"/>
      <w:r>
        <w:t xml:space="preserve"> </w:t>
      </w:r>
      <w:proofErr w:type="spellStart"/>
      <w:r>
        <w:t>chun</w:t>
      </w:r>
      <w:proofErr w:type="spellEnd"/>
      <w:r>
        <w:t xml:space="preserve"> </w:t>
      </w:r>
      <w:proofErr w:type="spellStart"/>
      <w:r>
        <w:t>feidhme</w:t>
      </w:r>
      <w:proofErr w:type="spellEnd"/>
      <w:r>
        <w:t xml:space="preserve">, </w:t>
      </w:r>
      <w:proofErr w:type="spellStart"/>
      <w:r>
        <w:t>i</w:t>
      </w:r>
      <w:proofErr w:type="spellEnd"/>
      <w:r>
        <w:t xml:space="preserve"> </w:t>
      </w:r>
      <w:proofErr w:type="spellStart"/>
      <w:r>
        <w:t>dtaca</w:t>
      </w:r>
      <w:proofErr w:type="spellEnd"/>
      <w:r>
        <w:t xml:space="preserve"> le </w:t>
      </w:r>
      <w:proofErr w:type="spellStart"/>
      <w:r>
        <w:t>haon</w:t>
      </w:r>
      <w:proofErr w:type="spellEnd"/>
      <w:r>
        <w:t xml:space="preserve"> </w:t>
      </w:r>
      <w:proofErr w:type="spellStart"/>
      <w:r>
        <w:t>bheartas</w:t>
      </w:r>
      <w:proofErr w:type="spellEnd"/>
      <w:r>
        <w:t xml:space="preserve"> </w:t>
      </w:r>
      <w:proofErr w:type="spellStart"/>
      <w:r>
        <w:t>nó</w:t>
      </w:r>
      <w:proofErr w:type="spellEnd"/>
      <w:r>
        <w:t xml:space="preserve"> </w:t>
      </w:r>
      <w:proofErr w:type="spellStart"/>
      <w:r>
        <w:t>reachtaíocht</w:t>
      </w:r>
      <w:proofErr w:type="spellEnd"/>
      <w:r>
        <w:t xml:space="preserve"> </w:t>
      </w:r>
      <w:proofErr w:type="spellStart"/>
      <w:r>
        <w:t>mholta</w:t>
      </w:r>
      <w:proofErr w:type="spellEnd"/>
      <w:r>
        <w:t xml:space="preserve">. </w:t>
      </w:r>
      <w:proofErr w:type="spellStart"/>
      <w:r>
        <w:t>Ní</w:t>
      </w:r>
      <w:proofErr w:type="spellEnd"/>
      <w:r>
        <w:t xml:space="preserve"> </w:t>
      </w:r>
      <w:proofErr w:type="spellStart"/>
      <w:r>
        <w:t>foláir</w:t>
      </w:r>
      <w:proofErr w:type="spellEnd"/>
      <w:r>
        <w:t xml:space="preserve"> de </w:t>
      </w:r>
      <w:proofErr w:type="spellStart"/>
      <w:r>
        <w:t>réir</w:t>
      </w:r>
      <w:proofErr w:type="spellEnd"/>
      <w:r>
        <w:t xml:space="preserve"> </w:t>
      </w:r>
      <w:proofErr w:type="spellStart"/>
      <w:r>
        <w:t>Lámhleabhar</w:t>
      </w:r>
      <w:proofErr w:type="spellEnd"/>
      <w:r>
        <w:t xml:space="preserve"> </w:t>
      </w:r>
      <w:proofErr w:type="spellStart"/>
      <w:r>
        <w:t>na</w:t>
      </w:r>
      <w:proofErr w:type="spellEnd"/>
      <w:r>
        <w:t xml:space="preserve"> </w:t>
      </w:r>
      <w:proofErr w:type="spellStart"/>
      <w:r>
        <w:t>Comhaireachta</w:t>
      </w:r>
      <w:proofErr w:type="spellEnd"/>
      <w:r>
        <w:t xml:space="preserve"> go </w:t>
      </w:r>
      <w:proofErr w:type="spellStart"/>
      <w:r>
        <w:t>ndéantar</w:t>
      </w:r>
      <w:proofErr w:type="spellEnd"/>
      <w:r>
        <w:t xml:space="preserve"> </w:t>
      </w:r>
      <w:proofErr w:type="spellStart"/>
      <w:r>
        <w:t>Measúnú</w:t>
      </w:r>
      <w:proofErr w:type="spellEnd"/>
      <w:r>
        <w:t xml:space="preserve"> </w:t>
      </w:r>
      <w:proofErr w:type="spellStart"/>
      <w:r>
        <w:t>Tionchair</w:t>
      </w:r>
      <w:proofErr w:type="spellEnd"/>
      <w:r>
        <w:t xml:space="preserve"> </w:t>
      </w:r>
      <w:proofErr w:type="spellStart"/>
      <w:r>
        <w:t>Mhíchumais</w:t>
      </w:r>
      <w:proofErr w:type="spellEnd"/>
      <w:r>
        <w:t xml:space="preserve"> </w:t>
      </w:r>
      <w:proofErr w:type="spellStart"/>
      <w:r>
        <w:t>i</w:t>
      </w:r>
      <w:proofErr w:type="spellEnd"/>
      <w:r>
        <w:t xml:space="preserve"> </w:t>
      </w:r>
      <w:proofErr w:type="spellStart"/>
      <w:r>
        <w:t>gcás</w:t>
      </w:r>
      <w:proofErr w:type="spellEnd"/>
      <w:r>
        <w:t xml:space="preserve"> </w:t>
      </w:r>
      <w:proofErr w:type="spellStart"/>
      <w:r>
        <w:t>gach</w:t>
      </w:r>
      <w:proofErr w:type="spellEnd"/>
      <w:r>
        <w:t xml:space="preserve"> </w:t>
      </w:r>
      <w:proofErr w:type="spellStart"/>
      <w:r>
        <w:t>meabhrán</w:t>
      </w:r>
      <w:proofErr w:type="spellEnd"/>
      <w:r>
        <w:t xml:space="preserve"> </w:t>
      </w:r>
      <w:proofErr w:type="spellStart"/>
      <w:r>
        <w:t>substainteach</w:t>
      </w:r>
      <w:proofErr w:type="spellEnd"/>
      <w:r>
        <w:t xml:space="preserve"> a </w:t>
      </w:r>
      <w:proofErr w:type="spellStart"/>
      <w:r>
        <w:t>thagann</w:t>
      </w:r>
      <w:proofErr w:type="spellEnd"/>
      <w:r>
        <w:t xml:space="preserve"> </w:t>
      </w:r>
      <w:proofErr w:type="spellStart"/>
      <w:r>
        <w:t>os</w:t>
      </w:r>
      <w:proofErr w:type="spellEnd"/>
      <w:r>
        <w:t xml:space="preserve"> </w:t>
      </w:r>
      <w:proofErr w:type="spellStart"/>
      <w:r>
        <w:t>comhair</w:t>
      </w:r>
      <w:proofErr w:type="spellEnd"/>
      <w:r>
        <w:t xml:space="preserve"> an </w:t>
      </w:r>
      <w:proofErr w:type="spellStart"/>
      <w:r>
        <w:t>rialtais</w:t>
      </w:r>
      <w:proofErr w:type="spellEnd"/>
      <w:r>
        <w:t xml:space="preserve">. </w:t>
      </w:r>
      <w:proofErr w:type="spellStart"/>
      <w:r>
        <w:t>Ceapadh</w:t>
      </w:r>
      <w:proofErr w:type="spellEnd"/>
      <w:r>
        <w:t xml:space="preserve"> </w:t>
      </w:r>
      <w:proofErr w:type="spellStart"/>
      <w:r>
        <w:t>na</w:t>
      </w:r>
      <w:proofErr w:type="spellEnd"/>
      <w:r>
        <w:t xml:space="preserve"> </w:t>
      </w:r>
      <w:proofErr w:type="spellStart"/>
      <w:r>
        <w:t>treoirlínte</w:t>
      </w:r>
      <w:proofErr w:type="spellEnd"/>
      <w:r>
        <w:t xml:space="preserve"> </w:t>
      </w:r>
      <w:proofErr w:type="spellStart"/>
      <w:r>
        <w:t>seo</w:t>
      </w:r>
      <w:proofErr w:type="spellEnd"/>
      <w:r>
        <w:t xml:space="preserve"> </w:t>
      </w:r>
      <w:proofErr w:type="spellStart"/>
      <w:r>
        <w:t>chun</w:t>
      </w:r>
      <w:proofErr w:type="spellEnd"/>
      <w:r>
        <w:t xml:space="preserve"> </w:t>
      </w:r>
      <w:proofErr w:type="spellStart"/>
      <w:r>
        <w:t>cuidiú</w:t>
      </w:r>
      <w:proofErr w:type="spellEnd"/>
      <w:r>
        <w:t xml:space="preserve"> leis </w:t>
      </w:r>
      <w:proofErr w:type="gramStart"/>
      <w:r>
        <w:t>an</w:t>
      </w:r>
      <w:proofErr w:type="gramEnd"/>
      <w:r>
        <w:t xml:space="preserve"> </w:t>
      </w:r>
      <w:proofErr w:type="spellStart"/>
      <w:r>
        <w:t>bpróiseas</w:t>
      </w:r>
      <w:proofErr w:type="spellEnd"/>
      <w:r>
        <w:t xml:space="preserve">. </w:t>
      </w:r>
      <w:proofErr w:type="spellStart"/>
      <w:r>
        <w:t>Rinneadh</w:t>
      </w:r>
      <w:proofErr w:type="spellEnd"/>
      <w:r>
        <w:t xml:space="preserve"> </w:t>
      </w:r>
      <w:proofErr w:type="spellStart"/>
      <w:r>
        <w:t>na</w:t>
      </w:r>
      <w:proofErr w:type="spellEnd"/>
      <w:r>
        <w:t xml:space="preserve"> </w:t>
      </w:r>
      <w:proofErr w:type="spellStart"/>
      <w:r>
        <w:t>dréacht-threoirlínte</w:t>
      </w:r>
      <w:proofErr w:type="spellEnd"/>
      <w:r>
        <w:t xml:space="preserve"> a </w:t>
      </w:r>
      <w:proofErr w:type="spellStart"/>
      <w:r>
        <w:t>phíolótú</w:t>
      </w:r>
      <w:proofErr w:type="spellEnd"/>
      <w:r>
        <w:t xml:space="preserve"> </w:t>
      </w:r>
      <w:proofErr w:type="spellStart"/>
      <w:r>
        <w:t>i</w:t>
      </w:r>
      <w:proofErr w:type="spellEnd"/>
      <w:r>
        <w:t xml:space="preserve"> </w:t>
      </w:r>
      <w:proofErr w:type="spellStart"/>
      <w:r>
        <w:t>roinnt</w:t>
      </w:r>
      <w:proofErr w:type="spellEnd"/>
      <w:r>
        <w:t xml:space="preserve"> </w:t>
      </w:r>
      <w:proofErr w:type="spellStart"/>
      <w:r>
        <w:t>ranna</w:t>
      </w:r>
      <w:proofErr w:type="spellEnd"/>
      <w:r>
        <w:t xml:space="preserve"> </w:t>
      </w:r>
      <w:proofErr w:type="spellStart"/>
      <w:r>
        <w:t>i</w:t>
      </w:r>
      <w:proofErr w:type="spellEnd"/>
      <w:r>
        <w:t xml:space="preserve"> </w:t>
      </w:r>
      <w:proofErr w:type="spellStart"/>
      <w:r>
        <w:t>gcaitheamh</w:t>
      </w:r>
      <w:proofErr w:type="spellEnd"/>
      <w:r>
        <w:t xml:space="preserve"> </w:t>
      </w:r>
      <w:proofErr w:type="spellStart"/>
      <w:r>
        <w:t>na</w:t>
      </w:r>
      <w:proofErr w:type="spellEnd"/>
      <w:r>
        <w:t xml:space="preserve"> </w:t>
      </w:r>
      <w:proofErr w:type="spellStart"/>
      <w:r>
        <w:t>bliana</w:t>
      </w:r>
      <w:proofErr w:type="spellEnd"/>
      <w:r>
        <w:t xml:space="preserve"> 2011.  </w:t>
      </w:r>
      <w:proofErr w:type="spellStart"/>
      <w:r>
        <w:t>Foilseofar</w:t>
      </w:r>
      <w:proofErr w:type="spellEnd"/>
      <w:r>
        <w:t xml:space="preserve"> </w:t>
      </w:r>
      <w:proofErr w:type="spellStart"/>
      <w:r>
        <w:t>na</w:t>
      </w:r>
      <w:proofErr w:type="spellEnd"/>
      <w:r>
        <w:t xml:space="preserve"> </w:t>
      </w:r>
      <w:proofErr w:type="spellStart"/>
      <w:r>
        <w:t>treoirlínte</w:t>
      </w:r>
      <w:proofErr w:type="spellEnd"/>
      <w:r>
        <w:t xml:space="preserve"> </w:t>
      </w:r>
      <w:proofErr w:type="spellStart"/>
      <w:r>
        <w:t>sa</w:t>
      </w:r>
      <w:proofErr w:type="spellEnd"/>
      <w:r>
        <w:t xml:space="preserve"> </w:t>
      </w:r>
      <w:proofErr w:type="spellStart"/>
      <w:r>
        <w:t>bhliain</w:t>
      </w:r>
      <w:proofErr w:type="spellEnd"/>
      <w:r>
        <w:t xml:space="preserve"> 2012.</w:t>
      </w:r>
    </w:p>
    <w:p w14:paraId="64B836B3" w14:textId="77777777" w:rsidR="006C148C" w:rsidRDefault="006C148C">
      <w:pPr>
        <w:pStyle w:val="Heading2"/>
      </w:pPr>
      <w:bookmarkStart w:id="350" w:name="_Toc335836457"/>
      <w:proofErr w:type="spellStart"/>
      <w:r>
        <w:lastRenderedPageBreak/>
        <w:t>Seirbhísí</w:t>
      </w:r>
      <w:proofErr w:type="spellEnd"/>
      <w:r>
        <w:t xml:space="preserve"> </w:t>
      </w:r>
      <w:proofErr w:type="spellStart"/>
      <w:r>
        <w:t>tacaíochta</w:t>
      </w:r>
      <w:proofErr w:type="spellEnd"/>
      <w:r>
        <w:t xml:space="preserve"> </w:t>
      </w:r>
      <w:proofErr w:type="spellStart"/>
      <w:r>
        <w:t>Sláinte</w:t>
      </w:r>
      <w:proofErr w:type="spellEnd"/>
      <w:r>
        <w:t xml:space="preserve"> </w:t>
      </w:r>
      <w:proofErr w:type="spellStart"/>
      <w:r>
        <w:t>agus</w:t>
      </w:r>
      <w:proofErr w:type="spellEnd"/>
      <w:r>
        <w:t xml:space="preserve"> </w:t>
      </w:r>
      <w:proofErr w:type="spellStart"/>
      <w:r>
        <w:t>Míchumais</w:t>
      </w:r>
      <w:bookmarkEnd w:id="350"/>
      <w:proofErr w:type="spellEnd"/>
    </w:p>
    <w:p w14:paraId="0A17507D" w14:textId="77777777" w:rsidR="006C148C" w:rsidRDefault="006C148C">
      <w:pPr>
        <w:pStyle w:val="Heading3"/>
      </w:pPr>
      <w:bookmarkStart w:id="351" w:name="_Toc335836458"/>
      <w:proofErr w:type="spellStart"/>
      <w:r>
        <w:t>Measúnú</w:t>
      </w:r>
      <w:proofErr w:type="spellEnd"/>
      <w:r>
        <w:t xml:space="preserve"> </w:t>
      </w:r>
      <w:proofErr w:type="spellStart"/>
      <w:r>
        <w:t>ar</w:t>
      </w:r>
      <w:proofErr w:type="spellEnd"/>
      <w:r>
        <w:t xml:space="preserve"> </w:t>
      </w:r>
      <w:proofErr w:type="spellStart"/>
      <w:r>
        <w:t>Éileamh</w:t>
      </w:r>
      <w:bookmarkEnd w:id="351"/>
      <w:proofErr w:type="spellEnd"/>
    </w:p>
    <w:p w14:paraId="3B778E9F" w14:textId="77777777" w:rsidR="006C148C" w:rsidRDefault="006C148C">
      <w:r>
        <w:t xml:space="preserve">Chuaigh an </w:t>
      </w:r>
      <w:proofErr w:type="spellStart"/>
      <w:r>
        <w:t>tÚdarás</w:t>
      </w:r>
      <w:proofErr w:type="spellEnd"/>
      <w:r>
        <w:t xml:space="preserve"> Náisiúnta </w:t>
      </w:r>
      <w:proofErr w:type="spellStart"/>
      <w:r>
        <w:t>Míchumais</w:t>
      </w:r>
      <w:proofErr w:type="spellEnd"/>
      <w:r>
        <w:t xml:space="preserve"> i mbun </w:t>
      </w:r>
      <w:proofErr w:type="spellStart"/>
      <w:r>
        <w:t>tionscadail</w:t>
      </w:r>
      <w:proofErr w:type="spellEnd"/>
      <w:r>
        <w:t xml:space="preserve"> chun féachaint ar fheidhmiú phróiseas </w:t>
      </w:r>
      <w:proofErr w:type="spellStart"/>
      <w:r>
        <w:t>measúnaithe</w:t>
      </w:r>
      <w:proofErr w:type="spellEnd"/>
      <w:r>
        <w:t xml:space="preserve"> reachtúil ar éileamh faoin Acht </w:t>
      </w:r>
      <w:proofErr w:type="spellStart"/>
      <w:r>
        <w:t>Míchumais</w:t>
      </w:r>
      <w:proofErr w:type="spellEnd"/>
      <w:r>
        <w:t xml:space="preserve"> 2005. Rinneadh an saothar sin </w:t>
      </w:r>
      <w:proofErr w:type="spellStart"/>
      <w:r>
        <w:t>i</w:t>
      </w:r>
      <w:proofErr w:type="spellEnd"/>
      <w:r>
        <w:t xml:space="preserve"> </w:t>
      </w:r>
      <w:proofErr w:type="spellStart"/>
      <w:r>
        <w:t>gcomhpháirt</w:t>
      </w:r>
      <w:proofErr w:type="spellEnd"/>
      <w:r>
        <w:t xml:space="preserve"> leis an </w:t>
      </w:r>
      <w:proofErr w:type="spellStart"/>
      <w:r>
        <w:t>Roinn</w:t>
      </w:r>
      <w:proofErr w:type="spellEnd"/>
      <w:r>
        <w:t xml:space="preserve"> </w:t>
      </w:r>
      <w:proofErr w:type="spellStart"/>
      <w:r>
        <w:t>Sláinte</w:t>
      </w:r>
      <w:proofErr w:type="spellEnd"/>
      <w:r>
        <w:t xml:space="preserve"> (an </w:t>
      </w:r>
      <w:proofErr w:type="spellStart"/>
      <w:r>
        <w:t>Oifig</w:t>
      </w:r>
      <w:proofErr w:type="spellEnd"/>
      <w:r>
        <w:t xml:space="preserve"> </w:t>
      </w:r>
      <w:proofErr w:type="spellStart"/>
      <w:r>
        <w:t>Míchumais</w:t>
      </w:r>
      <w:proofErr w:type="spellEnd"/>
      <w:r>
        <w:t xml:space="preserve"> </w:t>
      </w:r>
      <w:proofErr w:type="spellStart"/>
      <w:r>
        <w:t>agus</w:t>
      </w:r>
      <w:proofErr w:type="spellEnd"/>
      <w:r>
        <w:t xml:space="preserve"> </w:t>
      </w:r>
      <w:proofErr w:type="spellStart"/>
      <w:r>
        <w:t>Meabhair-Shláinte</w:t>
      </w:r>
      <w:proofErr w:type="spellEnd"/>
      <w:r>
        <w:t xml:space="preserve">) </w:t>
      </w:r>
      <w:proofErr w:type="spellStart"/>
      <w:r>
        <w:t>agus</w:t>
      </w:r>
      <w:proofErr w:type="spellEnd"/>
      <w:r>
        <w:t xml:space="preserve"> le </w:t>
      </w:r>
      <w:proofErr w:type="spellStart"/>
      <w:r>
        <w:t>Feidhmeannacht</w:t>
      </w:r>
      <w:proofErr w:type="spellEnd"/>
      <w:r>
        <w:t xml:space="preserve"> </w:t>
      </w:r>
      <w:proofErr w:type="spellStart"/>
      <w:r>
        <w:t>na</w:t>
      </w:r>
      <w:proofErr w:type="spellEnd"/>
      <w:r>
        <w:t xml:space="preserve"> </w:t>
      </w:r>
      <w:proofErr w:type="spellStart"/>
      <w:r>
        <w:t>Seirbhíse</w:t>
      </w:r>
      <w:proofErr w:type="spellEnd"/>
      <w:r>
        <w:t xml:space="preserve"> </w:t>
      </w:r>
      <w:proofErr w:type="spellStart"/>
      <w:r>
        <w:t>Sláinte</w:t>
      </w:r>
      <w:proofErr w:type="spellEnd"/>
      <w:r>
        <w:t xml:space="preserve"> (an </w:t>
      </w:r>
      <w:proofErr w:type="spellStart"/>
      <w:r>
        <w:t>tAonad</w:t>
      </w:r>
      <w:proofErr w:type="spellEnd"/>
      <w:r>
        <w:t xml:space="preserve"> </w:t>
      </w:r>
      <w:proofErr w:type="spellStart"/>
      <w:r>
        <w:t>Náisiúnta</w:t>
      </w:r>
      <w:proofErr w:type="spellEnd"/>
      <w:r>
        <w:t xml:space="preserve"> </w:t>
      </w:r>
      <w:proofErr w:type="spellStart"/>
      <w:r>
        <w:t>Míchumais</w:t>
      </w:r>
      <w:proofErr w:type="spellEnd"/>
      <w:r>
        <w:t xml:space="preserve">). </w:t>
      </w:r>
    </w:p>
    <w:p w14:paraId="74A740FA" w14:textId="77777777" w:rsidR="006C148C" w:rsidRDefault="006C148C">
      <w:pPr>
        <w:pStyle w:val="NormalBeforeList"/>
      </w:pPr>
      <w:r>
        <w:t xml:space="preserve">Ba iad na príomh-aidhmeanna: </w:t>
      </w:r>
    </w:p>
    <w:p w14:paraId="4F74A125" w14:textId="77777777" w:rsidR="006C148C" w:rsidRDefault="006C148C">
      <w:pPr>
        <w:pStyle w:val="ListBullet"/>
      </w:pPr>
      <w:r>
        <w:t xml:space="preserve">tuairisciú faoi </w:t>
      </w:r>
      <w:proofErr w:type="spellStart"/>
      <w:r>
        <w:t>chleachtas</w:t>
      </w:r>
      <w:proofErr w:type="spellEnd"/>
      <w:r>
        <w:t xml:space="preserve"> agus tuiscintí </w:t>
      </w:r>
      <w:proofErr w:type="spellStart"/>
      <w:r>
        <w:t>pearsanra</w:t>
      </w:r>
      <w:proofErr w:type="spellEnd"/>
      <w:r>
        <w:t xml:space="preserve"> éagsúil ag a mbíonn baint le </w:t>
      </w:r>
      <w:proofErr w:type="spellStart"/>
      <w:r>
        <w:t>measúnú</w:t>
      </w:r>
      <w:proofErr w:type="spellEnd"/>
      <w:r>
        <w:t xml:space="preserve"> reachtúil ar éileamh</w:t>
      </w:r>
    </w:p>
    <w:p w14:paraId="4856D8B0" w14:textId="77777777" w:rsidR="006C148C" w:rsidRDefault="006C148C">
      <w:pPr>
        <w:pStyle w:val="ListBullet"/>
        <w:spacing w:after="240"/>
      </w:pPr>
      <w:r>
        <w:t xml:space="preserve">tuiscintí, spreagadh agus taithí tuismitheoirí ar phróiseas an </w:t>
      </w:r>
      <w:proofErr w:type="spellStart"/>
      <w:r>
        <w:t>mheasúnaithe</w:t>
      </w:r>
      <w:proofErr w:type="spellEnd"/>
      <w:r>
        <w:t xml:space="preserve"> reachtúil ar éileamh a thuiscint  </w:t>
      </w:r>
    </w:p>
    <w:p w14:paraId="46C3C662" w14:textId="77777777" w:rsidR="006C148C" w:rsidRDefault="006C148C">
      <w:r>
        <w:t xml:space="preserve">Bhain </w:t>
      </w:r>
      <w:proofErr w:type="spellStart"/>
      <w:r>
        <w:t>agallaimh</w:t>
      </w:r>
      <w:proofErr w:type="spellEnd"/>
      <w:r>
        <w:t xml:space="preserve"> aonair leis </w:t>
      </w:r>
      <w:proofErr w:type="gramStart"/>
      <w:r>
        <w:t>an</w:t>
      </w:r>
      <w:proofErr w:type="gramEnd"/>
      <w:r>
        <w:t xml:space="preserve"> saothar a rinneadh le réimse </w:t>
      </w:r>
      <w:proofErr w:type="spellStart"/>
      <w:r>
        <w:t>gairmeach</w:t>
      </w:r>
      <w:proofErr w:type="spellEnd"/>
      <w:r>
        <w:t xml:space="preserve"> ó ocht limistéar Oifig </w:t>
      </w:r>
      <w:proofErr w:type="spellStart"/>
      <w:r>
        <w:t>Sláinte</w:t>
      </w:r>
      <w:proofErr w:type="spellEnd"/>
      <w:r>
        <w:t xml:space="preserve"> </w:t>
      </w:r>
      <w:proofErr w:type="spellStart"/>
      <w:r>
        <w:t>Áitiúil</w:t>
      </w:r>
      <w:proofErr w:type="spellEnd"/>
      <w:r>
        <w:t xml:space="preserve"> </w:t>
      </w:r>
      <w:proofErr w:type="spellStart"/>
      <w:r>
        <w:t>ar</w:t>
      </w:r>
      <w:proofErr w:type="spellEnd"/>
      <w:r>
        <w:t xml:space="preserve"> fud </w:t>
      </w:r>
      <w:proofErr w:type="spellStart"/>
      <w:r>
        <w:t>na</w:t>
      </w:r>
      <w:proofErr w:type="spellEnd"/>
      <w:r>
        <w:t xml:space="preserve"> </w:t>
      </w:r>
      <w:proofErr w:type="spellStart"/>
      <w:r>
        <w:t>tíre</w:t>
      </w:r>
      <w:proofErr w:type="spellEnd"/>
      <w:r>
        <w:t xml:space="preserve"> </w:t>
      </w:r>
      <w:proofErr w:type="spellStart"/>
      <w:r>
        <w:t>agus</w:t>
      </w:r>
      <w:proofErr w:type="spellEnd"/>
      <w:r>
        <w:t xml:space="preserve"> </w:t>
      </w:r>
      <w:proofErr w:type="spellStart"/>
      <w:r>
        <w:t>agallaimh</w:t>
      </w:r>
      <w:proofErr w:type="spellEnd"/>
      <w:r>
        <w:t xml:space="preserve"> le </w:t>
      </w:r>
      <w:proofErr w:type="spellStart"/>
      <w:r>
        <w:t>tuismitheoirí</w:t>
      </w:r>
      <w:proofErr w:type="spellEnd"/>
      <w:r>
        <w:t xml:space="preserve"> a </w:t>
      </w:r>
      <w:proofErr w:type="spellStart"/>
      <w:r>
        <w:t>chuaigh</w:t>
      </w:r>
      <w:proofErr w:type="spellEnd"/>
      <w:r>
        <w:t xml:space="preserve"> </w:t>
      </w:r>
      <w:proofErr w:type="spellStart"/>
      <w:r>
        <w:t>trí</w:t>
      </w:r>
      <w:proofErr w:type="spellEnd"/>
      <w:r>
        <w:t xml:space="preserve"> </w:t>
      </w:r>
      <w:proofErr w:type="spellStart"/>
      <w:r>
        <w:t>phróiseas</w:t>
      </w:r>
      <w:proofErr w:type="spellEnd"/>
      <w:r>
        <w:t xml:space="preserve"> an </w:t>
      </w:r>
      <w:proofErr w:type="spellStart"/>
      <w:r>
        <w:t>mheasúnaithe</w:t>
      </w:r>
      <w:proofErr w:type="spellEnd"/>
      <w:r>
        <w:t xml:space="preserve"> </w:t>
      </w:r>
      <w:proofErr w:type="spellStart"/>
      <w:r>
        <w:t>reachtúil</w:t>
      </w:r>
      <w:proofErr w:type="spellEnd"/>
      <w:r>
        <w:t xml:space="preserve"> </w:t>
      </w:r>
      <w:proofErr w:type="spellStart"/>
      <w:r>
        <w:t>ar</w:t>
      </w:r>
      <w:proofErr w:type="spellEnd"/>
      <w:r>
        <w:t xml:space="preserve"> </w:t>
      </w:r>
      <w:proofErr w:type="spellStart"/>
      <w:r>
        <w:t>éileamh</w:t>
      </w:r>
      <w:proofErr w:type="spellEnd"/>
      <w:r>
        <w:t xml:space="preserve">. </w:t>
      </w:r>
    </w:p>
    <w:p w14:paraId="5F9E6D66" w14:textId="77777777" w:rsidR="006C148C" w:rsidRDefault="006C148C">
      <w:r>
        <w:t xml:space="preserve">Léiríonn na torthaí na dúshláin atá tar éis teacht aníos i bhfeidhmiú phróiseas an </w:t>
      </w:r>
      <w:proofErr w:type="spellStart"/>
      <w:r>
        <w:t>mheasúnaithe</w:t>
      </w:r>
      <w:proofErr w:type="spellEnd"/>
      <w:r>
        <w:t xml:space="preserve"> </w:t>
      </w:r>
      <w:proofErr w:type="spellStart"/>
      <w:r>
        <w:t>reachtúil</w:t>
      </w:r>
      <w:proofErr w:type="spellEnd"/>
      <w:r>
        <w:t xml:space="preserve"> </w:t>
      </w:r>
      <w:proofErr w:type="spellStart"/>
      <w:r>
        <w:t>ar</w:t>
      </w:r>
      <w:proofErr w:type="spellEnd"/>
      <w:r>
        <w:t xml:space="preserve"> </w:t>
      </w:r>
      <w:proofErr w:type="spellStart"/>
      <w:r>
        <w:t>éileamh</w:t>
      </w:r>
      <w:proofErr w:type="spellEnd"/>
      <w:r>
        <w:t xml:space="preserve">. </w:t>
      </w:r>
      <w:proofErr w:type="spellStart"/>
      <w:r>
        <w:t>Léiríonn</w:t>
      </w:r>
      <w:proofErr w:type="spellEnd"/>
      <w:r>
        <w:t xml:space="preserve"> </w:t>
      </w:r>
      <w:proofErr w:type="spellStart"/>
      <w:r>
        <w:t>siad</w:t>
      </w:r>
      <w:proofErr w:type="spellEnd"/>
      <w:r>
        <w:t xml:space="preserve"> </w:t>
      </w:r>
      <w:proofErr w:type="spellStart"/>
      <w:r>
        <w:t>freisin</w:t>
      </w:r>
      <w:proofErr w:type="spellEnd"/>
      <w:r>
        <w:t xml:space="preserve"> </w:t>
      </w:r>
      <w:proofErr w:type="spellStart"/>
      <w:r>
        <w:t>roinnt</w:t>
      </w:r>
      <w:proofErr w:type="spellEnd"/>
      <w:r>
        <w:t xml:space="preserve"> </w:t>
      </w:r>
      <w:proofErr w:type="spellStart"/>
      <w:r>
        <w:t>dea-chleachtais</w:t>
      </w:r>
      <w:proofErr w:type="spellEnd"/>
      <w:r>
        <w:t xml:space="preserve"> </w:t>
      </w:r>
      <w:proofErr w:type="spellStart"/>
      <w:r>
        <w:t>agus</w:t>
      </w:r>
      <w:proofErr w:type="spellEnd"/>
      <w:r>
        <w:t xml:space="preserve"> </w:t>
      </w:r>
      <w:proofErr w:type="spellStart"/>
      <w:r>
        <w:t>nuálaíochtaí</w:t>
      </w:r>
      <w:proofErr w:type="spellEnd"/>
      <w:r>
        <w:t xml:space="preserve"> a </w:t>
      </w:r>
      <w:proofErr w:type="spellStart"/>
      <w:r>
        <w:t>bhfuiltear</w:t>
      </w:r>
      <w:proofErr w:type="spellEnd"/>
      <w:r>
        <w:t xml:space="preserve"> tar </w:t>
      </w:r>
      <w:proofErr w:type="spellStart"/>
      <w:r>
        <w:t>éis</w:t>
      </w:r>
      <w:proofErr w:type="spellEnd"/>
      <w:r>
        <w:t xml:space="preserve"> </w:t>
      </w:r>
      <w:proofErr w:type="spellStart"/>
      <w:r>
        <w:t>forbartha</w:t>
      </w:r>
      <w:proofErr w:type="spellEnd"/>
      <w:r>
        <w:t xml:space="preserve"> </w:t>
      </w:r>
      <w:proofErr w:type="spellStart"/>
      <w:r>
        <w:t>chun</w:t>
      </w:r>
      <w:proofErr w:type="spellEnd"/>
      <w:r>
        <w:t xml:space="preserve"> </w:t>
      </w:r>
      <w:proofErr w:type="spellStart"/>
      <w:r>
        <w:t>éilimh</w:t>
      </w:r>
      <w:proofErr w:type="spellEnd"/>
      <w:r>
        <w:t xml:space="preserve"> </w:t>
      </w:r>
      <w:proofErr w:type="spellStart"/>
      <w:r>
        <w:t>leanaí</w:t>
      </w:r>
      <w:proofErr w:type="spellEnd"/>
      <w:r>
        <w:t xml:space="preserve"> </w:t>
      </w:r>
      <w:proofErr w:type="spellStart"/>
      <w:r>
        <w:t>óga</w:t>
      </w:r>
      <w:proofErr w:type="spellEnd"/>
      <w:r>
        <w:t xml:space="preserve"> </w:t>
      </w:r>
      <w:proofErr w:type="spellStart"/>
      <w:r>
        <w:t>agus</w:t>
      </w:r>
      <w:proofErr w:type="spellEnd"/>
      <w:r>
        <w:t xml:space="preserve"> </w:t>
      </w:r>
      <w:proofErr w:type="spellStart"/>
      <w:r>
        <w:t>teaghlach</w:t>
      </w:r>
      <w:proofErr w:type="spellEnd"/>
      <w:r>
        <w:t xml:space="preserve"> a </w:t>
      </w:r>
      <w:proofErr w:type="spellStart"/>
      <w:r>
        <w:t>shásamh</w:t>
      </w:r>
      <w:proofErr w:type="spellEnd"/>
      <w:r>
        <w:t xml:space="preserve">, </w:t>
      </w:r>
      <w:proofErr w:type="spellStart"/>
      <w:r>
        <w:t>rud</w:t>
      </w:r>
      <w:proofErr w:type="spellEnd"/>
      <w:r>
        <w:t xml:space="preserve"> a </w:t>
      </w:r>
      <w:proofErr w:type="spellStart"/>
      <w:r>
        <w:t>chloíonn</w:t>
      </w:r>
      <w:proofErr w:type="spellEnd"/>
      <w:r>
        <w:t xml:space="preserve"> le </w:t>
      </w:r>
      <w:proofErr w:type="spellStart"/>
      <w:r>
        <w:t>ceangaltais</w:t>
      </w:r>
      <w:proofErr w:type="spellEnd"/>
      <w:r>
        <w:t xml:space="preserve"> </w:t>
      </w:r>
      <w:proofErr w:type="spellStart"/>
      <w:r>
        <w:t>dlíthiúla</w:t>
      </w:r>
      <w:proofErr w:type="spellEnd"/>
      <w:r>
        <w:t xml:space="preserve"> an </w:t>
      </w:r>
      <w:proofErr w:type="spellStart"/>
      <w:r>
        <w:t>tAcht</w:t>
      </w:r>
      <w:proofErr w:type="spellEnd"/>
      <w:r>
        <w:t xml:space="preserve"> </w:t>
      </w:r>
      <w:proofErr w:type="spellStart"/>
      <w:r>
        <w:t>Míchumais</w:t>
      </w:r>
      <w:proofErr w:type="spellEnd"/>
      <w:r>
        <w:t xml:space="preserve"> 2005. </w:t>
      </w:r>
      <w:proofErr w:type="spellStart"/>
      <w:r>
        <w:t>Foilseofar</w:t>
      </w:r>
      <w:proofErr w:type="spellEnd"/>
      <w:r>
        <w:t xml:space="preserve"> an </w:t>
      </w:r>
      <w:proofErr w:type="spellStart"/>
      <w:r>
        <w:t>tuarascáil</w:t>
      </w:r>
      <w:proofErr w:type="spellEnd"/>
      <w:r>
        <w:t xml:space="preserve"> ina </w:t>
      </w:r>
      <w:proofErr w:type="spellStart"/>
      <w:r>
        <w:t>hiomláine</w:t>
      </w:r>
      <w:proofErr w:type="spellEnd"/>
      <w:r>
        <w:t xml:space="preserve"> sa bhliain 2012.</w:t>
      </w:r>
    </w:p>
    <w:p w14:paraId="5BD7CD0D" w14:textId="77777777" w:rsidR="006C148C" w:rsidRDefault="006C148C">
      <w:pPr>
        <w:pStyle w:val="Heading3"/>
      </w:pPr>
      <w:bookmarkStart w:id="352" w:name="_Toc335836459"/>
      <w:r>
        <w:t xml:space="preserve">Cúram agus oideachas </w:t>
      </w:r>
      <w:proofErr w:type="spellStart"/>
      <w:r>
        <w:t>príomhshrutha</w:t>
      </w:r>
      <w:proofErr w:type="spellEnd"/>
      <w:r>
        <w:t xml:space="preserve"> don </w:t>
      </w:r>
      <w:proofErr w:type="spellStart"/>
      <w:r>
        <w:t>leanbhaois</w:t>
      </w:r>
      <w:proofErr w:type="spellEnd"/>
      <w:r>
        <w:t xml:space="preserve"> </w:t>
      </w:r>
      <w:proofErr w:type="spellStart"/>
      <w:r>
        <w:t>luath</w:t>
      </w:r>
      <w:bookmarkEnd w:id="352"/>
      <w:proofErr w:type="spellEnd"/>
    </w:p>
    <w:p w14:paraId="00E25440" w14:textId="77777777" w:rsidR="006C148C" w:rsidRDefault="006C148C">
      <w:r>
        <w:t xml:space="preserve">Ar iarratas ón Oifig don </w:t>
      </w:r>
      <w:proofErr w:type="spellStart"/>
      <w:r>
        <w:t>Mhíchumas</w:t>
      </w:r>
      <w:proofErr w:type="spellEnd"/>
      <w:r>
        <w:t xml:space="preserve"> agus Meabhair-Shláinte laistigh den </w:t>
      </w:r>
      <w:proofErr w:type="spellStart"/>
      <w:r>
        <w:t>Roinn</w:t>
      </w:r>
      <w:proofErr w:type="spellEnd"/>
      <w:r>
        <w:t xml:space="preserve"> </w:t>
      </w:r>
      <w:proofErr w:type="spellStart"/>
      <w:r>
        <w:t>Sláinte</w:t>
      </w:r>
      <w:proofErr w:type="spellEnd"/>
      <w:r>
        <w:t xml:space="preserve"> ab </w:t>
      </w:r>
      <w:proofErr w:type="spellStart"/>
      <w:r>
        <w:t>amhlaidh</w:t>
      </w:r>
      <w:proofErr w:type="spellEnd"/>
      <w:r>
        <w:t xml:space="preserve"> a </w:t>
      </w:r>
      <w:proofErr w:type="spellStart"/>
      <w:r>
        <w:t>chuir</w:t>
      </w:r>
      <w:proofErr w:type="spellEnd"/>
      <w:r>
        <w:t xml:space="preserve">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páipéar</w:t>
      </w:r>
      <w:proofErr w:type="spellEnd"/>
      <w:r>
        <w:t xml:space="preserve"> </w:t>
      </w:r>
      <w:proofErr w:type="spellStart"/>
      <w:r>
        <w:t>faisnéise</w:t>
      </w:r>
      <w:proofErr w:type="spellEnd"/>
      <w:r>
        <w:t xml:space="preserve"> </w:t>
      </w:r>
      <w:proofErr w:type="spellStart"/>
      <w:r>
        <w:t>i</w:t>
      </w:r>
      <w:proofErr w:type="spellEnd"/>
      <w:r>
        <w:t xml:space="preserve"> </w:t>
      </w:r>
      <w:proofErr w:type="spellStart"/>
      <w:r>
        <w:t>dtoll</w:t>
      </w:r>
      <w:proofErr w:type="spellEnd"/>
      <w:r>
        <w:t xml:space="preserve"> a </w:t>
      </w:r>
      <w:proofErr w:type="spellStart"/>
      <w:r>
        <w:t>chéile</w:t>
      </w:r>
      <w:proofErr w:type="spellEnd"/>
      <w:r>
        <w:t xml:space="preserve"> </w:t>
      </w:r>
      <w:proofErr w:type="spellStart"/>
      <w:r>
        <w:t>faoi</w:t>
      </w:r>
      <w:proofErr w:type="spellEnd"/>
      <w:r>
        <w:t xml:space="preserve"> </w:t>
      </w:r>
      <w:proofErr w:type="spellStart"/>
      <w:r>
        <w:t>chuimsiú</w:t>
      </w:r>
      <w:proofErr w:type="spellEnd"/>
      <w:r>
        <w:t xml:space="preserve"> </w:t>
      </w:r>
      <w:proofErr w:type="spellStart"/>
      <w:r>
        <w:t>leanaí</w:t>
      </w:r>
      <w:proofErr w:type="spellEnd"/>
      <w:r>
        <w:t xml:space="preserve"> le </w:t>
      </w:r>
      <w:proofErr w:type="spellStart"/>
      <w:r>
        <w:t>míchumas</w:t>
      </w:r>
      <w:proofErr w:type="spellEnd"/>
      <w:r>
        <w:t xml:space="preserve"> </w:t>
      </w:r>
      <w:proofErr w:type="spellStart"/>
      <w:r>
        <w:t>sa</w:t>
      </w:r>
      <w:proofErr w:type="spellEnd"/>
      <w:r>
        <w:t xml:space="preserve"> </w:t>
      </w:r>
      <w:proofErr w:type="spellStart"/>
      <w:r>
        <w:t>scéim</w:t>
      </w:r>
      <w:proofErr w:type="spellEnd"/>
      <w:r>
        <w:t xml:space="preserve"> </w:t>
      </w:r>
      <w:proofErr w:type="spellStart"/>
      <w:r>
        <w:t>Cúraim</w:t>
      </w:r>
      <w:proofErr w:type="spellEnd"/>
      <w:r>
        <w:t xml:space="preserve"> </w:t>
      </w:r>
      <w:proofErr w:type="spellStart"/>
      <w:r>
        <w:t>agus</w:t>
      </w:r>
      <w:proofErr w:type="spellEnd"/>
      <w:r>
        <w:t xml:space="preserve"> </w:t>
      </w:r>
      <w:proofErr w:type="spellStart"/>
      <w:r>
        <w:t>Oideachais</w:t>
      </w:r>
      <w:proofErr w:type="spellEnd"/>
      <w:r>
        <w:t xml:space="preserve"> </w:t>
      </w:r>
      <w:proofErr w:type="spellStart"/>
      <w:r>
        <w:t>Leanbhaoise</w:t>
      </w:r>
      <w:proofErr w:type="spellEnd"/>
      <w:r>
        <w:t xml:space="preserve"> </w:t>
      </w:r>
      <w:proofErr w:type="spellStart"/>
      <w:r>
        <w:t>Luaithe</w:t>
      </w:r>
      <w:proofErr w:type="spellEnd"/>
      <w:r>
        <w:t xml:space="preserve">. </w:t>
      </w:r>
      <w:proofErr w:type="spellStart"/>
      <w:r>
        <w:t>Bhí</w:t>
      </w:r>
      <w:proofErr w:type="spellEnd"/>
      <w:r>
        <w:t xml:space="preserve"> an </w:t>
      </w:r>
      <w:proofErr w:type="spellStart"/>
      <w:r>
        <w:t>páipéar</w:t>
      </w:r>
      <w:proofErr w:type="spellEnd"/>
      <w:r>
        <w:t xml:space="preserve"> </w:t>
      </w:r>
      <w:proofErr w:type="spellStart"/>
      <w:r>
        <w:t>faisnéise</w:t>
      </w:r>
      <w:proofErr w:type="spellEnd"/>
      <w:r>
        <w:t xml:space="preserve"> </w:t>
      </w:r>
      <w:proofErr w:type="spellStart"/>
      <w:r>
        <w:t>bunaithe</w:t>
      </w:r>
      <w:proofErr w:type="spellEnd"/>
      <w:r>
        <w:t xml:space="preserve"> </w:t>
      </w:r>
      <w:proofErr w:type="spellStart"/>
      <w:r>
        <w:t>ar</w:t>
      </w:r>
      <w:proofErr w:type="spellEnd"/>
      <w:r>
        <w:t xml:space="preserve"> </w:t>
      </w:r>
      <w:proofErr w:type="spellStart"/>
      <w:r>
        <w:t>fhianaise</w:t>
      </w:r>
      <w:proofErr w:type="spellEnd"/>
      <w:r>
        <w:t xml:space="preserve"> </w:t>
      </w:r>
      <w:proofErr w:type="spellStart"/>
      <w:r>
        <w:t>ón</w:t>
      </w:r>
      <w:proofErr w:type="spellEnd"/>
      <w:r>
        <w:t xml:space="preserve"> </w:t>
      </w:r>
      <w:proofErr w:type="spellStart"/>
      <w:r>
        <w:t>litríocht</w:t>
      </w:r>
      <w:proofErr w:type="spellEnd"/>
      <w:r>
        <w:t xml:space="preserve"> </w:t>
      </w:r>
      <w:proofErr w:type="spellStart"/>
      <w:r>
        <w:t>taighde</w:t>
      </w:r>
      <w:proofErr w:type="spellEnd"/>
      <w:r>
        <w:t xml:space="preserve"> </w:t>
      </w:r>
      <w:proofErr w:type="spellStart"/>
      <w:r>
        <w:t>agus</w:t>
      </w:r>
      <w:proofErr w:type="spellEnd"/>
      <w:r>
        <w:t xml:space="preserve"> ó </w:t>
      </w:r>
      <w:proofErr w:type="spellStart"/>
      <w:r>
        <w:t>fhianaise</w:t>
      </w:r>
      <w:proofErr w:type="spellEnd"/>
      <w:r>
        <w:t xml:space="preserve"> de </w:t>
      </w:r>
      <w:proofErr w:type="spellStart"/>
      <w:r>
        <w:t>chleachtadh</w:t>
      </w:r>
      <w:proofErr w:type="spellEnd"/>
      <w:r>
        <w:t xml:space="preserve"> </w:t>
      </w:r>
      <w:proofErr w:type="spellStart"/>
      <w:r>
        <w:t>scéimeanna</w:t>
      </w:r>
      <w:proofErr w:type="spellEnd"/>
      <w:r>
        <w:t xml:space="preserve"> </w:t>
      </w:r>
      <w:proofErr w:type="spellStart"/>
      <w:r>
        <w:t>comhchosúla</w:t>
      </w:r>
      <w:proofErr w:type="spellEnd"/>
      <w:r>
        <w:t xml:space="preserve"> arna </w:t>
      </w:r>
      <w:proofErr w:type="spellStart"/>
      <w:r>
        <w:t>riaradh</w:t>
      </w:r>
      <w:proofErr w:type="spellEnd"/>
      <w:r>
        <w:t xml:space="preserve"> </w:t>
      </w:r>
      <w:proofErr w:type="spellStart"/>
      <w:r>
        <w:t>i</w:t>
      </w:r>
      <w:proofErr w:type="spellEnd"/>
      <w:r>
        <w:t xml:space="preserve"> </w:t>
      </w:r>
      <w:proofErr w:type="spellStart"/>
      <w:r>
        <w:t>dtíortha</w:t>
      </w:r>
      <w:proofErr w:type="spellEnd"/>
      <w:r>
        <w:t xml:space="preserve"> </w:t>
      </w:r>
      <w:proofErr w:type="spellStart"/>
      <w:r>
        <w:t>eile</w:t>
      </w:r>
      <w:proofErr w:type="spellEnd"/>
      <w:r>
        <w:t>.</w:t>
      </w:r>
    </w:p>
    <w:p w14:paraId="05C6DDA4" w14:textId="77777777" w:rsidR="006C148C" w:rsidRDefault="006C148C">
      <w:pPr>
        <w:pStyle w:val="Heading3"/>
      </w:pPr>
      <w:bookmarkStart w:id="353" w:name="_Toc335836460"/>
      <w:proofErr w:type="spellStart"/>
      <w:r>
        <w:t>Comhairliúchán</w:t>
      </w:r>
      <w:proofErr w:type="spellEnd"/>
      <w:r>
        <w:t xml:space="preserve"> </w:t>
      </w:r>
      <w:proofErr w:type="spellStart"/>
      <w:r>
        <w:t>i</w:t>
      </w:r>
      <w:proofErr w:type="spellEnd"/>
      <w:r>
        <w:t xml:space="preserve"> </w:t>
      </w:r>
      <w:proofErr w:type="spellStart"/>
      <w:r>
        <w:t>leith</w:t>
      </w:r>
      <w:proofErr w:type="spellEnd"/>
      <w:r>
        <w:t xml:space="preserve"> </w:t>
      </w:r>
      <w:proofErr w:type="spellStart"/>
      <w:r>
        <w:t>Creatlaí</w:t>
      </w:r>
      <w:proofErr w:type="spellEnd"/>
      <w:r>
        <w:t xml:space="preserve"> </w:t>
      </w:r>
      <w:proofErr w:type="spellStart"/>
      <w:r>
        <w:t>Comisiúnaithe</w:t>
      </w:r>
      <w:proofErr w:type="spellEnd"/>
      <w:r>
        <w:t xml:space="preserve"> do </w:t>
      </w:r>
      <w:proofErr w:type="spellStart"/>
      <w:r>
        <w:t>Sheirbhísí</w:t>
      </w:r>
      <w:proofErr w:type="spellEnd"/>
      <w:r>
        <w:t xml:space="preserve"> </w:t>
      </w:r>
      <w:proofErr w:type="spellStart"/>
      <w:r>
        <w:t>Míchumais</w:t>
      </w:r>
      <w:bookmarkEnd w:id="353"/>
      <w:proofErr w:type="spellEnd"/>
      <w:r>
        <w:t xml:space="preserve"> </w:t>
      </w:r>
    </w:p>
    <w:p w14:paraId="39318D82" w14:textId="77777777" w:rsidR="006C148C" w:rsidRDefault="006C148C">
      <w:r>
        <w:t xml:space="preserve">Is bealach é an </w:t>
      </w:r>
      <w:proofErr w:type="spellStart"/>
      <w:r>
        <w:t>coimisiúnú</w:t>
      </w:r>
      <w:proofErr w:type="spellEnd"/>
      <w:r>
        <w:t xml:space="preserve"> </w:t>
      </w:r>
      <w:proofErr w:type="spellStart"/>
      <w:r>
        <w:t>trínar</w:t>
      </w:r>
      <w:proofErr w:type="spellEnd"/>
      <w:r>
        <w:t xml:space="preserve"> féidir pleanáil do </w:t>
      </w:r>
      <w:proofErr w:type="spellStart"/>
      <w:r>
        <w:t>sheirbhísí</w:t>
      </w:r>
      <w:proofErr w:type="spellEnd"/>
      <w:r>
        <w:t xml:space="preserve"> tacaíochta sóisialta agus </w:t>
      </w:r>
      <w:proofErr w:type="spellStart"/>
      <w:r>
        <w:t>trínar</w:t>
      </w:r>
      <w:proofErr w:type="spellEnd"/>
      <w:r>
        <w:t xml:space="preserve"> féidir iad a </w:t>
      </w:r>
      <w:proofErr w:type="spellStart"/>
      <w:r>
        <w:t>chistiú</w:t>
      </w:r>
      <w:proofErr w:type="spellEnd"/>
      <w:r>
        <w:t xml:space="preserve">.  </w:t>
      </w:r>
      <w:proofErr w:type="spellStart"/>
      <w:r>
        <w:t>Aithníodh</w:t>
      </w:r>
      <w:proofErr w:type="spellEnd"/>
      <w:r>
        <w:t xml:space="preserve"> in </w:t>
      </w:r>
      <w:proofErr w:type="spellStart"/>
      <w:r>
        <w:t>aithbhreithniú</w:t>
      </w:r>
      <w:proofErr w:type="spellEnd"/>
      <w:r>
        <w:t xml:space="preserve"> an </w:t>
      </w:r>
      <w:proofErr w:type="spellStart"/>
      <w:r>
        <w:t>Údaráis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ar</w:t>
      </w:r>
      <w:proofErr w:type="spellEnd"/>
      <w:r>
        <w:t xml:space="preserve"> </w:t>
      </w:r>
      <w:proofErr w:type="spellStart"/>
      <w:r>
        <w:t>chórais</w:t>
      </w:r>
      <w:proofErr w:type="spellEnd"/>
      <w:r>
        <w:t xml:space="preserve"> </w:t>
      </w:r>
      <w:proofErr w:type="spellStart"/>
      <w:r>
        <w:t>seirbhíse</w:t>
      </w:r>
      <w:proofErr w:type="spellEnd"/>
      <w:r>
        <w:t xml:space="preserve"> </w:t>
      </w:r>
      <w:proofErr w:type="spellStart"/>
      <w:r>
        <w:t>míchumais</w:t>
      </w:r>
      <w:proofErr w:type="spellEnd"/>
      <w:r>
        <w:t xml:space="preserve"> </w:t>
      </w:r>
      <w:proofErr w:type="spellStart"/>
      <w:r>
        <w:t>chomhaimseartha</w:t>
      </w:r>
      <w:proofErr w:type="spellEnd"/>
      <w:r>
        <w:t xml:space="preserve">, a </w:t>
      </w:r>
      <w:proofErr w:type="spellStart"/>
      <w:r>
        <w:t>thugadh</w:t>
      </w:r>
      <w:proofErr w:type="spellEnd"/>
      <w:r>
        <w:t xml:space="preserve"> </w:t>
      </w:r>
      <w:proofErr w:type="spellStart"/>
      <w:r>
        <w:t>chun</w:t>
      </w:r>
      <w:proofErr w:type="spellEnd"/>
      <w:r>
        <w:t xml:space="preserve"> </w:t>
      </w:r>
      <w:proofErr w:type="spellStart"/>
      <w:r>
        <w:t>críche</w:t>
      </w:r>
      <w:proofErr w:type="spellEnd"/>
      <w:r>
        <w:t xml:space="preserve"> </w:t>
      </w:r>
      <w:proofErr w:type="spellStart"/>
      <w:r>
        <w:t>sa</w:t>
      </w:r>
      <w:proofErr w:type="spellEnd"/>
      <w:r>
        <w:t xml:space="preserve"> </w:t>
      </w:r>
      <w:proofErr w:type="spellStart"/>
      <w:r>
        <w:t>bhliain</w:t>
      </w:r>
      <w:proofErr w:type="spellEnd"/>
      <w:r>
        <w:t xml:space="preserve"> 2010, </w:t>
      </w:r>
      <w:proofErr w:type="gramStart"/>
      <w:r>
        <w:t>an</w:t>
      </w:r>
      <w:proofErr w:type="gramEnd"/>
      <w:r>
        <w:t xml:space="preserve"> </w:t>
      </w:r>
      <w:proofErr w:type="spellStart"/>
      <w:r>
        <w:t>coimisiúnú</w:t>
      </w:r>
      <w:proofErr w:type="spellEnd"/>
      <w:r>
        <w:t xml:space="preserve"> mar </w:t>
      </w:r>
      <w:proofErr w:type="spellStart"/>
      <w:r>
        <w:t>cheann</w:t>
      </w:r>
      <w:proofErr w:type="spellEnd"/>
      <w:r>
        <w:t xml:space="preserve"> de </w:t>
      </w:r>
      <w:proofErr w:type="spellStart"/>
      <w:r>
        <w:t>na</w:t>
      </w:r>
      <w:proofErr w:type="spellEnd"/>
      <w:r>
        <w:t xml:space="preserve"> </w:t>
      </w:r>
      <w:proofErr w:type="spellStart"/>
      <w:r>
        <w:t>bealaí</w:t>
      </w:r>
      <w:proofErr w:type="spellEnd"/>
      <w:r>
        <w:t xml:space="preserve"> </w:t>
      </w:r>
      <w:proofErr w:type="spellStart"/>
      <w:r>
        <w:t>ina</w:t>
      </w:r>
      <w:proofErr w:type="spellEnd"/>
      <w:r>
        <w:t xml:space="preserve"> </w:t>
      </w:r>
      <w:proofErr w:type="spellStart"/>
      <w:r>
        <w:t>gcistíonn</w:t>
      </w:r>
      <w:proofErr w:type="spellEnd"/>
      <w:r>
        <w:t xml:space="preserve"> </w:t>
      </w:r>
      <w:proofErr w:type="spellStart"/>
      <w:r>
        <w:t>dlínsí</w:t>
      </w:r>
      <w:proofErr w:type="spellEnd"/>
      <w:r>
        <w:t xml:space="preserve"> </w:t>
      </w:r>
      <w:proofErr w:type="spellStart"/>
      <w:r>
        <w:t>eile</w:t>
      </w:r>
      <w:proofErr w:type="spellEnd"/>
      <w:r>
        <w:t xml:space="preserve"> </w:t>
      </w:r>
      <w:proofErr w:type="spellStart"/>
      <w:r>
        <w:t>na</w:t>
      </w:r>
      <w:proofErr w:type="spellEnd"/>
      <w:r>
        <w:t xml:space="preserve"> </w:t>
      </w:r>
      <w:proofErr w:type="spellStart"/>
      <w:r>
        <w:t>seirbhísí</w:t>
      </w:r>
      <w:proofErr w:type="spellEnd"/>
      <w:r>
        <w:t xml:space="preserve"> </w:t>
      </w:r>
      <w:proofErr w:type="spellStart"/>
      <w:r>
        <w:t>míchumais</w:t>
      </w:r>
      <w:proofErr w:type="spellEnd"/>
      <w:r>
        <w:t xml:space="preserve">. </w:t>
      </w:r>
    </w:p>
    <w:p w14:paraId="3D0E8AA7" w14:textId="77777777" w:rsidR="006C148C" w:rsidRDefault="006C148C" w:rsidP="00892767">
      <w:pPr>
        <w:pStyle w:val="NormalBeforeList"/>
      </w:pPr>
      <w:r>
        <w:t xml:space="preserve">Chuaigh an </w:t>
      </w:r>
      <w:proofErr w:type="spellStart"/>
      <w:r>
        <w:t>tÚdarás</w:t>
      </w:r>
      <w:proofErr w:type="spellEnd"/>
      <w:r>
        <w:t xml:space="preserve"> Náisiúnta </w:t>
      </w:r>
      <w:proofErr w:type="spellStart"/>
      <w:r>
        <w:t>Míchumais</w:t>
      </w:r>
      <w:proofErr w:type="spellEnd"/>
      <w:r>
        <w:t xml:space="preserve"> </w:t>
      </w:r>
      <w:proofErr w:type="spellStart"/>
      <w:r>
        <w:t>i</w:t>
      </w:r>
      <w:proofErr w:type="spellEnd"/>
      <w:r>
        <w:t xml:space="preserve"> </w:t>
      </w:r>
      <w:proofErr w:type="spellStart"/>
      <w:r>
        <w:t>mbun</w:t>
      </w:r>
      <w:proofErr w:type="spellEnd"/>
      <w:r>
        <w:t xml:space="preserve"> </w:t>
      </w:r>
      <w:proofErr w:type="spellStart"/>
      <w:r>
        <w:t>próisis</w:t>
      </w:r>
      <w:proofErr w:type="spellEnd"/>
      <w:r>
        <w:t xml:space="preserve"> </w:t>
      </w:r>
      <w:proofErr w:type="spellStart"/>
      <w:r>
        <w:t>chomhairliúcháin</w:t>
      </w:r>
      <w:proofErr w:type="spellEnd"/>
      <w:r>
        <w:t xml:space="preserve"> </w:t>
      </w:r>
      <w:proofErr w:type="spellStart"/>
      <w:r>
        <w:t>sa</w:t>
      </w:r>
      <w:proofErr w:type="spellEnd"/>
      <w:r>
        <w:t xml:space="preserve"> </w:t>
      </w:r>
      <w:proofErr w:type="spellStart"/>
      <w:r>
        <w:t>bhliain</w:t>
      </w:r>
      <w:proofErr w:type="spellEnd"/>
      <w:r>
        <w:t xml:space="preserve"> 2011, </w:t>
      </w:r>
      <w:proofErr w:type="spellStart"/>
      <w:r>
        <w:t>ar</w:t>
      </w:r>
      <w:proofErr w:type="spellEnd"/>
      <w:r>
        <w:t xml:space="preserve"> </w:t>
      </w:r>
      <w:proofErr w:type="spellStart"/>
      <w:r>
        <w:t>choimisiúnú</w:t>
      </w:r>
      <w:proofErr w:type="spellEnd"/>
      <w:r>
        <w:t xml:space="preserve"> </w:t>
      </w:r>
      <w:proofErr w:type="spellStart"/>
      <w:r>
        <w:t>seirbhísí</w:t>
      </w:r>
      <w:proofErr w:type="spellEnd"/>
      <w:r>
        <w:t xml:space="preserve"> </w:t>
      </w:r>
      <w:proofErr w:type="spellStart"/>
      <w:r>
        <w:t>tacaíochta</w:t>
      </w:r>
      <w:proofErr w:type="spellEnd"/>
      <w:r>
        <w:t xml:space="preserve"> </w:t>
      </w:r>
      <w:proofErr w:type="spellStart"/>
      <w:r>
        <w:t>míchumais</w:t>
      </w:r>
      <w:proofErr w:type="spellEnd"/>
      <w:r>
        <w:t xml:space="preserve">. </w:t>
      </w:r>
      <w:proofErr w:type="spellStart"/>
      <w:r>
        <w:t>Áiríodh</w:t>
      </w:r>
      <w:proofErr w:type="spellEnd"/>
      <w:r>
        <w:t xml:space="preserve"> leis </w:t>
      </w:r>
      <w:proofErr w:type="gramStart"/>
      <w:r>
        <w:t>an</w:t>
      </w:r>
      <w:proofErr w:type="gramEnd"/>
      <w:r>
        <w:t xml:space="preserve"> </w:t>
      </w:r>
      <w:proofErr w:type="spellStart"/>
      <w:r>
        <w:t>bpróiseas</w:t>
      </w:r>
      <w:proofErr w:type="spellEnd"/>
      <w:r>
        <w:t xml:space="preserve"> </w:t>
      </w:r>
      <w:proofErr w:type="spellStart"/>
      <w:r>
        <w:t>comhairliúcháin</w:t>
      </w:r>
      <w:proofErr w:type="spellEnd"/>
      <w:r>
        <w:t>:</w:t>
      </w:r>
    </w:p>
    <w:p w14:paraId="71E9FBC3" w14:textId="77777777" w:rsidR="006C148C" w:rsidRDefault="006C148C">
      <w:pPr>
        <w:pStyle w:val="ListBullet"/>
      </w:pPr>
      <w:r>
        <w:lastRenderedPageBreak/>
        <w:t xml:space="preserve">páipéar </w:t>
      </w:r>
      <w:proofErr w:type="spellStart"/>
      <w:r>
        <w:t>réamhphlé</w:t>
      </w:r>
      <w:proofErr w:type="spellEnd"/>
      <w:r>
        <w:t xml:space="preserve"> a fhorbairt i </w:t>
      </w:r>
      <w:proofErr w:type="spellStart"/>
      <w:r>
        <w:t>leith</w:t>
      </w:r>
      <w:proofErr w:type="spellEnd"/>
      <w:r>
        <w:t xml:space="preserve"> </w:t>
      </w:r>
      <w:proofErr w:type="spellStart"/>
      <w:r>
        <w:t>choimisiúnú</w:t>
      </w:r>
      <w:proofErr w:type="spellEnd"/>
      <w:r>
        <w:t xml:space="preserve"> </w:t>
      </w:r>
      <w:proofErr w:type="spellStart"/>
      <w:r>
        <w:t>na</w:t>
      </w:r>
      <w:proofErr w:type="spellEnd"/>
      <w:r>
        <w:t xml:space="preserve"> </w:t>
      </w:r>
      <w:proofErr w:type="spellStart"/>
      <w:r>
        <w:t>seirbhísí</w:t>
      </w:r>
      <w:proofErr w:type="spellEnd"/>
      <w:r>
        <w:t xml:space="preserve"> </w:t>
      </w:r>
      <w:proofErr w:type="spellStart"/>
      <w:r>
        <w:t>míchumais</w:t>
      </w:r>
      <w:proofErr w:type="spellEnd"/>
      <w:r>
        <w:t xml:space="preserve"> </w:t>
      </w:r>
      <w:proofErr w:type="spellStart"/>
      <w:proofErr w:type="gramStart"/>
      <w:r>
        <w:t>agus</w:t>
      </w:r>
      <w:proofErr w:type="spellEnd"/>
      <w:r>
        <w:t xml:space="preserve">  é</w:t>
      </w:r>
      <w:proofErr w:type="gramEnd"/>
      <w:r>
        <w:t xml:space="preserve"> a </w:t>
      </w:r>
      <w:proofErr w:type="spellStart"/>
      <w:r>
        <w:t>scaipeadh</w:t>
      </w:r>
      <w:proofErr w:type="spellEnd"/>
      <w:r>
        <w:t xml:space="preserve"> </w:t>
      </w:r>
      <w:proofErr w:type="spellStart"/>
      <w:r>
        <w:t>i</w:t>
      </w:r>
      <w:proofErr w:type="spellEnd"/>
      <w:r>
        <w:t xml:space="preserve"> </w:t>
      </w:r>
      <w:proofErr w:type="spellStart"/>
      <w:r>
        <w:t>measc</w:t>
      </w:r>
      <w:proofErr w:type="spellEnd"/>
      <w:r>
        <w:t xml:space="preserve"> </w:t>
      </w:r>
      <w:proofErr w:type="spellStart"/>
      <w:r>
        <w:t>geallsealbhóirí</w:t>
      </w:r>
      <w:proofErr w:type="spellEnd"/>
      <w:r>
        <w:t xml:space="preserve"> </w:t>
      </w:r>
      <w:proofErr w:type="spellStart"/>
      <w:r>
        <w:t>lena</w:t>
      </w:r>
      <w:proofErr w:type="spellEnd"/>
      <w:r>
        <w:t xml:space="preserve"> </w:t>
      </w:r>
      <w:proofErr w:type="spellStart"/>
      <w:r>
        <w:t>dtuairimí</w:t>
      </w:r>
      <w:proofErr w:type="spellEnd"/>
      <w:r>
        <w:t xml:space="preserve"> a fháil</w:t>
      </w:r>
    </w:p>
    <w:p w14:paraId="386C528A" w14:textId="77777777" w:rsidR="006C148C" w:rsidRDefault="006C148C">
      <w:pPr>
        <w:pStyle w:val="ListBullet"/>
      </w:pPr>
      <w:r>
        <w:t xml:space="preserve">comparáid a dhéanamh idir freagraí ag grúpaí </w:t>
      </w:r>
      <w:proofErr w:type="spellStart"/>
      <w:r>
        <w:t>úsáideoirí</w:t>
      </w:r>
      <w:proofErr w:type="spellEnd"/>
      <w:r>
        <w:t xml:space="preserve"> seirbhíse agus </w:t>
      </w:r>
      <w:proofErr w:type="spellStart"/>
      <w:r>
        <w:t>soláthróirí</w:t>
      </w:r>
      <w:proofErr w:type="spellEnd"/>
      <w:r>
        <w:t xml:space="preserve"> seirbhíse do pháipéar “</w:t>
      </w:r>
      <w:proofErr w:type="spellStart"/>
      <w:r>
        <w:t>réamhthuairime</w:t>
      </w:r>
      <w:proofErr w:type="spellEnd"/>
      <w:r>
        <w:t xml:space="preserve">” an </w:t>
      </w:r>
      <w:proofErr w:type="spellStart"/>
      <w:r>
        <w:t>Údaráis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i</w:t>
      </w:r>
      <w:proofErr w:type="spellEnd"/>
      <w:r>
        <w:t xml:space="preserve"> </w:t>
      </w:r>
      <w:proofErr w:type="spellStart"/>
      <w:r>
        <w:t>leith</w:t>
      </w:r>
      <w:proofErr w:type="spellEnd"/>
      <w:r>
        <w:t xml:space="preserve"> </w:t>
      </w:r>
      <w:proofErr w:type="spellStart"/>
      <w:r>
        <w:t>seirbhísí</w:t>
      </w:r>
      <w:proofErr w:type="spellEnd"/>
      <w:r>
        <w:t xml:space="preserve"> </w:t>
      </w:r>
      <w:proofErr w:type="spellStart"/>
      <w:r>
        <w:t>coimisiúnaithe</w:t>
      </w:r>
      <w:proofErr w:type="spellEnd"/>
      <w:r>
        <w:t xml:space="preserve"> </w:t>
      </w:r>
      <w:proofErr w:type="spellStart"/>
      <w:r>
        <w:t>míchumais</w:t>
      </w:r>
      <w:proofErr w:type="spellEnd"/>
    </w:p>
    <w:p w14:paraId="2EA744C9" w14:textId="77777777" w:rsidR="006C148C" w:rsidRDefault="006C148C">
      <w:pPr>
        <w:pStyle w:val="ListBullet"/>
        <w:spacing w:after="240"/>
      </w:pPr>
      <w:r>
        <w:t xml:space="preserve">seimineár </w:t>
      </w:r>
      <w:proofErr w:type="spellStart"/>
      <w:r>
        <w:t>saineolach</w:t>
      </w:r>
      <w:proofErr w:type="spellEnd"/>
      <w:r>
        <w:t xml:space="preserve"> a chur in </w:t>
      </w:r>
      <w:proofErr w:type="spellStart"/>
      <w:r>
        <w:t>eagar</w:t>
      </w:r>
      <w:proofErr w:type="spellEnd"/>
      <w:r>
        <w:t xml:space="preserve"> </w:t>
      </w:r>
      <w:proofErr w:type="spellStart"/>
      <w:r>
        <w:t>ar</w:t>
      </w:r>
      <w:proofErr w:type="spellEnd"/>
      <w:r>
        <w:t xml:space="preserve"> </w:t>
      </w:r>
      <w:proofErr w:type="spellStart"/>
      <w:r>
        <w:t>choimisiúnú</w:t>
      </w:r>
      <w:proofErr w:type="spellEnd"/>
      <w:r>
        <w:t xml:space="preserve"> </w:t>
      </w:r>
      <w:proofErr w:type="spellStart"/>
      <w:r>
        <w:t>seirbhísí</w:t>
      </w:r>
      <w:proofErr w:type="spellEnd"/>
      <w:r>
        <w:t xml:space="preserve"> </w:t>
      </w:r>
      <w:proofErr w:type="spellStart"/>
      <w:r>
        <w:t>míchumais</w:t>
      </w:r>
      <w:proofErr w:type="spellEnd"/>
      <w:r>
        <w:t xml:space="preserve"> </w:t>
      </w:r>
    </w:p>
    <w:p w14:paraId="6206A5E3" w14:textId="77777777" w:rsidR="006C148C" w:rsidRPr="000230E8" w:rsidRDefault="006C148C">
      <w:pPr>
        <w:pStyle w:val="Heading3"/>
        <w:rPr>
          <w:lang w:val="de-DE"/>
        </w:rPr>
      </w:pPr>
      <w:bookmarkStart w:id="354" w:name="_Toc335836461"/>
      <w:r w:rsidRPr="000230E8">
        <w:rPr>
          <w:lang w:val="de-DE"/>
        </w:rPr>
        <w:t>Athbhreithniú ar an Acht Meabhair-Shláinte 2001</w:t>
      </w:r>
      <w:bookmarkEnd w:id="354"/>
    </w:p>
    <w:p w14:paraId="3416F19F" w14:textId="77777777" w:rsidR="006C148C" w:rsidRPr="000230E8" w:rsidRDefault="006C148C">
      <w:pPr>
        <w:rPr>
          <w:lang w:val="de-DE"/>
        </w:rPr>
      </w:pPr>
      <w:r w:rsidRPr="000230E8">
        <w:rPr>
          <w:lang w:val="de-DE"/>
        </w:rPr>
        <w:t xml:space="preserve">Rinne an tÚdarás Náisiúnta Míchumais aighneacht don Roinn Sláinte i mí Dheireadh Fómhair na bliana 2011, i ndáil leis an Athbhreithniú den Acht Meabhair-Shláinte 2001. Chuaigh an tÚdarás Náisiúnta Míchumais i ngleic le roinnt geallsealbhóirí mar chuid den phróiseas an aighneacht sin a mhúnlú, ar geallsealbhóirí iad ag a bhfuil baint leis an meabhair-shláinte – lena n-áirítear úsáideoirí seirbhíse, soláthróirí seirbhíse, tacadóirí agus eagrais – chun éisteacht lena dtuairimí maidir le feidhmiú an tAcht Meabhair-Shláinte 2001.   </w:t>
      </w:r>
    </w:p>
    <w:p w14:paraId="6F4039C6" w14:textId="77777777" w:rsidR="006C148C" w:rsidRDefault="006C148C">
      <w:pPr>
        <w:pStyle w:val="NormalBeforeList"/>
        <w:rPr>
          <w:lang w:val="en-GB"/>
        </w:rPr>
      </w:pPr>
      <w:proofErr w:type="spellStart"/>
      <w:r>
        <w:rPr>
          <w:lang w:val="en-GB"/>
        </w:rPr>
        <w:t>Áiríodh</w:t>
      </w:r>
      <w:proofErr w:type="spellEnd"/>
      <w:r>
        <w:rPr>
          <w:lang w:val="en-GB"/>
        </w:rPr>
        <w:t xml:space="preserve"> le roinnt </w:t>
      </w:r>
      <w:proofErr w:type="spellStart"/>
      <w:r>
        <w:rPr>
          <w:lang w:val="en-GB"/>
        </w:rPr>
        <w:t>d'eochaircheisteanna</w:t>
      </w:r>
      <w:proofErr w:type="spellEnd"/>
      <w:r>
        <w:rPr>
          <w:lang w:val="en-GB"/>
        </w:rPr>
        <w:t xml:space="preserve"> a léiríodh san aighneacht:</w:t>
      </w:r>
    </w:p>
    <w:p w14:paraId="0DF5590B" w14:textId="77777777" w:rsidR="006C148C" w:rsidRDefault="006C148C">
      <w:pPr>
        <w:pStyle w:val="ListBullet"/>
        <w:rPr>
          <w:lang w:val="en-GB"/>
        </w:rPr>
      </w:pPr>
      <w:r>
        <w:rPr>
          <w:lang w:val="en-GB"/>
        </w:rPr>
        <w:t xml:space="preserve">An gá go mbeadh an tAcht Meabhair-Shláinte 2001 </w:t>
      </w:r>
      <w:proofErr w:type="spellStart"/>
      <w:r>
        <w:rPr>
          <w:lang w:val="en-GB"/>
        </w:rPr>
        <w:t>comhsheasmhach</w:t>
      </w:r>
      <w:proofErr w:type="spellEnd"/>
      <w:r>
        <w:rPr>
          <w:lang w:val="en-GB"/>
        </w:rPr>
        <w:t xml:space="preserve"> leis </w:t>
      </w:r>
      <w:proofErr w:type="gramStart"/>
      <w:r>
        <w:rPr>
          <w:lang w:val="en-GB"/>
        </w:rPr>
        <w:t>an</w:t>
      </w:r>
      <w:proofErr w:type="gramEnd"/>
      <w:r>
        <w:rPr>
          <w:lang w:val="en-GB"/>
        </w:rPr>
        <w:t xml:space="preserve"> reachtaíocht </w:t>
      </w:r>
      <w:proofErr w:type="spellStart"/>
      <w:r>
        <w:rPr>
          <w:lang w:val="en-GB"/>
        </w:rPr>
        <w:t>mholta</w:t>
      </w:r>
      <w:proofErr w:type="spellEnd"/>
      <w:r>
        <w:rPr>
          <w:lang w:val="en-GB"/>
        </w:rPr>
        <w:t xml:space="preserve"> don </w:t>
      </w:r>
      <w:proofErr w:type="spellStart"/>
      <w:r>
        <w:rPr>
          <w:lang w:val="en-GB"/>
        </w:rPr>
        <w:t>inniúlacht</w:t>
      </w:r>
      <w:proofErr w:type="spellEnd"/>
      <w:r>
        <w:rPr>
          <w:lang w:val="en-GB"/>
        </w:rPr>
        <w:t xml:space="preserve"> </w:t>
      </w:r>
      <w:proofErr w:type="spellStart"/>
      <w:r>
        <w:rPr>
          <w:lang w:val="en-GB"/>
        </w:rPr>
        <w:t>meabhrach</w:t>
      </w:r>
      <w:proofErr w:type="spellEnd"/>
    </w:p>
    <w:p w14:paraId="1865B511" w14:textId="77777777" w:rsidR="006C148C" w:rsidRDefault="006C148C">
      <w:pPr>
        <w:pStyle w:val="ListBullet"/>
        <w:rPr>
          <w:lang w:val="en-GB"/>
        </w:rPr>
      </w:pPr>
      <w:r>
        <w:rPr>
          <w:lang w:val="en-GB"/>
        </w:rPr>
        <w:t xml:space="preserve">Seasamh leanaí agus daoine óga óna dteastaíonn seirbhísí meabhair-shláinte  </w:t>
      </w:r>
    </w:p>
    <w:p w14:paraId="10E01E40" w14:textId="77777777" w:rsidR="006C148C" w:rsidRDefault="006C148C">
      <w:pPr>
        <w:pStyle w:val="ListBullet"/>
        <w:rPr>
          <w:lang w:val="en-GB"/>
        </w:rPr>
      </w:pPr>
      <w:proofErr w:type="spellStart"/>
      <w:r>
        <w:rPr>
          <w:lang w:val="en-GB"/>
        </w:rPr>
        <w:t>Cosaintí</w:t>
      </w:r>
      <w:proofErr w:type="spellEnd"/>
      <w:r>
        <w:rPr>
          <w:lang w:val="en-GB"/>
        </w:rPr>
        <w:t xml:space="preserve"> do dhaoine le deacrachtaí meabhair-shláinte </w:t>
      </w:r>
      <w:proofErr w:type="spellStart"/>
      <w:r>
        <w:rPr>
          <w:lang w:val="en-GB"/>
        </w:rPr>
        <w:t>i</w:t>
      </w:r>
      <w:proofErr w:type="spellEnd"/>
      <w:r>
        <w:rPr>
          <w:lang w:val="en-GB"/>
        </w:rPr>
        <w:t xml:space="preserve"> </w:t>
      </w:r>
      <w:proofErr w:type="spellStart"/>
      <w:r>
        <w:rPr>
          <w:lang w:val="en-GB"/>
        </w:rPr>
        <w:t>ndáil</w:t>
      </w:r>
      <w:proofErr w:type="spellEnd"/>
      <w:r>
        <w:rPr>
          <w:lang w:val="en-GB"/>
        </w:rPr>
        <w:t xml:space="preserve"> le </w:t>
      </w:r>
      <w:proofErr w:type="spellStart"/>
      <w:r>
        <w:rPr>
          <w:lang w:val="en-GB"/>
        </w:rPr>
        <w:t>coinneáil</w:t>
      </w:r>
      <w:proofErr w:type="spellEnd"/>
      <w:r>
        <w:rPr>
          <w:lang w:val="en-GB"/>
        </w:rPr>
        <w:t xml:space="preserve">, </w:t>
      </w:r>
      <w:proofErr w:type="spellStart"/>
      <w:r>
        <w:rPr>
          <w:lang w:val="en-GB"/>
        </w:rPr>
        <w:t>cóir</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srianadh</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gcomhréir</w:t>
      </w:r>
      <w:proofErr w:type="spellEnd"/>
      <w:r>
        <w:rPr>
          <w:lang w:val="en-GB"/>
        </w:rPr>
        <w:t xml:space="preserve"> leis </w:t>
      </w:r>
      <w:proofErr w:type="gramStart"/>
      <w:r>
        <w:rPr>
          <w:lang w:val="en-GB"/>
        </w:rPr>
        <w:t>an</w:t>
      </w:r>
      <w:proofErr w:type="gramEnd"/>
      <w:r>
        <w:rPr>
          <w:lang w:val="en-GB"/>
        </w:rPr>
        <w:t xml:space="preserve"> </w:t>
      </w:r>
      <w:proofErr w:type="spellStart"/>
      <w:r>
        <w:rPr>
          <w:lang w:val="en-GB"/>
        </w:rPr>
        <w:t>dea-chleachtas</w:t>
      </w:r>
      <w:proofErr w:type="spellEnd"/>
      <w:r>
        <w:rPr>
          <w:lang w:val="en-GB"/>
        </w:rPr>
        <w:t xml:space="preserve"> </w:t>
      </w:r>
      <w:proofErr w:type="spellStart"/>
      <w:r>
        <w:rPr>
          <w:lang w:val="en-GB"/>
        </w:rPr>
        <w:t>idirnáisiúnta</w:t>
      </w:r>
      <w:proofErr w:type="spellEnd"/>
    </w:p>
    <w:p w14:paraId="00F54543" w14:textId="77777777" w:rsidR="006C148C" w:rsidRDefault="006C148C">
      <w:pPr>
        <w:pStyle w:val="ListBullet"/>
        <w:spacing w:after="240"/>
        <w:rPr>
          <w:lang w:val="en-GB"/>
        </w:rPr>
      </w:pPr>
      <w:r>
        <w:rPr>
          <w:lang w:val="en-GB"/>
        </w:rPr>
        <w:t xml:space="preserve">Síneadh </w:t>
      </w:r>
      <w:proofErr w:type="spellStart"/>
      <w:r>
        <w:rPr>
          <w:lang w:val="en-GB"/>
        </w:rPr>
        <w:t>sainchúraim</w:t>
      </w:r>
      <w:proofErr w:type="spellEnd"/>
      <w:r>
        <w:rPr>
          <w:lang w:val="en-GB"/>
        </w:rPr>
        <w:t xml:space="preserve"> an Choimisiúin Mheabhair-Shláinte agus na </w:t>
      </w:r>
      <w:proofErr w:type="spellStart"/>
      <w:r>
        <w:rPr>
          <w:lang w:val="en-GB"/>
        </w:rPr>
        <w:t>Cigireachta</w:t>
      </w:r>
      <w:proofErr w:type="spellEnd"/>
      <w:r>
        <w:rPr>
          <w:lang w:val="en-GB"/>
        </w:rPr>
        <w:t xml:space="preserve"> Meabhair-Shláinte agus </w:t>
      </w:r>
      <w:proofErr w:type="spellStart"/>
      <w:r>
        <w:rPr>
          <w:lang w:val="en-GB"/>
        </w:rPr>
        <w:t>ceadúnú</w:t>
      </w:r>
      <w:proofErr w:type="spellEnd"/>
      <w:r>
        <w:rPr>
          <w:lang w:val="en-GB"/>
        </w:rPr>
        <w:t xml:space="preserve"> </w:t>
      </w:r>
      <w:proofErr w:type="spellStart"/>
      <w:r>
        <w:rPr>
          <w:lang w:val="en-GB"/>
        </w:rPr>
        <w:t>gach</w:t>
      </w:r>
      <w:proofErr w:type="spellEnd"/>
      <w:r>
        <w:rPr>
          <w:lang w:val="en-GB"/>
        </w:rPr>
        <w:t xml:space="preserve"> </w:t>
      </w:r>
      <w:proofErr w:type="spellStart"/>
      <w:r>
        <w:rPr>
          <w:lang w:val="en-GB"/>
        </w:rPr>
        <w:t>seirbhí</w:t>
      </w:r>
      <w:proofErr w:type="spellEnd"/>
      <w:r>
        <w:rPr>
          <w:lang w:val="en-GB"/>
        </w:rPr>
        <w:t xml:space="preserve"> </w:t>
      </w:r>
      <w:proofErr w:type="spellStart"/>
      <w:r>
        <w:rPr>
          <w:lang w:val="en-GB"/>
        </w:rPr>
        <w:t>meabhair-shláinte</w:t>
      </w:r>
      <w:proofErr w:type="spellEnd"/>
    </w:p>
    <w:p w14:paraId="5C6EBDCE" w14:textId="77777777" w:rsidR="006C148C" w:rsidRDefault="006C148C">
      <w:pPr>
        <w:pStyle w:val="Heading3"/>
      </w:pPr>
      <w:bookmarkStart w:id="355" w:name="_Toc335836462"/>
      <w:proofErr w:type="spellStart"/>
      <w:r>
        <w:t>Athbhreithniú</w:t>
      </w:r>
      <w:proofErr w:type="spellEnd"/>
      <w:r>
        <w:t xml:space="preserve"> </w:t>
      </w:r>
      <w:proofErr w:type="spellStart"/>
      <w:r>
        <w:t>Luacha</w:t>
      </w:r>
      <w:proofErr w:type="spellEnd"/>
      <w:r>
        <w:t xml:space="preserve"> </w:t>
      </w:r>
      <w:proofErr w:type="spellStart"/>
      <w:r>
        <w:t>Airgid</w:t>
      </w:r>
      <w:proofErr w:type="spellEnd"/>
      <w:r>
        <w:t xml:space="preserve"> </w:t>
      </w:r>
      <w:proofErr w:type="spellStart"/>
      <w:r>
        <w:t>ar</w:t>
      </w:r>
      <w:proofErr w:type="spellEnd"/>
      <w:r>
        <w:t xml:space="preserve"> </w:t>
      </w:r>
      <w:proofErr w:type="spellStart"/>
      <w:r>
        <w:t>sheirbhísí</w:t>
      </w:r>
      <w:proofErr w:type="spellEnd"/>
      <w:r>
        <w:t xml:space="preserve"> </w:t>
      </w:r>
      <w:proofErr w:type="spellStart"/>
      <w:r>
        <w:t>tacaíochta</w:t>
      </w:r>
      <w:proofErr w:type="spellEnd"/>
      <w:r>
        <w:t xml:space="preserve"> </w:t>
      </w:r>
      <w:proofErr w:type="spellStart"/>
      <w:r>
        <w:t>míchumais</w:t>
      </w:r>
      <w:bookmarkEnd w:id="355"/>
      <w:proofErr w:type="spellEnd"/>
      <w:r>
        <w:t xml:space="preserve">                      </w:t>
      </w:r>
    </w:p>
    <w:p w14:paraId="1F7476F5" w14:textId="77777777" w:rsidR="006C148C" w:rsidRDefault="006C148C">
      <w:pPr>
        <w:rPr>
          <w:rFonts w:ascii="Helv" w:hAnsi="Helv" w:cs="Helv"/>
          <w:b/>
          <w:bCs/>
          <w:color w:val="000000"/>
          <w:sz w:val="20"/>
          <w:szCs w:val="20"/>
        </w:rPr>
      </w:pPr>
      <w:r>
        <w:t xml:space="preserve">Rinne an </w:t>
      </w:r>
      <w:proofErr w:type="spellStart"/>
      <w:r>
        <w:t>tÚdarás</w:t>
      </w:r>
      <w:proofErr w:type="spellEnd"/>
      <w:r>
        <w:t xml:space="preserve"> Náisiúnta </w:t>
      </w:r>
      <w:proofErr w:type="spellStart"/>
      <w:r>
        <w:t>Míchumais</w:t>
      </w:r>
      <w:proofErr w:type="spellEnd"/>
      <w:r>
        <w:t xml:space="preserve"> </w:t>
      </w:r>
      <w:proofErr w:type="spellStart"/>
      <w:r>
        <w:t>rannchur</w:t>
      </w:r>
      <w:proofErr w:type="spellEnd"/>
      <w:r>
        <w:t xml:space="preserve"> nach beag, le dhá bhliain anuas, chun athbhreithniú ar </w:t>
      </w:r>
      <w:proofErr w:type="spellStart"/>
      <w:r>
        <w:t>bheartas</w:t>
      </w:r>
      <w:proofErr w:type="spellEnd"/>
      <w:r>
        <w:t xml:space="preserve"> </w:t>
      </w:r>
      <w:proofErr w:type="spellStart"/>
      <w:r>
        <w:t>na</w:t>
      </w:r>
      <w:proofErr w:type="spellEnd"/>
      <w:r>
        <w:t xml:space="preserve"> </w:t>
      </w:r>
      <w:proofErr w:type="spellStart"/>
      <w:r>
        <w:t>seirbhíse</w:t>
      </w:r>
      <w:proofErr w:type="spellEnd"/>
      <w:r>
        <w:t xml:space="preserve"> </w:t>
      </w:r>
      <w:proofErr w:type="spellStart"/>
      <w:r>
        <w:t>míchumais</w:t>
      </w:r>
      <w:proofErr w:type="spellEnd"/>
      <w:r>
        <w:t xml:space="preserve"> a </w:t>
      </w:r>
      <w:proofErr w:type="spellStart"/>
      <w:r>
        <w:t>threorú</w:t>
      </w:r>
      <w:proofErr w:type="spellEnd"/>
      <w:r>
        <w:t xml:space="preserve"> mar </w:t>
      </w:r>
      <w:proofErr w:type="spellStart"/>
      <w:r>
        <w:t>chuid</w:t>
      </w:r>
      <w:proofErr w:type="spellEnd"/>
      <w:r>
        <w:t xml:space="preserve"> </w:t>
      </w:r>
      <w:proofErr w:type="spellStart"/>
      <w:r>
        <w:t>d'Athbhreithniú</w:t>
      </w:r>
      <w:proofErr w:type="spellEnd"/>
      <w:r>
        <w:t xml:space="preserve"> </w:t>
      </w:r>
      <w:proofErr w:type="spellStart"/>
      <w:r>
        <w:t>ní</w:t>
      </w:r>
      <w:proofErr w:type="spellEnd"/>
      <w:r>
        <w:t xml:space="preserve"> </w:t>
      </w:r>
      <w:proofErr w:type="spellStart"/>
      <w:r>
        <w:t>b'fhorleithne</w:t>
      </w:r>
      <w:proofErr w:type="spellEnd"/>
      <w:r>
        <w:t xml:space="preserve"> </w:t>
      </w:r>
      <w:proofErr w:type="spellStart"/>
      <w:r>
        <w:t>na</w:t>
      </w:r>
      <w:proofErr w:type="spellEnd"/>
      <w:r>
        <w:t xml:space="preserve"> </w:t>
      </w:r>
      <w:proofErr w:type="spellStart"/>
      <w:r>
        <w:t>Roinne</w:t>
      </w:r>
      <w:proofErr w:type="spellEnd"/>
      <w:r>
        <w:t xml:space="preserve"> </w:t>
      </w:r>
      <w:proofErr w:type="spellStart"/>
      <w:r>
        <w:t>Sláinte</w:t>
      </w:r>
      <w:proofErr w:type="spellEnd"/>
      <w:r>
        <w:t xml:space="preserve"> do </w:t>
      </w:r>
      <w:proofErr w:type="spellStart"/>
      <w:r>
        <w:t>Luach</w:t>
      </w:r>
      <w:proofErr w:type="spellEnd"/>
      <w:r>
        <w:t xml:space="preserve"> </w:t>
      </w:r>
      <w:proofErr w:type="spellStart"/>
      <w:r>
        <w:t>Airgid</w:t>
      </w:r>
      <w:proofErr w:type="spellEnd"/>
      <w:r>
        <w:t xml:space="preserve"> </w:t>
      </w:r>
      <w:proofErr w:type="spellStart"/>
      <w:r>
        <w:t>agus</w:t>
      </w:r>
      <w:proofErr w:type="spellEnd"/>
      <w:r>
        <w:t xml:space="preserve"> </w:t>
      </w:r>
      <w:proofErr w:type="spellStart"/>
      <w:r>
        <w:t>Beartas</w:t>
      </w:r>
      <w:proofErr w:type="spellEnd"/>
      <w:r>
        <w:t xml:space="preserve"> </w:t>
      </w:r>
      <w:proofErr w:type="spellStart"/>
      <w:r>
        <w:t>i</w:t>
      </w:r>
      <w:proofErr w:type="spellEnd"/>
      <w:r>
        <w:t xml:space="preserve"> </w:t>
      </w:r>
      <w:proofErr w:type="spellStart"/>
      <w:r>
        <w:t>gcás</w:t>
      </w:r>
      <w:proofErr w:type="spellEnd"/>
      <w:r>
        <w:t xml:space="preserve"> </w:t>
      </w:r>
      <w:proofErr w:type="spellStart"/>
      <w:r>
        <w:t>na</w:t>
      </w:r>
      <w:proofErr w:type="spellEnd"/>
      <w:r>
        <w:t xml:space="preserve"> </w:t>
      </w:r>
      <w:proofErr w:type="spellStart"/>
      <w:r>
        <w:t>Seirbhísí</w:t>
      </w:r>
      <w:proofErr w:type="spellEnd"/>
      <w:r>
        <w:t xml:space="preserve"> </w:t>
      </w:r>
      <w:proofErr w:type="spellStart"/>
      <w:r>
        <w:t>Míchumais</w:t>
      </w:r>
      <w:proofErr w:type="spellEnd"/>
      <w:r>
        <w:t xml:space="preserve">. Tar </w:t>
      </w:r>
      <w:proofErr w:type="spellStart"/>
      <w:r>
        <w:t>éis</w:t>
      </w:r>
      <w:proofErr w:type="spellEnd"/>
      <w:r>
        <w:t xml:space="preserve"> </w:t>
      </w:r>
      <w:proofErr w:type="spellStart"/>
      <w:r>
        <w:t>foilsiú</w:t>
      </w:r>
      <w:proofErr w:type="spellEnd"/>
      <w:r>
        <w:t xml:space="preserve"> </w:t>
      </w:r>
      <w:proofErr w:type="spellStart"/>
      <w:r>
        <w:t>mholtaí</w:t>
      </w:r>
      <w:proofErr w:type="spellEnd"/>
      <w:r>
        <w:t xml:space="preserve"> </w:t>
      </w:r>
      <w:proofErr w:type="spellStart"/>
      <w:r>
        <w:t>beartais</w:t>
      </w:r>
      <w:proofErr w:type="spellEnd"/>
      <w:r>
        <w:t xml:space="preserve"> an </w:t>
      </w:r>
      <w:proofErr w:type="spellStart"/>
      <w:r>
        <w:t>ghrúpa</w:t>
      </w:r>
      <w:proofErr w:type="spellEnd"/>
      <w:r>
        <w:t xml:space="preserve"> </w:t>
      </w:r>
      <w:proofErr w:type="spellStart"/>
      <w:r>
        <w:t>oibre</w:t>
      </w:r>
      <w:proofErr w:type="spellEnd"/>
      <w:r>
        <w:t xml:space="preserve"> </w:t>
      </w:r>
      <w:proofErr w:type="spellStart"/>
      <w:r>
        <w:t>saineolaithe</w:t>
      </w:r>
      <w:proofErr w:type="spellEnd"/>
      <w:r>
        <w:t xml:space="preserve">, </w:t>
      </w:r>
      <w:proofErr w:type="spellStart"/>
      <w:r>
        <w:t>thaisc</w:t>
      </w:r>
      <w:proofErr w:type="spellEnd"/>
      <w:r>
        <w:t xml:space="preserve">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tuilleadh</w:t>
      </w:r>
      <w:proofErr w:type="spellEnd"/>
      <w:r>
        <w:t xml:space="preserve"> </w:t>
      </w:r>
      <w:proofErr w:type="spellStart"/>
      <w:r>
        <w:t>comhairle</w:t>
      </w:r>
      <w:proofErr w:type="spellEnd"/>
      <w:r>
        <w:t xml:space="preserve"> </w:t>
      </w:r>
      <w:proofErr w:type="spellStart"/>
      <w:r>
        <w:t>beartais</w:t>
      </w:r>
      <w:proofErr w:type="spellEnd"/>
      <w:r>
        <w:t xml:space="preserve"> </w:t>
      </w:r>
      <w:proofErr w:type="spellStart"/>
      <w:r>
        <w:t>i</w:t>
      </w:r>
      <w:proofErr w:type="spellEnd"/>
      <w:r>
        <w:t xml:space="preserve"> </w:t>
      </w:r>
      <w:proofErr w:type="spellStart"/>
      <w:r>
        <w:t>bpáipéar</w:t>
      </w:r>
      <w:proofErr w:type="spellEnd"/>
      <w:r>
        <w:t xml:space="preserve"> </w:t>
      </w:r>
      <w:proofErr w:type="spellStart"/>
      <w:r>
        <w:t>mhí</w:t>
      </w:r>
      <w:proofErr w:type="spellEnd"/>
      <w:r>
        <w:t xml:space="preserve"> </w:t>
      </w:r>
      <w:proofErr w:type="spellStart"/>
      <w:r>
        <w:t>na</w:t>
      </w:r>
      <w:proofErr w:type="spellEnd"/>
      <w:r>
        <w:t xml:space="preserve"> </w:t>
      </w:r>
      <w:proofErr w:type="spellStart"/>
      <w:r>
        <w:t>Samhna</w:t>
      </w:r>
      <w:proofErr w:type="spellEnd"/>
      <w:r>
        <w:t xml:space="preserve"> 2011 mar </w:t>
      </w:r>
      <w:proofErr w:type="spellStart"/>
      <w:r>
        <w:t>fhreagra</w:t>
      </w:r>
      <w:proofErr w:type="spellEnd"/>
      <w:r>
        <w:t xml:space="preserve"> do </w:t>
      </w:r>
      <w:proofErr w:type="spellStart"/>
      <w:r>
        <w:t>chomhairliúchán</w:t>
      </w:r>
      <w:proofErr w:type="spellEnd"/>
      <w:r>
        <w:t xml:space="preserve"> </w:t>
      </w:r>
      <w:proofErr w:type="spellStart"/>
      <w:r>
        <w:t>na</w:t>
      </w:r>
      <w:proofErr w:type="spellEnd"/>
      <w:r>
        <w:t xml:space="preserve"> </w:t>
      </w:r>
      <w:proofErr w:type="spellStart"/>
      <w:r>
        <w:t>Roinne</w:t>
      </w:r>
      <w:proofErr w:type="spellEnd"/>
      <w:r>
        <w:t xml:space="preserve"> </w:t>
      </w:r>
      <w:proofErr w:type="spellStart"/>
      <w:r>
        <w:t>Sláinte</w:t>
      </w:r>
      <w:proofErr w:type="spellEnd"/>
      <w:r>
        <w:t xml:space="preserve"> </w:t>
      </w:r>
      <w:proofErr w:type="spellStart"/>
      <w:r>
        <w:t>i</w:t>
      </w:r>
      <w:proofErr w:type="spellEnd"/>
      <w:r>
        <w:t xml:space="preserve"> </w:t>
      </w:r>
      <w:proofErr w:type="spellStart"/>
      <w:r>
        <w:t>leith</w:t>
      </w:r>
      <w:proofErr w:type="spellEnd"/>
      <w:r>
        <w:t xml:space="preserve"> </w:t>
      </w:r>
      <w:proofErr w:type="spellStart"/>
      <w:r>
        <w:t>na</w:t>
      </w:r>
      <w:proofErr w:type="spellEnd"/>
      <w:r>
        <w:t xml:space="preserve"> </w:t>
      </w:r>
      <w:proofErr w:type="spellStart"/>
      <w:r>
        <w:t>moltaí</w:t>
      </w:r>
      <w:proofErr w:type="spellEnd"/>
      <w:r>
        <w:t xml:space="preserve"> </w:t>
      </w:r>
      <w:proofErr w:type="spellStart"/>
      <w:r>
        <w:t>úd</w:t>
      </w:r>
      <w:proofErr w:type="spellEnd"/>
      <w:r>
        <w:rPr>
          <w:rFonts w:ascii="Helv" w:hAnsi="Helv" w:cs="Helv"/>
          <w:b/>
          <w:bCs/>
          <w:color w:val="000000"/>
          <w:sz w:val="20"/>
          <w:szCs w:val="20"/>
        </w:rPr>
        <w:t>.</w:t>
      </w:r>
    </w:p>
    <w:p w14:paraId="52046241" w14:textId="77777777" w:rsidR="006C148C" w:rsidRDefault="006C148C">
      <w:r>
        <w:rPr>
          <w:bCs/>
        </w:rPr>
        <w:t xml:space="preserve">Léiríonn </w:t>
      </w:r>
      <w:r>
        <w:rPr>
          <w:b/>
          <w:bCs/>
        </w:rPr>
        <w:t xml:space="preserve">Tuarascáil an </w:t>
      </w:r>
      <w:proofErr w:type="spellStart"/>
      <w:r>
        <w:rPr>
          <w:b/>
          <w:bCs/>
        </w:rPr>
        <w:t>Athbhreithnithe</w:t>
      </w:r>
      <w:proofErr w:type="spellEnd"/>
      <w:r>
        <w:rPr>
          <w:b/>
          <w:bCs/>
        </w:rPr>
        <w:t xml:space="preserve"> um Beartas </w:t>
      </w:r>
      <w:proofErr w:type="spellStart"/>
      <w:r>
        <w:rPr>
          <w:b/>
          <w:bCs/>
        </w:rPr>
        <w:t>Míchumais</w:t>
      </w:r>
      <w:proofErr w:type="spellEnd"/>
      <w:r>
        <w:rPr>
          <w:b/>
          <w:bCs/>
        </w:rPr>
        <w:t xml:space="preserve"> </w:t>
      </w:r>
      <w:r>
        <w:t xml:space="preserve">den chuid is </w:t>
      </w:r>
      <w:proofErr w:type="spellStart"/>
      <w:r>
        <w:t>mó</w:t>
      </w:r>
      <w:proofErr w:type="spellEnd"/>
      <w:r>
        <w:t xml:space="preserve"> an </w:t>
      </w:r>
      <w:proofErr w:type="spellStart"/>
      <w:r>
        <w:t>treo</w:t>
      </w:r>
      <w:proofErr w:type="spellEnd"/>
      <w:r>
        <w:t xml:space="preserve"> </w:t>
      </w:r>
      <w:proofErr w:type="spellStart"/>
      <w:r>
        <w:t>straitéiseach</w:t>
      </w:r>
      <w:proofErr w:type="spellEnd"/>
      <w:r>
        <w:t xml:space="preserve"> a </w:t>
      </w:r>
      <w:proofErr w:type="spellStart"/>
      <w:r>
        <w:t>mholtar</w:t>
      </w:r>
      <w:proofErr w:type="spellEnd"/>
      <w:r>
        <w:t xml:space="preserve"> </w:t>
      </w:r>
      <w:proofErr w:type="spellStart"/>
      <w:r>
        <w:t>sa</w:t>
      </w:r>
      <w:proofErr w:type="spellEnd"/>
      <w:r>
        <w:t xml:space="preserve"> </w:t>
      </w:r>
      <w:proofErr w:type="spellStart"/>
      <w:r>
        <w:t>pháipéar</w:t>
      </w:r>
      <w:proofErr w:type="spellEnd"/>
      <w:r>
        <w:t xml:space="preserve"> comhairle a chuir an </w:t>
      </w:r>
      <w:proofErr w:type="spellStart"/>
      <w:r>
        <w:t>tÚdarás</w:t>
      </w:r>
      <w:proofErr w:type="spellEnd"/>
      <w:r>
        <w:t xml:space="preserve"> faoina bhráid sa bhliain 2010. D'fhear an </w:t>
      </w:r>
      <w:proofErr w:type="spellStart"/>
      <w:r>
        <w:t>tÚdarás</w:t>
      </w:r>
      <w:proofErr w:type="spellEnd"/>
      <w:r>
        <w:t xml:space="preserve"> Náisiúnta </w:t>
      </w:r>
      <w:proofErr w:type="spellStart"/>
      <w:r>
        <w:t>Míchumais</w:t>
      </w:r>
      <w:proofErr w:type="spellEnd"/>
      <w:r>
        <w:t xml:space="preserve"> fáilte </w:t>
      </w:r>
      <w:proofErr w:type="spellStart"/>
      <w:r>
        <w:t>freisin</w:t>
      </w:r>
      <w:proofErr w:type="spellEnd"/>
      <w:r>
        <w:t xml:space="preserve"> </w:t>
      </w:r>
      <w:proofErr w:type="spellStart"/>
      <w:r>
        <w:t>roimh</w:t>
      </w:r>
      <w:proofErr w:type="spellEnd"/>
      <w:r>
        <w:t xml:space="preserve"> an </w:t>
      </w:r>
      <w:proofErr w:type="spellStart"/>
      <w:r>
        <w:t>moladh</w:t>
      </w:r>
      <w:proofErr w:type="spellEnd"/>
      <w:r>
        <w:t xml:space="preserve"> </w:t>
      </w:r>
      <w:proofErr w:type="spellStart"/>
      <w:r>
        <w:t>sa</w:t>
      </w:r>
      <w:proofErr w:type="spellEnd"/>
      <w:r>
        <w:t xml:space="preserve"> </w:t>
      </w:r>
      <w:proofErr w:type="spellStart"/>
      <w:r>
        <w:t>pháipéar</w:t>
      </w:r>
      <w:proofErr w:type="spellEnd"/>
      <w:r>
        <w:t xml:space="preserve"> </w:t>
      </w:r>
      <w:proofErr w:type="spellStart"/>
      <w:r>
        <w:t>beartais</w:t>
      </w:r>
      <w:proofErr w:type="spellEnd"/>
      <w:r>
        <w:t xml:space="preserve"> </w:t>
      </w:r>
      <w:proofErr w:type="spellStart"/>
      <w:r>
        <w:t>faoi</w:t>
      </w:r>
      <w:proofErr w:type="spellEnd"/>
      <w:r>
        <w:t xml:space="preserve"> </w:t>
      </w:r>
      <w:proofErr w:type="spellStart"/>
      <w:r>
        <w:t>shaothrú</w:t>
      </w:r>
      <w:proofErr w:type="spellEnd"/>
      <w:r>
        <w:t xml:space="preserve"> le </w:t>
      </w:r>
      <w:proofErr w:type="spellStart"/>
      <w:r>
        <w:t>Lárionad</w:t>
      </w:r>
      <w:proofErr w:type="spellEnd"/>
      <w:r>
        <w:t xml:space="preserve"> an </w:t>
      </w:r>
      <w:proofErr w:type="spellStart"/>
      <w:r>
        <w:t>Údaráis</w:t>
      </w:r>
      <w:proofErr w:type="spellEnd"/>
      <w:r>
        <w:t xml:space="preserve"> </w:t>
      </w:r>
      <w:proofErr w:type="spellStart"/>
      <w:r>
        <w:t>Náisiúnta</w:t>
      </w:r>
      <w:proofErr w:type="spellEnd"/>
      <w:r>
        <w:t xml:space="preserve"> </w:t>
      </w:r>
      <w:proofErr w:type="spellStart"/>
      <w:r>
        <w:t>Míchumais</w:t>
      </w:r>
      <w:proofErr w:type="spellEnd"/>
      <w:r>
        <w:t xml:space="preserve"> don </w:t>
      </w:r>
      <w:proofErr w:type="spellStart"/>
      <w:r>
        <w:t>Fheabhas</w:t>
      </w:r>
      <w:proofErr w:type="spellEnd"/>
      <w:r>
        <w:t xml:space="preserve"> </w:t>
      </w:r>
      <w:proofErr w:type="spellStart"/>
      <w:r>
        <w:t>sa</w:t>
      </w:r>
      <w:proofErr w:type="spellEnd"/>
      <w:r>
        <w:t xml:space="preserve"> </w:t>
      </w:r>
      <w:proofErr w:type="spellStart"/>
      <w:r>
        <w:t>Dearadh</w:t>
      </w:r>
      <w:proofErr w:type="spellEnd"/>
      <w:r>
        <w:t xml:space="preserve"> </w:t>
      </w:r>
      <w:proofErr w:type="spellStart"/>
      <w:r>
        <w:t>Uilíoch</w:t>
      </w:r>
      <w:proofErr w:type="spellEnd"/>
      <w:r>
        <w:t xml:space="preserve"> </w:t>
      </w:r>
      <w:proofErr w:type="spellStart"/>
      <w:r>
        <w:t>faoin</w:t>
      </w:r>
      <w:proofErr w:type="spellEnd"/>
      <w:r>
        <w:t xml:space="preserve"> </w:t>
      </w:r>
      <w:proofErr w:type="spellStart"/>
      <w:r>
        <w:t>gciansláinte</w:t>
      </w:r>
      <w:proofErr w:type="spellEnd"/>
      <w:r>
        <w:t xml:space="preserve"> </w:t>
      </w:r>
      <w:proofErr w:type="spellStart"/>
      <w:r>
        <w:t>agus</w:t>
      </w:r>
      <w:proofErr w:type="spellEnd"/>
      <w:r>
        <w:t xml:space="preserve"> </w:t>
      </w:r>
      <w:proofErr w:type="spellStart"/>
      <w:r>
        <w:t>faoin</w:t>
      </w:r>
      <w:proofErr w:type="spellEnd"/>
      <w:r>
        <w:t xml:space="preserve"> </w:t>
      </w:r>
      <w:proofErr w:type="spellStart"/>
      <w:r>
        <w:t>gcianchúram</w:t>
      </w:r>
      <w:proofErr w:type="spellEnd"/>
      <w:r>
        <w:t>.</w:t>
      </w:r>
    </w:p>
    <w:p w14:paraId="0D3A3BDF" w14:textId="77777777" w:rsidR="006C148C" w:rsidRDefault="006C148C">
      <w:pPr>
        <w:pStyle w:val="NormalBeforeList"/>
      </w:pPr>
      <w:r>
        <w:lastRenderedPageBreak/>
        <w:t xml:space="preserve">Díríodh comhairle an Údaráis Náisiúnta </w:t>
      </w:r>
      <w:proofErr w:type="spellStart"/>
      <w:r>
        <w:t>Míchumais</w:t>
      </w:r>
      <w:proofErr w:type="spellEnd"/>
      <w:r>
        <w:t xml:space="preserve"> ar eochair-réimsí, lenar </w:t>
      </w:r>
      <w:proofErr w:type="spellStart"/>
      <w:r>
        <w:t>áiríodh</w:t>
      </w:r>
      <w:proofErr w:type="spellEnd"/>
      <w:r>
        <w:t xml:space="preserve">: </w:t>
      </w:r>
    </w:p>
    <w:p w14:paraId="0E178ED7" w14:textId="77777777" w:rsidR="006C148C" w:rsidRDefault="006C148C">
      <w:pPr>
        <w:pStyle w:val="ListBullet"/>
      </w:pPr>
      <w:proofErr w:type="spellStart"/>
      <w:r>
        <w:t>Tacaíochtaí</w:t>
      </w:r>
      <w:proofErr w:type="spellEnd"/>
      <w:r>
        <w:t xml:space="preserve"> a chur in oiriúint do </w:t>
      </w:r>
      <w:proofErr w:type="spellStart"/>
      <w:r>
        <w:t>dhaoine</w:t>
      </w:r>
      <w:proofErr w:type="spellEnd"/>
      <w:r>
        <w:t xml:space="preserve"> </w:t>
      </w:r>
      <w:proofErr w:type="spellStart"/>
      <w:r>
        <w:t>aonair</w:t>
      </w:r>
      <w:proofErr w:type="spellEnd"/>
      <w:r>
        <w:t xml:space="preserve"> </w:t>
      </w:r>
      <w:proofErr w:type="spellStart"/>
      <w:r>
        <w:t>seachas</w:t>
      </w:r>
      <w:proofErr w:type="spellEnd"/>
      <w:r>
        <w:t xml:space="preserve"> </w:t>
      </w:r>
      <w:proofErr w:type="spellStart"/>
      <w:r>
        <w:t>daoine</w:t>
      </w:r>
      <w:proofErr w:type="spellEnd"/>
      <w:r>
        <w:t xml:space="preserve"> a </w:t>
      </w:r>
      <w:proofErr w:type="spellStart"/>
      <w:r>
        <w:t>rangú</w:t>
      </w:r>
      <w:proofErr w:type="spellEnd"/>
      <w:r>
        <w:t xml:space="preserve"> leis </w:t>
      </w:r>
      <w:proofErr w:type="spellStart"/>
      <w:r>
        <w:t>na</w:t>
      </w:r>
      <w:proofErr w:type="spellEnd"/>
      <w:r>
        <w:t xml:space="preserve"> </w:t>
      </w:r>
      <w:proofErr w:type="spellStart"/>
      <w:r>
        <w:t>seirbhísí</w:t>
      </w:r>
      <w:proofErr w:type="spellEnd"/>
      <w:r>
        <w:t xml:space="preserve"> </w:t>
      </w:r>
      <w:proofErr w:type="spellStart"/>
      <w:r>
        <w:t>reatha</w:t>
      </w:r>
      <w:proofErr w:type="spellEnd"/>
      <w:r>
        <w:t xml:space="preserve">, </w:t>
      </w:r>
      <w:proofErr w:type="spellStart"/>
      <w:r>
        <w:t>rud</w:t>
      </w:r>
      <w:proofErr w:type="spellEnd"/>
      <w:r>
        <w:t xml:space="preserve"> a </w:t>
      </w:r>
      <w:proofErr w:type="spellStart"/>
      <w:r>
        <w:t>fhéadann</w:t>
      </w:r>
      <w:proofErr w:type="spellEnd"/>
      <w:r>
        <w:t xml:space="preserve"> </w:t>
      </w:r>
      <w:proofErr w:type="spellStart"/>
      <w:r>
        <w:t>beatha</w:t>
      </w:r>
      <w:proofErr w:type="spellEnd"/>
      <w:r>
        <w:t xml:space="preserve"> </w:t>
      </w:r>
      <w:proofErr w:type="spellStart"/>
      <w:r>
        <w:t>níos</w:t>
      </w:r>
      <w:proofErr w:type="spellEnd"/>
      <w:r>
        <w:t xml:space="preserve"> </w:t>
      </w:r>
      <w:proofErr w:type="spellStart"/>
      <w:r>
        <w:t>fearr</w:t>
      </w:r>
      <w:proofErr w:type="spellEnd"/>
      <w:r>
        <w:t xml:space="preserve"> </w:t>
      </w:r>
      <w:proofErr w:type="spellStart"/>
      <w:r>
        <w:t>agus</w:t>
      </w:r>
      <w:proofErr w:type="spellEnd"/>
      <w:r>
        <w:t xml:space="preserve"> </w:t>
      </w:r>
      <w:proofErr w:type="spellStart"/>
      <w:r>
        <w:t>níos</w:t>
      </w:r>
      <w:proofErr w:type="spellEnd"/>
      <w:r>
        <w:t xml:space="preserve"> </w:t>
      </w:r>
      <w:proofErr w:type="spellStart"/>
      <w:r>
        <w:t>folláine</w:t>
      </w:r>
      <w:proofErr w:type="spellEnd"/>
      <w:r>
        <w:t xml:space="preserve"> a </w:t>
      </w:r>
      <w:proofErr w:type="spellStart"/>
      <w:r>
        <w:t>sheachadadh</w:t>
      </w:r>
      <w:proofErr w:type="spellEnd"/>
      <w:r>
        <w:t xml:space="preserve"> do </w:t>
      </w:r>
      <w:proofErr w:type="spellStart"/>
      <w:r>
        <w:t>dhaoine</w:t>
      </w:r>
      <w:proofErr w:type="spellEnd"/>
      <w:r>
        <w:t xml:space="preserve"> le </w:t>
      </w:r>
      <w:proofErr w:type="spellStart"/>
      <w:r>
        <w:t>míchumas</w:t>
      </w:r>
      <w:proofErr w:type="spellEnd"/>
    </w:p>
    <w:p w14:paraId="38CF83C1" w14:textId="77777777" w:rsidR="006C148C" w:rsidRDefault="006C148C">
      <w:pPr>
        <w:pStyle w:val="ListBullet"/>
      </w:pPr>
      <w:proofErr w:type="spellStart"/>
      <w:r>
        <w:t>Bhunófaí</w:t>
      </w:r>
      <w:proofErr w:type="spellEnd"/>
      <w:r>
        <w:t xml:space="preserve"> </w:t>
      </w:r>
      <w:proofErr w:type="spellStart"/>
      <w:r>
        <w:t>leithdháileadh</w:t>
      </w:r>
      <w:proofErr w:type="spellEnd"/>
      <w:r>
        <w:t xml:space="preserve"> </w:t>
      </w:r>
      <w:proofErr w:type="spellStart"/>
      <w:r>
        <w:t>acmhainne</w:t>
      </w:r>
      <w:proofErr w:type="spellEnd"/>
      <w:r>
        <w:t xml:space="preserve"> ar </w:t>
      </w:r>
      <w:proofErr w:type="spellStart"/>
      <w:r>
        <w:t>mheasúnú</w:t>
      </w:r>
      <w:proofErr w:type="spellEnd"/>
      <w:r>
        <w:t xml:space="preserve"> </w:t>
      </w:r>
      <w:proofErr w:type="spellStart"/>
      <w:r>
        <w:t>d'éilimh</w:t>
      </w:r>
      <w:proofErr w:type="spellEnd"/>
      <w:r>
        <w:t xml:space="preserve"> </w:t>
      </w:r>
      <w:proofErr w:type="spellStart"/>
      <w:r>
        <w:t>dhaoine</w:t>
      </w:r>
      <w:proofErr w:type="spellEnd"/>
      <w:r>
        <w:t xml:space="preserve"> </w:t>
      </w:r>
      <w:proofErr w:type="spellStart"/>
      <w:r>
        <w:t>aonair</w:t>
      </w:r>
      <w:proofErr w:type="spellEnd"/>
      <w:r>
        <w:t xml:space="preserve">, ag </w:t>
      </w:r>
      <w:proofErr w:type="spellStart"/>
      <w:r>
        <w:t>glacadh</w:t>
      </w:r>
      <w:proofErr w:type="spellEnd"/>
      <w:r>
        <w:t xml:space="preserve"> </w:t>
      </w:r>
      <w:proofErr w:type="spellStart"/>
      <w:r>
        <w:t>san</w:t>
      </w:r>
      <w:proofErr w:type="spellEnd"/>
      <w:r>
        <w:t xml:space="preserve"> </w:t>
      </w:r>
      <w:proofErr w:type="spellStart"/>
      <w:r>
        <w:t>áireamh</w:t>
      </w:r>
      <w:proofErr w:type="spellEnd"/>
      <w:r>
        <w:t xml:space="preserve"> </w:t>
      </w:r>
      <w:proofErr w:type="spellStart"/>
      <w:r>
        <w:t>na</w:t>
      </w:r>
      <w:proofErr w:type="spellEnd"/>
      <w:r>
        <w:t xml:space="preserve"> </w:t>
      </w:r>
      <w:proofErr w:type="spellStart"/>
      <w:r>
        <w:t>tacaíochtaí</w:t>
      </w:r>
      <w:proofErr w:type="spellEnd"/>
      <w:r>
        <w:t xml:space="preserve"> atá ar fáil dóibh</w:t>
      </w:r>
    </w:p>
    <w:p w14:paraId="0BFE5F0E" w14:textId="77777777" w:rsidR="006C148C" w:rsidRDefault="006C148C">
      <w:pPr>
        <w:pStyle w:val="ListBullet"/>
        <w:rPr>
          <w:lang w:val="es-ES"/>
        </w:rPr>
      </w:pPr>
      <w:r>
        <w:rPr>
          <w:lang w:val="es-ES"/>
        </w:rPr>
        <w:t xml:space="preserve">Cúnamh le roghanna a dhéanamh agus le soláthar seirbhísí a mhúnlú </w:t>
      </w:r>
    </w:p>
    <w:p w14:paraId="38914AB1" w14:textId="77777777" w:rsidR="006C148C" w:rsidRDefault="006C148C">
      <w:pPr>
        <w:pStyle w:val="ListBullet"/>
      </w:pPr>
      <w:r>
        <w:t xml:space="preserve">Ról an </w:t>
      </w:r>
      <w:proofErr w:type="spellStart"/>
      <w:r>
        <w:t>choimisiúnaithe</w:t>
      </w:r>
      <w:proofErr w:type="spellEnd"/>
    </w:p>
    <w:p w14:paraId="38EB4164" w14:textId="77777777" w:rsidR="006C148C" w:rsidRDefault="006C148C">
      <w:pPr>
        <w:pStyle w:val="ListBullet"/>
        <w:spacing w:after="240"/>
      </w:pPr>
      <w:r>
        <w:t xml:space="preserve">Machnamh a thabhairt don tionchar </w:t>
      </w:r>
      <w:proofErr w:type="spellStart"/>
      <w:r>
        <w:t>ar</w:t>
      </w:r>
      <w:proofErr w:type="spellEnd"/>
      <w:r>
        <w:t xml:space="preserve"> </w:t>
      </w:r>
      <w:proofErr w:type="spellStart"/>
      <w:r>
        <w:t>úsáideoirí</w:t>
      </w:r>
      <w:proofErr w:type="spellEnd"/>
      <w:r>
        <w:t xml:space="preserve"> </w:t>
      </w:r>
      <w:proofErr w:type="spellStart"/>
      <w:r>
        <w:t>seirbhíse</w:t>
      </w:r>
      <w:proofErr w:type="spellEnd"/>
      <w:r>
        <w:t xml:space="preserve"> le </w:t>
      </w:r>
      <w:proofErr w:type="spellStart"/>
      <w:r>
        <w:t>héilimh</w:t>
      </w:r>
      <w:proofErr w:type="spellEnd"/>
      <w:r>
        <w:t xml:space="preserve"> </w:t>
      </w:r>
      <w:proofErr w:type="spellStart"/>
      <w:r>
        <w:t>níos</w:t>
      </w:r>
      <w:proofErr w:type="spellEnd"/>
      <w:r>
        <w:t xml:space="preserve"> </w:t>
      </w:r>
      <w:proofErr w:type="spellStart"/>
      <w:r>
        <w:t>casta</w:t>
      </w:r>
      <w:proofErr w:type="spellEnd"/>
      <w:r>
        <w:t xml:space="preserve"> </w:t>
      </w:r>
      <w:proofErr w:type="spellStart"/>
      <w:r>
        <w:t>agus</w:t>
      </w:r>
      <w:proofErr w:type="spellEnd"/>
      <w:r>
        <w:t xml:space="preserve"> </w:t>
      </w:r>
      <w:proofErr w:type="spellStart"/>
      <w:r>
        <w:t>ar</w:t>
      </w:r>
      <w:proofErr w:type="spellEnd"/>
      <w:r>
        <w:t xml:space="preserve"> </w:t>
      </w:r>
      <w:proofErr w:type="spellStart"/>
      <w:r>
        <w:t>dhaoine</w:t>
      </w:r>
      <w:proofErr w:type="spellEnd"/>
      <w:r>
        <w:t xml:space="preserve"> </w:t>
      </w:r>
      <w:proofErr w:type="spellStart"/>
      <w:r>
        <w:t>scothaosta</w:t>
      </w:r>
      <w:proofErr w:type="spellEnd"/>
      <w:r>
        <w:t xml:space="preserve"> le </w:t>
      </w:r>
      <w:proofErr w:type="spellStart"/>
      <w:r>
        <w:t>míchumas</w:t>
      </w:r>
      <w:proofErr w:type="spellEnd"/>
    </w:p>
    <w:p w14:paraId="3438720B" w14:textId="77777777" w:rsidR="006C148C" w:rsidRDefault="006C148C">
      <w:pPr>
        <w:pStyle w:val="Heading3"/>
      </w:pPr>
      <w:bookmarkStart w:id="356" w:name="_Toc335836463"/>
      <w:r>
        <w:t xml:space="preserve">Cur </w:t>
      </w:r>
      <w:proofErr w:type="spellStart"/>
      <w:r>
        <w:t>chun</w:t>
      </w:r>
      <w:proofErr w:type="spellEnd"/>
      <w:r>
        <w:t xml:space="preserve"> </w:t>
      </w:r>
      <w:proofErr w:type="spellStart"/>
      <w:r>
        <w:t>cinn</w:t>
      </w:r>
      <w:proofErr w:type="spellEnd"/>
      <w:r>
        <w:t xml:space="preserve"> an </w:t>
      </w:r>
      <w:proofErr w:type="spellStart"/>
      <w:r>
        <w:t>bheartais</w:t>
      </w:r>
      <w:proofErr w:type="spellEnd"/>
      <w:r>
        <w:t xml:space="preserve"> um </w:t>
      </w:r>
      <w:proofErr w:type="spellStart"/>
      <w:r>
        <w:t>shláinte</w:t>
      </w:r>
      <w:proofErr w:type="spellEnd"/>
      <w:r>
        <w:t xml:space="preserve"> </w:t>
      </w:r>
      <w:proofErr w:type="spellStart"/>
      <w:r>
        <w:t>phoiblí</w:t>
      </w:r>
      <w:bookmarkEnd w:id="356"/>
      <w:proofErr w:type="spellEnd"/>
    </w:p>
    <w:p w14:paraId="747BEC3B" w14:textId="77777777" w:rsidR="006C148C" w:rsidRDefault="006C148C">
      <w:r>
        <w:t xml:space="preserve">Chuir an </w:t>
      </w:r>
      <w:proofErr w:type="spellStart"/>
      <w:r>
        <w:t>tÚdarás</w:t>
      </w:r>
      <w:proofErr w:type="spellEnd"/>
      <w:r>
        <w:t xml:space="preserve"> Náisiúnta </w:t>
      </w:r>
      <w:proofErr w:type="spellStart"/>
      <w:r>
        <w:t>Míchumais</w:t>
      </w:r>
      <w:proofErr w:type="spellEnd"/>
      <w:r>
        <w:t xml:space="preserve"> aighneacht faoi bhráid na Roinne Sláinte i mí Mheán Fómhair </w:t>
      </w:r>
      <w:proofErr w:type="spellStart"/>
      <w:r>
        <w:t>na</w:t>
      </w:r>
      <w:proofErr w:type="spellEnd"/>
      <w:r>
        <w:t xml:space="preserve"> </w:t>
      </w:r>
      <w:proofErr w:type="spellStart"/>
      <w:r>
        <w:t>bliana</w:t>
      </w:r>
      <w:proofErr w:type="spellEnd"/>
      <w:r>
        <w:t xml:space="preserve"> 2011. </w:t>
      </w:r>
      <w:proofErr w:type="spellStart"/>
      <w:r>
        <w:t>Tháinig</w:t>
      </w:r>
      <w:proofErr w:type="spellEnd"/>
      <w:r>
        <w:t xml:space="preserve"> an </w:t>
      </w:r>
      <w:proofErr w:type="spellStart"/>
      <w:r>
        <w:t>aighneacht</w:t>
      </w:r>
      <w:proofErr w:type="spellEnd"/>
      <w:r>
        <w:t xml:space="preserve"> sin mar </w:t>
      </w:r>
      <w:proofErr w:type="spellStart"/>
      <w:r>
        <w:t>fhreagra</w:t>
      </w:r>
      <w:proofErr w:type="spellEnd"/>
      <w:r>
        <w:t xml:space="preserve"> don </w:t>
      </w:r>
      <w:proofErr w:type="spellStart"/>
      <w:r>
        <w:t>chomhairliúchán</w:t>
      </w:r>
      <w:proofErr w:type="spellEnd"/>
      <w:r>
        <w:t xml:space="preserve"> </w:t>
      </w:r>
      <w:proofErr w:type="spellStart"/>
      <w:r>
        <w:t>poiblí</w:t>
      </w:r>
      <w:proofErr w:type="spellEnd"/>
      <w:r>
        <w:t xml:space="preserve"> </w:t>
      </w:r>
      <w:proofErr w:type="spellStart"/>
      <w:r>
        <w:t>i</w:t>
      </w:r>
      <w:proofErr w:type="spellEnd"/>
      <w:r>
        <w:t xml:space="preserve"> </w:t>
      </w:r>
      <w:proofErr w:type="spellStart"/>
      <w:r>
        <w:t>leith</w:t>
      </w:r>
      <w:proofErr w:type="spellEnd"/>
      <w:r>
        <w:t xml:space="preserve">: </w:t>
      </w:r>
      <w:r>
        <w:rPr>
          <w:b/>
        </w:rPr>
        <w:t xml:space="preserve">Is í do </w:t>
      </w:r>
      <w:proofErr w:type="spellStart"/>
      <w:r>
        <w:rPr>
          <w:b/>
        </w:rPr>
        <w:t>Shláinte</w:t>
      </w:r>
      <w:proofErr w:type="spellEnd"/>
      <w:r>
        <w:rPr>
          <w:b/>
        </w:rPr>
        <w:t xml:space="preserve"> do </w:t>
      </w:r>
      <w:proofErr w:type="spellStart"/>
      <w:r>
        <w:rPr>
          <w:b/>
        </w:rPr>
        <w:t>Shaibhreas</w:t>
      </w:r>
      <w:proofErr w:type="spellEnd"/>
      <w:r>
        <w:t xml:space="preserve"> </w:t>
      </w:r>
      <w:r>
        <w:rPr>
          <w:b/>
        </w:rPr>
        <w:t>–</w:t>
      </w:r>
      <w:r>
        <w:t xml:space="preserve"> </w:t>
      </w:r>
      <w:proofErr w:type="spellStart"/>
      <w:r>
        <w:rPr>
          <w:b/>
        </w:rPr>
        <w:t>creatlach</w:t>
      </w:r>
      <w:proofErr w:type="spellEnd"/>
      <w:r>
        <w:rPr>
          <w:b/>
        </w:rPr>
        <w:t xml:space="preserve"> do </w:t>
      </w:r>
      <w:proofErr w:type="spellStart"/>
      <w:r>
        <w:rPr>
          <w:b/>
        </w:rPr>
        <w:t>bheartas</w:t>
      </w:r>
      <w:proofErr w:type="spellEnd"/>
      <w:r>
        <w:rPr>
          <w:b/>
        </w:rPr>
        <w:t xml:space="preserve"> </w:t>
      </w:r>
      <w:proofErr w:type="spellStart"/>
      <w:r>
        <w:rPr>
          <w:b/>
        </w:rPr>
        <w:t>sláinte</w:t>
      </w:r>
      <w:proofErr w:type="spellEnd"/>
      <w:r>
        <w:rPr>
          <w:b/>
        </w:rPr>
        <w:t xml:space="preserve"> </w:t>
      </w:r>
      <w:proofErr w:type="spellStart"/>
      <w:r>
        <w:rPr>
          <w:b/>
        </w:rPr>
        <w:t>poiblí</w:t>
      </w:r>
      <w:proofErr w:type="spellEnd"/>
      <w:r>
        <w:rPr>
          <w:b/>
        </w:rPr>
        <w:t xml:space="preserve"> </w:t>
      </w:r>
      <w:proofErr w:type="spellStart"/>
      <w:r>
        <w:rPr>
          <w:b/>
        </w:rPr>
        <w:t>i</w:t>
      </w:r>
      <w:proofErr w:type="spellEnd"/>
      <w:r>
        <w:rPr>
          <w:b/>
        </w:rPr>
        <w:t xml:space="preserve"> </w:t>
      </w:r>
      <w:proofErr w:type="spellStart"/>
      <w:r>
        <w:rPr>
          <w:b/>
        </w:rPr>
        <w:t>gcomhair</w:t>
      </w:r>
      <w:proofErr w:type="spellEnd"/>
      <w:r>
        <w:rPr>
          <w:b/>
        </w:rPr>
        <w:t xml:space="preserve"> Éire </w:t>
      </w:r>
      <w:proofErr w:type="spellStart"/>
      <w:r>
        <w:rPr>
          <w:b/>
        </w:rPr>
        <w:t>níos</w:t>
      </w:r>
      <w:proofErr w:type="spellEnd"/>
      <w:r>
        <w:rPr>
          <w:b/>
        </w:rPr>
        <w:t xml:space="preserve"> </w:t>
      </w:r>
      <w:proofErr w:type="spellStart"/>
      <w:r>
        <w:rPr>
          <w:b/>
        </w:rPr>
        <w:t>sláintiúla</w:t>
      </w:r>
      <w:proofErr w:type="spellEnd"/>
      <w:r>
        <w:rPr>
          <w:b/>
        </w:rPr>
        <w:t xml:space="preserve"> 2012-2020</w:t>
      </w:r>
      <w:r>
        <w:t>.</w:t>
      </w:r>
    </w:p>
    <w:p w14:paraId="51228446" w14:textId="77777777" w:rsidR="006C148C" w:rsidRDefault="006C148C">
      <w:pPr>
        <w:spacing w:after="120"/>
        <w:rPr>
          <w:lang w:val="en-GB"/>
        </w:rPr>
      </w:pPr>
      <w:r>
        <w:rPr>
          <w:lang w:val="en-GB"/>
        </w:rPr>
        <w:t xml:space="preserve">Measadh tábhacht </w:t>
      </w:r>
      <w:proofErr w:type="spellStart"/>
      <w:r>
        <w:rPr>
          <w:lang w:val="en-GB"/>
        </w:rPr>
        <w:t>ríbhunúsach</w:t>
      </w:r>
      <w:proofErr w:type="spellEnd"/>
      <w:r>
        <w:rPr>
          <w:lang w:val="en-GB"/>
        </w:rPr>
        <w:t xml:space="preserve"> bheith ag </w:t>
      </w:r>
      <w:proofErr w:type="gramStart"/>
      <w:r>
        <w:rPr>
          <w:lang w:val="en-GB"/>
        </w:rPr>
        <w:t>an</w:t>
      </w:r>
      <w:proofErr w:type="gramEnd"/>
      <w:r>
        <w:rPr>
          <w:lang w:val="en-GB"/>
        </w:rPr>
        <w:t xml:space="preserve"> </w:t>
      </w:r>
      <w:proofErr w:type="spellStart"/>
      <w:r>
        <w:rPr>
          <w:lang w:val="en-GB"/>
        </w:rPr>
        <w:t>tsláinte</w:t>
      </w:r>
      <w:proofErr w:type="spellEnd"/>
      <w:r>
        <w:rPr>
          <w:lang w:val="en-GB"/>
        </w:rPr>
        <w:t xml:space="preserve"> </w:t>
      </w:r>
      <w:proofErr w:type="spellStart"/>
      <w:r>
        <w:rPr>
          <w:lang w:val="en-GB"/>
        </w:rPr>
        <w:t>san</w:t>
      </w:r>
      <w:proofErr w:type="spellEnd"/>
      <w:r>
        <w:rPr>
          <w:lang w:val="en-GB"/>
        </w:rPr>
        <w:t xml:space="preserve"> </w:t>
      </w:r>
      <w:proofErr w:type="spellStart"/>
      <w:r>
        <w:rPr>
          <w:lang w:val="en-GB"/>
        </w:rPr>
        <w:t>aighneacht</w:t>
      </w:r>
      <w:proofErr w:type="spellEnd"/>
      <w:r>
        <w:rPr>
          <w:lang w:val="en-GB"/>
        </w:rPr>
        <w:t xml:space="preserve"> do </w:t>
      </w:r>
      <w:proofErr w:type="spellStart"/>
      <w:r>
        <w:rPr>
          <w:lang w:val="en-GB"/>
        </w:rPr>
        <w:t>chuimsiú</w:t>
      </w:r>
      <w:proofErr w:type="spellEnd"/>
      <w:r>
        <w:rPr>
          <w:lang w:val="en-GB"/>
        </w:rPr>
        <w:t xml:space="preserve"> </w:t>
      </w:r>
      <w:proofErr w:type="spellStart"/>
      <w:r>
        <w:rPr>
          <w:lang w:val="en-GB"/>
        </w:rPr>
        <w:t>daoine</w:t>
      </w:r>
      <w:proofErr w:type="spellEnd"/>
      <w:r>
        <w:rPr>
          <w:lang w:val="en-GB"/>
        </w:rPr>
        <w:t xml:space="preserve"> le </w:t>
      </w:r>
      <w:proofErr w:type="spellStart"/>
      <w:r>
        <w:rPr>
          <w:lang w:val="en-GB"/>
        </w:rPr>
        <w:t>míchumas</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sochaí</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hÉireann</w:t>
      </w:r>
      <w:proofErr w:type="spellEnd"/>
      <w:r>
        <w:rPr>
          <w:lang w:val="en-GB"/>
        </w:rPr>
        <w:t xml:space="preserve">.  </w:t>
      </w:r>
      <w:proofErr w:type="spellStart"/>
      <w:r>
        <w:rPr>
          <w:lang w:val="en-GB"/>
        </w:rPr>
        <w:t>Lagaítear</w:t>
      </w:r>
      <w:proofErr w:type="spellEnd"/>
      <w:r>
        <w:rPr>
          <w:lang w:val="en-GB"/>
        </w:rPr>
        <w:t xml:space="preserve"> </w:t>
      </w:r>
      <w:proofErr w:type="spellStart"/>
      <w:r>
        <w:rPr>
          <w:lang w:val="en-GB"/>
        </w:rPr>
        <w:t>rannpháirt</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rannchur</w:t>
      </w:r>
      <w:proofErr w:type="spellEnd"/>
      <w:r>
        <w:rPr>
          <w:lang w:val="en-GB"/>
        </w:rPr>
        <w:t xml:space="preserve"> </w:t>
      </w:r>
      <w:proofErr w:type="spellStart"/>
      <w:r>
        <w:rPr>
          <w:lang w:val="en-GB"/>
        </w:rPr>
        <w:t>féideartha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ndaoine</w:t>
      </w:r>
      <w:proofErr w:type="spellEnd"/>
      <w:r>
        <w:rPr>
          <w:lang w:val="en-GB"/>
        </w:rPr>
        <w:t xml:space="preserve"> le </w:t>
      </w:r>
      <w:proofErr w:type="spellStart"/>
      <w:r>
        <w:rPr>
          <w:lang w:val="en-GB"/>
        </w:rPr>
        <w:t>míchumas</w:t>
      </w:r>
      <w:proofErr w:type="spellEnd"/>
      <w:r>
        <w:rPr>
          <w:lang w:val="en-GB"/>
        </w:rPr>
        <w:t xml:space="preserve"> </w:t>
      </w:r>
      <w:proofErr w:type="spellStart"/>
      <w:r>
        <w:rPr>
          <w:lang w:val="en-GB"/>
        </w:rPr>
        <w:t>trí</w:t>
      </w:r>
      <w:proofErr w:type="spellEnd"/>
      <w:r>
        <w:rPr>
          <w:lang w:val="en-GB"/>
        </w:rPr>
        <w:t xml:space="preserve">: </w:t>
      </w:r>
    </w:p>
    <w:p w14:paraId="3439608D" w14:textId="77777777" w:rsidR="006C148C" w:rsidRDefault="006C148C">
      <w:pPr>
        <w:pStyle w:val="ListBullet"/>
        <w:rPr>
          <w:lang w:val="es-ES"/>
        </w:rPr>
      </w:pPr>
      <w:r>
        <w:rPr>
          <w:lang w:val="es-ES"/>
        </w:rPr>
        <w:t>taithí dhiúltach ar réimse deitéarmanant sóisialta laistiar den tsláinte</w:t>
      </w:r>
    </w:p>
    <w:p w14:paraId="1839C303" w14:textId="77777777" w:rsidR="006C148C" w:rsidRDefault="006C148C">
      <w:pPr>
        <w:pStyle w:val="ListBullet"/>
        <w:rPr>
          <w:lang w:val="en-GB"/>
        </w:rPr>
      </w:pPr>
      <w:proofErr w:type="spellStart"/>
      <w:r>
        <w:rPr>
          <w:lang w:val="en-GB"/>
        </w:rPr>
        <w:t>tionchair</w:t>
      </w:r>
      <w:proofErr w:type="spellEnd"/>
      <w:r>
        <w:rPr>
          <w:lang w:val="en-GB"/>
        </w:rPr>
        <w:t xml:space="preserve"> </w:t>
      </w:r>
      <w:proofErr w:type="spellStart"/>
      <w:r>
        <w:rPr>
          <w:lang w:val="en-GB"/>
        </w:rPr>
        <w:t>shláinte</w:t>
      </w:r>
      <w:proofErr w:type="spellEnd"/>
      <w:r>
        <w:rPr>
          <w:lang w:val="en-GB"/>
        </w:rPr>
        <w:t xml:space="preserve"> an </w:t>
      </w:r>
      <w:proofErr w:type="spellStart"/>
      <w:r>
        <w:rPr>
          <w:lang w:val="en-GB"/>
        </w:rPr>
        <w:t>mhíchumais</w:t>
      </w:r>
      <w:proofErr w:type="spellEnd"/>
    </w:p>
    <w:p w14:paraId="7AFB0FFF" w14:textId="77777777" w:rsidR="006C148C" w:rsidRDefault="006C148C">
      <w:pPr>
        <w:pStyle w:val="ListBullet"/>
        <w:rPr>
          <w:lang w:val="en-GB"/>
        </w:rPr>
      </w:pPr>
      <w:proofErr w:type="spellStart"/>
      <w:r>
        <w:rPr>
          <w:lang w:val="en-GB"/>
        </w:rPr>
        <w:t>éagothromachtaí</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rochtain</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sheirbhísí</w:t>
      </w:r>
      <w:proofErr w:type="spellEnd"/>
      <w:r>
        <w:rPr>
          <w:lang w:val="en-GB"/>
        </w:rPr>
        <w:t xml:space="preserve"> </w:t>
      </w:r>
      <w:proofErr w:type="spellStart"/>
      <w:r>
        <w:rPr>
          <w:lang w:val="en-GB"/>
        </w:rPr>
        <w:t>sláinte</w:t>
      </w:r>
      <w:proofErr w:type="spellEnd"/>
      <w:r>
        <w:rPr>
          <w:lang w:val="en-GB"/>
        </w:rPr>
        <w:t xml:space="preserve"> </w:t>
      </w:r>
      <w:proofErr w:type="spellStart"/>
      <w:r>
        <w:rPr>
          <w:lang w:val="en-GB"/>
        </w:rPr>
        <w:t>ginearálta</w:t>
      </w:r>
      <w:proofErr w:type="spellEnd"/>
    </w:p>
    <w:p w14:paraId="0CA19589" w14:textId="77777777" w:rsidR="006C148C" w:rsidRDefault="006C148C">
      <w:pPr>
        <w:pStyle w:val="ListBullet"/>
        <w:spacing w:after="240"/>
      </w:pPr>
      <w:proofErr w:type="spellStart"/>
      <w:r>
        <w:t>droch-rochtain</w:t>
      </w:r>
      <w:proofErr w:type="spellEnd"/>
      <w:r>
        <w:t xml:space="preserve"> </w:t>
      </w:r>
      <w:proofErr w:type="spellStart"/>
      <w:r>
        <w:t>ar</w:t>
      </w:r>
      <w:proofErr w:type="spellEnd"/>
      <w:r>
        <w:t xml:space="preserve"> </w:t>
      </w:r>
      <w:proofErr w:type="spellStart"/>
      <w:r>
        <w:t>ghníomhaíochtaí</w:t>
      </w:r>
      <w:proofErr w:type="spellEnd"/>
      <w:r>
        <w:t xml:space="preserve"> </w:t>
      </w:r>
      <w:proofErr w:type="spellStart"/>
      <w:r>
        <w:t>cothaithe</w:t>
      </w:r>
      <w:proofErr w:type="spellEnd"/>
      <w:r>
        <w:t xml:space="preserve"> sláinte ar nós na </w:t>
      </w:r>
      <w:proofErr w:type="spellStart"/>
      <w:r>
        <w:t>haclaíochta</w:t>
      </w:r>
      <w:proofErr w:type="spellEnd"/>
      <w:r>
        <w:t xml:space="preserve"> </w:t>
      </w:r>
    </w:p>
    <w:p w14:paraId="2DF271D3" w14:textId="77777777" w:rsidR="006C148C" w:rsidRDefault="006C148C">
      <w:pPr>
        <w:pStyle w:val="Heading2"/>
        <w:rPr>
          <w:lang w:val="en-GB"/>
        </w:rPr>
      </w:pPr>
      <w:bookmarkStart w:id="357" w:name="_Toc335836464"/>
      <w:proofErr w:type="spellStart"/>
      <w:r>
        <w:rPr>
          <w:lang w:val="en-GB"/>
        </w:rPr>
        <w:t>Coimirce</w:t>
      </w:r>
      <w:proofErr w:type="spellEnd"/>
      <w:r>
        <w:rPr>
          <w:lang w:val="en-GB"/>
        </w:rPr>
        <w:t xml:space="preserve"> </w:t>
      </w:r>
      <w:proofErr w:type="spellStart"/>
      <w:r>
        <w:rPr>
          <w:lang w:val="en-GB"/>
        </w:rPr>
        <w:t>Shóisialach</w:t>
      </w:r>
      <w:bookmarkEnd w:id="357"/>
      <w:proofErr w:type="spellEnd"/>
    </w:p>
    <w:p w14:paraId="49058950" w14:textId="77777777" w:rsidR="006C148C" w:rsidRDefault="006C148C">
      <w:pPr>
        <w:pStyle w:val="Heading3"/>
        <w:rPr>
          <w:lang w:val="en-GB"/>
        </w:rPr>
      </w:pPr>
      <w:bookmarkStart w:id="358" w:name="_Toc335836465"/>
      <w:proofErr w:type="spellStart"/>
      <w:r>
        <w:rPr>
          <w:lang w:val="en-GB"/>
        </w:rPr>
        <w:t>Athbhreithniú</w:t>
      </w:r>
      <w:proofErr w:type="spellEnd"/>
      <w:r>
        <w:rPr>
          <w:lang w:val="en-GB"/>
        </w:rPr>
        <w:t xml:space="preserve"> </w:t>
      </w:r>
      <w:proofErr w:type="spellStart"/>
      <w:r>
        <w:rPr>
          <w:lang w:val="en-GB"/>
        </w:rPr>
        <w:t>Luacha</w:t>
      </w:r>
      <w:proofErr w:type="spellEnd"/>
      <w:r>
        <w:rPr>
          <w:lang w:val="en-GB"/>
        </w:rPr>
        <w:t xml:space="preserve"> </w:t>
      </w:r>
      <w:proofErr w:type="spellStart"/>
      <w:r>
        <w:rPr>
          <w:lang w:val="en-GB"/>
        </w:rPr>
        <w:t>Airgid</w:t>
      </w:r>
      <w:proofErr w:type="spellEnd"/>
      <w:r>
        <w:rPr>
          <w:lang w:val="en-GB"/>
        </w:rPr>
        <w:t xml:space="preserve"> </w:t>
      </w:r>
      <w:proofErr w:type="spellStart"/>
      <w:r>
        <w:rPr>
          <w:lang w:val="en-GB"/>
        </w:rPr>
        <w:t>ar</w:t>
      </w:r>
      <w:proofErr w:type="spellEnd"/>
      <w:r>
        <w:rPr>
          <w:lang w:val="en-GB"/>
        </w:rPr>
        <w:t xml:space="preserve"> an </w:t>
      </w:r>
      <w:proofErr w:type="spellStart"/>
      <w:r>
        <w:rPr>
          <w:lang w:val="en-GB"/>
        </w:rPr>
        <w:t>Scéim</w:t>
      </w:r>
      <w:proofErr w:type="spellEnd"/>
      <w:r>
        <w:rPr>
          <w:lang w:val="en-GB"/>
        </w:rPr>
        <w:t xml:space="preserve"> </w:t>
      </w:r>
      <w:proofErr w:type="spellStart"/>
      <w:r>
        <w:rPr>
          <w:lang w:val="en-GB"/>
        </w:rPr>
        <w:t>Liúntais</w:t>
      </w:r>
      <w:proofErr w:type="spellEnd"/>
      <w:r>
        <w:rPr>
          <w:lang w:val="en-GB"/>
        </w:rPr>
        <w:t xml:space="preserve"> </w:t>
      </w:r>
      <w:proofErr w:type="spellStart"/>
      <w:r>
        <w:rPr>
          <w:lang w:val="en-GB"/>
        </w:rPr>
        <w:t>Mhíchumais</w:t>
      </w:r>
      <w:bookmarkEnd w:id="358"/>
      <w:proofErr w:type="spellEnd"/>
    </w:p>
    <w:p w14:paraId="74719DD9" w14:textId="77777777" w:rsidR="006C148C" w:rsidRDefault="006C148C">
      <w:pPr>
        <w:rPr>
          <w:lang w:val="en-GB"/>
        </w:rPr>
      </w:pPr>
      <w:r>
        <w:rPr>
          <w:lang w:val="en-GB"/>
        </w:rPr>
        <w:t xml:space="preserve">Rinne an </w:t>
      </w:r>
      <w:proofErr w:type="spellStart"/>
      <w:r>
        <w:rPr>
          <w:lang w:val="en-GB"/>
        </w:rPr>
        <w:t>tÚdarás</w:t>
      </w:r>
      <w:proofErr w:type="spellEnd"/>
      <w:r>
        <w:rPr>
          <w:lang w:val="en-GB"/>
        </w:rPr>
        <w:t xml:space="preserve"> Náisiúnta </w:t>
      </w:r>
      <w:proofErr w:type="spellStart"/>
      <w:r>
        <w:rPr>
          <w:lang w:val="en-GB"/>
        </w:rPr>
        <w:t>Míchumais</w:t>
      </w:r>
      <w:proofErr w:type="spellEnd"/>
      <w:r>
        <w:rPr>
          <w:lang w:val="en-GB"/>
        </w:rPr>
        <w:t xml:space="preserve"> aighneacht </w:t>
      </w:r>
      <w:proofErr w:type="spellStart"/>
      <w:r>
        <w:rPr>
          <w:lang w:val="en-GB"/>
        </w:rPr>
        <w:t>d'Athbhreithniú</w:t>
      </w:r>
      <w:proofErr w:type="spellEnd"/>
      <w:r>
        <w:rPr>
          <w:lang w:val="en-GB"/>
        </w:rPr>
        <w:t xml:space="preserve"> </w:t>
      </w:r>
      <w:proofErr w:type="spellStart"/>
      <w:r>
        <w:rPr>
          <w:lang w:val="en-GB"/>
        </w:rPr>
        <w:t>Luacha</w:t>
      </w:r>
      <w:proofErr w:type="spellEnd"/>
      <w:r>
        <w:rPr>
          <w:lang w:val="en-GB"/>
        </w:rPr>
        <w:t xml:space="preserve"> </w:t>
      </w:r>
      <w:proofErr w:type="spellStart"/>
      <w:r>
        <w:rPr>
          <w:lang w:val="en-GB"/>
        </w:rPr>
        <w:t>Airgid</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Roinne</w:t>
      </w:r>
      <w:proofErr w:type="spellEnd"/>
      <w:r>
        <w:rPr>
          <w:lang w:val="en-GB"/>
        </w:rPr>
        <w:t xml:space="preserve"> </w:t>
      </w:r>
      <w:proofErr w:type="spellStart"/>
      <w:r>
        <w:rPr>
          <w:lang w:val="en-GB"/>
        </w:rPr>
        <w:t>Coimirce</w:t>
      </w:r>
      <w:proofErr w:type="spellEnd"/>
      <w:r>
        <w:rPr>
          <w:lang w:val="en-GB"/>
        </w:rPr>
        <w:t xml:space="preserve"> </w:t>
      </w:r>
      <w:proofErr w:type="spellStart"/>
      <w:r>
        <w:rPr>
          <w:lang w:val="en-GB"/>
        </w:rPr>
        <w:t>Sóisialaí</w:t>
      </w:r>
      <w:proofErr w:type="spellEnd"/>
      <w:r>
        <w:rPr>
          <w:lang w:val="en-GB"/>
        </w:rPr>
        <w:t xml:space="preserve"> den </w:t>
      </w:r>
      <w:proofErr w:type="spellStart"/>
      <w:r>
        <w:rPr>
          <w:lang w:val="en-GB"/>
        </w:rPr>
        <w:t>Scéim</w:t>
      </w:r>
      <w:proofErr w:type="spellEnd"/>
      <w:r>
        <w:rPr>
          <w:lang w:val="en-GB"/>
        </w:rPr>
        <w:t xml:space="preserve"> </w:t>
      </w:r>
      <w:proofErr w:type="spellStart"/>
      <w:r>
        <w:rPr>
          <w:lang w:val="en-GB"/>
        </w:rPr>
        <w:t>Liúntais</w:t>
      </w:r>
      <w:proofErr w:type="spellEnd"/>
      <w:r>
        <w:rPr>
          <w:lang w:val="en-GB"/>
        </w:rPr>
        <w:t xml:space="preserve"> </w:t>
      </w:r>
      <w:proofErr w:type="spellStart"/>
      <w:r>
        <w:rPr>
          <w:lang w:val="en-GB"/>
        </w:rPr>
        <w:t>Mhíchumais</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mí</w:t>
      </w:r>
      <w:proofErr w:type="spellEnd"/>
      <w:r>
        <w:rPr>
          <w:lang w:val="en-GB"/>
        </w:rPr>
        <w:t xml:space="preserve"> </w:t>
      </w:r>
      <w:proofErr w:type="spellStart"/>
      <w:r>
        <w:rPr>
          <w:lang w:val="en-GB"/>
        </w:rPr>
        <w:t>Iúil</w:t>
      </w:r>
      <w:proofErr w:type="spellEnd"/>
      <w:r>
        <w:rPr>
          <w:lang w:val="en-GB"/>
        </w:rPr>
        <w:t xml:space="preserve"> 2011. Ba í </w:t>
      </w:r>
      <w:proofErr w:type="spellStart"/>
      <w:r>
        <w:rPr>
          <w:lang w:val="en-GB"/>
        </w:rPr>
        <w:t>ár</w:t>
      </w:r>
      <w:proofErr w:type="spellEnd"/>
      <w:r>
        <w:rPr>
          <w:lang w:val="en-GB"/>
        </w:rPr>
        <w:t xml:space="preserve"> n-</w:t>
      </w:r>
      <w:proofErr w:type="spellStart"/>
      <w:r>
        <w:rPr>
          <w:lang w:val="en-GB"/>
        </w:rPr>
        <w:t>anailís</w:t>
      </w:r>
      <w:proofErr w:type="spellEnd"/>
      <w:r>
        <w:rPr>
          <w:lang w:val="en-GB"/>
        </w:rPr>
        <w:t xml:space="preserve"> </w:t>
      </w:r>
      <w:proofErr w:type="spellStart"/>
      <w:r>
        <w:rPr>
          <w:lang w:val="en-GB"/>
        </w:rPr>
        <w:t>féin</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foghlaim</w:t>
      </w:r>
      <w:proofErr w:type="spellEnd"/>
      <w:r>
        <w:rPr>
          <w:lang w:val="en-GB"/>
        </w:rPr>
        <w:t xml:space="preserve"> ó </w:t>
      </w:r>
      <w:proofErr w:type="spellStart"/>
      <w:r>
        <w:rPr>
          <w:lang w:val="en-GB"/>
        </w:rPr>
        <w:t>sheimineár</w:t>
      </w:r>
      <w:proofErr w:type="spellEnd"/>
      <w:r>
        <w:rPr>
          <w:lang w:val="en-GB"/>
        </w:rPr>
        <w:t xml:space="preserve"> </w:t>
      </w:r>
      <w:proofErr w:type="spellStart"/>
      <w:r>
        <w:rPr>
          <w:lang w:val="en-GB"/>
        </w:rPr>
        <w:t>faoin</w:t>
      </w:r>
      <w:proofErr w:type="spellEnd"/>
      <w:r>
        <w:rPr>
          <w:lang w:val="en-GB"/>
        </w:rPr>
        <w:t xml:space="preserve"> Athbhreithniú a </w:t>
      </w:r>
      <w:proofErr w:type="spellStart"/>
      <w:r>
        <w:rPr>
          <w:lang w:val="en-GB"/>
        </w:rPr>
        <w:t>mhúnlaigh</w:t>
      </w:r>
      <w:proofErr w:type="spellEnd"/>
      <w:r>
        <w:rPr>
          <w:lang w:val="en-GB"/>
        </w:rPr>
        <w:t xml:space="preserve"> an </w:t>
      </w:r>
      <w:proofErr w:type="spellStart"/>
      <w:r>
        <w:rPr>
          <w:lang w:val="en-GB"/>
        </w:rPr>
        <w:t>aighneacht</w:t>
      </w:r>
      <w:proofErr w:type="spellEnd"/>
      <w:r>
        <w:rPr>
          <w:lang w:val="en-GB"/>
        </w:rPr>
        <w:t xml:space="preserve"> sin, </w:t>
      </w:r>
      <w:proofErr w:type="spellStart"/>
      <w:r>
        <w:rPr>
          <w:lang w:val="en-GB"/>
        </w:rPr>
        <w:t>seimineár</w:t>
      </w:r>
      <w:proofErr w:type="spellEnd"/>
      <w:r>
        <w:rPr>
          <w:lang w:val="en-GB"/>
        </w:rPr>
        <w:t xml:space="preserve"> a </w:t>
      </w:r>
      <w:proofErr w:type="spellStart"/>
      <w:r>
        <w:rPr>
          <w:lang w:val="en-GB"/>
        </w:rPr>
        <w:t>reáchtáladh</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mí</w:t>
      </w:r>
      <w:proofErr w:type="spellEnd"/>
      <w:r>
        <w:rPr>
          <w:lang w:val="en-GB"/>
        </w:rPr>
        <w:t xml:space="preserve"> Aibreáin 2011 d'ionadaithe ó ranna </w:t>
      </w:r>
      <w:proofErr w:type="spellStart"/>
      <w:r>
        <w:rPr>
          <w:lang w:val="en-GB"/>
        </w:rPr>
        <w:t>rialtais</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comhlachtaí</w:t>
      </w:r>
      <w:proofErr w:type="spellEnd"/>
      <w:r>
        <w:rPr>
          <w:lang w:val="en-GB"/>
        </w:rPr>
        <w:t xml:space="preserve"> </w:t>
      </w:r>
      <w:proofErr w:type="spellStart"/>
      <w:r>
        <w:rPr>
          <w:lang w:val="en-GB"/>
        </w:rPr>
        <w:t>poiblí</w:t>
      </w:r>
      <w:proofErr w:type="spellEnd"/>
      <w:r>
        <w:rPr>
          <w:lang w:val="en-GB"/>
        </w:rPr>
        <w:t xml:space="preserve">, </w:t>
      </w:r>
      <w:proofErr w:type="spellStart"/>
      <w:r>
        <w:rPr>
          <w:lang w:val="en-GB"/>
        </w:rPr>
        <w:t>daoine</w:t>
      </w:r>
      <w:proofErr w:type="spellEnd"/>
      <w:r>
        <w:rPr>
          <w:lang w:val="en-GB"/>
        </w:rPr>
        <w:t xml:space="preserve"> le </w:t>
      </w:r>
      <w:proofErr w:type="spellStart"/>
      <w:r>
        <w:rPr>
          <w:lang w:val="en-GB"/>
        </w:rPr>
        <w:t>míchumas</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soláthróirí</w:t>
      </w:r>
      <w:proofErr w:type="spellEnd"/>
      <w:r>
        <w:rPr>
          <w:lang w:val="en-GB"/>
        </w:rPr>
        <w:t xml:space="preserve"> </w:t>
      </w:r>
      <w:proofErr w:type="spellStart"/>
      <w:r>
        <w:rPr>
          <w:lang w:val="en-GB"/>
        </w:rPr>
        <w:t>seirbhíse</w:t>
      </w:r>
      <w:proofErr w:type="spellEnd"/>
      <w:r>
        <w:rPr>
          <w:lang w:val="en-GB"/>
        </w:rPr>
        <w:t>.</w:t>
      </w:r>
    </w:p>
    <w:p w14:paraId="45C17B3A" w14:textId="77777777" w:rsidR="006C148C" w:rsidRDefault="006C148C">
      <w:pPr>
        <w:spacing w:after="120"/>
        <w:rPr>
          <w:lang w:val="en-GB"/>
        </w:rPr>
      </w:pPr>
      <w:proofErr w:type="spellStart"/>
      <w:r>
        <w:rPr>
          <w:lang w:val="en-GB"/>
        </w:rPr>
        <w:t>Áiríodh</w:t>
      </w:r>
      <w:proofErr w:type="spellEnd"/>
      <w:r>
        <w:rPr>
          <w:lang w:val="en-GB"/>
        </w:rPr>
        <w:t xml:space="preserve"> leis na </w:t>
      </w:r>
      <w:proofErr w:type="spellStart"/>
      <w:r>
        <w:rPr>
          <w:lang w:val="en-GB"/>
        </w:rPr>
        <w:t>heochairphointí</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bpáipéar</w:t>
      </w:r>
      <w:proofErr w:type="spellEnd"/>
      <w:r>
        <w:rPr>
          <w:lang w:val="en-GB"/>
        </w:rPr>
        <w:t xml:space="preserve"> an </w:t>
      </w:r>
      <w:proofErr w:type="spellStart"/>
      <w:r>
        <w:rPr>
          <w:lang w:val="en-GB"/>
        </w:rPr>
        <w:t>Údaráis</w:t>
      </w:r>
      <w:proofErr w:type="spellEnd"/>
      <w:r>
        <w:rPr>
          <w:lang w:val="en-GB"/>
        </w:rPr>
        <w:t xml:space="preserve"> </w:t>
      </w:r>
      <w:proofErr w:type="spellStart"/>
      <w:r>
        <w:rPr>
          <w:lang w:val="en-GB"/>
        </w:rPr>
        <w:t>Náisiúnta</w:t>
      </w:r>
      <w:proofErr w:type="spellEnd"/>
      <w:r>
        <w:rPr>
          <w:lang w:val="en-GB"/>
        </w:rPr>
        <w:t xml:space="preserve"> </w:t>
      </w:r>
      <w:proofErr w:type="spellStart"/>
      <w:r>
        <w:rPr>
          <w:lang w:val="en-GB"/>
        </w:rPr>
        <w:t>Míchumais</w:t>
      </w:r>
      <w:proofErr w:type="spellEnd"/>
      <w:r>
        <w:rPr>
          <w:lang w:val="en-GB"/>
        </w:rPr>
        <w:t>:</w:t>
      </w:r>
    </w:p>
    <w:p w14:paraId="2AA14167" w14:textId="77777777" w:rsidR="006C148C" w:rsidRDefault="006C148C">
      <w:pPr>
        <w:pStyle w:val="ListBullet"/>
        <w:rPr>
          <w:lang w:val="en-GB"/>
        </w:rPr>
      </w:pPr>
      <w:r>
        <w:rPr>
          <w:lang w:val="en-GB"/>
        </w:rPr>
        <w:t xml:space="preserve">Ba cheart go mbunófaí an </w:t>
      </w:r>
      <w:proofErr w:type="spellStart"/>
      <w:r>
        <w:rPr>
          <w:lang w:val="en-GB"/>
        </w:rPr>
        <w:t>próifíliú</w:t>
      </w:r>
      <w:proofErr w:type="spellEnd"/>
      <w:r>
        <w:rPr>
          <w:lang w:val="en-GB"/>
        </w:rPr>
        <w:t xml:space="preserve"> </w:t>
      </w:r>
      <w:proofErr w:type="spellStart"/>
      <w:r>
        <w:rPr>
          <w:lang w:val="en-GB"/>
        </w:rPr>
        <w:t>agus</w:t>
      </w:r>
      <w:proofErr w:type="spellEnd"/>
      <w:r>
        <w:rPr>
          <w:lang w:val="en-GB"/>
        </w:rPr>
        <w:t xml:space="preserve"> an </w:t>
      </w:r>
      <w:proofErr w:type="spellStart"/>
      <w:r>
        <w:rPr>
          <w:lang w:val="en-GB"/>
        </w:rPr>
        <w:t>gníomhachtú</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inniúlacht</w:t>
      </w:r>
      <w:proofErr w:type="spellEnd"/>
      <w:r>
        <w:rPr>
          <w:lang w:val="en-GB"/>
        </w:rPr>
        <w:t xml:space="preserve"> </w:t>
      </w:r>
      <w:proofErr w:type="spellStart"/>
      <w:r>
        <w:rPr>
          <w:lang w:val="en-GB"/>
        </w:rPr>
        <w:t>fheidhmiúil</w:t>
      </w:r>
      <w:proofErr w:type="spellEnd"/>
      <w:r>
        <w:rPr>
          <w:lang w:val="en-GB"/>
        </w:rPr>
        <w:t xml:space="preserve"> </w:t>
      </w:r>
      <w:proofErr w:type="spellStart"/>
      <w:r>
        <w:rPr>
          <w:lang w:val="en-GB"/>
        </w:rPr>
        <w:t>seachas</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dhiagnóis</w:t>
      </w:r>
      <w:proofErr w:type="spellEnd"/>
      <w:r>
        <w:rPr>
          <w:lang w:val="en-GB"/>
        </w:rPr>
        <w:t xml:space="preserve"> </w:t>
      </w:r>
      <w:proofErr w:type="spellStart"/>
      <w:r>
        <w:rPr>
          <w:lang w:val="en-GB"/>
        </w:rPr>
        <w:t>leighis</w:t>
      </w:r>
      <w:proofErr w:type="spellEnd"/>
    </w:p>
    <w:p w14:paraId="0756E463" w14:textId="77777777" w:rsidR="006C148C" w:rsidRDefault="006C148C">
      <w:pPr>
        <w:pStyle w:val="ListBullet"/>
        <w:rPr>
          <w:lang w:val="en-GB"/>
        </w:rPr>
      </w:pPr>
      <w:r>
        <w:rPr>
          <w:lang w:val="en-GB"/>
        </w:rPr>
        <w:lastRenderedPageBreak/>
        <w:t xml:space="preserve">Ba chóir gurb é 18 an </w:t>
      </w:r>
      <w:proofErr w:type="spellStart"/>
      <w:r>
        <w:rPr>
          <w:lang w:val="en-GB"/>
        </w:rPr>
        <w:t>aois</w:t>
      </w:r>
      <w:proofErr w:type="spellEnd"/>
      <w:r>
        <w:rPr>
          <w:lang w:val="en-GB"/>
        </w:rPr>
        <w:t xml:space="preserve"> ag a </w:t>
      </w:r>
      <w:proofErr w:type="spellStart"/>
      <w:r>
        <w:rPr>
          <w:lang w:val="en-GB"/>
        </w:rPr>
        <w:t>dtosófaí</w:t>
      </w:r>
      <w:proofErr w:type="spellEnd"/>
      <w:r>
        <w:rPr>
          <w:lang w:val="en-GB"/>
        </w:rPr>
        <w:t xml:space="preserve"> ag </w:t>
      </w:r>
      <w:proofErr w:type="spellStart"/>
      <w:r>
        <w:rPr>
          <w:lang w:val="en-GB"/>
        </w:rPr>
        <w:t>íoc</w:t>
      </w:r>
      <w:proofErr w:type="spellEnd"/>
      <w:r>
        <w:rPr>
          <w:lang w:val="en-GB"/>
        </w:rPr>
        <w:t xml:space="preserve"> an </w:t>
      </w:r>
      <w:proofErr w:type="spellStart"/>
      <w:r>
        <w:rPr>
          <w:lang w:val="en-GB"/>
        </w:rPr>
        <w:t>Liúntais</w:t>
      </w:r>
      <w:proofErr w:type="spellEnd"/>
      <w:r>
        <w:rPr>
          <w:lang w:val="en-GB"/>
        </w:rPr>
        <w:t xml:space="preserve"> </w:t>
      </w:r>
      <w:proofErr w:type="spellStart"/>
      <w:r>
        <w:rPr>
          <w:lang w:val="en-GB"/>
        </w:rPr>
        <w:t>Mhíchumais</w:t>
      </w:r>
      <w:proofErr w:type="spellEnd"/>
      <w:r>
        <w:rPr>
          <w:lang w:val="en-GB"/>
        </w:rPr>
        <w:t xml:space="preserve">.  </w:t>
      </w:r>
      <w:proofErr w:type="spellStart"/>
      <w:r>
        <w:rPr>
          <w:lang w:val="en-GB"/>
        </w:rPr>
        <w:t>Caitheann</w:t>
      </w:r>
      <w:proofErr w:type="spellEnd"/>
      <w:r>
        <w:rPr>
          <w:lang w:val="en-GB"/>
        </w:rPr>
        <w:t xml:space="preserve"> </w:t>
      </w:r>
      <w:proofErr w:type="spellStart"/>
      <w:r>
        <w:rPr>
          <w:lang w:val="en-GB"/>
        </w:rPr>
        <w:t>bearta</w:t>
      </w:r>
      <w:proofErr w:type="spellEnd"/>
      <w:r>
        <w:rPr>
          <w:lang w:val="en-GB"/>
        </w:rPr>
        <w:t xml:space="preserve"> </w:t>
      </w:r>
      <w:proofErr w:type="spellStart"/>
      <w:r>
        <w:rPr>
          <w:lang w:val="en-GB"/>
        </w:rPr>
        <w:t>eatramhacha</w:t>
      </w:r>
      <w:proofErr w:type="spellEnd"/>
      <w:r>
        <w:rPr>
          <w:lang w:val="en-GB"/>
        </w:rPr>
        <w:t xml:space="preserve"> </w:t>
      </w:r>
      <w:proofErr w:type="spellStart"/>
      <w:r>
        <w:rPr>
          <w:lang w:val="en-GB"/>
        </w:rPr>
        <w:t>bheith</w:t>
      </w:r>
      <w:proofErr w:type="spellEnd"/>
      <w:r>
        <w:rPr>
          <w:lang w:val="en-GB"/>
        </w:rPr>
        <w:t xml:space="preserve"> </w:t>
      </w:r>
      <w:proofErr w:type="spellStart"/>
      <w:r>
        <w:rPr>
          <w:lang w:val="en-GB"/>
        </w:rPr>
        <w:t>i</w:t>
      </w:r>
      <w:proofErr w:type="spellEnd"/>
      <w:r>
        <w:rPr>
          <w:lang w:val="en-GB"/>
        </w:rPr>
        <w:t xml:space="preserve"> bhfeidhm chun daoine le </w:t>
      </w:r>
      <w:proofErr w:type="spellStart"/>
      <w:r>
        <w:rPr>
          <w:lang w:val="en-GB"/>
        </w:rPr>
        <w:t>míchumas</w:t>
      </w:r>
      <w:proofErr w:type="spellEnd"/>
      <w:r>
        <w:rPr>
          <w:lang w:val="en-GB"/>
        </w:rPr>
        <w:t xml:space="preserve"> </w:t>
      </w:r>
      <w:proofErr w:type="spellStart"/>
      <w:r>
        <w:rPr>
          <w:lang w:val="en-GB"/>
        </w:rPr>
        <w:t>agus</w:t>
      </w:r>
      <w:proofErr w:type="spellEnd"/>
      <w:r>
        <w:rPr>
          <w:lang w:val="en-GB"/>
        </w:rPr>
        <w:t xml:space="preserve"> a </w:t>
      </w:r>
      <w:proofErr w:type="spellStart"/>
      <w:r>
        <w:rPr>
          <w:lang w:val="en-GB"/>
        </w:rPr>
        <w:t>muintir</w:t>
      </w:r>
      <w:proofErr w:type="spellEnd"/>
      <w:r>
        <w:rPr>
          <w:lang w:val="en-GB"/>
        </w:rPr>
        <w:t xml:space="preserve"> a </w:t>
      </w:r>
      <w:proofErr w:type="spellStart"/>
      <w:r>
        <w:rPr>
          <w:lang w:val="en-GB"/>
        </w:rPr>
        <w:t>ullmhú</w:t>
      </w:r>
      <w:proofErr w:type="spellEnd"/>
      <w:r>
        <w:rPr>
          <w:lang w:val="en-GB"/>
        </w:rPr>
        <w:t xml:space="preserve"> don </w:t>
      </w:r>
      <w:proofErr w:type="spellStart"/>
      <w:r>
        <w:rPr>
          <w:lang w:val="en-GB"/>
        </w:rPr>
        <w:t>athrú</w:t>
      </w:r>
      <w:proofErr w:type="spellEnd"/>
      <w:r>
        <w:rPr>
          <w:lang w:val="en-GB"/>
        </w:rPr>
        <w:t xml:space="preserve"> sin </w:t>
      </w:r>
      <w:proofErr w:type="spellStart"/>
      <w:r>
        <w:rPr>
          <w:lang w:val="en-GB"/>
        </w:rPr>
        <w:t>agus</w:t>
      </w:r>
      <w:proofErr w:type="spellEnd"/>
      <w:r>
        <w:rPr>
          <w:lang w:val="en-GB"/>
        </w:rPr>
        <w:t xml:space="preserve"> </w:t>
      </w:r>
      <w:proofErr w:type="spellStart"/>
      <w:r>
        <w:rPr>
          <w:lang w:val="en-GB"/>
        </w:rPr>
        <w:t>chun</w:t>
      </w:r>
      <w:proofErr w:type="spellEnd"/>
      <w:r>
        <w:rPr>
          <w:lang w:val="en-GB"/>
        </w:rPr>
        <w:t xml:space="preserve"> </w:t>
      </w:r>
      <w:proofErr w:type="spellStart"/>
      <w:r>
        <w:rPr>
          <w:lang w:val="en-GB"/>
        </w:rPr>
        <w:t>tacú</w:t>
      </w:r>
      <w:proofErr w:type="spellEnd"/>
      <w:r>
        <w:rPr>
          <w:lang w:val="en-GB"/>
        </w:rPr>
        <w:t xml:space="preserve"> </w:t>
      </w:r>
      <w:proofErr w:type="spellStart"/>
      <w:r>
        <w:rPr>
          <w:lang w:val="en-GB"/>
        </w:rPr>
        <w:t>leo</w:t>
      </w:r>
      <w:proofErr w:type="spellEnd"/>
      <w:r>
        <w:rPr>
          <w:lang w:val="en-GB"/>
        </w:rPr>
        <w:t xml:space="preserve"> </w:t>
      </w:r>
      <w:proofErr w:type="spellStart"/>
      <w:r>
        <w:rPr>
          <w:lang w:val="en-GB"/>
        </w:rPr>
        <w:t>tríd</w:t>
      </w:r>
      <w:proofErr w:type="spellEnd"/>
    </w:p>
    <w:p w14:paraId="2B8466E2" w14:textId="77777777" w:rsidR="006C148C" w:rsidRDefault="006C148C">
      <w:pPr>
        <w:pStyle w:val="ListBullet"/>
        <w:rPr>
          <w:lang w:val="en-GB"/>
        </w:rPr>
      </w:pPr>
      <w:r>
        <w:rPr>
          <w:lang w:val="en-GB"/>
        </w:rPr>
        <w:t xml:space="preserve">Ba </w:t>
      </w:r>
      <w:proofErr w:type="spellStart"/>
      <w:r>
        <w:rPr>
          <w:lang w:val="en-GB"/>
        </w:rPr>
        <w:t>cheart</w:t>
      </w:r>
      <w:proofErr w:type="spellEnd"/>
      <w:r>
        <w:rPr>
          <w:lang w:val="en-GB"/>
        </w:rPr>
        <w:t xml:space="preserve"> go </w:t>
      </w:r>
      <w:proofErr w:type="spellStart"/>
      <w:r>
        <w:rPr>
          <w:lang w:val="en-GB"/>
        </w:rPr>
        <w:t>bpoibleofaí</w:t>
      </w:r>
      <w:proofErr w:type="spellEnd"/>
      <w:r>
        <w:rPr>
          <w:lang w:val="en-GB"/>
        </w:rPr>
        <w:t xml:space="preserve"> an t-</w:t>
      </w:r>
      <w:proofErr w:type="spellStart"/>
      <w:r>
        <w:rPr>
          <w:lang w:val="en-GB"/>
        </w:rPr>
        <w:t>ioncam</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teidlíochtaí</w:t>
      </w:r>
      <w:proofErr w:type="spellEnd"/>
      <w:r>
        <w:rPr>
          <w:lang w:val="en-GB"/>
        </w:rPr>
        <w:t xml:space="preserve"> is </w:t>
      </w:r>
      <w:proofErr w:type="spellStart"/>
      <w:r>
        <w:rPr>
          <w:lang w:val="en-GB"/>
        </w:rPr>
        <w:t>féidir</w:t>
      </w:r>
      <w:proofErr w:type="spellEnd"/>
      <w:r>
        <w:rPr>
          <w:lang w:val="en-GB"/>
        </w:rPr>
        <w:t xml:space="preserve"> le </w:t>
      </w:r>
      <w:proofErr w:type="spellStart"/>
      <w:r>
        <w:rPr>
          <w:lang w:val="en-GB"/>
        </w:rPr>
        <w:t>duine</w:t>
      </w:r>
      <w:proofErr w:type="spellEnd"/>
      <w:r>
        <w:rPr>
          <w:lang w:val="en-GB"/>
        </w:rPr>
        <w:t xml:space="preserve"> </w:t>
      </w:r>
      <w:proofErr w:type="spellStart"/>
      <w:r>
        <w:rPr>
          <w:lang w:val="en-GB"/>
        </w:rPr>
        <w:t>éigin</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Liúntas</w:t>
      </w:r>
      <w:proofErr w:type="spellEnd"/>
      <w:r>
        <w:rPr>
          <w:lang w:val="en-GB"/>
        </w:rPr>
        <w:t xml:space="preserve"> </w:t>
      </w:r>
      <w:proofErr w:type="spellStart"/>
      <w:r>
        <w:rPr>
          <w:lang w:val="en-GB"/>
        </w:rPr>
        <w:t>Míchumais</w:t>
      </w:r>
      <w:proofErr w:type="spellEnd"/>
      <w:r>
        <w:rPr>
          <w:lang w:val="en-GB"/>
        </w:rPr>
        <w:t xml:space="preserve"> a </w:t>
      </w:r>
      <w:proofErr w:type="spellStart"/>
      <w:r>
        <w:rPr>
          <w:lang w:val="en-GB"/>
        </w:rPr>
        <w:t>fháil</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iad</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bhfostaíocht</w:t>
      </w:r>
      <w:proofErr w:type="spellEnd"/>
      <w:r>
        <w:rPr>
          <w:lang w:val="en-GB"/>
        </w:rPr>
        <w:t xml:space="preserve"> </w:t>
      </w:r>
    </w:p>
    <w:p w14:paraId="116BB96E" w14:textId="77777777" w:rsidR="006C148C" w:rsidRDefault="006C148C">
      <w:pPr>
        <w:pStyle w:val="ListBullet"/>
        <w:spacing w:after="240"/>
        <w:rPr>
          <w:lang w:val="en-GB"/>
        </w:rPr>
      </w:pPr>
      <w:proofErr w:type="spellStart"/>
      <w:r>
        <w:rPr>
          <w:lang w:val="en-GB"/>
        </w:rPr>
        <w:t>Toimhde</w:t>
      </w:r>
      <w:proofErr w:type="spellEnd"/>
      <w:r>
        <w:rPr>
          <w:lang w:val="en-GB"/>
        </w:rPr>
        <w:t xml:space="preserve"> na </w:t>
      </w:r>
      <w:proofErr w:type="spellStart"/>
      <w:r>
        <w:rPr>
          <w:lang w:val="en-GB"/>
        </w:rPr>
        <w:t>hinniúlachta</w:t>
      </w:r>
      <w:proofErr w:type="spellEnd"/>
      <w:r>
        <w:rPr>
          <w:lang w:val="en-GB"/>
        </w:rPr>
        <w:t xml:space="preserve"> </w:t>
      </w:r>
      <w:proofErr w:type="spellStart"/>
      <w:r>
        <w:rPr>
          <w:lang w:val="en-GB"/>
        </w:rPr>
        <w:t>dlíthiúla</w:t>
      </w:r>
      <w:proofErr w:type="spellEnd"/>
      <w:r>
        <w:rPr>
          <w:lang w:val="en-GB"/>
        </w:rPr>
        <w:t xml:space="preserve">, le </w:t>
      </w:r>
      <w:proofErr w:type="spellStart"/>
      <w:r>
        <w:rPr>
          <w:lang w:val="en-GB"/>
        </w:rPr>
        <w:t>leagan</w:t>
      </w:r>
      <w:proofErr w:type="spellEnd"/>
      <w:r>
        <w:rPr>
          <w:lang w:val="en-GB"/>
        </w:rPr>
        <w:t xml:space="preserve"> </w:t>
      </w:r>
      <w:proofErr w:type="spellStart"/>
      <w:r>
        <w:rPr>
          <w:lang w:val="en-GB"/>
        </w:rPr>
        <w:t>amach</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reachtaíocht</w:t>
      </w:r>
      <w:proofErr w:type="spellEnd"/>
      <w:r>
        <w:rPr>
          <w:lang w:val="en-GB"/>
        </w:rPr>
        <w:t xml:space="preserve"> </w:t>
      </w:r>
      <w:proofErr w:type="spellStart"/>
      <w:r>
        <w:rPr>
          <w:lang w:val="en-GB"/>
        </w:rPr>
        <w:t>inniúlachta</w:t>
      </w:r>
      <w:proofErr w:type="spellEnd"/>
      <w:r>
        <w:rPr>
          <w:lang w:val="en-GB"/>
        </w:rPr>
        <w:t xml:space="preserve"> </w:t>
      </w:r>
      <w:proofErr w:type="spellStart"/>
      <w:r>
        <w:rPr>
          <w:lang w:val="en-GB"/>
        </w:rPr>
        <w:t>meabhrach</w:t>
      </w:r>
      <w:proofErr w:type="spellEnd"/>
      <w:r>
        <w:rPr>
          <w:lang w:val="en-GB"/>
        </w:rPr>
        <w:t xml:space="preserve"> </w:t>
      </w:r>
      <w:proofErr w:type="spellStart"/>
      <w:r>
        <w:rPr>
          <w:lang w:val="en-GB"/>
        </w:rPr>
        <w:t>amach</w:t>
      </w:r>
      <w:proofErr w:type="spellEnd"/>
      <w:r>
        <w:rPr>
          <w:lang w:val="en-GB"/>
        </w:rPr>
        <w:t xml:space="preserve"> </w:t>
      </w:r>
      <w:proofErr w:type="spellStart"/>
      <w:r>
        <w:rPr>
          <w:lang w:val="en-GB"/>
        </w:rPr>
        <w:t>anseo</w:t>
      </w:r>
      <w:proofErr w:type="spellEnd"/>
      <w:r>
        <w:rPr>
          <w:lang w:val="en-GB"/>
        </w:rPr>
        <w:t xml:space="preserve">; </w:t>
      </w:r>
      <w:proofErr w:type="spellStart"/>
      <w:r>
        <w:rPr>
          <w:lang w:val="en-GB"/>
        </w:rPr>
        <w:t>ba</w:t>
      </w:r>
      <w:proofErr w:type="spellEnd"/>
      <w:r>
        <w:rPr>
          <w:lang w:val="en-GB"/>
        </w:rPr>
        <w:t xml:space="preserve"> </w:t>
      </w:r>
      <w:proofErr w:type="spellStart"/>
      <w:r>
        <w:rPr>
          <w:lang w:val="en-GB"/>
        </w:rPr>
        <w:t>chóir</w:t>
      </w:r>
      <w:proofErr w:type="spellEnd"/>
      <w:r>
        <w:rPr>
          <w:lang w:val="en-GB"/>
        </w:rPr>
        <w:t xml:space="preserve"> </w:t>
      </w:r>
      <w:proofErr w:type="spellStart"/>
      <w:r>
        <w:rPr>
          <w:lang w:val="en-GB"/>
        </w:rPr>
        <w:t>gurbh</w:t>
      </w:r>
      <w:proofErr w:type="spellEnd"/>
      <w:r>
        <w:rPr>
          <w:lang w:val="en-GB"/>
        </w:rPr>
        <w:t xml:space="preserve"> </w:t>
      </w:r>
      <w:proofErr w:type="spellStart"/>
      <w:r>
        <w:rPr>
          <w:lang w:val="en-GB"/>
        </w:rPr>
        <w:t>ise</w:t>
      </w:r>
      <w:proofErr w:type="spellEnd"/>
      <w:r>
        <w:rPr>
          <w:lang w:val="en-GB"/>
        </w:rPr>
        <w:t xml:space="preserve"> an </w:t>
      </w:r>
      <w:proofErr w:type="spellStart"/>
      <w:r>
        <w:rPr>
          <w:lang w:val="en-GB"/>
        </w:rPr>
        <w:t>chreatlach</w:t>
      </w:r>
      <w:proofErr w:type="spellEnd"/>
      <w:r>
        <w:rPr>
          <w:lang w:val="en-GB"/>
        </w:rPr>
        <w:t xml:space="preserve"> do </w:t>
      </w:r>
      <w:proofErr w:type="spellStart"/>
      <w:r>
        <w:rPr>
          <w:lang w:val="en-GB"/>
        </w:rPr>
        <w:t>threoirlínte</w:t>
      </w:r>
      <w:proofErr w:type="spellEnd"/>
      <w:r>
        <w:rPr>
          <w:lang w:val="en-GB"/>
        </w:rPr>
        <w:t xml:space="preserve"> </w:t>
      </w:r>
      <w:proofErr w:type="spellStart"/>
      <w:r>
        <w:rPr>
          <w:lang w:val="en-GB"/>
        </w:rPr>
        <w:t>íocaíochta</w:t>
      </w:r>
      <w:proofErr w:type="spellEnd"/>
      <w:r>
        <w:rPr>
          <w:lang w:val="en-GB"/>
        </w:rPr>
        <w:t xml:space="preserve"> le </w:t>
      </w:r>
      <w:proofErr w:type="spellStart"/>
      <w:r>
        <w:rPr>
          <w:lang w:val="en-GB"/>
        </w:rPr>
        <w:t>gníomhaire</w:t>
      </w:r>
      <w:proofErr w:type="spellEnd"/>
      <w:r>
        <w:rPr>
          <w:lang w:val="en-GB"/>
        </w:rPr>
        <w:t xml:space="preserve"> </w:t>
      </w:r>
    </w:p>
    <w:p w14:paraId="6CB575D1" w14:textId="77777777" w:rsidR="006C148C" w:rsidRDefault="006C148C">
      <w:pPr>
        <w:pStyle w:val="Heading2"/>
      </w:pPr>
      <w:bookmarkStart w:id="359" w:name="_Toc335836466"/>
      <w:r>
        <w:t>Fostaíocht</w:t>
      </w:r>
      <w:bookmarkEnd w:id="359"/>
    </w:p>
    <w:p w14:paraId="0875D05C" w14:textId="77777777" w:rsidR="006C148C" w:rsidRDefault="006C148C">
      <w:pPr>
        <w:pStyle w:val="Heading3"/>
      </w:pPr>
      <w:bookmarkStart w:id="360" w:name="_Toc335836467"/>
      <w:proofErr w:type="spellStart"/>
      <w:r>
        <w:t>Tacaíochtaí</w:t>
      </w:r>
      <w:proofErr w:type="spellEnd"/>
      <w:r>
        <w:t xml:space="preserve"> </w:t>
      </w:r>
      <w:proofErr w:type="spellStart"/>
      <w:r>
        <w:t>fostaíochta</w:t>
      </w:r>
      <w:proofErr w:type="spellEnd"/>
      <w:r>
        <w:t xml:space="preserve"> do </w:t>
      </w:r>
      <w:proofErr w:type="spellStart"/>
      <w:r>
        <w:t>dhaoine</w:t>
      </w:r>
      <w:proofErr w:type="spellEnd"/>
      <w:r>
        <w:t xml:space="preserve"> le </w:t>
      </w:r>
      <w:proofErr w:type="spellStart"/>
      <w:r>
        <w:t>héilimh</w:t>
      </w:r>
      <w:proofErr w:type="spellEnd"/>
      <w:r>
        <w:t xml:space="preserve"> </w:t>
      </w:r>
      <w:proofErr w:type="spellStart"/>
      <w:r>
        <w:t>ardtacaíochta</w:t>
      </w:r>
      <w:bookmarkEnd w:id="360"/>
      <w:proofErr w:type="spellEnd"/>
    </w:p>
    <w:p w14:paraId="2AC70F99" w14:textId="77777777" w:rsidR="006C148C" w:rsidRDefault="006C148C">
      <w:r>
        <w:t xml:space="preserve">Reáchtáil an </w:t>
      </w:r>
      <w:proofErr w:type="spellStart"/>
      <w:r>
        <w:t>tÚdarás</w:t>
      </w:r>
      <w:proofErr w:type="spellEnd"/>
      <w:r>
        <w:t xml:space="preserve"> Náisiúnta </w:t>
      </w:r>
      <w:proofErr w:type="spellStart"/>
      <w:r>
        <w:t>Míchumais</w:t>
      </w:r>
      <w:proofErr w:type="spellEnd"/>
      <w:r>
        <w:t xml:space="preserve"> trí </w:t>
      </w:r>
      <w:proofErr w:type="spellStart"/>
      <w:r>
        <w:t>sheimineár</w:t>
      </w:r>
      <w:proofErr w:type="spellEnd"/>
      <w:r>
        <w:t xml:space="preserve"> faoin </w:t>
      </w:r>
      <w:proofErr w:type="spellStart"/>
      <w:r>
        <w:t>míchumas</w:t>
      </w:r>
      <w:proofErr w:type="spellEnd"/>
      <w:r>
        <w:t xml:space="preserve"> agus an </w:t>
      </w:r>
      <w:proofErr w:type="spellStart"/>
      <w:r>
        <w:t>fhostaíocht</w:t>
      </w:r>
      <w:proofErr w:type="spellEnd"/>
      <w:r>
        <w:t xml:space="preserve">. </w:t>
      </w:r>
      <w:proofErr w:type="spellStart"/>
      <w:r>
        <w:t>Áiríodh</w:t>
      </w:r>
      <w:proofErr w:type="spellEnd"/>
      <w:r>
        <w:t xml:space="preserve"> leis </w:t>
      </w:r>
      <w:proofErr w:type="spellStart"/>
      <w:r>
        <w:t>na</w:t>
      </w:r>
      <w:proofErr w:type="spellEnd"/>
      <w:r>
        <w:t xml:space="preserve"> </w:t>
      </w:r>
      <w:proofErr w:type="spellStart"/>
      <w:r>
        <w:t>téamaí</w:t>
      </w:r>
      <w:proofErr w:type="spellEnd"/>
      <w:r>
        <w:t xml:space="preserve"> </w:t>
      </w:r>
      <w:proofErr w:type="spellStart"/>
      <w:r>
        <w:t>míchumas</w:t>
      </w:r>
      <w:proofErr w:type="spellEnd"/>
      <w:r>
        <w:t xml:space="preserve"> </w:t>
      </w:r>
      <w:proofErr w:type="spellStart"/>
      <w:r>
        <w:t>meabhrach</w:t>
      </w:r>
      <w:proofErr w:type="spellEnd"/>
      <w:r>
        <w:t xml:space="preserve">, an </w:t>
      </w:r>
      <w:proofErr w:type="spellStart"/>
      <w:r>
        <w:t>mheabhair-shláinte</w:t>
      </w:r>
      <w:proofErr w:type="spellEnd"/>
      <w:r>
        <w:t xml:space="preserve"> </w:t>
      </w:r>
      <w:proofErr w:type="spellStart"/>
      <w:r>
        <w:t>agus</w:t>
      </w:r>
      <w:proofErr w:type="spellEnd"/>
      <w:r>
        <w:t xml:space="preserve"> </w:t>
      </w:r>
      <w:proofErr w:type="spellStart"/>
      <w:r>
        <w:t>míchumais</w:t>
      </w:r>
      <w:proofErr w:type="spellEnd"/>
      <w:r>
        <w:t xml:space="preserve"> </w:t>
      </w:r>
      <w:proofErr w:type="spellStart"/>
      <w:r>
        <w:t>cholanda</w:t>
      </w:r>
      <w:proofErr w:type="spellEnd"/>
      <w:r>
        <w:t xml:space="preserve"> </w:t>
      </w:r>
      <w:proofErr w:type="spellStart"/>
      <w:r>
        <w:t>agus</w:t>
      </w:r>
      <w:proofErr w:type="spellEnd"/>
      <w:r>
        <w:t xml:space="preserve"> </w:t>
      </w:r>
      <w:proofErr w:type="spellStart"/>
      <w:r>
        <w:t>céadfacha</w:t>
      </w:r>
      <w:proofErr w:type="spellEnd"/>
      <w:r>
        <w:t xml:space="preserve">. </w:t>
      </w:r>
      <w:proofErr w:type="spellStart"/>
      <w:r>
        <w:t>Díríodh</w:t>
      </w:r>
      <w:proofErr w:type="spellEnd"/>
      <w:r>
        <w:t xml:space="preserve"> </w:t>
      </w:r>
      <w:proofErr w:type="spellStart"/>
      <w:r>
        <w:t>gach</w:t>
      </w:r>
      <w:proofErr w:type="spellEnd"/>
      <w:r>
        <w:t xml:space="preserve"> </w:t>
      </w:r>
      <w:proofErr w:type="spellStart"/>
      <w:r>
        <w:t>aon</w:t>
      </w:r>
      <w:proofErr w:type="spellEnd"/>
      <w:r>
        <w:t xml:space="preserve"> </w:t>
      </w:r>
      <w:proofErr w:type="spellStart"/>
      <w:r>
        <w:t>seimineár</w:t>
      </w:r>
      <w:proofErr w:type="spellEnd"/>
      <w:r>
        <w:t xml:space="preserve"> </w:t>
      </w:r>
      <w:proofErr w:type="spellStart"/>
      <w:r>
        <w:t>ar</w:t>
      </w:r>
      <w:proofErr w:type="spellEnd"/>
      <w:r>
        <w:t xml:space="preserve"> chur </w:t>
      </w:r>
      <w:proofErr w:type="spellStart"/>
      <w:r>
        <w:t>chuige</w:t>
      </w:r>
      <w:proofErr w:type="spellEnd"/>
      <w:r>
        <w:t xml:space="preserve"> </w:t>
      </w:r>
      <w:proofErr w:type="spellStart"/>
      <w:r>
        <w:t>straitéiseach</w:t>
      </w:r>
      <w:proofErr w:type="spellEnd"/>
      <w:r>
        <w:t xml:space="preserve"> </w:t>
      </w:r>
      <w:proofErr w:type="spellStart"/>
      <w:r>
        <w:t>chun</w:t>
      </w:r>
      <w:proofErr w:type="spellEnd"/>
      <w:r>
        <w:t xml:space="preserve"> </w:t>
      </w:r>
      <w:proofErr w:type="spellStart"/>
      <w:r>
        <w:t>tacú</w:t>
      </w:r>
      <w:proofErr w:type="spellEnd"/>
      <w:r>
        <w:t xml:space="preserve"> le </w:t>
      </w:r>
      <w:proofErr w:type="spellStart"/>
      <w:r>
        <w:t>daoine</w:t>
      </w:r>
      <w:proofErr w:type="spellEnd"/>
      <w:r>
        <w:t xml:space="preserve"> le </w:t>
      </w:r>
      <w:proofErr w:type="spellStart"/>
      <w:r>
        <w:t>míchumas</w:t>
      </w:r>
      <w:proofErr w:type="spellEnd"/>
      <w:r>
        <w:t xml:space="preserve"> </w:t>
      </w:r>
      <w:proofErr w:type="spellStart"/>
      <w:r>
        <w:t>teacht</w:t>
      </w:r>
      <w:proofErr w:type="spellEnd"/>
      <w:r>
        <w:t xml:space="preserve"> </w:t>
      </w:r>
      <w:proofErr w:type="spellStart"/>
      <w:r>
        <w:t>ar</w:t>
      </w:r>
      <w:proofErr w:type="spellEnd"/>
      <w:r>
        <w:t xml:space="preserve"> </w:t>
      </w:r>
      <w:proofErr w:type="spellStart"/>
      <w:r>
        <w:t>obair</w:t>
      </w:r>
      <w:proofErr w:type="spellEnd"/>
      <w:r>
        <w:t xml:space="preserve"> mar </w:t>
      </w:r>
      <w:proofErr w:type="spellStart"/>
      <w:r>
        <w:t>bhealach</w:t>
      </w:r>
      <w:proofErr w:type="spellEnd"/>
      <w:r>
        <w:t xml:space="preserve"> leis an </w:t>
      </w:r>
      <w:proofErr w:type="spellStart"/>
      <w:r>
        <w:t>fhoghlaim</w:t>
      </w:r>
      <w:proofErr w:type="spellEnd"/>
      <w:r>
        <w:t xml:space="preserve"> a </w:t>
      </w:r>
      <w:proofErr w:type="spellStart"/>
      <w:r>
        <w:t>chomhroinnt</w:t>
      </w:r>
      <w:proofErr w:type="spellEnd"/>
      <w:r>
        <w:t xml:space="preserve"> </w:t>
      </w:r>
      <w:proofErr w:type="spellStart"/>
      <w:r>
        <w:t>agus</w:t>
      </w:r>
      <w:proofErr w:type="spellEnd"/>
      <w:r>
        <w:t xml:space="preserve"> le </w:t>
      </w:r>
      <w:proofErr w:type="spellStart"/>
      <w:r>
        <w:t>plé</w:t>
      </w:r>
      <w:proofErr w:type="spellEnd"/>
      <w:r>
        <w:t xml:space="preserve"> a </w:t>
      </w:r>
      <w:proofErr w:type="spellStart"/>
      <w:r>
        <w:t>spreagadh</w:t>
      </w:r>
      <w:proofErr w:type="spellEnd"/>
      <w:r>
        <w:t xml:space="preserve"> </w:t>
      </w:r>
      <w:proofErr w:type="spellStart"/>
      <w:r>
        <w:t>i</w:t>
      </w:r>
      <w:proofErr w:type="spellEnd"/>
      <w:r>
        <w:t xml:space="preserve"> </w:t>
      </w:r>
      <w:proofErr w:type="spellStart"/>
      <w:r>
        <w:t>dtreo</w:t>
      </w:r>
      <w:proofErr w:type="spellEnd"/>
      <w:r>
        <w:t xml:space="preserve"> </w:t>
      </w:r>
      <w:proofErr w:type="spellStart"/>
      <w:r>
        <w:t>mhúnlú</w:t>
      </w:r>
      <w:proofErr w:type="spellEnd"/>
      <w:r>
        <w:t xml:space="preserve"> </w:t>
      </w:r>
      <w:proofErr w:type="spellStart"/>
      <w:r>
        <w:t>straitéise</w:t>
      </w:r>
      <w:proofErr w:type="spellEnd"/>
      <w:r>
        <w:t xml:space="preserve"> </w:t>
      </w:r>
      <w:proofErr w:type="spellStart"/>
      <w:r>
        <w:t>fostaíochta</w:t>
      </w:r>
      <w:proofErr w:type="spellEnd"/>
      <w:r>
        <w:t xml:space="preserve"> </w:t>
      </w:r>
      <w:proofErr w:type="spellStart"/>
      <w:r>
        <w:t>cuimsithí</w:t>
      </w:r>
      <w:proofErr w:type="spellEnd"/>
      <w:r>
        <w:t xml:space="preserve"> do </w:t>
      </w:r>
      <w:proofErr w:type="spellStart"/>
      <w:r>
        <w:t>dhaoine</w:t>
      </w:r>
      <w:proofErr w:type="spellEnd"/>
      <w:r>
        <w:t xml:space="preserve"> le </w:t>
      </w:r>
      <w:proofErr w:type="spellStart"/>
      <w:r>
        <w:t>míchumas</w:t>
      </w:r>
      <w:proofErr w:type="spellEnd"/>
      <w:r>
        <w:t>.</w:t>
      </w:r>
    </w:p>
    <w:p w14:paraId="31AE2092" w14:textId="77777777" w:rsidR="006C148C" w:rsidRDefault="006C148C">
      <w:pPr>
        <w:pStyle w:val="Heading3"/>
        <w:rPr>
          <w:lang w:val="en-GB"/>
        </w:rPr>
      </w:pPr>
      <w:bookmarkStart w:id="361" w:name="_Toc335836468"/>
      <w:r>
        <w:rPr>
          <w:lang w:val="en-GB"/>
        </w:rPr>
        <w:t>Coinneáil fostaithe</w:t>
      </w:r>
      <w:bookmarkEnd w:id="361"/>
    </w:p>
    <w:p w14:paraId="00245F87" w14:textId="77777777" w:rsidR="006C148C" w:rsidRDefault="006C148C">
      <w:pPr>
        <w:rPr>
          <w:lang w:val="en-GB"/>
        </w:rPr>
      </w:pPr>
      <w:proofErr w:type="spellStart"/>
      <w:r>
        <w:rPr>
          <w:lang w:val="en-GB"/>
        </w:rPr>
        <w:t>Tháirg</w:t>
      </w:r>
      <w:proofErr w:type="spellEnd"/>
      <w:r>
        <w:rPr>
          <w:lang w:val="en-GB"/>
        </w:rPr>
        <w:t xml:space="preserve"> an </w:t>
      </w:r>
      <w:proofErr w:type="spellStart"/>
      <w:r>
        <w:rPr>
          <w:lang w:val="en-GB"/>
        </w:rPr>
        <w:t>tÚdarás</w:t>
      </w:r>
      <w:proofErr w:type="spellEnd"/>
      <w:r>
        <w:rPr>
          <w:lang w:val="en-GB"/>
        </w:rPr>
        <w:t xml:space="preserve"> Náisiúnta </w:t>
      </w:r>
      <w:proofErr w:type="spellStart"/>
      <w:r>
        <w:rPr>
          <w:lang w:val="en-GB"/>
        </w:rPr>
        <w:t>Míchumais</w:t>
      </w:r>
      <w:proofErr w:type="spellEnd"/>
      <w:r>
        <w:rPr>
          <w:lang w:val="en-GB"/>
        </w:rPr>
        <w:t xml:space="preserve"> cáipéis dar theideal </w:t>
      </w:r>
      <w:r>
        <w:rPr>
          <w:b/>
          <w:bCs/>
          <w:lang w:val="en-GB"/>
        </w:rPr>
        <w:t>Coinneáil</w:t>
      </w:r>
      <w:r>
        <w:rPr>
          <w:lang w:val="en-GB"/>
        </w:rPr>
        <w:t xml:space="preserve"> f</w:t>
      </w:r>
      <w:r>
        <w:rPr>
          <w:b/>
          <w:bCs/>
          <w:lang w:val="en-GB"/>
        </w:rPr>
        <w:t xml:space="preserve">ostaithe dá mbaineann </w:t>
      </w:r>
      <w:proofErr w:type="spellStart"/>
      <w:r>
        <w:rPr>
          <w:b/>
          <w:bCs/>
          <w:lang w:val="en-GB"/>
        </w:rPr>
        <w:t>míchumas</w:t>
      </w:r>
      <w:proofErr w:type="spellEnd"/>
      <w:r>
        <w:rPr>
          <w:b/>
          <w:lang w:val="en-GB"/>
        </w:rPr>
        <w:t xml:space="preserve"> – </w:t>
      </w:r>
      <w:proofErr w:type="spellStart"/>
      <w:r>
        <w:rPr>
          <w:b/>
          <w:lang w:val="en-GB"/>
        </w:rPr>
        <w:t>treoir</w:t>
      </w:r>
      <w:proofErr w:type="spellEnd"/>
      <w:r>
        <w:rPr>
          <w:b/>
          <w:lang w:val="en-GB"/>
        </w:rPr>
        <w:t xml:space="preserve"> </w:t>
      </w:r>
      <w:proofErr w:type="spellStart"/>
      <w:r>
        <w:rPr>
          <w:b/>
          <w:lang w:val="en-GB"/>
        </w:rPr>
        <w:t>d'fhostóirí</w:t>
      </w:r>
      <w:proofErr w:type="spellEnd"/>
      <w:r>
        <w:rPr>
          <w:lang w:val="en-GB"/>
        </w:rPr>
        <w:t xml:space="preserve">, </w:t>
      </w:r>
      <w:proofErr w:type="spellStart"/>
      <w:r>
        <w:rPr>
          <w:lang w:val="en-GB"/>
        </w:rPr>
        <w:t>chun</w:t>
      </w:r>
      <w:proofErr w:type="spellEnd"/>
      <w:r>
        <w:rPr>
          <w:lang w:val="en-GB"/>
        </w:rPr>
        <w:t xml:space="preserve"> </w:t>
      </w:r>
      <w:proofErr w:type="spellStart"/>
      <w:r>
        <w:rPr>
          <w:lang w:val="en-GB"/>
        </w:rPr>
        <w:t>cúnamh</w:t>
      </w:r>
      <w:proofErr w:type="spellEnd"/>
      <w:r>
        <w:rPr>
          <w:lang w:val="en-GB"/>
        </w:rPr>
        <w:t xml:space="preserve"> le </w:t>
      </w:r>
      <w:proofErr w:type="spellStart"/>
      <w:r>
        <w:rPr>
          <w:lang w:val="en-GB"/>
        </w:rPr>
        <w:t>fostóirí</w:t>
      </w:r>
      <w:proofErr w:type="spellEnd"/>
      <w:r>
        <w:rPr>
          <w:lang w:val="en-GB"/>
        </w:rPr>
        <w:t xml:space="preserve"> </w:t>
      </w:r>
      <w:proofErr w:type="spellStart"/>
      <w:r>
        <w:rPr>
          <w:lang w:val="en-GB"/>
        </w:rPr>
        <w:t>tacú</w:t>
      </w:r>
      <w:proofErr w:type="spellEnd"/>
      <w:r>
        <w:rPr>
          <w:lang w:val="en-GB"/>
        </w:rPr>
        <w:t xml:space="preserve"> le </w:t>
      </w:r>
      <w:proofErr w:type="spellStart"/>
      <w:r>
        <w:rPr>
          <w:lang w:val="en-GB"/>
        </w:rPr>
        <w:t>fostaithe</w:t>
      </w:r>
      <w:proofErr w:type="spellEnd"/>
      <w:r>
        <w:rPr>
          <w:lang w:val="en-GB"/>
        </w:rPr>
        <w:t xml:space="preserve"> </w:t>
      </w:r>
      <w:proofErr w:type="spellStart"/>
      <w:r>
        <w:rPr>
          <w:lang w:val="en-GB"/>
        </w:rPr>
        <w:t>dá</w:t>
      </w:r>
      <w:proofErr w:type="spellEnd"/>
      <w:r>
        <w:rPr>
          <w:lang w:val="en-GB"/>
        </w:rPr>
        <w:t xml:space="preserve"> </w:t>
      </w:r>
      <w:proofErr w:type="spellStart"/>
      <w:r>
        <w:rPr>
          <w:lang w:val="en-GB"/>
        </w:rPr>
        <w:t>mbaineann</w:t>
      </w:r>
      <w:proofErr w:type="spellEnd"/>
      <w:r>
        <w:rPr>
          <w:lang w:val="en-GB"/>
        </w:rPr>
        <w:t xml:space="preserve"> </w:t>
      </w:r>
      <w:proofErr w:type="spellStart"/>
      <w:r>
        <w:rPr>
          <w:lang w:val="en-GB"/>
        </w:rPr>
        <w:t>míchumas</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chun</w:t>
      </w:r>
      <w:proofErr w:type="spellEnd"/>
      <w:r>
        <w:rPr>
          <w:lang w:val="en-GB"/>
        </w:rPr>
        <w:t xml:space="preserve"> </w:t>
      </w:r>
      <w:proofErr w:type="spellStart"/>
      <w:r>
        <w:rPr>
          <w:lang w:val="en-GB"/>
        </w:rPr>
        <w:t>iad</w:t>
      </w:r>
      <w:proofErr w:type="spellEnd"/>
      <w:r>
        <w:rPr>
          <w:lang w:val="en-GB"/>
        </w:rPr>
        <w:t xml:space="preserve"> a choinneáil, agus le cur ar a </w:t>
      </w:r>
      <w:proofErr w:type="spellStart"/>
      <w:r>
        <w:rPr>
          <w:lang w:val="en-GB"/>
        </w:rPr>
        <w:t>gcumas</w:t>
      </w:r>
      <w:proofErr w:type="spellEnd"/>
      <w:r>
        <w:rPr>
          <w:lang w:val="en-GB"/>
        </w:rPr>
        <w:t xml:space="preserve"> </w:t>
      </w:r>
      <w:proofErr w:type="spellStart"/>
      <w:r>
        <w:rPr>
          <w:lang w:val="en-GB"/>
        </w:rPr>
        <w:t>fanacht</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bhfostaíocht</w:t>
      </w:r>
      <w:proofErr w:type="spellEnd"/>
      <w:r>
        <w:rPr>
          <w:lang w:val="en-GB"/>
        </w:rPr>
        <w:t xml:space="preserve">. </w:t>
      </w:r>
      <w:proofErr w:type="spellStart"/>
      <w:r>
        <w:rPr>
          <w:lang w:val="en-GB"/>
        </w:rPr>
        <w:t>Tá</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treoirlínte</w:t>
      </w:r>
      <w:proofErr w:type="spellEnd"/>
      <w:r>
        <w:rPr>
          <w:lang w:val="en-GB"/>
        </w:rPr>
        <w:t xml:space="preserve"> </w:t>
      </w:r>
      <w:proofErr w:type="spellStart"/>
      <w:r>
        <w:rPr>
          <w:lang w:val="en-GB"/>
        </w:rPr>
        <w:t>bunaithe</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athbhreithniú</w:t>
      </w:r>
      <w:proofErr w:type="spellEnd"/>
      <w:r>
        <w:rPr>
          <w:lang w:val="en-GB"/>
        </w:rPr>
        <w:t xml:space="preserve"> d'fhianaise taighde agus de threoir </w:t>
      </w:r>
      <w:proofErr w:type="spellStart"/>
      <w:r>
        <w:rPr>
          <w:lang w:val="en-GB"/>
        </w:rPr>
        <w:t>dea-chleachtais</w:t>
      </w:r>
      <w:proofErr w:type="spellEnd"/>
      <w:r>
        <w:rPr>
          <w:lang w:val="en-GB"/>
        </w:rPr>
        <w:t xml:space="preserve">, arna </w:t>
      </w:r>
      <w:proofErr w:type="spellStart"/>
      <w:r>
        <w:rPr>
          <w:lang w:val="en-GB"/>
        </w:rPr>
        <w:t>fhoilsiú</w:t>
      </w:r>
      <w:proofErr w:type="spellEnd"/>
      <w:r>
        <w:rPr>
          <w:lang w:val="en-GB"/>
        </w:rPr>
        <w:t xml:space="preserve"> ag an NDA </w:t>
      </w:r>
      <w:proofErr w:type="spellStart"/>
      <w:r>
        <w:rPr>
          <w:lang w:val="en-GB"/>
        </w:rPr>
        <w:t>cheana</w:t>
      </w:r>
      <w:proofErr w:type="spellEnd"/>
      <w:r>
        <w:rPr>
          <w:lang w:val="en-GB"/>
        </w:rPr>
        <w:t xml:space="preserve"> </w:t>
      </w:r>
      <w:proofErr w:type="spellStart"/>
      <w:r>
        <w:rPr>
          <w:lang w:val="en-GB"/>
        </w:rPr>
        <w:t>féin</w:t>
      </w:r>
      <w:proofErr w:type="spellEnd"/>
      <w:r>
        <w:rPr>
          <w:lang w:val="en-GB"/>
        </w:rPr>
        <w:t xml:space="preserve">. </w:t>
      </w:r>
      <w:proofErr w:type="spellStart"/>
      <w:r>
        <w:rPr>
          <w:lang w:val="en-GB"/>
        </w:rPr>
        <w:t>Áirítear</w:t>
      </w:r>
      <w:proofErr w:type="spellEnd"/>
      <w:r>
        <w:rPr>
          <w:lang w:val="en-GB"/>
        </w:rPr>
        <w:t xml:space="preserve"> </w:t>
      </w:r>
      <w:proofErr w:type="spellStart"/>
      <w:r>
        <w:rPr>
          <w:lang w:val="en-GB"/>
        </w:rPr>
        <w:t>leo</w:t>
      </w:r>
      <w:proofErr w:type="spellEnd"/>
      <w:r>
        <w:rPr>
          <w:lang w:val="en-GB"/>
        </w:rPr>
        <w:t xml:space="preserve"> </w:t>
      </w:r>
      <w:proofErr w:type="spellStart"/>
      <w:r>
        <w:rPr>
          <w:lang w:val="en-GB"/>
        </w:rPr>
        <w:t>eolas</w:t>
      </w:r>
      <w:proofErr w:type="spellEnd"/>
      <w:r>
        <w:rPr>
          <w:lang w:val="en-GB"/>
        </w:rPr>
        <w:t xml:space="preserve"> </w:t>
      </w:r>
      <w:proofErr w:type="spellStart"/>
      <w:r>
        <w:rPr>
          <w:lang w:val="en-GB"/>
        </w:rPr>
        <w:t>praiticiúil</w:t>
      </w:r>
      <w:proofErr w:type="spellEnd"/>
      <w:r>
        <w:rPr>
          <w:lang w:val="en-GB"/>
        </w:rPr>
        <w:t xml:space="preserve"> </w:t>
      </w:r>
      <w:proofErr w:type="spellStart"/>
      <w:r>
        <w:rPr>
          <w:lang w:val="en-GB"/>
        </w:rPr>
        <w:t>d'fhostóirí</w:t>
      </w:r>
      <w:proofErr w:type="spellEnd"/>
      <w:r>
        <w:rPr>
          <w:lang w:val="en-GB"/>
        </w:rPr>
        <w:t xml:space="preserve"> </w:t>
      </w:r>
      <w:proofErr w:type="spellStart"/>
      <w:r>
        <w:rPr>
          <w:lang w:val="en-GB"/>
        </w:rPr>
        <w:t>faoi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tacaíochtaí</w:t>
      </w:r>
      <w:proofErr w:type="spellEnd"/>
      <w:r>
        <w:rPr>
          <w:lang w:val="en-GB"/>
        </w:rPr>
        <w:t xml:space="preserve"> </w:t>
      </w:r>
      <w:proofErr w:type="spellStart"/>
      <w:r>
        <w:rPr>
          <w:lang w:val="en-GB"/>
        </w:rPr>
        <w:t>atá</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fáil</w:t>
      </w:r>
      <w:proofErr w:type="spellEnd"/>
      <w:r>
        <w:rPr>
          <w:lang w:val="en-GB"/>
        </w:rPr>
        <w:t xml:space="preserve">. </w:t>
      </w:r>
    </w:p>
    <w:p w14:paraId="0E717365" w14:textId="77777777" w:rsidR="006C148C" w:rsidRDefault="006C148C">
      <w:pPr>
        <w:pStyle w:val="Heading3"/>
        <w:rPr>
          <w:lang w:val="es-ES"/>
        </w:rPr>
      </w:pPr>
      <w:bookmarkStart w:id="362" w:name="_Toc335836469"/>
      <w:r>
        <w:rPr>
          <w:lang w:val="es-ES"/>
        </w:rPr>
        <w:t>Fostaíocht daoine le míchumas sa tseirbhís phoiblí</w:t>
      </w:r>
      <w:bookmarkEnd w:id="362"/>
      <w:r>
        <w:rPr>
          <w:lang w:val="es-ES"/>
        </w:rPr>
        <w:t xml:space="preserve"> </w:t>
      </w:r>
    </w:p>
    <w:p w14:paraId="3164A9C2" w14:textId="77777777" w:rsidR="006C148C" w:rsidRDefault="006C148C">
      <w:pPr>
        <w:rPr>
          <w:lang w:val="es-ES"/>
        </w:rPr>
      </w:pPr>
      <w:r>
        <w:rPr>
          <w:lang w:val="es-ES"/>
        </w:rPr>
        <w:t xml:space="preserve">Ní foláir do chomhlachtaí poiblí de réir an dlí fostaíocht daoine le míchumas a chur chun cinn agus tacaíocht a thabhairt di laistigh den tseirbhís phoiblí, agus an sprioc ann 3% den lucht saothair bheith ina ndaoine le míchumas. Is ag an Údarás Náisiúnta Míchumais atá an fheidhm reachtúil monatóireacht a dhéanamh ar chomhlíonadh leis na forálacha úd. </w:t>
      </w:r>
    </w:p>
    <w:p w14:paraId="7DD144EE" w14:textId="77777777" w:rsidR="006C148C" w:rsidRDefault="006C148C">
      <w:pPr>
        <w:rPr>
          <w:lang w:val="es-ES"/>
        </w:rPr>
      </w:pPr>
      <w:r>
        <w:rPr>
          <w:lang w:val="es-ES"/>
        </w:rPr>
        <w:t>Foilsíodh Tuarascáil an Údaráis Náisiúnta Míchumais don chomhlíonadh sa bhliain 2010 i mí na Nollag 2011. B'inti a léiríodh gur tháinig laghdú beag ar chion na foirne le míchumas a tuairiscíodh ar fud na seirbhíse poiblí, ó 2.9% thiar sa bhliain 2009 anuas chuig 2.7% sa bhliain 2010 (Tábla 1). Taispeántar leis sin briseadh i bpatrún na méaduithe bliantúla breisíocha a gnóthaíodh ó éirí an sprioc ina ceangaltas reachtúil thiar an 31 Nollaig 2005.</w:t>
      </w:r>
    </w:p>
    <w:p w14:paraId="604E5F7C" w14:textId="77777777" w:rsidR="006C148C" w:rsidRDefault="006C148C">
      <w:pPr>
        <w:rPr>
          <w:lang w:val="es-ES"/>
        </w:rPr>
      </w:pPr>
      <w:r>
        <w:rPr>
          <w:lang w:val="es-ES"/>
        </w:rPr>
        <w:t xml:space="preserve">B'ionann líon iomlan na bhfostaithe seirbhíse poiblí, le míchumas, don bhliain 2010, arna shainmhíniú san Acht Míchumais 2005, agus 5,748; ar laghdú faoi 632 </w:t>
      </w:r>
      <w:r>
        <w:rPr>
          <w:lang w:val="es-ES"/>
        </w:rPr>
        <w:lastRenderedPageBreak/>
        <w:t>ar fhigiúr na bliana 2009 é. Tharla an laghdú sin os coinne chúlra de thitim i líon iomlán na bhfostaithe sna comhlachtaí poiblí ag tuairisciú faoin Acht Míchumais  2005 ó 219,653 thiar sa bhliain 2009 chuig 210,267 sa bhliain 2010 (Tábla 1). Theastódh 6,308 fostaí trí chéile d'fhonn an sprioc 3% a shásamh.</w:t>
      </w:r>
    </w:p>
    <w:p w14:paraId="39B21028" w14:textId="77777777" w:rsidR="006C148C" w:rsidRPr="000230E8" w:rsidRDefault="006C148C">
      <w:pPr>
        <w:pStyle w:val="TableTitle"/>
        <w:rPr>
          <w:lang w:val="es-ES"/>
        </w:rPr>
      </w:pPr>
      <w:r w:rsidRPr="000230E8">
        <w:rPr>
          <w:lang w:val="es-ES"/>
        </w:rPr>
        <w:t>Tábla 1:  Dul chun cinn i dtreo na Sprice 3%, 2009-2010</w:t>
      </w:r>
    </w:p>
    <w:tbl>
      <w:tblPr>
        <w:tblW w:w="0" w:type="auto"/>
        <w:tblInd w:w="-65" w:type="dxa"/>
        <w:tblLayout w:type="fixed"/>
        <w:tblLook w:val="0000" w:firstRow="0" w:lastRow="0" w:firstColumn="0" w:lastColumn="0" w:noHBand="0" w:noVBand="0"/>
      </w:tblPr>
      <w:tblGrid>
        <w:gridCol w:w="2321"/>
        <w:gridCol w:w="2321"/>
        <w:gridCol w:w="2322"/>
        <w:gridCol w:w="2452"/>
      </w:tblGrid>
      <w:tr w:rsidR="006C148C" w14:paraId="2FB0781F" w14:textId="77777777">
        <w:trPr>
          <w:tblHeader/>
        </w:trPr>
        <w:tc>
          <w:tcPr>
            <w:tcW w:w="2321" w:type="dxa"/>
            <w:tcBorders>
              <w:top w:val="single" w:sz="8" w:space="0" w:color="000000"/>
              <w:left w:val="single" w:sz="8" w:space="0" w:color="000000"/>
              <w:bottom w:val="single" w:sz="8" w:space="0" w:color="000000"/>
            </w:tcBorders>
            <w:shd w:val="clear" w:color="auto" w:fill="auto"/>
          </w:tcPr>
          <w:p w14:paraId="7F22AEE3" w14:textId="77777777" w:rsidR="006C148C" w:rsidRPr="000230E8" w:rsidRDefault="006C148C">
            <w:pPr>
              <w:pStyle w:val="TableHeadRight"/>
              <w:snapToGrid w:val="0"/>
              <w:rPr>
                <w:lang w:val="es-ES"/>
              </w:rPr>
            </w:pPr>
          </w:p>
        </w:tc>
        <w:tc>
          <w:tcPr>
            <w:tcW w:w="2321" w:type="dxa"/>
            <w:tcBorders>
              <w:top w:val="single" w:sz="8" w:space="0" w:color="000000"/>
              <w:left w:val="single" w:sz="4" w:space="0" w:color="000000"/>
              <w:bottom w:val="single" w:sz="8" w:space="0" w:color="000000"/>
            </w:tcBorders>
            <w:shd w:val="clear" w:color="auto" w:fill="auto"/>
          </w:tcPr>
          <w:p w14:paraId="709C2AEE" w14:textId="77777777" w:rsidR="006C148C" w:rsidRDefault="006C148C">
            <w:pPr>
              <w:pStyle w:val="TableHeadRight"/>
              <w:snapToGrid w:val="0"/>
            </w:pPr>
            <w:proofErr w:type="spellStart"/>
            <w:r>
              <w:t>Líon</w:t>
            </w:r>
            <w:proofErr w:type="spellEnd"/>
            <w:r>
              <w:t xml:space="preserve"> </w:t>
            </w:r>
            <w:proofErr w:type="spellStart"/>
            <w:r>
              <w:t>foirne</w:t>
            </w:r>
            <w:proofErr w:type="spellEnd"/>
            <w:r>
              <w:t xml:space="preserve"> </w:t>
            </w:r>
            <w:proofErr w:type="spellStart"/>
            <w:r>
              <w:t>iomlán</w:t>
            </w:r>
            <w:proofErr w:type="spellEnd"/>
          </w:p>
        </w:tc>
        <w:tc>
          <w:tcPr>
            <w:tcW w:w="2322" w:type="dxa"/>
            <w:tcBorders>
              <w:top w:val="single" w:sz="8" w:space="0" w:color="000000"/>
              <w:left w:val="single" w:sz="4" w:space="0" w:color="000000"/>
              <w:bottom w:val="single" w:sz="8" w:space="0" w:color="000000"/>
            </w:tcBorders>
            <w:shd w:val="clear" w:color="auto" w:fill="auto"/>
          </w:tcPr>
          <w:p w14:paraId="3227DF07" w14:textId="77777777" w:rsidR="006C148C" w:rsidRDefault="006C148C">
            <w:pPr>
              <w:pStyle w:val="TableHeadRight"/>
              <w:snapToGrid w:val="0"/>
            </w:pPr>
            <w:proofErr w:type="spellStart"/>
            <w:r>
              <w:t>Líon</w:t>
            </w:r>
            <w:proofErr w:type="spellEnd"/>
            <w:r>
              <w:t xml:space="preserve"> </w:t>
            </w:r>
            <w:proofErr w:type="spellStart"/>
            <w:r>
              <w:t>foirne</w:t>
            </w:r>
            <w:proofErr w:type="spellEnd"/>
            <w:r>
              <w:t xml:space="preserve"> le </w:t>
            </w:r>
            <w:proofErr w:type="spellStart"/>
            <w:r>
              <w:t>míchumas</w:t>
            </w:r>
            <w:proofErr w:type="spellEnd"/>
          </w:p>
        </w:tc>
        <w:tc>
          <w:tcPr>
            <w:tcW w:w="2452" w:type="dxa"/>
            <w:tcBorders>
              <w:top w:val="single" w:sz="8" w:space="0" w:color="000000"/>
              <w:left w:val="single" w:sz="4" w:space="0" w:color="000000"/>
              <w:bottom w:val="single" w:sz="8" w:space="0" w:color="000000"/>
              <w:right w:val="single" w:sz="8" w:space="0" w:color="000000"/>
            </w:tcBorders>
            <w:shd w:val="clear" w:color="auto" w:fill="auto"/>
          </w:tcPr>
          <w:p w14:paraId="3EA3DF0B" w14:textId="77777777" w:rsidR="006C148C" w:rsidRDefault="006C148C">
            <w:pPr>
              <w:pStyle w:val="TableHeadRight"/>
              <w:snapToGrid w:val="0"/>
            </w:pPr>
            <w:r>
              <w:t xml:space="preserve">% </w:t>
            </w:r>
            <w:proofErr w:type="spellStart"/>
            <w:proofErr w:type="gramStart"/>
            <w:r>
              <w:t>foirne</w:t>
            </w:r>
            <w:proofErr w:type="spellEnd"/>
            <w:proofErr w:type="gramEnd"/>
            <w:r>
              <w:t xml:space="preserve"> le </w:t>
            </w:r>
            <w:proofErr w:type="spellStart"/>
            <w:r>
              <w:t>míchumas</w:t>
            </w:r>
            <w:proofErr w:type="spellEnd"/>
          </w:p>
        </w:tc>
      </w:tr>
      <w:tr w:rsidR="006C148C" w14:paraId="762EDD7F" w14:textId="77777777">
        <w:tc>
          <w:tcPr>
            <w:tcW w:w="2321" w:type="dxa"/>
            <w:tcBorders>
              <w:top w:val="single" w:sz="8" w:space="0" w:color="000000"/>
              <w:left w:val="single" w:sz="8" w:space="0" w:color="000000"/>
              <w:bottom w:val="single" w:sz="4" w:space="0" w:color="000000"/>
            </w:tcBorders>
            <w:shd w:val="clear" w:color="auto" w:fill="auto"/>
          </w:tcPr>
          <w:p w14:paraId="1FFD0FE9" w14:textId="77777777" w:rsidR="006C148C" w:rsidRDefault="006C148C">
            <w:pPr>
              <w:pStyle w:val="TableRowHead"/>
              <w:snapToGrid w:val="0"/>
              <w:rPr>
                <w:rFonts w:ascii="Gill Sans" w:hAnsi="Gill Sans"/>
              </w:rPr>
            </w:pPr>
            <w:r>
              <w:rPr>
                <w:rFonts w:ascii="Gill Sans" w:hAnsi="Gill Sans"/>
              </w:rPr>
              <w:t>2009</w:t>
            </w:r>
          </w:p>
        </w:tc>
        <w:tc>
          <w:tcPr>
            <w:tcW w:w="2321" w:type="dxa"/>
            <w:tcBorders>
              <w:top w:val="single" w:sz="8" w:space="0" w:color="000000"/>
              <w:left w:val="single" w:sz="4" w:space="0" w:color="000000"/>
              <w:bottom w:val="single" w:sz="4" w:space="0" w:color="000000"/>
            </w:tcBorders>
            <w:shd w:val="clear" w:color="auto" w:fill="auto"/>
          </w:tcPr>
          <w:p w14:paraId="4A581E88" w14:textId="77777777" w:rsidR="006C148C" w:rsidRDefault="006C148C">
            <w:pPr>
              <w:pStyle w:val="TableCell"/>
              <w:snapToGrid w:val="0"/>
            </w:pPr>
            <w:r>
              <w:t>219,653</w:t>
            </w:r>
          </w:p>
        </w:tc>
        <w:tc>
          <w:tcPr>
            <w:tcW w:w="2322" w:type="dxa"/>
            <w:tcBorders>
              <w:top w:val="single" w:sz="8" w:space="0" w:color="000000"/>
              <w:left w:val="single" w:sz="4" w:space="0" w:color="000000"/>
              <w:bottom w:val="single" w:sz="4" w:space="0" w:color="000000"/>
            </w:tcBorders>
            <w:shd w:val="clear" w:color="auto" w:fill="auto"/>
          </w:tcPr>
          <w:p w14:paraId="31982CC9" w14:textId="77777777" w:rsidR="006C148C" w:rsidRDefault="006C148C">
            <w:pPr>
              <w:pStyle w:val="TableCell"/>
              <w:snapToGrid w:val="0"/>
            </w:pPr>
            <w:r>
              <w:t>6,380</w:t>
            </w:r>
          </w:p>
        </w:tc>
        <w:tc>
          <w:tcPr>
            <w:tcW w:w="2452" w:type="dxa"/>
            <w:tcBorders>
              <w:top w:val="single" w:sz="8" w:space="0" w:color="000000"/>
              <w:left w:val="single" w:sz="4" w:space="0" w:color="000000"/>
              <w:bottom w:val="single" w:sz="4" w:space="0" w:color="000000"/>
              <w:right w:val="single" w:sz="8" w:space="0" w:color="000000"/>
            </w:tcBorders>
            <w:shd w:val="clear" w:color="auto" w:fill="auto"/>
          </w:tcPr>
          <w:p w14:paraId="35FAEBA5" w14:textId="77777777" w:rsidR="006C148C" w:rsidRDefault="006C148C">
            <w:pPr>
              <w:pStyle w:val="TableCell"/>
              <w:snapToGrid w:val="0"/>
            </w:pPr>
            <w:r>
              <w:t>2.9%</w:t>
            </w:r>
          </w:p>
        </w:tc>
      </w:tr>
      <w:tr w:rsidR="006C148C" w14:paraId="307D48E6" w14:textId="77777777">
        <w:tc>
          <w:tcPr>
            <w:tcW w:w="2321" w:type="dxa"/>
            <w:tcBorders>
              <w:top w:val="single" w:sz="4" w:space="0" w:color="000000"/>
              <w:left w:val="single" w:sz="8" w:space="0" w:color="000000"/>
              <w:bottom w:val="single" w:sz="4" w:space="0" w:color="000000"/>
            </w:tcBorders>
            <w:shd w:val="clear" w:color="auto" w:fill="auto"/>
          </w:tcPr>
          <w:p w14:paraId="7EF4590E" w14:textId="77777777" w:rsidR="006C148C" w:rsidRDefault="006C148C">
            <w:pPr>
              <w:pStyle w:val="TableRowHead"/>
              <w:snapToGrid w:val="0"/>
              <w:rPr>
                <w:rFonts w:ascii="Gill Sans" w:hAnsi="Gill Sans"/>
              </w:rPr>
            </w:pPr>
            <w:r>
              <w:rPr>
                <w:rFonts w:ascii="Gill Sans" w:hAnsi="Gill Sans"/>
              </w:rPr>
              <w:t>2010</w:t>
            </w:r>
          </w:p>
        </w:tc>
        <w:tc>
          <w:tcPr>
            <w:tcW w:w="2321" w:type="dxa"/>
            <w:tcBorders>
              <w:top w:val="single" w:sz="4" w:space="0" w:color="000000"/>
              <w:left w:val="single" w:sz="4" w:space="0" w:color="000000"/>
              <w:bottom w:val="single" w:sz="4" w:space="0" w:color="000000"/>
            </w:tcBorders>
            <w:shd w:val="clear" w:color="auto" w:fill="auto"/>
          </w:tcPr>
          <w:p w14:paraId="7F095B1A" w14:textId="77777777" w:rsidR="006C148C" w:rsidRDefault="006C148C">
            <w:pPr>
              <w:pStyle w:val="TableCell"/>
              <w:snapToGrid w:val="0"/>
            </w:pPr>
            <w:r>
              <w:t>210,267</w:t>
            </w:r>
          </w:p>
        </w:tc>
        <w:tc>
          <w:tcPr>
            <w:tcW w:w="2322" w:type="dxa"/>
            <w:tcBorders>
              <w:top w:val="single" w:sz="4" w:space="0" w:color="000000"/>
              <w:left w:val="single" w:sz="4" w:space="0" w:color="000000"/>
              <w:bottom w:val="single" w:sz="4" w:space="0" w:color="000000"/>
            </w:tcBorders>
            <w:shd w:val="clear" w:color="auto" w:fill="auto"/>
          </w:tcPr>
          <w:p w14:paraId="24F8FFBD" w14:textId="77777777" w:rsidR="006C148C" w:rsidRDefault="006C148C">
            <w:pPr>
              <w:pStyle w:val="TableCell"/>
              <w:snapToGrid w:val="0"/>
            </w:pPr>
            <w:r>
              <w:t>5,748</w:t>
            </w:r>
          </w:p>
        </w:tc>
        <w:tc>
          <w:tcPr>
            <w:tcW w:w="2452" w:type="dxa"/>
            <w:tcBorders>
              <w:top w:val="single" w:sz="4" w:space="0" w:color="000000"/>
              <w:left w:val="single" w:sz="4" w:space="0" w:color="000000"/>
              <w:bottom w:val="single" w:sz="4" w:space="0" w:color="000000"/>
              <w:right w:val="single" w:sz="8" w:space="0" w:color="000000"/>
            </w:tcBorders>
            <w:shd w:val="clear" w:color="auto" w:fill="auto"/>
          </w:tcPr>
          <w:p w14:paraId="7F77C2E8" w14:textId="77777777" w:rsidR="006C148C" w:rsidRDefault="006C148C">
            <w:pPr>
              <w:pStyle w:val="TableCell"/>
              <w:snapToGrid w:val="0"/>
            </w:pPr>
            <w:r>
              <w:t>2.7%</w:t>
            </w:r>
          </w:p>
        </w:tc>
      </w:tr>
      <w:tr w:rsidR="006C148C" w14:paraId="0C41E08A" w14:textId="77777777">
        <w:tc>
          <w:tcPr>
            <w:tcW w:w="2321" w:type="dxa"/>
            <w:tcBorders>
              <w:top w:val="single" w:sz="4" w:space="0" w:color="000000"/>
              <w:left w:val="single" w:sz="8" w:space="0" w:color="000000"/>
              <w:bottom w:val="single" w:sz="8" w:space="0" w:color="000000"/>
            </w:tcBorders>
            <w:shd w:val="clear" w:color="auto" w:fill="auto"/>
          </w:tcPr>
          <w:p w14:paraId="51627AE4" w14:textId="77777777" w:rsidR="006C148C" w:rsidRDefault="006C148C">
            <w:pPr>
              <w:pStyle w:val="TableRowHead"/>
              <w:snapToGrid w:val="0"/>
              <w:rPr>
                <w:rFonts w:ascii="Gill Sans" w:hAnsi="Gill Sans"/>
              </w:rPr>
            </w:pPr>
            <w:r>
              <w:rPr>
                <w:rFonts w:ascii="Gill Sans" w:hAnsi="Gill Sans"/>
              </w:rPr>
              <w:t>Athrú 2009-10</w:t>
            </w:r>
          </w:p>
        </w:tc>
        <w:tc>
          <w:tcPr>
            <w:tcW w:w="2321" w:type="dxa"/>
            <w:tcBorders>
              <w:top w:val="single" w:sz="4" w:space="0" w:color="000000"/>
              <w:left w:val="single" w:sz="4" w:space="0" w:color="000000"/>
              <w:bottom w:val="single" w:sz="8" w:space="0" w:color="000000"/>
            </w:tcBorders>
            <w:shd w:val="clear" w:color="auto" w:fill="auto"/>
          </w:tcPr>
          <w:p w14:paraId="4A1166C7" w14:textId="77777777" w:rsidR="006C148C" w:rsidRDefault="006C148C">
            <w:pPr>
              <w:pStyle w:val="TableCell"/>
              <w:snapToGrid w:val="0"/>
            </w:pPr>
            <w:r>
              <w:t>-9,386</w:t>
            </w:r>
          </w:p>
        </w:tc>
        <w:tc>
          <w:tcPr>
            <w:tcW w:w="2322" w:type="dxa"/>
            <w:tcBorders>
              <w:top w:val="single" w:sz="4" w:space="0" w:color="000000"/>
              <w:left w:val="single" w:sz="4" w:space="0" w:color="000000"/>
              <w:bottom w:val="single" w:sz="8" w:space="0" w:color="000000"/>
            </w:tcBorders>
            <w:shd w:val="clear" w:color="auto" w:fill="auto"/>
          </w:tcPr>
          <w:p w14:paraId="18A0B3FE" w14:textId="77777777" w:rsidR="006C148C" w:rsidRDefault="006C148C">
            <w:pPr>
              <w:pStyle w:val="TableCell"/>
              <w:snapToGrid w:val="0"/>
            </w:pPr>
            <w:r>
              <w:t>-632</w:t>
            </w:r>
          </w:p>
        </w:tc>
        <w:tc>
          <w:tcPr>
            <w:tcW w:w="2452" w:type="dxa"/>
            <w:tcBorders>
              <w:top w:val="single" w:sz="4" w:space="0" w:color="000000"/>
              <w:left w:val="single" w:sz="4" w:space="0" w:color="000000"/>
              <w:bottom w:val="single" w:sz="8" w:space="0" w:color="000000"/>
              <w:right w:val="single" w:sz="8" w:space="0" w:color="000000"/>
            </w:tcBorders>
            <w:shd w:val="clear" w:color="auto" w:fill="auto"/>
          </w:tcPr>
          <w:p w14:paraId="6825C6A0" w14:textId="77777777" w:rsidR="006C148C" w:rsidRDefault="006C148C">
            <w:pPr>
              <w:pStyle w:val="TableCell"/>
              <w:snapToGrid w:val="0"/>
            </w:pPr>
            <w:r>
              <w:t>-0.2%</w:t>
            </w:r>
          </w:p>
        </w:tc>
      </w:tr>
    </w:tbl>
    <w:p w14:paraId="564FBDA3" w14:textId="77777777" w:rsidR="006C148C" w:rsidRDefault="006C148C">
      <w:pPr>
        <w:spacing w:before="240"/>
      </w:pPr>
      <w:r>
        <w:t xml:space="preserve">Ba </w:t>
      </w:r>
      <w:proofErr w:type="spellStart"/>
      <w:r>
        <w:t>dhíréireach</w:t>
      </w:r>
      <w:proofErr w:type="spellEnd"/>
      <w:r>
        <w:t xml:space="preserve"> an tionchar ar dhaoine le </w:t>
      </w:r>
      <w:proofErr w:type="spellStart"/>
      <w:r>
        <w:t>míchumas</w:t>
      </w:r>
      <w:proofErr w:type="spellEnd"/>
      <w:r>
        <w:t xml:space="preserve"> ón </w:t>
      </w:r>
      <w:proofErr w:type="spellStart"/>
      <w:r>
        <w:t>meathlú</w:t>
      </w:r>
      <w:proofErr w:type="spellEnd"/>
      <w:r>
        <w:t xml:space="preserve"> i líon fostaíochta na </w:t>
      </w:r>
      <w:proofErr w:type="spellStart"/>
      <w:r>
        <w:t>hearnála</w:t>
      </w:r>
      <w:proofErr w:type="spellEnd"/>
      <w:r>
        <w:t xml:space="preserve"> poiblí ó thabhairt isteach an </w:t>
      </w:r>
      <w:proofErr w:type="spellStart"/>
      <w:r>
        <w:t>mhoratóra</w:t>
      </w:r>
      <w:proofErr w:type="spellEnd"/>
      <w:r>
        <w:t xml:space="preserve"> i gcoinne na </w:t>
      </w:r>
      <w:proofErr w:type="spellStart"/>
      <w:proofErr w:type="gramStart"/>
      <w:r>
        <w:t>hearcaíochta</w:t>
      </w:r>
      <w:proofErr w:type="spellEnd"/>
      <w:r>
        <w:t xml:space="preserve">  go</w:t>
      </w:r>
      <w:proofErr w:type="gramEnd"/>
      <w:r>
        <w:t xml:space="preserve"> dtí an earnáil phoiblí i mí an Mhárta 2009. Tháinig meath faoi 9.9% (632) i </w:t>
      </w:r>
      <w:proofErr w:type="spellStart"/>
      <w:r>
        <w:t>ndearbhlíon</w:t>
      </w:r>
      <w:proofErr w:type="spellEnd"/>
      <w:r>
        <w:t xml:space="preserve"> na ndaoine le </w:t>
      </w:r>
      <w:proofErr w:type="spellStart"/>
      <w:r>
        <w:t>míchumas</w:t>
      </w:r>
      <w:proofErr w:type="spellEnd"/>
      <w:r>
        <w:t xml:space="preserve"> </w:t>
      </w:r>
      <w:proofErr w:type="spellStart"/>
      <w:r>
        <w:t>i</w:t>
      </w:r>
      <w:proofErr w:type="spellEnd"/>
      <w:r>
        <w:t xml:space="preserve"> </w:t>
      </w:r>
      <w:proofErr w:type="spellStart"/>
      <w:r>
        <w:t>bhfostaíocht</w:t>
      </w:r>
      <w:proofErr w:type="spellEnd"/>
      <w:r>
        <w:t xml:space="preserve"> </w:t>
      </w:r>
      <w:proofErr w:type="spellStart"/>
      <w:r>
        <w:t>san</w:t>
      </w:r>
      <w:proofErr w:type="spellEnd"/>
      <w:r>
        <w:t xml:space="preserve"> </w:t>
      </w:r>
      <w:proofErr w:type="spellStart"/>
      <w:r>
        <w:t>earnáil</w:t>
      </w:r>
      <w:proofErr w:type="spellEnd"/>
      <w:r>
        <w:t xml:space="preserve"> phoiblí i gcomparáid le meath 4% </w:t>
      </w:r>
      <w:proofErr w:type="spellStart"/>
      <w:r>
        <w:t>san</w:t>
      </w:r>
      <w:proofErr w:type="spellEnd"/>
      <w:r>
        <w:t xml:space="preserve"> </w:t>
      </w:r>
      <w:proofErr w:type="spellStart"/>
      <w:r>
        <w:t>fhostaíocht</w:t>
      </w:r>
      <w:proofErr w:type="spellEnd"/>
      <w:r>
        <w:t xml:space="preserve"> </w:t>
      </w:r>
      <w:proofErr w:type="spellStart"/>
      <w:r>
        <w:t>fhoriomlán</w:t>
      </w:r>
      <w:proofErr w:type="spellEnd"/>
      <w:r>
        <w:t xml:space="preserve"> (9,386). </w:t>
      </w:r>
    </w:p>
    <w:p w14:paraId="4C2AF633" w14:textId="77777777" w:rsidR="006C148C" w:rsidRDefault="006C148C">
      <w:pPr>
        <w:pStyle w:val="Heading2"/>
      </w:pPr>
      <w:bookmarkStart w:id="363" w:name="_Toc335836470"/>
      <w:r>
        <w:t>Iompar, Turasóireacht agus Spórt</w:t>
      </w:r>
      <w:bookmarkEnd w:id="363"/>
      <w:r>
        <w:t xml:space="preserve"> </w:t>
      </w:r>
    </w:p>
    <w:p w14:paraId="2733D028" w14:textId="77777777" w:rsidR="006C148C" w:rsidRDefault="006C148C">
      <w:r>
        <w:t xml:space="preserve">Chuir an </w:t>
      </w:r>
      <w:proofErr w:type="spellStart"/>
      <w:r>
        <w:t>tÚdarás</w:t>
      </w:r>
      <w:proofErr w:type="spellEnd"/>
      <w:r>
        <w:t xml:space="preserve"> Náisiúnta </w:t>
      </w:r>
      <w:proofErr w:type="spellStart"/>
      <w:proofErr w:type="gramStart"/>
      <w:r>
        <w:t>Míchumais</w:t>
      </w:r>
      <w:proofErr w:type="spellEnd"/>
      <w:r>
        <w:t xml:space="preserve">  páipéar</w:t>
      </w:r>
      <w:proofErr w:type="gramEnd"/>
      <w:r>
        <w:t xml:space="preserve"> comhairle beartais faoi bhráid na Roinne i mí Dheireadh Fómhair, mar fhreagra dá </w:t>
      </w:r>
      <w:proofErr w:type="spellStart"/>
      <w:r>
        <w:t>chomhairliúchán</w:t>
      </w:r>
      <w:proofErr w:type="spellEnd"/>
      <w:r>
        <w:t xml:space="preserve"> </w:t>
      </w:r>
      <w:proofErr w:type="spellStart"/>
      <w:r>
        <w:t>poiblí</w:t>
      </w:r>
      <w:proofErr w:type="spellEnd"/>
      <w:r>
        <w:t xml:space="preserve"> </w:t>
      </w:r>
      <w:proofErr w:type="spellStart"/>
      <w:r>
        <w:t>i</w:t>
      </w:r>
      <w:proofErr w:type="spellEnd"/>
      <w:r>
        <w:t xml:space="preserve"> </w:t>
      </w:r>
      <w:proofErr w:type="spellStart"/>
      <w:r>
        <w:t>leith</w:t>
      </w:r>
      <w:proofErr w:type="spellEnd"/>
      <w:r>
        <w:t xml:space="preserve"> </w:t>
      </w:r>
      <w:proofErr w:type="spellStart"/>
      <w:r>
        <w:t>athbhreithniú</w:t>
      </w:r>
      <w:proofErr w:type="spellEnd"/>
      <w:r>
        <w:t xml:space="preserve"> a </w:t>
      </w:r>
      <w:proofErr w:type="spellStart"/>
      <w:r>
        <w:t>plean</w:t>
      </w:r>
      <w:proofErr w:type="spellEnd"/>
      <w:r>
        <w:t xml:space="preserve"> </w:t>
      </w:r>
      <w:proofErr w:type="spellStart"/>
      <w:r>
        <w:t>earnálaigh</w:t>
      </w:r>
      <w:proofErr w:type="spellEnd"/>
      <w:r>
        <w:t xml:space="preserve"> </w:t>
      </w:r>
      <w:proofErr w:type="spellStart"/>
      <w:r>
        <w:rPr>
          <w:b/>
          <w:bCs/>
        </w:rPr>
        <w:t>Rochtain</w:t>
      </w:r>
      <w:proofErr w:type="spellEnd"/>
      <w:r>
        <w:rPr>
          <w:b/>
          <w:bCs/>
        </w:rPr>
        <w:t xml:space="preserve"> Iompair do </w:t>
      </w:r>
      <w:proofErr w:type="spellStart"/>
      <w:r>
        <w:rPr>
          <w:b/>
          <w:bCs/>
        </w:rPr>
        <w:t>Chách</w:t>
      </w:r>
      <w:proofErr w:type="spellEnd"/>
      <w:r>
        <w:t xml:space="preserve">. </w:t>
      </w:r>
      <w:proofErr w:type="spellStart"/>
      <w:r>
        <w:t>Leagadh</w:t>
      </w:r>
      <w:proofErr w:type="spellEnd"/>
      <w:r>
        <w:t xml:space="preserve"> an </w:t>
      </w:r>
      <w:proofErr w:type="spellStart"/>
      <w:r>
        <w:t>bhéim</w:t>
      </w:r>
      <w:proofErr w:type="spellEnd"/>
      <w:r>
        <w:t xml:space="preserve"> </w:t>
      </w:r>
      <w:proofErr w:type="spellStart"/>
      <w:r>
        <w:t>sa</w:t>
      </w:r>
      <w:proofErr w:type="spellEnd"/>
      <w:r>
        <w:t xml:space="preserve"> </w:t>
      </w:r>
      <w:proofErr w:type="spellStart"/>
      <w:r>
        <w:t>pháipéar</w:t>
      </w:r>
      <w:proofErr w:type="spellEnd"/>
      <w:r>
        <w:t xml:space="preserve"> </w:t>
      </w:r>
      <w:proofErr w:type="spellStart"/>
      <w:r>
        <w:t>ar</w:t>
      </w:r>
      <w:proofErr w:type="spellEnd"/>
      <w:r>
        <w:t xml:space="preserve"> an </w:t>
      </w:r>
      <w:proofErr w:type="spellStart"/>
      <w:r>
        <w:t>tábhacht</w:t>
      </w:r>
      <w:proofErr w:type="spellEnd"/>
      <w:r>
        <w:t xml:space="preserve"> a </w:t>
      </w:r>
      <w:proofErr w:type="spellStart"/>
      <w:r>
        <w:t>bhain</w:t>
      </w:r>
      <w:proofErr w:type="spellEnd"/>
      <w:r>
        <w:t xml:space="preserve"> le </w:t>
      </w:r>
      <w:proofErr w:type="spellStart"/>
      <w:r>
        <w:t>córas</w:t>
      </w:r>
      <w:proofErr w:type="spellEnd"/>
      <w:r>
        <w:t xml:space="preserve"> </w:t>
      </w:r>
      <w:proofErr w:type="spellStart"/>
      <w:r>
        <w:t>iompair</w:t>
      </w:r>
      <w:proofErr w:type="spellEnd"/>
      <w:r>
        <w:t xml:space="preserve"> </w:t>
      </w:r>
      <w:proofErr w:type="spellStart"/>
      <w:r>
        <w:t>phoiblí</w:t>
      </w:r>
      <w:proofErr w:type="spellEnd"/>
      <w:r>
        <w:t xml:space="preserve"> </w:t>
      </w:r>
      <w:proofErr w:type="spellStart"/>
      <w:r>
        <w:t>ar</w:t>
      </w:r>
      <w:proofErr w:type="spellEnd"/>
      <w:r>
        <w:t xml:space="preserve"> </w:t>
      </w:r>
      <w:proofErr w:type="spellStart"/>
      <w:r>
        <w:t>comhtháite</w:t>
      </w:r>
      <w:proofErr w:type="spellEnd"/>
      <w:r>
        <w:t xml:space="preserve">, </w:t>
      </w:r>
      <w:proofErr w:type="spellStart"/>
      <w:r>
        <w:t>inrochtana</w:t>
      </w:r>
      <w:proofErr w:type="spellEnd"/>
      <w:r>
        <w:t xml:space="preserve">, </w:t>
      </w:r>
      <w:proofErr w:type="spellStart"/>
      <w:r>
        <w:t>infhaighte</w:t>
      </w:r>
      <w:proofErr w:type="spellEnd"/>
      <w:r>
        <w:t xml:space="preserve"> </w:t>
      </w:r>
      <w:proofErr w:type="spellStart"/>
      <w:r>
        <w:t>agus</w:t>
      </w:r>
      <w:proofErr w:type="spellEnd"/>
      <w:r>
        <w:t xml:space="preserve"> </w:t>
      </w:r>
      <w:proofErr w:type="spellStart"/>
      <w:r>
        <w:t>inacmhainne</w:t>
      </w:r>
      <w:proofErr w:type="spellEnd"/>
      <w:r>
        <w:t xml:space="preserve"> é, </w:t>
      </w:r>
      <w:proofErr w:type="spellStart"/>
      <w:r>
        <w:t>agus</w:t>
      </w:r>
      <w:proofErr w:type="spellEnd"/>
      <w:r>
        <w:t xml:space="preserve"> le </w:t>
      </w:r>
      <w:proofErr w:type="spellStart"/>
      <w:r>
        <w:t>heolas</w:t>
      </w:r>
      <w:proofErr w:type="spellEnd"/>
      <w:r>
        <w:t xml:space="preserve"> a </w:t>
      </w:r>
      <w:proofErr w:type="spellStart"/>
      <w:r>
        <w:t>sholáthar</w:t>
      </w:r>
      <w:proofErr w:type="spellEnd"/>
      <w:r>
        <w:t xml:space="preserve"> le cur </w:t>
      </w:r>
      <w:proofErr w:type="spellStart"/>
      <w:r>
        <w:t>ar</w:t>
      </w:r>
      <w:proofErr w:type="spellEnd"/>
      <w:r>
        <w:t xml:space="preserve"> </w:t>
      </w:r>
      <w:proofErr w:type="spellStart"/>
      <w:r>
        <w:t>chumas</w:t>
      </w:r>
      <w:proofErr w:type="spellEnd"/>
      <w:r>
        <w:t xml:space="preserve"> </w:t>
      </w:r>
      <w:proofErr w:type="spellStart"/>
      <w:r>
        <w:t>daoine</w:t>
      </w:r>
      <w:proofErr w:type="spellEnd"/>
      <w:r>
        <w:t xml:space="preserve"> le </w:t>
      </w:r>
      <w:proofErr w:type="spellStart"/>
      <w:r>
        <w:t>míchumas</w:t>
      </w:r>
      <w:proofErr w:type="spellEnd"/>
      <w:r>
        <w:t xml:space="preserve"> </w:t>
      </w:r>
      <w:proofErr w:type="spellStart"/>
      <w:r>
        <w:t>aistir</w:t>
      </w:r>
      <w:proofErr w:type="spellEnd"/>
      <w:r>
        <w:t xml:space="preserve"> </w:t>
      </w:r>
      <w:proofErr w:type="spellStart"/>
      <w:r>
        <w:t>idirnasctha</w:t>
      </w:r>
      <w:proofErr w:type="spellEnd"/>
      <w:r>
        <w:t xml:space="preserve"> a </w:t>
      </w:r>
      <w:proofErr w:type="spellStart"/>
      <w:r>
        <w:t>phleanáil</w:t>
      </w:r>
      <w:proofErr w:type="spellEnd"/>
      <w:r>
        <w:t xml:space="preserve">. </w:t>
      </w:r>
      <w:proofErr w:type="spellStart"/>
      <w:r>
        <w:t>Chuir</w:t>
      </w:r>
      <w:proofErr w:type="spellEnd"/>
      <w:r>
        <w:t xml:space="preserve"> </w:t>
      </w:r>
      <w:proofErr w:type="spellStart"/>
      <w:r>
        <w:t>sé</w:t>
      </w:r>
      <w:proofErr w:type="spellEnd"/>
      <w:r>
        <w:t xml:space="preserve"> </w:t>
      </w:r>
      <w:proofErr w:type="spellStart"/>
      <w:r>
        <w:t>chun</w:t>
      </w:r>
      <w:proofErr w:type="spellEnd"/>
      <w:r>
        <w:t xml:space="preserve"> </w:t>
      </w:r>
      <w:proofErr w:type="spellStart"/>
      <w:r>
        <w:t>cinn</w:t>
      </w:r>
      <w:proofErr w:type="spellEnd"/>
      <w:r>
        <w:t xml:space="preserve"> </w:t>
      </w:r>
      <w:proofErr w:type="spellStart"/>
      <w:r>
        <w:t>úsáid</w:t>
      </w:r>
      <w:proofErr w:type="spellEnd"/>
      <w:r>
        <w:t xml:space="preserve"> </w:t>
      </w:r>
      <w:proofErr w:type="spellStart"/>
      <w:r>
        <w:t>níos</w:t>
      </w:r>
      <w:proofErr w:type="spellEnd"/>
      <w:r>
        <w:t xml:space="preserve"> </w:t>
      </w:r>
      <w:proofErr w:type="spellStart"/>
      <w:r>
        <w:t>éifeachtúla</w:t>
      </w:r>
      <w:proofErr w:type="spellEnd"/>
      <w:r>
        <w:t xml:space="preserve"> de </w:t>
      </w:r>
      <w:proofErr w:type="spellStart"/>
      <w:r>
        <w:t>na</w:t>
      </w:r>
      <w:proofErr w:type="spellEnd"/>
      <w:r>
        <w:t xml:space="preserve"> </w:t>
      </w:r>
      <w:proofErr w:type="spellStart"/>
      <w:r>
        <w:t>feithiclí</w:t>
      </w:r>
      <w:proofErr w:type="spellEnd"/>
      <w:r>
        <w:t xml:space="preserve"> as a </w:t>
      </w:r>
      <w:proofErr w:type="spellStart"/>
      <w:r>
        <w:t>mbaineann</w:t>
      </w:r>
      <w:proofErr w:type="spellEnd"/>
      <w:r>
        <w:t xml:space="preserve"> </w:t>
      </w:r>
      <w:proofErr w:type="spellStart"/>
      <w:r>
        <w:t>Feidhmeannas</w:t>
      </w:r>
      <w:proofErr w:type="spellEnd"/>
      <w:r>
        <w:t xml:space="preserve"> </w:t>
      </w:r>
      <w:proofErr w:type="spellStart"/>
      <w:r>
        <w:t>na</w:t>
      </w:r>
      <w:proofErr w:type="spellEnd"/>
      <w:r>
        <w:t xml:space="preserve"> </w:t>
      </w:r>
      <w:proofErr w:type="spellStart"/>
      <w:r>
        <w:t>Seirbhíse</w:t>
      </w:r>
      <w:proofErr w:type="spellEnd"/>
      <w:r>
        <w:t xml:space="preserve"> </w:t>
      </w:r>
      <w:proofErr w:type="spellStart"/>
      <w:r>
        <w:t>Sláinte</w:t>
      </w:r>
      <w:proofErr w:type="spellEnd"/>
      <w:r>
        <w:t xml:space="preserve">, an </w:t>
      </w:r>
      <w:proofErr w:type="spellStart"/>
      <w:r>
        <w:t>Scéim</w:t>
      </w:r>
      <w:proofErr w:type="spellEnd"/>
      <w:r>
        <w:t xml:space="preserve"> </w:t>
      </w:r>
      <w:proofErr w:type="spellStart"/>
      <w:r>
        <w:t>Iompair</w:t>
      </w:r>
      <w:proofErr w:type="spellEnd"/>
      <w:r>
        <w:t xml:space="preserve"> </w:t>
      </w:r>
      <w:proofErr w:type="spellStart"/>
      <w:r>
        <w:t>Scoile</w:t>
      </w:r>
      <w:proofErr w:type="spellEnd"/>
      <w:r>
        <w:t xml:space="preserve"> </w:t>
      </w:r>
      <w:proofErr w:type="spellStart"/>
      <w:r>
        <w:t>agus</w:t>
      </w:r>
      <w:proofErr w:type="spellEnd"/>
      <w:r>
        <w:t xml:space="preserve"> an </w:t>
      </w:r>
      <w:proofErr w:type="spellStart"/>
      <w:r>
        <w:t>Clár</w:t>
      </w:r>
      <w:proofErr w:type="spellEnd"/>
      <w:r>
        <w:t xml:space="preserve"> </w:t>
      </w:r>
      <w:proofErr w:type="spellStart"/>
      <w:r>
        <w:t>Iompair</w:t>
      </w:r>
      <w:proofErr w:type="spellEnd"/>
      <w:r>
        <w:t xml:space="preserve"> </w:t>
      </w:r>
      <w:proofErr w:type="spellStart"/>
      <w:r>
        <w:t>Thuaithe</w:t>
      </w:r>
      <w:proofErr w:type="spellEnd"/>
      <w:r>
        <w:t xml:space="preserve"> leas </w:t>
      </w:r>
      <w:proofErr w:type="spellStart"/>
      <w:r>
        <w:t>i</w:t>
      </w:r>
      <w:proofErr w:type="spellEnd"/>
      <w:r>
        <w:t xml:space="preserve"> </w:t>
      </w:r>
      <w:proofErr w:type="spellStart"/>
      <w:r>
        <w:t>láthair</w:t>
      </w:r>
      <w:proofErr w:type="spellEnd"/>
      <w:r>
        <w:t xml:space="preserve"> </w:t>
      </w:r>
      <w:proofErr w:type="spellStart"/>
      <w:r>
        <w:t>na</w:t>
      </w:r>
      <w:proofErr w:type="spellEnd"/>
      <w:r>
        <w:t xml:space="preserve"> </w:t>
      </w:r>
      <w:proofErr w:type="spellStart"/>
      <w:r>
        <w:t>huaire</w:t>
      </w:r>
      <w:proofErr w:type="spellEnd"/>
      <w:r>
        <w:t xml:space="preserve">. </w:t>
      </w:r>
      <w:proofErr w:type="spellStart"/>
      <w:r>
        <w:t>Mhol</w:t>
      </w:r>
      <w:proofErr w:type="spellEnd"/>
      <w:r>
        <w:t xml:space="preserve"> </w:t>
      </w:r>
      <w:proofErr w:type="spellStart"/>
      <w:r>
        <w:t>sé</w:t>
      </w:r>
      <w:proofErr w:type="spellEnd"/>
      <w:r>
        <w:t xml:space="preserve"> </w:t>
      </w:r>
      <w:proofErr w:type="spellStart"/>
      <w:r>
        <w:t>freisin</w:t>
      </w:r>
      <w:proofErr w:type="spellEnd"/>
      <w:r>
        <w:t xml:space="preserve"> </w:t>
      </w:r>
      <w:proofErr w:type="spellStart"/>
      <w:r>
        <w:t>na</w:t>
      </w:r>
      <w:proofErr w:type="spellEnd"/>
      <w:r>
        <w:t xml:space="preserve"> </w:t>
      </w:r>
      <w:proofErr w:type="spellStart"/>
      <w:r>
        <w:t>seirbhísí</w:t>
      </w:r>
      <w:proofErr w:type="spellEnd"/>
      <w:r>
        <w:t xml:space="preserve"> </w:t>
      </w:r>
      <w:proofErr w:type="spellStart"/>
      <w:r>
        <w:t>iompair</w:t>
      </w:r>
      <w:proofErr w:type="spellEnd"/>
      <w:r>
        <w:t xml:space="preserve"> </w:t>
      </w:r>
      <w:proofErr w:type="spellStart"/>
      <w:r>
        <w:t>phobail</w:t>
      </w:r>
      <w:proofErr w:type="spellEnd"/>
      <w:r>
        <w:t xml:space="preserve"> ó </w:t>
      </w:r>
      <w:proofErr w:type="spellStart"/>
      <w:r>
        <w:t>dhoras</w:t>
      </w:r>
      <w:proofErr w:type="spellEnd"/>
      <w:r>
        <w:t xml:space="preserve"> go </w:t>
      </w:r>
      <w:proofErr w:type="spellStart"/>
      <w:r>
        <w:t>doras</w:t>
      </w:r>
      <w:proofErr w:type="spellEnd"/>
      <w:r>
        <w:t xml:space="preserve"> a </w:t>
      </w:r>
      <w:proofErr w:type="spellStart"/>
      <w:r>
        <w:t>thabhairt</w:t>
      </w:r>
      <w:proofErr w:type="spellEnd"/>
      <w:r>
        <w:t xml:space="preserve"> </w:t>
      </w:r>
      <w:proofErr w:type="spellStart"/>
      <w:r>
        <w:t>faoin</w:t>
      </w:r>
      <w:proofErr w:type="spellEnd"/>
      <w:r>
        <w:t xml:space="preserve"> </w:t>
      </w:r>
      <w:proofErr w:type="spellStart"/>
      <w:r>
        <w:t>gcreatlach</w:t>
      </w:r>
      <w:proofErr w:type="spellEnd"/>
      <w:r>
        <w:t xml:space="preserve"> </w:t>
      </w:r>
      <w:proofErr w:type="spellStart"/>
      <w:r>
        <w:t>rialaitheach</w:t>
      </w:r>
      <w:proofErr w:type="spellEnd"/>
      <w:r>
        <w:t xml:space="preserve"> chéanna leis na tacsaithe.</w:t>
      </w:r>
    </w:p>
    <w:p w14:paraId="09C548E7" w14:textId="77777777" w:rsidR="006C148C" w:rsidRDefault="006C148C">
      <w:pPr>
        <w:pStyle w:val="Heading3"/>
      </w:pPr>
      <w:bookmarkStart w:id="364" w:name="_Toc335836471"/>
      <w:r>
        <w:t xml:space="preserve">An </w:t>
      </w:r>
      <w:proofErr w:type="spellStart"/>
      <w:r>
        <w:t>tÚdarás</w:t>
      </w:r>
      <w:proofErr w:type="spellEnd"/>
      <w:r>
        <w:t xml:space="preserve"> Náisiúnta Iompair</w:t>
      </w:r>
      <w:bookmarkEnd w:id="364"/>
    </w:p>
    <w:p w14:paraId="708A8C7F" w14:textId="77777777" w:rsidR="006C148C" w:rsidRDefault="006C148C">
      <w:proofErr w:type="spellStart"/>
      <w:r>
        <w:t>Taisceadh</w:t>
      </w:r>
      <w:proofErr w:type="spellEnd"/>
      <w:r>
        <w:t xml:space="preserve"> aighneacht le </w:t>
      </w:r>
      <w:proofErr w:type="spellStart"/>
      <w:r>
        <w:t>comhairliúchán</w:t>
      </w:r>
      <w:proofErr w:type="spellEnd"/>
      <w:r>
        <w:t xml:space="preserve"> poiblí an Údaráis Náisiúnta Iompair i mí Aibreáin i leith </w:t>
      </w:r>
      <w:r>
        <w:rPr>
          <w:b/>
          <w:bCs/>
        </w:rPr>
        <w:t xml:space="preserve">Dhréacht-Straitéis Iompair do </w:t>
      </w:r>
      <w:proofErr w:type="spellStart"/>
      <w:r>
        <w:rPr>
          <w:b/>
          <w:bCs/>
        </w:rPr>
        <w:t>Mhórcheantar</w:t>
      </w:r>
      <w:proofErr w:type="spellEnd"/>
      <w:r>
        <w:rPr>
          <w:b/>
          <w:bCs/>
        </w:rPr>
        <w:t xml:space="preserve"> Bhaile Átha Cliath</w:t>
      </w:r>
      <w:r>
        <w:rPr>
          <w:b/>
        </w:rPr>
        <w:t xml:space="preserve"> 2011-2030 (Fís 2030)</w:t>
      </w:r>
      <w:r>
        <w:t>.</w:t>
      </w:r>
    </w:p>
    <w:p w14:paraId="0E3CE863" w14:textId="77777777" w:rsidR="006C148C" w:rsidRDefault="006C148C">
      <w:pPr>
        <w:pStyle w:val="Heading3"/>
      </w:pPr>
      <w:bookmarkStart w:id="365" w:name="_Toc335836472"/>
      <w:r>
        <w:t>Tacsaithe</w:t>
      </w:r>
      <w:bookmarkEnd w:id="365"/>
    </w:p>
    <w:p w14:paraId="51ABE85E" w14:textId="77777777" w:rsidR="006C148C" w:rsidRDefault="006C148C">
      <w:r>
        <w:t xml:space="preserve">Ceapadh Stiúrthóir an Údaráis Náisiúnta </w:t>
      </w:r>
      <w:proofErr w:type="spellStart"/>
      <w:r>
        <w:t>Míchumais</w:t>
      </w:r>
      <w:proofErr w:type="spellEnd"/>
      <w:r>
        <w:t xml:space="preserve"> ina bhall den Ghrúpa Stiúrtha </w:t>
      </w:r>
      <w:proofErr w:type="spellStart"/>
      <w:r>
        <w:t>d'Athbhreithniú</w:t>
      </w:r>
      <w:proofErr w:type="spellEnd"/>
      <w:r>
        <w:t xml:space="preserve"> </w:t>
      </w:r>
      <w:proofErr w:type="spellStart"/>
      <w:r>
        <w:t>Rialáil</w:t>
      </w:r>
      <w:proofErr w:type="spellEnd"/>
      <w:r>
        <w:t xml:space="preserve"> </w:t>
      </w:r>
      <w:proofErr w:type="spellStart"/>
      <w:r>
        <w:t>na</w:t>
      </w:r>
      <w:proofErr w:type="spellEnd"/>
      <w:r>
        <w:t xml:space="preserve"> </w:t>
      </w:r>
      <w:proofErr w:type="spellStart"/>
      <w:r>
        <w:t>dTacsaithe</w:t>
      </w:r>
      <w:proofErr w:type="spellEnd"/>
      <w:r>
        <w:t xml:space="preserve">, a </w:t>
      </w:r>
      <w:proofErr w:type="spellStart"/>
      <w:r>
        <w:t>bunaíodh</w:t>
      </w:r>
      <w:proofErr w:type="spellEnd"/>
      <w:r>
        <w:t xml:space="preserve"> </w:t>
      </w:r>
      <w:proofErr w:type="spellStart"/>
      <w:r>
        <w:t>faoin</w:t>
      </w:r>
      <w:proofErr w:type="spellEnd"/>
      <w:r>
        <w:t xml:space="preserve"> </w:t>
      </w:r>
      <w:proofErr w:type="spellStart"/>
      <w:r>
        <w:t>gClár</w:t>
      </w:r>
      <w:proofErr w:type="spellEnd"/>
      <w:r>
        <w:t xml:space="preserve"> don </w:t>
      </w:r>
      <w:proofErr w:type="spellStart"/>
      <w:r>
        <w:t>Rialtas</w:t>
      </w:r>
      <w:proofErr w:type="spellEnd"/>
      <w:r>
        <w:t xml:space="preserve"> ag </w:t>
      </w:r>
      <w:proofErr w:type="spellStart"/>
      <w:r>
        <w:t>féachaint</w:t>
      </w:r>
      <w:proofErr w:type="spellEnd"/>
      <w:r>
        <w:t xml:space="preserve"> le </w:t>
      </w:r>
      <w:proofErr w:type="spellStart"/>
      <w:r>
        <w:t>caighdeáin</w:t>
      </w:r>
      <w:proofErr w:type="spellEnd"/>
      <w:r>
        <w:t xml:space="preserve"> </w:t>
      </w:r>
      <w:proofErr w:type="spellStart"/>
      <w:r>
        <w:t>agus</w:t>
      </w:r>
      <w:proofErr w:type="spellEnd"/>
      <w:r>
        <w:t xml:space="preserve"> </w:t>
      </w:r>
      <w:proofErr w:type="spellStart"/>
      <w:r>
        <w:t>cleachtais</w:t>
      </w:r>
      <w:proofErr w:type="spellEnd"/>
      <w:r>
        <w:t xml:space="preserve"> in </w:t>
      </w:r>
      <w:proofErr w:type="spellStart"/>
      <w:r>
        <w:t>earnáil</w:t>
      </w:r>
      <w:proofErr w:type="spellEnd"/>
      <w:r>
        <w:t xml:space="preserve"> </w:t>
      </w:r>
      <w:proofErr w:type="spellStart"/>
      <w:r>
        <w:t>na</w:t>
      </w:r>
      <w:proofErr w:type="spellEnd"/>
      <w:r>
        <w:t xml:space="preserve"> </w:t>
      </w:r>
      <w:proofErr w:type="spellStart"/>
      <w:r>
        <w:t>dtacsaithe</w:t>
      </w:r>
      <w:proofErr w:type="spellEnd"/>
      <w:r>
        <w:t xml:space="preserve"> </w:t>
      </w:r>
      <w:proofErr w:type="gramStart"/>
      <w:r>
        <w:t>a</w:t>
      </w:r>
      <w:proofErr w:type="gramEnd"/>
      <w:r>
        <w:t xml:space="preserve"> </w:t>
      </w:r>
      <w:proofErr w:type="spellStart"/>
      <w:r>
        <w:t>imscrúdú</w:t>
      </w:r>
      <w:proofErr w:type="spellEnd"/>
      <w:r>
        <w:t xml:space="preserve">. </w:t>
      </w:r>
      <w:proofErr w:type="spellStart"/>
      <w:r>
        <w:t>Thaisc</w:t>
      </w:r>
      <w:proofErr w:type="spellEnd"/>
      <w:r>
        <w:t xml:space="preserve">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aighneacht</w:t>
      </w:r>
      <w:proofErr w:type="spellEnd"/>
      <w:r>
        <w:t xml:space="preserve"> </w:t>
      </w:r>
      <w:proofErr w:type="spellStart"/>
      <w:r>
        <w:t>fhadréimseach</w:t>
      </w:r>
      <w:proofErr w:type="spellEnd"/>
      <w:r>
        <w:t xml:space="preserve"> </w:t>
      </w:r>
      <w:proofErr w:type="spellStart"/>
      <w:r>
        <w:t>i</w:t>
      </w:r>
      <w:proofErr w:type="spellEnd"/>
      <w:r>
        <w:t xml:space="preserve"> </w:t>
      </w:r>
      <w:proofErr w:type="spellStart"/>
      <w:r>
        <w:t>mí</w:t>
      </w:r>
      <w:proofErr w:type="spellEnd"/>
      <w:r>
        <w:t xml:space="preserve"> </w:t>
      </w:r>
      <w:proofErr w:type="spellStart"/>
      <w:r>
        <w:t>Lúnasa</w:t>
      </w:r>
      <w:proofErr w:type="spellEnd"/>
      <w:r>
        <w:t xml:space="preserve"> </w:t>
      </w:r>
      <w:proofErr w:type="spellStart"/>
      <w:r>
        <w:t>bunaithe</w:t>
      </w:r>
      <w:proofErr w:type="spellEnd"/>
      <w:r>
        <w:t xml:space="preserve"> </w:t>
      </w:r>
      <w:proofErr w:type="spellStart"/>
      <w:r>
        <w:t>ar</w:t>
      </w:r>
      <w:proofErr w:type="spellEnd"/>
      <w:r>
        <w:t xml:space="preserve"> </w:t>
      </w:r>
      <w:proofErr w:type="spellStart"/>
      <w:r>
        <w:t>théamaí</w:t>
      </w:r>
      <w:proofErr w:type="spellEnd"/>
      <w:r>
        <w:t xml:space="preserve"> </w:t>
      </w:r>
      <w:proofErr w:type="spellStart"/>
      <w:r>
        <w:t>na</w:t>
      </w:r>
      <w:proofErr w:type="spellEnd"/>
      <w:r>
        <w:t xml:space="preserve"> </w:t>
      </w:r>
      <w:proofErr w:type="spellStart"/>
      <w:r>
        <w:t>hinfhaighteachta</w:t>
      </w:r>
      <w:proofErr w:type="spellEnd"/>
      <w:r>
        <w:t xml:space="preserve">, </w:t>
      </w:r>
      <w:proofErr w:type="spellStart"/>
      <w:r>
        <w:t>na</w:t>
      </w:r>
      <w:proofErr w:type="spellEnd"/>
      <w:r>
        <w:t xml:space="preserve"> </w:t>
      </w:r>
      <w:proofErr w:type="spellStart"/>
      <w:r>
        <w:t>hinrochtaineachta</w:t>
      </w:r>
      <w:proofErr w:type="spellEnd"/>
      <w:r>
        <w:t xml:space="preserve"> </w:t>
      </w:r>
      <w:proofErr w:type="spellStart"/>
      <w:r>
        <w:t>agus</w:t>
      </w:r>
      <w:proofErr w:type="spellEnd"/>
      <w:r>
        <w:t xml:space="preserve"> </w:t>
      </w:r>
      <w:proofErr w:type="spellStart"/>
      <w:r>
        <w:t>na</w:t>
      </w:r>
      <w:proofErr w:type="spellEnd"/>
      <w:r>
        <w:t xml:space="preserve"> </w:t>
      </w:r>
      <w:proofErr w:type="spellStart"/>
      <w:r>
        <w:t>hinacmhainneachta</w:t>
      </w:r>
      <w:proofErr w:type="spellEnd"/>
      <w:r>
        <w:t>.</w:t>
      </w:r>
    </w:p>
    <w:p w14:paraId="4AFE4626" w14:textId="77777777" w:rsidR="006C148C" w:rsidRDefault="006C148C">
      <w:r>
        <w:lastRenderedPageBreak/>
        <w:t xml:space="preserve">Rinne an </w:t>
      </w:r>
      <w:proofErr w:type="spellStart"/>
      <w:r>
        <w:t>tÚdarás</w:t>
      </w:r>
      <w:proofErr w:type="spellEnd"/>
      <w:r>
        <w:t xml:space="preserve"> Náisiúnta Iompair </w:t>
      </w:r>
      <w:proofErr w:type="spellStart"/>
      <w:r>
        <w:t>comhairliúchán</w:t>
      </w:r>
      <w:proofErr w:type="spellEnd"/>
      <w:r>
        <w:t xml:space="preserve"> go </w:t>
      </w:r>
      <w:proofErr w:type="spellStart"/>
      <w:r>
        <w:t>comhthreomhar</w:t>
      </w:r>
      <w:proofErr w:type="spellEnd"/>
      <w:r>
        <w:t xml:space="preserve"> leis an </w:t>
      </w:r>
      <w:proofErr w:type="spellStart"/>
      <w:r>
        <w:t>Athbhreithniú</w:t>
      </w:r>
      <w:proofErr w:type="spellEnd"/>
      <w:r>
        <w:t xml:space="preserve"> </w:t>
      </w:r>
      <w:proofErr w:type="spellStart"/>
      <w:r>
        <w:t>úd</w:t>
      </w:r>
      <w:proofErr w:type="spellEnd"/>
      <w:r>
        <w:t xml:space="preserve"> </w:t>
      </w:r>
      <w:proofErr w:type="spellStart"/>
      <w:r>
        <w:t>dar</w:t>
      </w:r>
      <w:proofErr w:type="spellEnd"/>
      <w:r>
        <w:t xml:space="preserve"> </w:t>
      </w:r>
      <w:proofErr w:type="spellStart"/>
      <w:r>
        <w:t>theideal</w:t>
      </w:r>
      <w:proofErr w:type="spellEnd"/>
      <w:r>
        <w:t xml:space="preserve">: </w:t>
      </w:r>
      <w:proofErr w:type="spellStart"/>
      <w:r>
        <w:rPr>
          <w:b/>
          <w:bCs/>
        </w:rPr>
        <w:t>Caighdeáin</w:t>
      </w:r>
      <w:proofErr w:type="spellEnd"/>
      <w:r>
        <w:rPr>
          <w:b/>
          <w:bCs/>
        </w:rPr>
        <w:t xml:space="preserve"> </w:t>
      </w:r>
      <w:proofErr w:type="spellStart"/>
      <w:r>
        <w:rPr>
          <w:b/>
          <w:bCs/>
        </w:rPr>
        <w:t>Fheithicle</w:t>
      </w:r>
      <w:proofErr w:type="spellEnd"/>
      <w:r>
        <w:rPr>
          <w:b/>
          <w:bCs/>
        </w:rPr>
        <w:t xml:space="preserve"> </w:t>
      </w:r>
      <w:r>
        <w:rPr>
          <w:b/>
        </w:rPr>
        <w:t xml:space="preserve">– </w:t>
      </w:r>
      <w:proofErr w:type="spellStart"/>
      <w:r>
        <w:rPr>
          <w:b/>
        </w:rPr>
        <w:t>Páipéar</w:t>
      </w:r>
      <w:proofErr w:type="spellEnd"/>
      <w:r>
        <w:rPr>
          <w:b/>
        </w:rPr>
        <w:t xml:space="preserve"> </w:t>
      </w:r>
      <w:proofErr w:type="spellStart"/>
      <w:r>
        <w:rPr>
          <w:b/>
        </w:rPr>
        <w:t>comhairliúcháin</w:t>
      </w:r>
      <w:proofErr w:type="spellEnd"/>
      <w:r>
        <w:rPr>
          <w:b/>
        </w:rPr>
        <w:t xml:space="preserve"> don </w:t>
      </w:r>
      <w:proofErr w:type="spellStart"/>
      <w:r>
        <w:rPr>
          <w:b/>
        </w:rPr>
        <w:t>fhlít</w:t>
      </w:r>
      <w:proofErr w:type="spellEnd"/>
      <w:r>
        <w:rPr>
          <w:b/>
        </w:rPr>
        <w:t xml:space="preserve"> </w:t>
      </w:r>
      <w:proofErr w:type="spellStart"/>
      <w:r>
        <w:rPr>
          <w:b/>
        </w:rPr>
        <w:t>tacsaithe</w:t>
      </w:r>
      <w:proofErr w:type="spellEnd"/>
      <w:r>
        <w:rPr>
          <w:b/>
        </w:rPr>
        <w:t xml:space="preserve">, </w:t>
      </w:r>
      <w:proofErr w:type="spellStart"/>
      <w:r>
        <w:rPr>
          <w:b/>
        </w:rPr>
        <w:t>hacnaithe</w:t>
      </w:r>
      <w:proofErr w:type="spellEnd"/>
      <w:r>
        <w:rPr>
          <w:b/>
        </w:rPr>
        <w:t xml:space="preserve"> </w:t>
      </w:r>
      <w:proofErr w:type="spellStart"/>
      <w:r>
        <w:rPr>
          <w:b/>
        </w:rPr>
        <w:t>agus</w:t>
      </w:r>
      <w:proofErr w:type="spellEnd"/>
      <w:r>
        <w:rPr>
          <w:b/>
        </w:rPr>
        <w:t xml:space="preserve"> </w:t>
      </w:r>
      <w:proofErr w:type="spellStart"/>
      <w:r>
        <w:rPr>
          <w:b/>
        </w:rPr>
        <w:t>limisíní</w:t>
      </w:r>
      <w:proofErr w:type="spellEnd"/>
      <w:r>
        <w:t xml:space="preserve">, a </w:t>
      </w:r>
      <w:proofErr w:type="spellStart"/>
      <w:r>
        <w:t>reáchtáladh</w:t>
      </w:r>
      <w:proofErr w:type="spellEnd"/>
      <w:r>
        <w:t xml:space="preserve"> tar </w:t>
      </w:r>
      <w:proofErr w:type="spellStart"/>
      <w:r>
        <w:t>éis</w:t>
      </w:r>
      <w:proofErr w:type="spellEnd"/>
      <w:r>
        <w:t xml:space="preserve"> </w:t>
      </w:r>
      <w:proofErr w:type="spellStart"/>
      <w:r>
        <w:t>aisghairm</w:t>
      </w:r>
      <w:proofErr w:type="spellEnd"/>
      <w:r>
        <w:t xml:space="preserve"> </w:t>
      </w:r>
      <w:proofErr w:type="spellStart"/>
      <w:r>
        <w:t>na</w:t>
      </w:r>
      <w:proofErr w:type="spellEnd"/>
      <w:r>
        <w:t xml:space="preserve"> </w:t>
      </w:r>
      <w:proofErr w:type="spellStart"/>
      <w:r>
        <w:t>rialach</w:t>
      </w:r>
      <w:proofErr w:type="spellEnd"/>
      <w:r>
        <w:t xml:space="preserve"> </w:t>
      </w:r>
      <w:proofErr w:type="spellStart"/>
      <w:r>
        <w:t>nach</w:t>
      </w:r>
      <w:proofErr w:type="spellEnd"/>
      <w:r>
        <w:t xml:space="preserve"> </w:t>
      </w:r>
      <w:proofErr w:type="spellStart"/>
      <w:r>
        <w:t>mbainfeadh</w:t>
      </w:r>
      <w:proofErr w:type="spellEnd"/>
      <w:r>
        <w:t xml:space="preserve"> </w:t>
      </w:r>
      <w:proofErr w:type="spellStart"/>
      <w:r>
        <w:t>athnuachan</w:t>
      </w:r>
      <w:proofErr w:type="spellEnd"/>
      <w:r>
        <w:t xml:space="preserve"> </w:t>
      </w:r>
      <w:proofErr w:type="spellStart"/>
      <w:r>
        <w:t>na</w:t>
      </w:r>
      <w:proofErr w:type="spellEnd"/>
      <w:r>
        <w:t xml:space="preserve"> </w:t>
      </w:r>
      <w:proofErr w:type="spellStart"/>
      <w:r>
        <w:t>gceadúnas</w:t>
      </w:r>
      <w:proofErr w:type="spellEnd"/>
      <w:r>
        <w:t xml:space="preserve"> </w:t>
      </w:r>
      <w:proofErr w:type="spellStart"/>
      <w:r>
        <w:t>caighdeánach</w:t>
      </w:r>
      <w:proofErr w:type="spellEnd"/>
      <w:r>
        <w:t xml:space="preserve"> </w:t>
      </w:r>
      <w:proofErr w:type="spellStart"/>
      <w:r>
        <w:t>d'fheithiclí</w:t>
      </w:r>
      <w:proofErr w:type="spellEnd"/>
      <w:r>
        <w:t xml:space="preserve"> </w:t>
      </w:r>
      <w:proofErr w:type="spellStart"/>
      <w:r>
        <w:t>hacnaí</w:t>
      </w:r>
      <w:proofErr w:type="spellEnd"/>
      <w:r>
        <w:t xml:space="preserve"> </w:t>
      </w:r>
      <w:proofErr w:type="spellStart"/>
      <w:r>
        <w:t>agus</w:t>
      </w:r>
      <w:proofErr w:type="spellEnd"/>
      <w:r>
        <w:t xml:space="preserve"> </w:t>
      </w:r>
      <w:proofErr w:type="spellStart"/>
      <w:r>
        <w:t>tacsaí</w:t>
      </w:r>
      <w:proofErr w:type="spellEnd"/>
      <w:r>
        <w:t xml:space="preserve"> ach </w:t>
      </w:r>
      <w:proofErr w:type="spellStart"/>
      <w:r>
        <w:t>amháin</w:t>
      </w:r>
      <w:proofErr w:type="spellEnd"/>
      <w:r>
        <w:t xml:space="preserve"> le </w:t>
      </w:r>
      <w:proofErr w:type="spellStart"/>
      <w:r>
        <w:t>feithiclí</w:t>
      </w:r>
      <w:proofErr w:type="spellEnd"/>
      <w:r>
        <w:t xml:space="preserve"> </w:t>
      </w:r>
      <w:proofErr w:type="spellStart"/>
      <w:r>
        <w:t>faoi</w:t>
      </w:r>
      <w:proofErr w:type="spellEnd"/>
      <w:r>
        <w:t xml:space="preserve"> </w:t>
      </w:r>
      <w:proofErr w:type="spellStart"/>
      <w:r>
        <w:t>bhun</w:t>
      </w:r>
      <w:proofErr w:type="spellEnd"/>
      <w:r>
        <w:t xml:space="preserve"> naoi </w:t>
      </w:r>
      <w:proofErr w:type="spellStart"/>
      <w:r>
        <w:t>mbliana</w:t>
      </w:r>
      <w:proofErr w:type="spellEnd"/>
      <w:r>
        <w:t xml:space="preserve"> </w:t>
      </w:r>
      <w:proofErr w:type="spellStart"/>
      <w:r>
        <w:t>d'aois</w:t>
      </w:r>
      <w:proofErr w:type="spellEnd"/>
      <w:r>
        <w:t xml:space="preserve">. </w:t>
      </w:r>
      <w:proofErr w:type="spellStart"/>
      <w:r>
        <w:t>D'fhreagair</w:t>
      </w:r>
      <w:proofErr w:type="spellEnd"/>
      <w:r>
        <w:t xml:space="preserve"> an </w:t>
      </w:r>
      <w:proofErr w:type="spellStart"/>
      <w:r>
        <w:t>tÚdarás</w:t>
      </w:r>
      <w:proofErr w:type="spellEnd"/>
      <w:r>
        <w:t xml:space="preserve"> </w:t>
      </w:r>
      <w:proofErr w:type="spellStart"/>
      <w:r>
        <w:t>Náisiúnta</w:t>
      </w:r>
      <w:proofErr w:type="spellEnd"/>
      <w:r>
        <w:t xml:space="preserve"> </w:t>
      </w:r>
      <w:proofErr w:type="spellStart"/>
      <w:r>
        <w:t>Míchumais</w:t>
      </w:r>
      <w:proofErr w:type="spellEnd"/>
      <w:r>
        <w:t xml:space="preserve"> don </w:t>
      </w:r>
      <w:proofErr w:type="spellStart"/>
      <w:r>
        <w:t>chomhairliúchán</w:t>
      </w:r>
      <w:proofErr w:type="spellEnd"/>
      <w:r>
        <w:t xml:space="preserve"> sin. </w:t>
      </w:r>
    </w:p>
    <w:p w14:paraId="17D5FE24" w14:textId="77777777" w:rsidR="006C148C" w:rsidRDefault="006C148C">
      <w:pPr>
        <w:pStyle w:val="Heading3"/>
      </w:pPr>
      <w:bookmarkStart w:id="366" w:name="_Toc335836473"/>
      <w:r>
        <w:t>Turasóireacht</w:t>
      </w:r>
      <w:bookmarkEnd w:id="366"/>
    </w:p>
    <w:p w14:paraId="078378DC" w14:textId="77777777" w:rsidR="006C148C" w:rsidRDefault="006C148C">
      <w:r>
        <w:t xml:space="preserve">Mhaígh Comhairle </w:t>
      </w:r>
      <w:proofErr w:type="spellStart"/>
      <w:r>
        <w:t>Carrchíosa</w:t>
      </w:r>
      <w:proofErr w:type="spellEnd"/>
      <w:r>
        <w:t xml:space="preserve"> na hÉireann – de bhun </w:t>
      </w:r>
      <w:proofErr w:type="spellStart"/>
      <w:r>
        <w:t>fhiosruithe</w:t>
      </w:r>
      <w:proofErr w:type="spellEnd"/>
      <w:r>
        <w:t xml:space="preserve"> an Údaráis Náisiúnta </w:t>
      </w:r>
      <w:proofErr w:type="spellStart"/>
      <w:r>
        <w:t>Míchumais</w:t>
      </w:r>
      <w:proofErr w:type="spellEnd"/>
      <w:r>
        <w:t xml:space="preserve"> faoin ábhar seo – go raibh siad </w:t>
      </w:r>
      <w:proofErr w:type="spellStart"/>
      <w:r>
        <w:t>tiomanta</w:t>
      </w:r>
      <w:proofErr w:type="spellEnd"/>
      <w:r>
        <w:t xml:space="preserve"> chun a chinntiú go bpléitear níos </w:t>
      </w:r>
      <w:proofErr w:type="spellStart"/>
      <w:r>
        <w:t>éifeachtúla</w:t>
      </w:r>
      <w:proofErr w:type="spellEnd"/>
      <w:r>
        <w:t xml:space="preserve"> le </w:t>
      </w:r>
      <w:proofErr w:type="spellStart"/>
      <w:r>
        <w:t>tarchur</w:t>
      </w:r>
      <w:proofErr w:type="spellEnd"/>
      <w:r>
        <w:t xml:space="preserve"> </w:t>
      </w:r>
      <w:proofErr w:type="spellStart"/>
      <w:r>
        <w:t>custaiméirí</w:t>
      </w:r>
      <w:proofErr w:type="spellEnd"/>
      <w:r>
        <w:t xml:space="preserve"> do </w:t>
      </w:r>
      <w:proofErr w:type="spellStart"/>
      <w:r>
        <w:t>chuairteoirí</w:t>
      </w:r>
      <w:proofErr w:type="spellEnd"/>
      <w:r>
        <w:t xml:space="preserve"> le </w:t>
      </w:r>
      <w:proofErr w:type="spellStart"/>
      <w:r>
        <w:t>míchumas</w:t>
      </w:r>
      <w:proofErr w:type="spellEnd"/>
      <w:r>
        <w:t>.</w:t>
      </w:r>
    </w:p>
    <w:p w14:paraId="59C031DD" w14:textId="77777777" w:rsidR="006C148C" w:rsidRDefault="006C148C">
      <w:pPr>
        <w:pStyle w:val="Heading2"/>
      </w:pPr>
      <w:bookmarkStart w:id="367" w:name="_Toc335836474"/>
      <w:proofErr w:type="spellStart"/>
      <w:r>
        <w:t>Cumarsáid</w:t>
      </w:r>
      <w:proofErr w:type="spellEnd"/>
      <w:r>
        <w:t xml:space="preserve"> </w:t>
      </w:r>
      <w:proofErr w:type="spellStart"/>
      <w:r>
        <w:t>agus</w:t>
      </w:r>
      <w:proofErr w:type="spellEnd"/>
      <w:r>
        <w:t xml:space="preserve"> </w:t>
      </w:r>
      <w:proofErr w:type="spellStart"/>
      <w:r>
        <w:t>Fuinneamh</w:t>
      </w:r>
      <w:bookmarkEnd w:id="367"/>
      <w:proofErr w:type="spellEnd"/>
    </w:p>
    <w:p w14:paraId="3D45CFFD" w14:textId="77777777" w:rsidR="006C148C" w:rsidRDefault="006C148C">
      <w:pPr>
        <w:pStyle w:val="Heading3"/>
      </w:pPr>
      <w:bookmarkStart w:id="368" w:name="_Toc335836475"/>
      <w:r>
        <w:t>Údarás Craolacháin na hÉireann</w:t>
      </w:r>
      <w:bookmarkEnd w:id="368"/>
      <w:r>
        <w:t xml:space="preserve"> </w:t>
      </w:r>
    </w:p>
    <w:p w14:paraId="3A48FB8C" w14:textId="77777777" w:rsidR="006C148C" w:rsidRDefault="006C148C">
      <w:r>
        <w:t xml:space="preserve">D'fhoilsigh iar-Choimisiún Craolacháin na hÉireann agus an </w:t>
      </w:r>
      <w:proofErr w:type="spellStart"/>
      <w:r>
        <w:t>tÚdarás</w:t>
      </w:r>
      <w:proofErr w:type="spellEnd"/>
      <w:r>
        <w:t xml:space="preserve"> Náisiúnta </w:t>
      </w:r>
      <w:proofErr w:type="spellStart"/>
      <w:r>
        <w:t>Míchumais</w:t>
      </w:r>
      <w:proofErr w:type="spellEnd"/>
      <w:r>
        <w:t xml:space="preserve"> taighde sa bhliain 2009, faoi </w:t>
      </w:r>
      <w:r>
        <w:rPr>
          <w:b/>
          <w:bCs/>
        </w:rPr>
        <w:t xml:space="preserve">Ionadaíocht agus Léiriú </w:t>
      </w:r>
      <w:proofErr w:type="spellStart"/>
      <w:r>
        <w:rPr>
          <w:b/>
          <w:bCs/>
        </w:rPr>
        <w:t>Daoine</w:t>
      </w:r>
      <w:proofErr w:type="spellEnd"/>
      <w:r>
        <w:rPr>
          <w:b/>
          <w:bCs/>
        </w:rPr>
        <w:t xml:space="preserve"> le </w:t>
      </w:r>
      <w:proofErr w:type="spellStart"/>
      <w:r>
        <w:rPr>
          <w:b/>
          <w:bCs/>
        </w:rPr>
        <w:t>Míchumas</w:t>
      </w:r>
      <w:proofErr w:type="spellEnd"/>
      <w:r>
        <w:rPr>
          <w:b/>
          <w:bCs/>
        </w:rPr>
        <w:t xml:space="preserve"> </w:t>
      </w:r>
      <w:proofErr w:type="spellStart"/>
      <w:r>
        <w:rPr>
          <w:b/>
          <w:bCs/>
        </w:rPr>
        <w:t>sa</w:t>
      </w:r>
      <w:proofErr w:type="spellEnd"/>
      <w:r>
        <w:rPr>
          <w:b/>
          <w:bCs/>
        </w:rPr>
        <w:t xml:space="preserve"> </w:t>
      </w:r>
      <w:proofErr w:type="spellStart"/>
      <w:r>
        <w:rPr>
          <w:b/>
          <w:bCs/>
        </w:rPr>
        <w:t>Chraolachán</w:t>
      </w:r>
      <w:proofErr w:type="spellEnd"/>
      <w:r>
        <w:rPr>
          <w:b/>
          <w:bCs/>
        </w:rPr>
        <w:t xml:space="preserve"> </w:t>
      </w:r>
      <w:proofErr w:type="spellStart"/>
      <w:r>
        <w:rPr>
          <w:b/>
          <w:bCs/>
        </w:rPr>
        <w:t>Éireannach</w:t>
      </w:r>
      <w:proofErr w:type="spellEnd"/>
      <w:r>
        <w:t xml:space="preserve">. </w:t>
      </w:r>
      <w:proofErr w:type="spellStart"/>
      <w:r>
        <w:t>B'éard</w:t>
      </w:r>
      <w:proofErr w:type="spellEnd"/>
      <w:r>
        <w:t xml:space="preserve"> ab </w:t>
      </w:r>
      <w:proofErr w:type="spellStart"/>
      <w:r>
        <w:t>aidhmh</w:t>
      </w:r>
      <w:proofErr w:type="spellEnd"/>
      <w:r>
        <w:t xml:space="preserve"> leis </w:t>
      </w:r>
      <w:proofErr w:type="gramStart"/>
      <w:r>
        <w:t>an</w:t>
      </w:r>
      <w:proofErr w:type="gramEnd"/>
      <w:r>
        <w:t xml:space="preserve"> </w:t>
      </w:r>
      <w:proofErr w:type="spellStart"/>
      <w:r>
        <w:t>gcomhshaothar</w:t>
      </w:r>
      <w:proofErr w:type="spellEnd"/>
      <w:r>
        <w:t xml:space="preserve"> sin </w:t>
      </w:r>
      <w:proofErr w:type="spellStart"/>
      <w:r>
        <w:t>dul</w:t>
      </w:r>
      <w:proofErr w:type="spellEnd"/>
      <w:r>
        <w:t xml:space="preserve"> </w:t>
      </w:r>
      <w:proofErr w:type="spellStart"/>
      <w:r>
        <w:t>i</w:t>
      </w:r>
      <w:proofErr w:type="spellEnd"/>
      <w:r>
        <w:t xml:space="preserve"> </w:t>
      </w:r>
      <w:proofErr w:type="spellStart"/>
      <w:r>
        <w:t>mbun</w:t>
      </w:r>
      <w:proofErr w:type="spellEnd"/>
      <w:r>
        <w:t xml:space="preserve"> </w:t>
      </w:r>
      <w:proofErr w:type="spellStart"/>
      <w:r>
        <w:t>taighde</w:t>
      </w:r>
      <w:proofErr w:type="spellEnd"/>
      <w:r>
        <w:t xml:space="preserve"> a </w:t>
      </w:r>
      <w:proofErr w:type="spellStart"/>
      <w:r>
        <w:t>thabharfadh</w:t>
      </w:r>
      <w:proofErr w:type="spellEnd"/>
      <w:r>
        <w:t xml:space="preserve"> </w:t>
      </w:r>
      <w:proofErr w:type="spellStart"/>
      <w:r>
        <w:t>eolas</w:t>
      </w:r>
      <w:proofErr w:type="spellEnd"/>
      <w:r>
        <w:t xml:space="preserve"> do </w:t>
      </w:r>
      <w:proofErr w:type="spellStart"/>
      <w:r>
        <w:t>chraoltóirí</w:t>
      </w:r>
      <w:proofErr w:type="spellEnd"/>
      <w:r>
        <w:t xml:space="preserve">, </w:t>
      </w:r>
      <w:proofErr w:type="spellStart"/>
      <w:r>
        <w:t>lucht</w:t>
      </w:r>
      <w:proofErr w:type="spellEnd"/>
      <w:r>
        <w:t xml:space="preserve"> </w:t>
      </w:r>
      <w:proofErr w:type="spellStart"/>
      <w:r>
        <w:t>ceaptha</w:t>
      </w:r>
      <w:proofErr w:type="spellEnd"/>
      <w:r>
        <w:t xml:space="preserve"> </w:t>
      </w:r>
      <w:proofErr w:type="spellStart"/>
      <w:r>
        <w:t>beartais</w:t>
      </w:r>
      <w:proofErr w:type="spellEnd"/>
      <w:r>
        <w:t xml:space="preserve"> </w:t>
      </w:r>
      <w:proofErr w:type="spellStart"/>
      <w:r>
        <w:t>agus</w:t>
      </w:r>
      <w:proofErr w:type="spellEnd"/>
      <w:r>
        <w:t xml:space="preserve"> don </w:t>
      </w:r>
      <w:proofErr w:type="spellStart"/>
      <w:r>
        <w:t>phobal</w:t>
      </w:r>
      <w:proofErr w:type="spellEnd"/>
      <w:r>
        <w:t xml:space="preserve"> (</w:t>
      </w:r>
      <w:proofErr w:type="spellStart"/>
      <w:r>
        <w:t>lena</w:t>
      </w:r>
      <w:proofErr w:type="spellEnd"/>
      <w:r>
        <w:t xml:space="preserve"> n-</w:t>
      </w:r>
      <w:proofErr w:type="spellStart"/>
      <w:r>
        <w:t>áirítear</w:t>
      </w:r>
      <w:proofErr w:type="spellEnd"/>
      <w:r>
        <w:t xml:space="preserve"> </w:t>
      </w:r>
      <w:proofErr w:type="spellStart"/>
      <w:r>
        <w:t>daoine</w:t>
      </w:r>
      <w:proofErr w:type="spellEnd"/>
      <w:r>
        <w:t xml:space="preserve"> le </w:t>
      </w:r>
      <w:proofErr w:type="spellStart"/>
      <w:r>
        <w:t>míchumas</w:t>
      </w:r>
      <w:proofErr w:type="spellEnd"/>
      <w:r>
        <w:t xml:space="preserve">) </w:t>
      </w:r>
      <w:proofErr w:type="spellStart"/>
      <w:r>
        <w:t>agus</w:t>
      </w:r>
      <w:proofErr w:type="spellEnd"/>
      <w:r>
        <w:t xml:space="preserve"> as a </w:t>
      </w:r>
      <w:proofErr w:type="spellStart"/>
      <w:r>
        <w:t>mbainfí</w:t>
      </w:r>
      <w:proofErr w:type="spellEnd"/>
      <w:r>
        <w:t xml:space="preserve"> leas </w:t>
      </w:r>
      <w:proofErr w:type="spellStart"/>
      <w:r>
        <w:t>d'fhorbairt</w:t>
      </w:r>
      <w:proofErr w:type="spellEnd"/>
      <w:r>
        <w:t xml:space="preserve"> </w:t>
      </w:r>
      <w:proofErr w:type="spellStart"/>
      <w:r>
        <w:t>treoirlínte</w:t>
      </w:r>
      <w:proofErr w:type="spellEnd"/>
      <w:r>
        <w:t xml:space="preserve"> </w:t>
      </w:r>
      <w:proofErr w:type="spellStart"/>
      <w:r>
        <w:t>deonacha</w:t>
      </w:r>
      <w:proofErr w:type="spellEnd"/>
      <w:r>
        <w:t xml:space="preserve"> </w:t>
      </w:r>
      <w:proofErr w:type="spellStart"/>
      <w:r>
        <w:t>faoi</w:t>
      </w:r>
      <w:proofErr w:type="spellEnd"/>
      <w:r>
        <w:t xml:space="preserve"> </w:t>
      </w:r>
      <w:proofErr w:type="spellStart"/>
      <w:r>
        <w:t>léiriú</w:t>
      </w:r>
      <w:proofErr w:type="spellEnd"/>
      <w:r>
        <w:t xml:space="preserve"> </w:t>
      </w:r>
      <w:proofErr w:type="spellStart"/>
      <w:r>
        <w:t>cothrom</w:t>
      </w:r>
      <w:proofErr w:type="spellEnd"/>
      <w:r>
        <w:t xml:space="preserve"> </w:t>
      </w:r>
      <w:proofErr w:type="spellStart"/>
      <w:r>
        <w:t>cruinn</w:t>
      </w:r>
      <w:proofErr w:type="spellEnd"/>
      <w:r>
        <w:t xml:space="preserve"> de </w:t>
      </w:r>
      <w:proofErr w:type="spellStart"/>
      <w:r>
        <w:t>dhaoine</w:t>
      </w:r>
      <w:proofErr w:type="spellEnd"/>
      <w:r>
        <w:t xml:space="preserve"> le </w:t>
      </w:r>
      <w:proofErr w:type="spellStart"/>
      <w:r>
        <w:t>míchumas</w:t>
      </w:r>
      <w:proofErr w:type="spellEnd"/>
      <w:r>
        <w:t xml:space="preserve"> sna meáin chraolta. </w:t>
      </w:r>
    </w:p>
    <w:p w14:paraId="1CE6ED26" w14:textId="77777777" w:rsidR="006C148C" w:rsidRDefault="006C148C">
      <w:r>
        <w:t xml:space="preserve">Tugadh an </w:t>
      </w:r>
      <w:proofErr w:type="spellStart"/>
      <w:r>
        <w:t>tionscadal</w:t>
      </w:r>
      <w:proofErr w:type="spellEnd"/>
      <w:r>
        <w:t xml:space="preserve"> ar aghaidh sa bhliain 2011 agus thángthas ar </w:t>
      </w:r>
      <w:proofErr w:type="spellStart"/>
      <w:r>
        <w:t>chomhaontú</w:t>
      </w:r>
      <w:proofErr w:type="spellEnd"/>
      <w:r>
        <w:t xml:space="preserve"> </w:t>
      </w:r>
      <w:proofErr w:type="spellStart"/>
      <w:r>
        <w:t>gurb</w:t>
      </w:r>
      <w:proofErr w:type="spellEnd"/>
      <w:r>
        <w:t xml:space="preserve"> é </w:t>
      </w:r>
      <w:proofErr w:type="spellStart"/>
      <w:r>
        <w:t>Údarás</w:t>
      </w:r>
      <w:proofErr w:type="spellEnd"/>
      <w:r>
        <w:t xml:space="preserve"> </w:t>
      </w:r>
      <w:proofErr w:type="spellStart"/>
      <w:r>
        <w:t>Craolacháin</w:t>
      </w:r>
      <w:proofErr w:type="spellEnd"/>
      <w:r>
        <w:t xml:space="preserve"> </w:t>
      </w:r>
      <w:proofErr w:type="spellStart"/>
      <w:r>
        <w:t>na</w:t>
      </w:r>
      <w:proofErr w:type="spellEnd"/>
      <w:r>
        <w:t xml:space="preserve"> </w:t>
      </w:r>
      <w:proofErr w:type="spellStart"/>
      <w:r>
        <w:t>hÉireann</w:t>
      </w:r>
      <w:proofErr w:type="spellEnd"/>
      <w:r>
        <w:t xml:space="preserve"> </w:t>
      </w:r>
      <w:proofErr w:type="spellStart"/>
      <w:r>
        <w:t>nuabhunaithe</w:t>
      </w:r>
      <w:proofErr w:type="spellEnd"/>
      <w:r>
        <w:t xml:space="preserve"> a </w:t>
      </w:r>
      <w:proofErr w:type="spellStart"/>
      <w:r>
        <w:t>chuirfidh</w:t>
      </w:r>
      <w:proofErr w:type="spellEnd"/>
      <w:r>
        <w:t xml:space="preserve"> </w:t>
      </w:r>
      <w:proofErr w:type="spellStart"/>
      <w:r>
        <w:t>chun</w:t>
      </w:r>
      <w:proofErr w:type="spellEnd"/>
      <w:r>
        <w:t xml:space="preserve"> </w:t>
      </w:r>
      <w:proofErr w:type="spellStart"/>
      <w:r>
        <w:t>cinn</w:t>
      </w:r>
      <w:proofErr w:type="spellEnd"/>
      <w:r>
        <w:t xml:space="preserve"> </w:t>
      </w:r>
      <w:proofErr w:type="spellStart"/>
      <w:r>
        <w:t>fhorbair</w:t>
      </w:r>
      <w:proofErr w:type="spellEnd"/>
      <w:r>
        <w:t xml:space="preserve"> </w:t>
      </w:r>
      <w:proofErr w:type="spellStart"/>
      <w:r>
        <w:t>na</w:t>
      </w:r>
      <w:proofErr w:type="spellEnd"/>
      <w:r>
        <w:t xml:space="preserve"> </w:t>
      </w:r>
      <w:proofErr w:type="spellStart"/>
      <w:r>
        <w:t>dtreoirlínte</w:t>
      </w:r>
      <w:proofErr w:type="spellEnd"/>
      <w:r>
        <w:t xml:space="preserve"> </w:t>
      </w:r>
      <w:proofErr w:type="spellStart"/>
      <w:r>
        <w:t>deonacha</w:t>
      </w:r>
      <w:proofErr w:type="spellEnd"/>
      <w:r>
        <w:t xml:space="preserve"> sin </w:t>
      </w:r>
      <w:proofErr w:type="spellStart"/>
      <w:r>
        <w:t>sa</w:t>
      </w:r>
      <w:proofErr w:type="spellEnd"/>
      <w:r>
        <w:t xml:space="preserve"> </w:t>
      </w:r>
      <w:proofErr w:type="spellStart"/>
      <w:r>
        <w:t>bhliain</w:t>
      </w:r>
      <w:proofErr w:type="spellEnd"/>
      <w:r>
        <w:t xml:space="preserve"> 2012, le </w:t>
      </w:r>
      <w:proofErr w:type="spellStart"/>
      <w:r>
        <w:t>cúnamh</w:t>
      </w:r>
      <w:proofErr w:type="spellEnd"/>
      <w:r>
        <w:t xml:space="preserve"> </w:t>
      </w:r>
      <w:proofErr w:type="spellStart"/>
      <w:r>
        <w:t>ón</w:t>
      </w:r>
      <w:proofErr w:type="spellEnd"/>
      <w:r>
        <w:t xml:space="preserve"> </w:t>
      </w:r>
      <w:proofErr w:type="spellStart"/>
      <w:r>
        <w:t>Údarás</w:t>
      </w:r>
      <w:proofErr w:type="spellEnd"/>
      <w:r>
        <w:t xml:space="preserve"> </w:t>
      </w:r>
      <w:proofErr w:type="spellStart"/>
      <w:r>
        <w:t>Náisiúnta</w:t>
      </w:r>
      <w:proofErr w:type="spellEnd"/>
      <w:r>
        <w:t xml:space="preserve"> </w:t>
      </w:r>
      <w:proofErr w:type="spellStart"/>
      <w:r>
        <w:t>Míchumais</w:t>
      </w:r>
      <w:proofErr w:type="spellEnd"/>
      <w:r>
        <w:t xml:space="preserve">. </w:t>
      </w:r>
    </w:p>
    <w:p w14:paraId="622482A0" w14:textId="77777777" w:rsidR="006C148C" w:rsidRDefault="006C148C">
      <w:r>
        <w:t xml:space="preserve">Chuir an </w:t>
      </w:r>
      <w:proofErr w:type="spellStart"/>
      <w:r>
        <w:t>tÚdarás</w:t>
      </w:r>
      <w:proofErr w:type="spellEnd"/>
      <w:r>
        <w:t xml:space="preserve"> Náisiúnta </w:t>
      </w:r>
      <w:proofErr w:type="spellStart"/>
      <w:r>
        <w:t>Míchumais</w:t>
      </w:r>
      <w:proofErr w:type="spellEnd"/>
      <w:r>
        <w:t xml:space="preserve"> páipéir chomhairle beartais faoi bhráid Údarás Craolacháin na hÉireann freisin </w:t>
      </w:r>
      <w:proofErr w:type="spellStart"/>
      <w:r>
        <w:t>i</w:t>
      </w:r>
      <w:proofErr w:type="spellEnd"/>
      <w:r>
        <w:t xml:space="preserve"> </w:t>
      </w:r>
      <w:proofErr w:type="spellStart"/>
      <w:r>
        <w:t>ndáil</w:t>
      </w:r>
      <w:proofErr w:type="spellEnd"/>
      <w:r>
        <w:t xml:space="preserve"> </w:t>
      </w:r>
      <w:proofErr w:type="spellStart"/>
      <w:r>
        <w:t>lena</w:t>
      </w:r>
      <w:proofErr w:type="spellEnd"/>
      <w:r>
        <w:t xml:space="preserve"> </w:t>
      </w:r>
      <w:proofErr w:type="spellStart"/>
      <w:r>
        <w:t>gcomhairliúcháin</w:t>
      </w:r>
      <w:proofErr w:type="spellEnd"/>
      <w:r>
        <w:t xml:space="preserve"> </w:t>
      </w:r>
      <w:proofErr w:type="spellStart"/>
      <w:r>
        <w:t>faoina</w:t>
      </w:r>
      <w:proofErr w:type="spellEnd"/>
      <w:r>
        <w:rPr>
          <w:b/>
        </w:rPr>
        <w:t xml:space="preserve"> </w:t>
      </w:r>
      <w:proofErr w:type="spellStart"/>
      <w:r>
        <w:rPr>
          <w:b/>
        </w:rPr>
        <w:t>Dhréacht-Chód</w:t>
      </w:r>
      <w:proofErr w:type="spellEnd"/>
      <w:r>
        <w:rPr>
          <w:b/>
        </w:rPr>
        <w:t xml:space="preserve"> </w:t>
      </w:r>
      <w:proofErr w:type="spellStart"/>
      <w:r>
        <w:rPr>
          <w:b/>
        </w:rPr>
        <w:t>Craolacháin</w:t>
      </w:r>
      <w:proofErr w:type="spellEnd"/>
      <w:r>
        <w:rPr>
          <w:b/>
        </w:rPr>
        <w:t xml:space="preserve"> um </w:t>
      </w:r>
      <w:proofErr w:type="spellStart"/>
      <w:r>
        <w:rPr>
          <w:b/>
        </w:rPr>
        <w:t>Chlúdach</w:t>
      </w:r>
      <w:proofErr w:type="spellEnd"/>
      <w:r>
        <w:rPr>
          <w:b/>
        </w:rPr>
        <w:t xml:space="preserve"> </w:t>
      </w:r>
      <w:proofErr w:type="spellStart"/>
      <w:r>
        <w:rPr>
          <w:b/>
        </w:rPr>
        <w:t>Reifreann</w:t>
      </w:r>
      <w:proofErr w:type="spellEnd"/>
      <w:r>
        <w:rPr>
          <w:b/>
        </w:rPr>
        <w:t xml:space="preserve"> </w:t>
      </w:r>
      <w:proofErr w:type="spellStart"/>
      <w:r>
        <w:rPr>
          <w:b/>
        </w:rPr>
        <w:t>agus</w:t>
      </w:r>
      <w:proofErr w:type="spellEnd"/>
      <w:r>
        <w:rPr>
          <w:b/>
        </w:rPr>
        <w:t xml:space="preserve"> </w:t>
      </w:r>
      <w:proofErr w:type="spellStart"/>
      <w:r>
        <w:rPr>
          <w:b/>
        </w:rPr>
        <w:t>Toghchán</w:t>
      </w:r>
      <w:proofErr w:type="spellEnd"/>
      <w:r>
        <w:t xml:space="preserve">, </w:t>
      </w:r>
      <w:proofErr w:type="spellStart"/>
      <w:r>
        <w:t>i</w:t>
      </w:r>
      <w:proofErr w:type="spellEnd"/>
      <w:r>
        <w:t xml:space="preserve"> </w:t>
      </w:r>
      <w:proofErr w:type="spellStart"/>
      <w:r>
        <w:t>mí</w:t>
      </w:r>
      <w:proofErr w:type="spellEnd"/>
      <w:r>
        <w:t xml:space="preserve"> </w:t>
      </w:r>
      <w:proofErr w:type="spellStart"/>
      <w:r>
        <w:t>Lúnasa</w:t>
      </w:r>
      <w:proofErr w:type="spellEnd"/>
      <w:r>
        <w:t xml:space="preserve"> </w:t>
      </w:r>
      <w:proofErr w:type="spellStart"/>
      <w:r>
        <w:t>agus</w:t>
      </w:r>
      <w:proofErr w:type="spellEnd"/>
      <w:r>
        <w:t xml:space="preserve"> </w:t>
      </w:r>
      <w:proofErr w:type="spellStart"/>
      <w:r>
        <w:t>lena</w:t>
      </w:r>
      <w:proofErr w:type="spellEnd"/>
      <w:r>
        <w:t xml:space="preserve"> </w:t>
      </w:r>
      <w:proofErr w:type="spellStart"/>
      <w:r>
        <w:rPr>
          <w:b/>
        </w:rPr>
        <w:t>Dhréacht-Straitéis</w:t>
      </w:r>
      <w:proofErr w:type="spellEnd"/>
      <w:r>
        <w:rPr>
          <w:b/>
        </w:rPr>
        <w:t xml:space="preserve"> </w:t>
      </w:r>
      <w:proofErr w:type="spellStart"/>
      <w:r>
        <w:rPr>
          <w:b/>
        </w:rPr>
        <w:t>Seirbhísí</w:t>
      </w:r>
      <w:proofErr w:type="spellEnd"/>
      <w:r>
        <w:rPr>
          <w:b/>
        </w:rPr>
        <w:t xml:space="preserve"> </w:t>
      </w:r>
      <w:proofErr w:type="spellStart"/>
      <w:r>
        <w:rPr>
          <w:b/>
        </w:rPr>
        <w:t>Craolacháin</w:t>
      </w:r>
      <w:proofErr w:type="spellEnd"/>
      <w:r>
        <w:t xml:space="preserve"> </w:t>
      </w:r>
      <w:proofErr w:type="spellStart"/>
      <w:r>
        <w:t>i</w:t>
      </w:r>
      <w:proofErr w:type="spellEnd"/>
      <w:r>
        <w:t xml:space="preserve"> </w:t>
      </w:r>
      <w:proofErr w:type="spellStart"/>
      <w:r>
        <w:t>mí</w:t>
      </w:r>
      <w:proofErr w:type="spellEnd"/>
      <w:r>
        <w:t xml:space="preserve"> </w:t>
      </w:r>
      <w:proofErr w:type="spellStart"/>
      <w:r>
        <w:t>Mheán</w:t>
      </w:r>
      <w:proofErr w:type="spellEnd"/>
      <w:r>
        <w:t xml:space="preserve"> </w:t>
      </w:r>
      <w:proofErr w:type="spellStart"/>
      <w:r>
        <w:t>Fómhair</w:t>
      </w:r>
      <w:proofErr w:type="spellEnd"/>
      <w:r>
        <w:t>.</w:t>
      </w:r>
    </w:p>
    <w:p w14:paraId="2DB41A54" w14:textId="77777777" w:rsidR="006C148C" w:rsidRDefault="006C148C">
      <w:r>
        <w:t xml:space="preserve">Iarradh sa chéad pháipéar go </w:t>
      </w:r>
      <w:proofErr w:type="spellStart"/>
      <w:r>
        <w:t>bhfónfadh</w:t>
      </w:r>
      <w:proofErr w:type="spellEnd"/>
      <w:r>
        <w:t xml:space="preserve"> </w:t>
      </w:r>
      <w:proofErr w:type="spellStart"/>
      <w:r>
        <w:t>craoltóirí</w:t>
      </w:r>
      <w:proofErr w:type="spellEnd"/>
      <w:r>
        <w:t xml:space="preserve"> do dhaoine le </w:t>
      </w:r>
      <w:proofErr w:type="spellStart"/>
      <w:r>
        <w:t>míchumas</w:t>
      </w:r>
      <w:proofErr w:type="spellEnd"/>
      <w:r>
        <w:t xml:space="preserve"> </w:t>
      </w:r>
      <w:proofErr w:type="spellStart"/>
      <w:r>
        <w:t>agus</w:t>
      </w:r>
      <w:proofErr w:type="spellEnd"/>
      <w:r>
        <w:t xml:space="preserve"> </w:t>
      </w:r>
      <w:proofErr w:type="spellStart"/>
      <w:r>
        <w:t>daoine</w:t>
      </w:r>
      <w:proofErr w:type="spellEnd"/>
      <w:r>
        <w:t xml:space="preserve"> </w:t>
      </w:r>
      <w:proofErr w:type="spellStart"/>
      <w:r>
        <w:t>scothaosta</w:t>
      </w:r>
      <w:proofErr w:type="spellEnd"/>
      <w:r>
        <w:t xml:space="preserve"> </w:t>
      </w:r>
      <w:proofErr w:type="spellStart"/>
      <w:r>
        <w:t>d'fhonn</w:t>
      </w:r>
      <w:proofErr w:type="spellEnd"/>
      <w:r>
        <w:t xml:space="preserve"> </w:t>
      </w:r>
      <w:proofErr w:type="spellStart"/>
      <w:r>
        <w:t>tacú</w:t>
      </w:r>
      <w:proofErr w:type="spellEnd"/>
      <w:r>
        <w:t xml:space="preserve"> </w:t>
      </w:r>
      <w:proofErr w:type="spellStart"/>
      <w:r>
        <w:t>lena</w:t>
      </w:r>
      <w:proofErr w:type="spellEnd"/>
      <w:r>
        <w:t xml:space="preserve"> </w:t>
      </w:r>
      <w:proofErr w:type="spellStart"/>
      <w:r>
        <w:t>rannpháirt</w:t>
      </w:r>
      <w:proofErr w:type="spellEnd"/>
      <w:r>
        <w:t xml:space="preserve"> </w:t>
      </w:r>
      <w:proofErr w:type="spellStart"/>
      <w:r>
        <w:t>sa</w:t>
      </w:r>
      <w:proofErr w:type="spellEnd"/>
      <w:r>
        <w:t xml:space="preserve"> </w:t>
      </w:r>
      <w:proofErr w:type="spellStart"/>
      <w:r>
        <w:t>tsochaí</w:t>
      </w:r>
      <w:proofErr w:type="spellEnd"/>
      <w:r>
        <w:t xml:space="preserve"> </w:t>
      </w:r>
      <w:proofErr w:type="spellStart"/>
      <w:r>
        <w:t>shibhialta</w:t>
      </w:r>
      <w:proofErr w:type="spellEnd"/>
      <w:r>
        <w:t xml:space="preserve">. </w:t>
      </w:r>
      <w:proofErr w:type="spellStart"/>
      <w:r>
        <w:t>Leagadh</w:t>
      </w:r>
      <w:proofErr w:type="spellEnd"/>
      <w:r>
        <w:t xml:space="preserve"> an </w:t>
      </w:r>
      <w:proofErr w:type="spellStart"/>
      <w:r>
        <w:t>bhéim</w:t>
      </w:r>
      <w:proofErr w:type="spellEnd"/>
      <w:r>
        <w:t xml:space="preserve"> </w:t>
      </w:r>
      <w:proofErr w:type="spellStart"/>
      <w:r>
        <w:t>sa</w:t>
      </w:r>
      <w:proofErr w:type="spellEnd"/>
      <w:r>
        <w:t xml:space="preserve"> </w:t>
      </w:r>
      <w:proofErr w:type="spellStart"/>
      <w:r>
        <w:t>dara</w:t>
      </w:r>
      <w:proofErr w:type="spellEnd"/>
      <w:r>
        <w:t xml:space="preserve"> </w:t>
      </w:r>
      <w:proofErr w:type="spellStart"/>
      <w:r>
        <w:t>páipéar</w:t>
      </w:r>
      <w:proofErr w:type="spellEnd"/>
      <w:r>
        <w:t xml:space="preserve"> </w:t>
      </w:r>
      <w:proofErr w:type="spellStart"/>
      <w:r>
        <w:t>ar</w:t>
      </w:r>
      <w:proofErr w:type="spellEnd"/>
      <w:r>
        <w:t xml:space="preserve"> an </w:t>
      </w:r>
      <w:proofErr w:type="spellStart"/>
      <w:r>
        <w:t>tábhacht</w:t>
      </w:r>
      <w:proofErr w:type="spellEnd"/>
      <w:r>
        <w:t xml:space="preserve"> a </w:t>
      </w:r>
      <w:proofErr w:type="spellStart"/>
      <w:r>
        <w:t>bhaineann</w:t>
      </w:r>
      <w:proofErr w:type="spellEnd"/>
      <w:r>
        <w:t xml:space="preserve"> le </w:t>
      </w:r>
      <w:proofErr w:type="spellStart"/>
      <w:r>
        <w:t>daingniú</w:t>
      </w:r>
      <w:proofErr w:type="spellEnd"/>
      <w:r>
        <w:t xml:space="preserve"> </w:t>
      </w:r>
      <w:proofErr w:type="spellStart"/>
      <w:r>
        <w:t>amach</w:t>
      </w:r>
      <w:proofErr w:type="spellEnd"/>
      <w:r>
        <w:t xml:space="preserve"> </w:t>
      </w:r>
      <w:proofErr w:type="spellStart"/>
      <w:r>
        <w:t>anseo</w:t>
      </w:r>
      <w:proofErr w:type="spellEnd"/>
      <w:r>
        <w:t xml:space="preserve"> </w:t>
      </w:r>
      <w:proofErr w:type="spellStart"/>
      <w:r>
        <w:t>Choinbhinsiún</w:t>
      </w:r>
      <w:proofErr w:type="spellEnd"/>
      <w:r>
        <w:t xml:space="preserve"> </w:t>
      </w:r>
      <w:proofErr w:type="spellStart"/>
      <w:r>
        <w:t>na</w:t>
      </w:r>
      <w:proofErr w:type="spellEnd"/>
      <w:r>
        <w:t xml:space="preserve"> </w:t>
      </w:r>
      <w:proofErr w:type="spellStart"/>
      <w:r>
        <w:t>Náisiún</w:t>
      </w:r>
      <w:proofErr w:type="spellEnd"/>
      <w:r>
        <w:t xml:space="preserve"> </w:t>
      </w:r>
      <w:proofErr w:type="spellStart"/>
      <w:r>
        <w:t>Aontaithe</w:t>
      </w:r>
      <w:proofErr w:type="spellEnd"/>
      <w:r>
        <w:t xml:space="preserve"> um </w:t>
      </w:r>
      <w:proofErr w:type="spellStart"/>
      <w:r>
        <w:t>Chearta</w:t>
      </w:r>
      <w:proofErr w:type="spellEnd"/>
      <w:r>
        <w:t xml:space="preserve"> </w:t>
      </w:r>
      <w:proofErr w:type="spellStart"/>
      <w:r>
        <w:t>Daoine</w:t>
      </w:r>
      <w:proofErr w:type="spellEnd"/>
      <w:r>
        <w:t xml:space="preserve"> le </w:t>
      </w:r>
      <w:proofErr w:type="spellStart"/>
      <w:r>
        <w:t>Míchumas</w:t>
      </w:r>
      <w:proofErr w:type="spellEnd"/>
      <w:r>
        <w:t xml:space="preserve"> do </w:t>
      </w:r>
      <w:proofErr w:type="spellStart"/>
      <w:r>
        <w:t>shaothar</w:t>
      </w:r>
      <w:proofErr w:type="spellEnd"/>
      <w:r>
        <w:t xml:space="preserve"> </w:t>
      </w:r>
      <w:proofErr w:type="spellStart"/>
      <w:r>
        <w:t>Údarás</w:t>
      </w:r>
      <w:proofErr w:type="spellEnd"/>
      <w:r>
        <w:t xml:space="preserve"> </w:t>
      </w:r>
      <w:proofErr w:type="spellStart"/>
      <w:r>
        <w:t>Craolacháin</w:t>
      </w:r>
      <w:proofErr w:type="spellEnd"/>
      <w:r>
        <w:t xml:space="preserve"> </w:t>
      </w:r>
      <w:proofErr w:type="spellStart"/>
      <w:r>
        <w:t>na</w:t>
      </w:r>
      <w:proofErr w:type="spellEnd"/>
      <w:r>
        <w:t xml:space="preserve"> </w:t>
      </w:r>
      <w:proofErr w:type="spellStart"/>
      <w:r>
        <w:t>hÉireann</w:t>
      </w:r>
      <w:proofErr w:type="spellEnd"/>
      <w:r>
        <w:t xml:space="preserve">; go </w:t>
      </w:r>
      <w:proofErr w:type="spellStart"/>
      <w:r>
        <w:t>sonrach</w:t>
      </w:r>
      <w:proofErr w:type="spellEnd"/>
      <w:r>
        <w:t xml:space="preserve"> le </w:t>
      </w:r>
      <w:proofErr w:type="spellStart"/>
      <w:r>
        <w:t>léiriú</w:t>
      </w:r>
      <w:proofErr w:type="spellEnd"/>
      <w:r>
        <w:t xml:space="preserve"> </w:t>
      </w:r>
      <w:proofErr w:type="spellStart"/>
      <w:r>
        <w:t>daoine</w:t>
      </w:r>
      <w:proofErr w:type="spellEnd"/>
      <w:r>
        <w:t xml:space="preserve"> le </w:t>
      </w:r>
      <w:proofErr w:type="spellStart"/>
      <w:r>
        <w:t>míchumas</w:t>
      </w:r>
      <w:proofErr w:type="spellEnd"/>
      <w:r>
        <w:t xml:space="preserve"> </w:t>
      </w:r>
      <w:proofErr w:type="spellStart"/>
      <w:r>
        <w:t>sna</w:t>
      </w:r>
      <w:proofErr w:type="spellEnd"/>
      <w:r>
        <w:t xml:space="preserve"> </w:t>
      </w:r>
      <w:proofErr w:type="spellStart"/>
      <w:r>
        <w:t>meáin</w:t>
      </w:r>
      <w:proofErr w:type="spellEnd"/>
      <w:r>
        <w:t xml:space="preserve"> </w:t>
      </w:r>
      <w:proofErr w:type="spellStart"/>
      <w:r>
        <w:t>faoi</w:t>
      </w:r>
      <w:proofErr w:type="spellEnd"/>
      <w:r>
        <w:t xml:space="preserve"> </w:t>
      </w:r>
      <w:proofErr w:type="spellStart"/>
      <w:r>
        <w:t>Airteagal</w:t>
      </w:r>
      <w:proofErr w:type="spellEnd"/>
      <w:r>
        <w:t xml:space="preserve"> 8.</w:t>
      </w:r>
    </w:p>
    <w:p w14:paraId="7162D910" w14:textId="77777777" w:rsidR="006C148C" w:rsidRDefault="006C148C">
      <w:pPr>
        <w:pStyle w:val="Heading3"/>
      </w:pPr>
      <w:bookmarkStart w:id="369" w:name="_Toc335836476"/>
      <w:r>
        <w:lastRenderedPageBreak/>
        <w:t xml:space="preserve">An </w:t>
      </w:r>
      <w:proofErr w:type="spellStart"/>
      <w:r>
        <w:t>Coimisiún</w:t>
      </w:r>
      <w:proofErr w:type="spellEnd"/>
      <w:r>
        <w:t xml:space="preserve"> um </w:t>
      </w:r>
      <w:proofErr w:type="spellStart"/>
      <w:r>
        <w:t>Rialáil</w:t>
      </w:r>
      <w:proofErr w:type="spellEnd"/>
      <w:r>
        <w:t xml:space="preserve"> </w:t>
      </w:r>
      <w:proofErr w:type="spellStart"/>
      <w:r>
        <w:t>Cumarsáide</w:t>
      </w:r>
      <w:bookmarkEnd w:id="369"/>
      <w:proofErr w:type="spellEnd"/>
      <w:r>
        <w:t xml:space="preserve"> </w:t>
      </w:r>
    </w:p>
    <w:p w14:paraId="782E1EC4" w14:textId="77777777" w:rsidR="006C148C" w:rsidRDefault="006C148C">
      <w:pPr>
        <w:rPr>
          <w:lang w:val="en-GB"/>
        </w:rPr>
      </w:pPr>
      <w:r>
        <w:rPr>
          <w:lang w:val="en-GB"/>
        </w:rPr>
        <w:t xml:space="preserve">D'fheidhmigh an </w:t>
      </w:r>
      <w:proofErr w:type="spellStart"/>
      <w:r>
        <w:rPr>
          <w:lang w:val="en-GB"/>
        </w:rPr>
        <w:t>tÚdarás</w:t>
      </w:r>
      <w:proofErr w:type="spellEnd"/>
      <w:r>
        <w:rPr>
          <w:lang w:val="en-GB"/>
        </w:rPr>
        <w:t xml:space="preserve"> Náisiúnta </w:t>
      </w:r>
      <w:proofErr w:type="spellStart"/>
      <w:r>
        <w:rPr>
          <w:lang w:val="en-GB"/>
        </w:rPr>
        <w:t>Míchumais</w:t>
      </w:r>
      <w:proofErr w:type="spellEnd"/>
      <w:r>
        <w:rPr>
          <w:lang w:val="en-GB"/>
        </w:rPr>
        <w:t xml:space="preserve"> mar </w:t>
      </w:r>
      <w:proofErr w:type="spellStart"/>
      <w:r>
        <w:rPr>
          <w:lang w:val="en-GB"/>
        </w:rPr>
        <w:t>óstach</w:t>
      </w:r>
      <w:proofErr w:type="spellEnd"/>
      <w:r>
        <w:rPr>
          <w:lang w:val="en-GB"/>
        </w:rPr>
        <w:t xml:space="preserve"> do cheithre chruinniú den </w:t>
      </w:r>
      <w:proofErr w:type="spellStart"/>
      <w:r>
        <w:rPr>
          <w:lang w:val="en-GB"/>
        </w:rPr>
        <w:t>Fhóram</w:t>
      </w:r>
      <w:proofErr w:type="spellEnd"/>
      <w:r>
        <w:rPr>
          <w:lang w:val="en-GB"/>
        </w:rPr>
        <w:t xml:space="preserve"> um </w:t>
      </w:r>
      <w:proofErr w:type="spellStart"/>
      <w:r>
        <w:rPr>
          <w:lang w:val="en-GB"/>
        </w:rPr>
        <w:t>Sheirbhísí</w:t>
      </w:r>
      <w:proofErr w:type="spellEnd"/>
      <w:r>
        <w:rPr>
          <w:lang w:val="en-GB"/>
        </w:rPr>
        <w:t xml:space="preserve"> </w:t>
      </w:r>
      <w:proofErr w:type="spellStart"/>
      <w:r>
        <w:rPr>
          <w:lang w:val="en-GB"/>
        </w:rPr>
        <w:t>Leictreonacha</w:t>
      </w:r>
      <w:proofErr w:type="spellEnd"/>
      <w:r>
        <w:rPr>
          <w:lang w:val="en-GB"/>
        </w:rPr>
        <w:t xml:space="preserve"> do </w:t>
      </w:r>
      <w:proofErr w:type="spellStart"/>
      <w:r>
        <w:rPr>
          <w:lang w:val="en-GB"/>
        </w:rPr>
        <w:t>Dhaoine</w:t>
      </w:r>
      <w:proofErr w:type="spellEnd"/>
      <w:r>
        <w:rPr>
          <w:lang w:val="en-GB"/>
        </w:rPr>
        <w:t xml:space="preserve"> le </w:t>
      </w:r>
      <w:proofErr w:type="spellStart"/>
      <w:r>
        <w:rPr>
          <w:lang w:val="en-GB"/>
        </w:rPr>
        <w:t>Míchumas</w:t>
      </w:r>
      <w:proofErr w:type="spellEnd"/>
      <w:r>
        <w:rPr>
          <w:lang w:val="en-GB"/>
        </w:rPr>
        <w:t xml:space="preserve">. </w:t>
      </w:r>
      <w:proofErr w:type="spellStart"/>
      <w:r>
        <w:rPr>
          <w:lang w:val="en-GB"/>
        </w:rPr>
        <w:t>Dhírigh</w:t>
      </w:r>
      <w:proofErr w:type="spellEnd"/>
      <w:r>
        <w:rPr>
          <w:lang w:val="en-GB"/>
        </w:rPr>
        <w:t xml:space="preserve"> an </w:t>
      </w:r>
      <w:proofErr w:type="spellStart"/>
      <w:r>
        <w:rPr>
          <w:lang w:val="en-GB"/>
        </w:rPr>
        <w:t>comhphlé</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fhorbairt</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treorach</w:t>
      </w:r>
      <w:proofErr w:type="spellEnd"/>
      <w:r>
        <w:rPr>
          <w:lang w:val="en-GB"/>
        </w:rPr>
        <w:t xml:space="preserve"> do </w:t>
      </w:r>
      <w:proofErr w:type="spellStart"/>
      <w:r>
        <w:rPr>
          <w:lang w:val="en-GB"/>
        </w:rPr>
        <w:t>na</w:t>
      </w:r>
      <w:proofErr w:type="spellEnd"/>
      <w:r>
        <w:rPr>
          <w:lang w:val="en-GB"/>
        </w:rPr>
        <w:t xml:space="preserve"> </w:t>
      </w:r>
      <w:proofErr w:type="spellStart"/>
      <w:r>
        <w:rPr>
          <w:lang w:val="en-GB"/>
        </w:rPr>
        <w:t>cuideachtaí</w:t>
      </w:r>
      <w:proofErr w:type="spellEnd"/>
      <w:r>
        <w:rPr>
          <w:lang w:val="en-GB"/>
        </w:rPr>
        <w:t xml:space="preserve"> </w:t>
      </w:r>
      <w:proofErr w:type="spellStart"/>
      <w:r>
        <w:rPr>
          <w:lang w:val="en-GB"/>
        </w:rPr>
        <w:t>teileachumaráside</w:t>
      </w:r>
      <w:proofErr w:type="spellEnd"/>
      <w:r>
        <w:rPr>
          <w:lang w:val="en-GB"/>
        </w:rPr>
        <w:t xml:space="preserve"> </w:t>
      </w:r>
      <w:proofErr w:type="spellStart"/>
      <w:r>
        <w:rPr>
          <w:lang w:val="en-GB"/>
        </w:rPr>
        <w:t>faoin</w:t>
      </w:r>
      <w:proofErr w:type="spellEnd"/>
      <w:r>
        <w:rPr>
          <w:lang w:val="en-GB"/>
        </w:rPr>
        <w:t xml:space="preserve"> </w:t>
      </w:r>
      <w:proofErr w:type="spellStart"/>
      <w:r>
        <w:rPr>
          <w:lang w:val="en-GB"/>
        </w:rPr>
        <w:t>gcaoi</w:t>
      </w:r>
      <w:proofErr w:type="spellEnd"/>
      <w:r>
        <w:rPr>
          <w:lang w:val="en-GB"/>
        </w:rPr>
        <w:t xml:space="preserve"> ab </w:t>
      </w:r>
      <w:proofErr w:type="spellStart"/>
      <w:r>
        <w:rPr>
          <w:lang w:val="en-GB"/>
        </w:rPr>
        <w:t>fhearr</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féidir</w:t>
      </w:r>
      <w:proofErr w:type="spellEnd"/>
      <w:r>
        <w:rPr>
          <w:lang w:val="en-GB"/>
        </w:rPr>
        <w:t xml:space="preserve"> </w:t>
      </w:r>
      <w:proofErr w:type="spellStart"/>
      <w:r>
        <w:rPr>
          <w:lang w:val="en-GB"/>
        </w:rPr>
        <w:t>leo</w:t>
      </w:r>
      <w:proofErr w:type="spellEnd"/>
      <w:r>
        <w:rPr>
          <w:lang w:val="en-GB"/>
        </w:rPr>
        <w:t xml:space="preserve"> </w:t>
      </w:r>
      <w:proofErr w:type="spellStart"/>
      <w:r>
        <w:rPr>
          <w:lang w:val="en-GB"/>
        </w:rPr>
        <w:t>Rialachán</w:t>
      </w:r>
      <w:proofErr w:type="spellEnd"/>
      <w:r>
        <w:rPr>
          <w:lang w:val="en-GB"/>
        </w:rPr>
        <w:t xml:space="preserve"> 17 I.R. </w:t>
      </w:r>
      <w:proofErr w:type="spellStart"/>
      <w:r>
        <w:rPr>
          <w:lang w:val="en-GB"/>
        </w:rPr>
        <w:t>Uimh</w:t>
      </w:r>
      <w:proofErr w:type="spellEnd"/>
      <w:r>
        <w:rPr>
          <w:lang w:val="en-GB"/>
        </w:rPr>
        <w:t xml:space="preserve">. 337 de 2011 a chur </w:t>
      </w:r>
      <w:proofErr w:type="spellStart"/>
      <w:r>
        <w:rPr>
          <w:lang w:val="en-GB"/>
        </w:rPr>
        <w:t>i</w:t>
      </w:r>
      <w:proofErr w:type="spellEnd"/>
      <w:r>
        <w:rPr>
          <w:lang w:val="en-GB"/>
        </w:rPr>
        <w:t xml:space="preserve"> </w:t>
      </w:r>
      <w:proofErr w:type="spellStart"/>
      <w:r>
        <w:rPr>
          <w:lang w:val="en-GB"/>
        </w:rPr>
        <w:t>bhfeidhm</w:t>
      </w:r>
      <w:proofErr w:type="spellEnd"/>
      <w:r>
        <w:rPr>
          <w:lang w:val="en-GB"/>
        </w:rPr>
        <w:t xml:space="preserve">: </w:t>
      </w:r>
      <w:proofErr w:type="spellStart"/>
      <w:r>
        <w:rPr>
          <w:lang w:val="en-GB"/>
        </w:rPr>
        <w:t>Rialacháin</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gComhphobal</w:t>
      </w:r>
      <w:proofErr w:type="spellEnd"/>
      <w:r>
        <w:rPr>
          <w:lang w:val="en-GB"/>
        </w:rPr>
        <w:t xml:space="preserve"> </w:t>
      </w:r>
      <w:proofErr w:type="spellStart"/>
      <w:r>
        <w:rPr>
          <w:lang w:val="en-GB"/>
        </w:rPr>
        <w:t>Eorpach</w:t>
      </w:r>
      <w:proofErr w:type="spellEnd"/>
      <w:r>
        <w:rPr>
          <w:b/>
          <w:lang w:val="en-GB"/>
        </w:rPr>
        <w:t xml:space="preserve"> (</w:t>
      </w:r>
      <w:proofErr w:type="spellStart"/>
      <w:r>
        <w:rPr>
          <w:b/>
          <w:lang w:val="en-GB"/>
        </w:rPr>
        <w:t>Líonraí</w:t>
      </w:r>
      <w:proofErr w:type="spellEnd"/>
      <w:r>
        <w:rPr>
          <w:b/>
          <w:lang w:val="en-GB"/>
        </w:rPr>
        <w:t xml:space="preserve"> </w:t>
      </w:r>
      <w:proofErr w:type="spellStart"/>
      <w:r>
        <w:rPr>
          <w:b/>
          <w:lang w:val="en-GB"/>
        </w:rPr>
        <w:t>agus</w:t>
      </w:r>
      <w:proofErr w:type="spellEnd"/>
      <w:r>
        <w:rPr>
          <w:b/>
          <w:lang w:val="en-GB"/>
        </w:rPr>
        <w:t xml:space="preserve"> </w:t>
      </w:r>
      <w:proofErr w:type="spellStart"/>
      <w:r>
        <w:rPr>
          <w:b/>
          <w:lang w:val="en-GB"/>
        </w:rPr>
        <w:t>Seirbhísí</w:t>
      </w:r>
      <w:proofErr w:type="spellEnd"/>
      <w:r>
        <w:rPr>
          <w:b/>
          <w:lang w:val="en-GB"/>
        </w:rPr>
        <w:t xml:space="preserve"> </w:t>
      </w:r>
      <w:proofErr w:type="spellStart"/>
      <w:r>
        <w:rPr>
          <w:b/>
          <w:lang w:val="en-GB"/>
        </w:rPr>
        <w:t>Cumarsáide</w:t>
      </w:r>
      <w:proofErr w:type="spellEnd"/>
      <w:r>
        <w:rPr>
          <w:b/>
          <w:lang w:val="en-GB"/>
        </w:rPr>
        <w:t xml:space="preserve"> </w:t>
      </w:r>
      <w:proofErr w:type="spellStart"/>
      <w:r>
        <w:rPr>
          <w:b/>
          <w:lang w:val="en-GB"/>
        </w:rPr>
        <w:t>Leictreonaí</w:t>
      </w:r>
      <w:proofErr w:type="spellEnd"/>
      <w:r>
        <w:rPr>
          <w:b/>
          <w:lang w:val="en-GB"/>
        </w:rPr>
        <w:t>) (</w:t>
      </w:r>
      <w:proofErr w:type="spellStart"/>
      <w:r>
        <w:rPr>
          <w:b/>
          <w:lang w:val="en-GB"/>
        </w:rPr>
        <w:t>Seirbhís</w:t>
      </w:r>
      <w:proofErr w:type="spellEnd"/>
      <w:r>
        <w:rPr>
          <w:b/>
          <w:lang w:val="en-GB"/>
        </w:rPr>
        <w:t xml:space="preserve"> </w:t>
      </w:r>
      <w:proofErr w:type="spellStart"/>
      <w:r>
        <w:rPr>
          <w:b/>
          <w:lang w:val="en-GB"/>
        </w:rPr>
        <w:t>Uilíoch</w:t>
      </w:r>
      <w:proofErr w:type="spellEnd"/>
      <w:r>
        <w:rPr>
          <w:b/>
          <w:lang w:val="en-GB"/>
        </w:rPr>
        <w:t xml:space="preserve"> </w:t>
      </w:r>
      <w:proofErr w:type="spellStart"/>
      <w:r>
        <w:rPr>
          <w:b/>
          <w:lang w:val="en-GB"/>
        </w:rPr>
        <w:t>agus</w:t>
      </w:r>
      <w:proofErr w:type="spellEnd"/>
      <w:r>
        <w:rPr>
          <w:b/>
          <w:lang w:val="en-GB"/>
        </w:rPr>
        <w:t xml:space="preserve"> </w:t>
      </w:r>
      <w:proofErr w:type="spellStart"/>
      <w:r>
        <w:rPr>
          <w:b/>
          <w:lang w:val="en-GB"/>
        </w:rPr>
        <w:t>Cearta</w:t>
      </w:r>
      <w:proofErr w:type="spellEnd"/>
      <w:r>
        <w:rPr>
          <w:b/>
          <w:lang w:val="en-GB"/>
        </w:rPr>
        <w:t xml:space="preserve"> </w:t>
      </w:r>
      <w:proofErr w:type="spellStart"/>
      <w:r>
        <w:rPr>
          <w:b/>
          <w:lang w:val="en-GB"/>
        </w:rPr>
        <w:t>Úsáideoirí</w:t>
      </w:r>
      <w:proofErr w:type="spellEnd"/>
      <w:r>
        <w:rPr>
          <w:b/>
          <w:lang w:val="en-GB"/>
        </w:rPr>
        <w:t>) 2011</w:t>
      </w:r>
      <w:r>
        <w:rPr>
          <w:lang w:val="en-GB"/>
        </w:rPr>
        <w:t>.</w:t>
      </w:r>
    </w:p>
    <w:p w14:paraId="1C5F2B08" w14:textId="77777777" w:rsidR="006C148C" w:rsidRDefault="006C148C">
      <w:pPr>
        <w:rPr>
          <w:lang w:val="en-GB"/>
        </w:rPr>
      </w:pPr>
      <w:r>
        <w:rPr>
          <w:lang w:val="en-GB"/>
        </w:rPr>
        <w:t xml:space="preserve">Is éard is cuspóir leis </w:t>
      </w:r>
      <w:proofErr w:type="spellStart"/>
      <w:r>
        <w:rPr>
          <w:lang w:val="en-GB"/>
        </w:rPr>
        <w:t>na</w:t>
      </w:r>
      <w:proofErr w:type="spellEnd"/>
      <w:r>
        <w:rPr>
          <w:lang w:val="en-GB"/>
        </w:rPr>
        <w:t xml:space="preserve"> </w:t>
      </w:r>
      <w:proofErr w:type="spellStart"/>
      <w:r>
        <w:rPr>
          <w:lang w:val="en-GB"/>
        </w:rPr>
        <w:t>Rialacháin</w:t>
      </w:r>
      <w:proofErr w:type="spellEnd"/>
      <w:r>
        <w:rPr>
          <w:lang w:val="en-GB"/>
        </w:rPr>
        <w:t xml:space="preserve"> sin </w:t>
      </w:r>
      <w:proofErr w:type="spellStart"/>
      <w:r>
        <w:rPr>
          <w:lang w:val="en-GB"/>
        </w:rPr>
        <w:t>Treoir</w:t>
      </w:r>
      <w:proofErr w:type="spellEnd"/>
      <w:r>
        <w:rPr>
          <w:lang w:val="en-GB"/>
        </w:rPr>
        <w:t xml:space="preserve"> an Aontais Eorpaigh a chur chun feidhme i leith na </w:t>
      </w:r>
      <w:proofErr w:type="spellStart"/>
      <w:r>
        <w:rPr>
          <w:lang w:val="en-GB"/>
        </w:rPr>
        <w:t>seirbhíse</w:t>
      </w:r>
      <w:proofErr w:type="spellEnd"/>
      <w:r>
        <w:rPr>
          <w:lang w:val="en-GB"/>
        </w:rPr>
        <w:t xml:space="preserve"> </w:t>
      </w:r>
      <w:proofErr w:type="spellStart"/>
      <w:r>
        <w:rPr>
          <w:lang w:val="en-GB"/>
        </w:rPr>
        <w:t>uilíche</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chearta</w:t>
      </w:r>
      <w:proofErr w:type="spellEnd"/>
      <w:r>
        <w:rPr>
          <w:lang w:val="en-GB"/>
        </w:rPr>
        <w:t xml:space="preserve"> </w:t>
      </w:r>
      <w:proofErr w:type="spellStart"/>
      <w:r>
        <w:rPr>
          <w:lang w:val="en-GB"/>
        </w:rPr>
        <w:t>na</w:t>
      </w:r>
      <w:proofErr w:type="spellEnd"/>
      <w:r>
        <w:rPr>
          <w:lang w:val="en-GB"/>
        </w:rPr>
        <w:t xml:space="preserve"> n-</w:t>
      </w:r>
      <w:proofErr w:type="spellStart"/>
      <w:r>
        <w:rPr>
          <w:lang w:val="en-GB"/>
        </w:rPr>
        <w:t>úsáideoirí</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ndáil</w:t>
      </w:r>
      <w:proofErr w:type="spellEnd"/>
      <w:r>
        <w:rPr>
          <w:lang w:val="en-GB"/>
        </w:rPr>
        <w:t xml:space="preserve"> le </w:t>
      </w:r>
      <w:proofErr w:type="spellStart"/>
      <w:r>
        <w:rPr>
          <w:lang w:val="en-GB"/>
        </w:rPr>
        <w:t>líonraí</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seirbhísí</w:t>
      </w:r>
      <w:proofErr w:type="spellEnd"/>
      <w:r>
        <w:rPr>
          <w:lang w:val="en-GB"/>
        </w:rPr>
        <w:t xml:space="preserve"> </w:t>
      </w:r>
      <w:proofErr w:type="spellStart"/>
      <w:r>
        <w:rPr>
          <w:lang w:val="en-GB"/>
        </w:rPr>
        <w:t>cumarsáide</w:t>
      </w:r>
      <w:proofErr w:type="spellEnd"/>
      <w:r>
        <w:rPr>
          <w:lang w:val="en-GB"/>
        </w:rPr>
        <w:t xml:space="preserve"> </w:t>
      </w:r>
      <w:proofErr w:type="spellStart"/>
      <w:r>
        <w:rPr>
          <w:lang w:val="en-GB"/>
        </w:rPr>
        <w:t>leictreonaí</w:t>
      </w:r>
      <w:proofErr w:type="spellEnd"/>
      <w:r>
        <w:rPr>
          <w:lang w:val="en-GB"/>
        </w:rPr>
        <w:t xml:space="preserve"> (</w:t>
      </w:r>
      <w:proofErr w:type="spellStart"/>
      <w:r>
        <w:rPr>
          <w:b/>
          <w:bCs/>
          <w:lang w:val="en-GB"/>
        </w:rPr>
        <w:t>Treoir</w:t>
      </w:r>
      <w:proofErr w:type="spellEnd"/>
      <w:r>
        <w:rPr>
          <w:b/>
          <w:bCs/>
          <w:lang w:val="en-GB"/>
        </w:rPr>
        <w:t xml:space="preserve"> </w:t>
      </w:r>
      <w:proofErr w:type="spellStart"/>
      <w:r>
        <w:rPr>
          <w:b/>
          <w:bCs/>
          <w:lang w:val="en-GB"/>
        </w:rPr>
        <w:t>Seirbhíse</w:t>
      </w:r>
      <w:proofErr w:type="spellEnd"/>
      <w:r>
        <w:rPr>
          <w:b/>
          <w:bCs/>
          <w:lang w:val="en-GB"/>
        </w:rPr>
        <w:t xml:space="preserve"> </w:t>
      </w:r>
      <w:proofErr w:type="spellStart"/>
      <w:r>
        <w:rPr>
          <w:b/>
          <w:bCs/>
          <w:lang w:val="en-GB"/>
        </w:rPr>
        <w:t>Uilíche</w:t>
      </w:r>
      <w:proofErr w:type="spellEnd"/>
      <w:r>
        <w:rPr>
          <w:lang w:val="en-GB"/>
        </w:rPr>
        <w:t xml:space="preserve">). </w:t>
      </w:r>
    </w:p>
    <w:p w14:paraId="0A02A60E" w14:textId="77777777" w:rsidR="006C148C" w:rsidRDefault="006C148C">
      <w:pPr>
        <w:rPr>
          <w:lang w:val="en-GB"/>
        </w:rPr>
      </w:pPr>
      <w:proofErr w:type="spellStart"/>
      <w:r>
        <w:t>Thaisc</w:t>
      </w:r>
      <w:proofErr w:type="spellEnd"/>
      <w:r>
        <w:t xml:space="preserve"> </w:t>
      </w:r>
      <w:r>
        <w:rPr>
          <w:lang w:val="en-GB"/>
        </w:rPr>
        <w:t xml:space="preserve">an </w:t>
      </w:r>
      <w:proofErr w:type="spellStart"/>
      <w:r>
        <w:rPr>
          <w:lang w:val="en-GB"/>
        </w:rPr>
        <w:t>tÚdarás</w:t>
      </w:r>
      <w:proofErr w:type="spellEnd"/>
      <w:r>
        <w:rPr>
          <w:lang w:val="en-GB"/>
        </w:rPr>
        <w:t xml:space="preserve"> Náisiúnta </w:t>
      </w:r>
      <w:proofErr w:type="spellStart"/>
      <w:r>
        <w:rPr>
          <w:lang w:val="en-GB"/>
        </w:rPr>
        <w:t>Míchumais</w:t>
      </w:r>
      <w:proofErr w:type="spellEnd"/>
      <w:r>
        <w:rPr>
          <w:lang w:val="en-GB"/>
        </w:rPr>
        <w:t xml:space="preserve"> </w:t>
      </w:r>
      <w:proofErr w:type="spellStart"/>
      <w:r>
        <w:rPr>
          <w:lang w:val="en-GB"/>
        </w:rPr>
        <w:t>páipéar</w:t>
      </w:r>
      <w:proofErr w:type="spellEnd"/>
      <w:r>
        <w:rPr>
          <w:lang w:val="en-GB"/>
        </w:rPr>
        <w:t xml:space="preserve"> </w:t>
      </w:r>
      <w:proofErr w:type="spellStart"/>
      <w:r>
        <w:rPr>
          <w:lang w:val="en-GB"/>
        </w:rPr>
        <w:t>comhairle</w:t>
      </w:r>
      <w:proofErr w:type="spellEnd"/>
      <w:r>
        <w:rPr>
          <w:lang w:val="en-GB"/>
        </w:rPr>
        <w:t xml:space="preserve"> </w:t>
      </w:r>
      <w:proofErr w:type="spellStart"/>
      <w:r>
        <w:rPr>
          <w:lang w:val="en-GB"/>
        </w:rPr>
        <w:t>beartais</w:t>
      </w:r>
      <w:proofErr w:type="spellEnd"/>
      <w:r>
        <w:rPr>
          <w:lang w:val="en-GB"/>
        </w:rPr>
        <w:t xml:space="preserve"> </w:t>
      </w:r>
      <w:proofErr w:type="spellStart"/>
      <w:r>
        <w:rPr>
          <w:lang w:val="en-GB"/>
        </w:rPr>
        <w:t>freisin</w:t>
      </w:r>
      <w:proofErr w:type="spellEnd"/>
      <w:r>
        <w:rPr>
          <w:lang w:val="en-GB"/>
        </w:rPr>
        <w:t xml:space="preserve"> le </w:t>
      </w:r>
      <w:proofErr w:type="spellStart"/>
      <w:r>
        <w:rPr>
          <w:lang w:val="en-GB"/>
        </w:rPr>
        <w:t>comhairliúchán</w:t>
      </w:r>
      <w:proofErr w:type="spellEnd"/>
      <w:r>
        <w:rPr>
          <w:lang w:val="en-GB"/>
        </w:rPr>
        <w:t xml:space="preserve"> an </w:t>
      </w:r>
      <w:proofErr w:type="spellStart"/>
      <w:r>
        <w:rPr>
          <w:lang w:val="en-GB"/>
        </w:rPr>
        <w:t>Choimisiúin</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leith</w:t>
      </w:r>
      <w:proofErr w:type="spellEnd"/>
      <w:r>
        <w:rPr>
          <w:lang w:val="en-GB"/>
        </w:rPr>
        <w:t xml:space="preserve"> </w:t>
      </w:r>
      <w:proofErr w:type="spellStart"/>
      <w:r>
        <w:rPr>
          <w:lang w:val="en-GB"/>
        </w:rPr>
        <w:t>beart</w:t>
      </w:r>
      <w:proofErr w:type="spellEnd"/>
      <w:r>
        <w:rPr>
          <w:lang w:val="en-GB"/>
        </w:rPr>
        <w:t xml:space="preserve"> </w:t>
      </w:r>
      <w:proofErr w:type="spellStart"/>
      <w:r>
        <w:rPr>
          <w:lang w:val="en-GB"/>
        </w:rPr>
        <w:t>molta</w:t>
      </w:r>
      <w:proofErr w:type="spellEnd"/>
      <w:r>
        <w:rPr>
          <w:lang w:val="en-GB"/>
        </w:rPr>
        <w:t xml:space="preserve"> um </w:t>
      </w:r>
      <w:proofErr w:type="spellStart"/>
      <w:r>
        <w:rPr>
          <w:lang w:val="en-GB"/>
        </w:rPr>
        <w:t>chosaint</w:t>
      </w:r>
      <w:proofErr w:type="spellEnd"/>
      <w:r>
        <w:rPr>
          <w:lang w:val="en-GB"/>
        </w:rPr>
        <w:t xml:space="preserve"> </w:t>
      </w:r>
      <w:proofErr w:type="spellStart"/>
      <w:r>
        <w:rPr>
          <w:lang w:val="en-GB"/>
        </w:rPr>
        <w:t>tomhaltóirí</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dtaca</w:t>
      </w:r>
      <w:proofErr w:type="spellEnd"/>
      <w:r>
        <w:rPr>
          <w:lang w:val="en-GB"/>
        </w:rPr>
        <w:t xml:space="preserve"> le </w:t>
      </w:r>
      <w:proofErr w:type="spellStart"/>
      <w:r>
        <w:rPr>
          <w:lang w:val="en-GB"/>
        </w:rPr>
        <w:t>billí</w:t>
      </w:r>
      <w:proofErr w:type="spellEnd"/>
      <w:r>
        <w:rPr>
          <w:lang w:val="en-GB"/>
        </w:rPr>
        <w:t xml:space="preserve"> </w:t>
      </w:r>
      <w:proofErr w:type="spellStart"/>
      <w:r>
        <w:rPr>
          <w:lang w:val="en-GB"/>
        </w:rPr>
        <w:t>tomhaltóirí</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meáin</w:t>
      </w:r>
      <w:proofErr w:type="spellEnd"/>
      <w:r>
        <w:rPr>
          <w:lang w:val="en-GB"/>
        </w:rPr>
        <w:t xml:space="preserve"> </w:t>
      </w:r>
      <w:proofErr w:type="spellStart"/>
      <w:r>
        <w:rPr>
          <w:lang w:val="en-GB"/>
        </w:rPr>
        <w:t>bhilleála</w:t>
      </w:r>
      <w:proofErr w:type="spellEnd"/>
      <w:r>
        <w:rPr>
          <w:lang w:val="en-GB"/>
        </w:rPr>
        <w:t xml:space="preserve">, ag </w:t>
      </w:r>
      <w:proofErr w:type="spellStart"/>
      <w:r>
        <w:rPr>
          <w:lang w:val="en-GB"/>
        </w:rPr>
        <w:t>tacú</w:t>
      </w:r>
      <w:proofErr w:type="spellEnd"/>
      <w:r>
        <w:rPr>
          <w:lang w:val="en-GB"/>
        </w:rPr>
        <w:t xml:space="preserve"> le </w:t>
      </w:r>
      <w:proofErr w:type="spellStart"/>
      <w:r>
        <w:rPr>
          <w:lang w:val="en-GB"/>
        </w:rPr>
        <w:t>moltaí</w:t>
      </w:r>
      <w:proofErr w:type="spellEnd"/>
      <w:r>
        <w:rPr>
          <w:lang w:val="en-GB"/>
        </w:rPr>
        <w:t xml:space="preserve"> an </w:t>
      </w:r>
      <w:proofErr w:type="spellStart"/>
      <w:r>
        <w:rPr>
          <w:lang w:val="en-GB"/>
        </w:rPr>
        <w:t>Choimisiúin</w:t>
      </w:r>
      <w:proofErr w:type="spellEnd"/>
      <w:r>
        <w:rPr>
          <w:lang w:val="en-GB"/>
        </w:rPr>
        <w:t xml:space="preserve"> </w:t>
      </w:r>
      <w:proofErr w:type="spellStart"/>
      <w:r>
        <w:rPr>
          <w:lang w:val="en-GB"/>
        </w:rPr>
        <w:t>chun</w:t>
      </w:r>
      <w:proofErr w:type="spellEnd"/>
      <w:r>
        <w:rPr>
          <w:lang w:val="en-GB"/>
        </w:rPr>
        <w:t xml:space="preserve"> </w:t>
      </w:r>
      <w:proofErr w:type="spellStart"/>
      <w:r>
        <w:rPr>
          <w:lang w:val="en-GB"/>
        </w:rPr>
        <w:t>cosaint</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rogha</w:t>
      </w:r>
      <w:proofErr w:type="spellEnd"/>
      <w:r>
        <w:rPr>
          <w:lang w:val="en-GB"/>
        </w:rPr>
        <w:t xml:space="preserve"> </w:t>
      </w:r>
      <w:proofErr w:type="spellStart"/>
      <w:r>
        <w:rPr>
          <w:lang w:val="en-GB"/>
        </w:rPr>
        <w:t>ní</w:t>
      </w:r>
      <w:proofErr w:type="spellEnd"/>
      <w:r>
        <w:rPr>
          <w:lang w:val="en-GB"/>
        </w:rPr>
        <w:t xml:space="preserve"> </w:t>
      </w:r>
      <w:proofErr w:type="spellStart"/>
      <w:r>
        <w:rPr>
          <w:lang w:val="en-GB"/>
        </w:rPr>
        <w:t>ba</w:t>
      </w:r>
      <w:proofErr w:type="spellEnd"/>
      <w:r>
        <w:rPr>
          <w:lang w:val="en-GB"/>
        </w:rPr>
        <w:t xml:space="preserve"> </w:t>
      </w:r>
      <w:proofErr w:type="spellStart"/>
      <w:r>
        <w:rPr>
          <w:lang w:val="en-GB"/>
        </w:rPr>
        <w:t>mhó</w:t>
      </w:r>
      <w:proofErr w:type="spellEnd"/>
      <w:r>
        <w:rPr>
          <w:lang w:val="en-GB"/>
        </w:rPr>
        <w:t xml:space="preserve"> do </w:t>
      </w:r>
      <w:proofErr w:type="spellStart"/>
      <w:r>
        <w:rPr>
          <w:lang w:val="en-GB"/>
        </w:rPr>
        <w:t>chustaiméirí</w:t>
      </w:r>
      <w:proofErr w:type="spellEnd"/>
      <w:r>
        <w:rPr>
          <w:lang w:val="en-GB"/>
        </w:rPr>
        <w:t xml:space="preserve"> </w:t>
      </w:r>
      <w:proofErr w:type="spellStart"/>
      <w:r>
        <w:rPr>
          <w:lang w:val="en-GB"/>
        </w:rPr>
        <w:t>leochaileacha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dteannta</w:t>
      </w:r>
      <w:proofErr w:type="spellEnd"/>
      <w:r>
        <w:rPr>
          <w:lang w:val="en-GB"/>
        </w:rPr>
        <w:t xml:space="preserve"> le </w:t>
      </w:r>
      <w:proofErr w:type="spellStart"/>
      <w:r>
        <w:rPr>
          <w:lang w:val="en-GB"/>
        </w:rPr>
        <w:t>béim</w:t>
      </w:r>
      <w:proofErr w:type="spellEnd"/>
      <w:r>
        <w:rPr>
          <w:lang w:val="en-GB"/>
        </w:rPr>
        <w:t xml:space="preserve"> a </w:t>
      </w:r>
      <w:proofErr w:type="spellStart"/>
      <w:r>
        <w:rPr>
          <w:lang w:val="en-GB"/>
        </w:rPr>
        <w:t>leagan</w:t>
      </w:r>
      <w:proofErr w:type="spellEnd"/>
      <w:r>
        <w:rPr>
          <w:lang w:val="en-GB"/>
        </w:rPr>
        <w:t xml:space="preserve"> </w:t>
      </w:r>
      <w:proofErr w:type="spellStart"/>
      <w:r>
        <w:rPr>
          <w:lang w:val="en-GB"/>
        </w:rPr>
        <w:t>ar</w:t>
      </w:r>
      <w:proofErr w:type="spellEnd"/>
      <w:r>
        <w:rPr>
          <w:lang w:val="en-GB"/>
        </w:rPr>
        <w:t xml:space="preserve"> an </w:t>
      </w:r>
      <w:proofErr w:type="spellStart"/>
      <w:r>
        <w:rPr>
          <w:lang w:val="en-GB"/>
        </w:rPr>
        <w:t>tairbhe</w:t>
      </w:r>
      <w:proofErr w:type="spellEnd"/>
      <w:r>
        <w:rPr>
          <w:lang w:val="en-GB"/>
        </w:rPr>
        <w:t xml:space="preserve"> a </w:t>
      </w:r>
      <w:proofErr w:type="spellStart"/>
      <w:r>
        <w:rPr>
          <w:lang w:val="en-GB"/>
        </w:rPr>
        <w:t>bhainfeadh</w:t>
      </w:r>
      <w:proofErr w:type="spellEnd"/>
      <w:r>
        <w:rPr>
          <w:lang w:val="en-GB"/>
        </w:rPr>
        <w:t xml:space="preserve"> le </w:t>
      </w:r>
      <w:proofErr w:type="spellStart"/>
      <w:r>
        <w:rPr>
          <w:lang w:val="en-GB"/>
        </w:rPr>
        <w:t>háireamh</w:t>
      </w:r>
      <w:proofErr w:type="spellEnd"/>
      <w:r>
        <w:rPr>
          <w:lang w:val="en-GB"/>
        </w:rPr>
        <w:t xml:space="preserve"> an </w:t>
      </w:r>
      <w:proofErr w:type="spellStart"/>
      <w:r>
        <w:rPr>
          <w:lang w:val="en-GB"/>
        </w:rPr>
        <w:t>dearaidh</w:t>
      </w:r>
      <w:proofErr w:type="spellEnd"/>
      <w:r>
        <w:rPr>
          <w:lang w:val="en-GB"/>
        </w:rPr>
        <w:t xml:space="preserve"> </w:t>
      </w:r>
      <w:proofErr w:type="spellStart"/>
      <w:r>
        <w:rPr>
          <w:lang w:val="en-GB"/>
        </w:rPr>
        <w:t>uilíoch</w:t>
      </w:r>
      <w:proofErr w:type="spellEnd"/>
      <w:r>
        <w:rPr>
          <w:lang w:val="en-GB"/>
        </w:rPr>
        <w:t xml:space="preserve"> nuair a bhítear ag </w:t>
      </w:r>
      <w:proofErr w:type="spellStart"/>
      <w:r>
        <w:rPr>
          <w:lang w:val="en-GB"/>
        </w:rPr>
        <w:t>pleanáil</w:t>
      </w:r>
      <w:proofErr w:type="spellEnd"/>
      <w:r>
        <w:rPr>
          <w:lang w:val="en-GB"/>
        </w:rPr>
        <w:t xml:space="preserve"> don </w:t>
      </w:r>
      <w:proofErr w:type="spellStart"/>
      <w:r>
        <w:rPr>
          <w:lang w:val="en-GB"/>
        </w:rPr>
        <w:t>phróiseas</w:t>
      </w:r>
      <w:proofErr w:type="spellEnd"/>
      <w:r>
        <w:rPr>
          <w:lang w:val="en-GB"/>
        </w:rPr>
        <w:t xml:space="preserve"> </w:t>
      </w:r>
      <w:proofErr w:type="spellStart"/>
      <w:r>
        <w:rPr>
          <w:lang w:val="en-GB"/>
        </w:rPr>
        <w:t>billeála</w:t>
      </w:r>
      <w:proofErr w:type="spellEnd"/>
      <w:r>
        <w:rPr>
          <w:lang w:val="en-GB"/>
        </w:rPr>
        <w:t xml:space="preserve">. </w:t>
      </w:r>
    </w:p>
    <w:p w14:paraId="22A919E4" w14:textId="77777777" w:rsidR="006C148C" w:rsidRDefault="006C148C">
      <w:pPr>
        <w:pStyle w:val="Heading3"/>
      </w:pPr>
      <w:bookmarkStart w:id="370" w:name="_Toc335836477"/>
      <w:r>
        <w:t xml:space="preserve">An </w:t>
      </w:r>
      <w:proofErr w:type="spellStart"/>
      <w:r>
        <w:t>Coimisiún</w:t>
      </w:r>
      <w:proofErr w:type="spellEnd"/>
      <w:r>
        <w:t xml:space="preserve"> um </w:t>
      </w:r>
      <w:proofErr w:type="spellStart"/>
      <w:r>
        <w:t>Rialáil</w:t>
      </w:r>
      <w:proofErr w:type="spellEnd"/>
      <w:r>
        <w:t xml:space="preserve"> </w:t>
      </w:r>
      <w:proofErr w:type="spellStart"/>
      <w:r>
        <w:t>Fuinnimh</w:t>
      </w:r>
      <w:bookmarkEnd w:id="370"/>
      <w:proofErr w:type="spellEnd"/>
    </w:p>
    <w:p w14:paraId="4C52F926" w14:textId="77777777" w:rsidR="006C148C" w:rsidRDefault="006C148C">
      <w:r>
        <w:t xml:space="preserve">D'fhreagair </w:t>
      </w:r>
      <w:r>
        <w:rPr>
          <w:lang w:val="en-GB"/>
        </w:rPr>
        <w:t xml:space="preserve">an </w:t>
      </w:r>
      <w:proofErr w:type="spellStart"/>
      <w:r>
        <w:rPr>
          <w:lang w:val="en-GB"/>
        </w:rPr>
        <w:t>tÚdarás</w:t>
      </w:r>
      <w:proofErr w:type="spellEnd"/>
      <w:r>
        <w:rPr>
          <w:lang w:val="en-GB"/>
        </w:rPr>
        <w:t xml:space="preserve"> Náisiúnta </w:t>
      </w:r>
      <w:proofErr w:type="spellStart"/>
      <w:r>
        <w:rPr>
          <w:lang w:val="en-GB"/>
        </w:rPr>
        <w:t>Míchumais</w:t>
      </w:r>
      <w:proofErr w:type="spellEnd"/>
      <w:r>
        <w:rPr>
          <w:lang w:val="en-GB"/>
        </w:rPr>
        <w:t xml:space="preserve"> do </w:t>
      </w:r>
      <w:proofErr w:type="spellStart"/>
      <w:r>
        <w:rPr>
          <w:lang w:val="en-GB"/>
        </w:rPr>
        <w:t>chomhairliúchán</w:t>
      </w:r>
      <w:proofErr w:type="spellEnd"/>
      <w:r>
        <w:rPr>
          <w:lang w:val="en-GB"/>
        </w:rPr>
        <w:t xml:space="preserve"> an Choimisiúin i leith </w:t>
      </w:r>
      <w:proofErr w:type="spellStart"/>
      <w:r>
        <w:rPr>
          <w:lang w:val="en-GB"/>
        </w:rPr>
        <w:t>rolladh</w:t>
      </w:r>
      <w:proofErr w:type="spellEnd"/>
      <w:r>
        <w:rPr>
          <w:lang w:val="en-GB"/>
        </w:rPr>
        <w:t xml:space="preserve"> amach náisiúnta molta an </w:t>
      </w:r>
      <w:proofErr w:type="spellStart"/>
      <w:r>
        <w:rPr>
          <w:lang w:val="en-GB"/>
        </w:rPr>
        <w:t>mhéadraithe</w:t>
      </w:r>
      <w:proofErr w:type="spellEnd"/>
      <w:r>
        <w:rPr>
          <w:lang w:val="en-GB"/>
        </w:rPr>
        <w:t xml:space="preserve"> </w:t>
      </w:r>
      <w:proofErr w:type="spellStart"/>
      <w:r>
        <w:rPr>
          <w:lang w:val="en-GB"/>
        </w:rPr>
        <w:t>chliste</w:t>
      </w:r>
      <w:proofErr w:type="spellEnd"/>
      <w:r>
        <w:rPr>
          <w:lang w:val="en-GB"/>
        </w:rPr>
        <w:t xml:space="preserve"> leictreachais agus gáis, ag leagan béime ar thairbhe chur chuige an </w:t>
      </w:r>
      <w:proofErr w:type="spellStart"/>
      <w:r>
        <w:rPr>
          <w:lang w:val="en-GB"/>
        </w:rPr>
        <w:t>dearaidh</w:t>
      </w:r>
      <w:proofErr w:type="spellEnd"/>
      <w:r>
        <w:rPr>
          <w:lang w:val="en-GB"/>
        </w:rPr>
        <w:t xml:space="preserve"> </w:t>
      </w:r>
      <w:proofErr w:type="spellStart"/>
      <w:r>
        <w:rPr>
          <w:lang w:val="en-GB"/>
        </w:rPr>
        <w:t>uilíoch</w:t>
      </w:r>
      <w:proofErr w:type="spellEnd"/>
      <w:r>
        <w:rPr>
          <w:lang w:val="en-GB"/>
        </w:rPr>
        <w:t xml:space="preserve"> um sholáthar </w:t>
      </w:r>
      <w:proofErr w:type="spellStart"/>
      <w:r>
        <w:rPr>
          <w:lang w:val="en-GB"/>
        </w:rPr>
        <w:t>tionscadail</w:t>
      </w:r>
      <w:proofErr w:type="spellEnd"/>
      <w:r>
        <w:rPr>
          <w:lang w:val="en-GB"/>
        </w:rPr>
        <w:t xml:space="preserve"> </w:t>
      </w:r>
      <w:proofErr w:type="spellStart"/>
      <w:r>
        <w:rPr>
          <w:lang w:val="en-GB"/>
        </w:rPr>
        <w:t>bhonneagair</w:t>
      </w:r>
      <w:proofErr w:type="spellEnd"/>
      <w:r>
        <w:rPr>
          <w:lang w:val="en-GB"/>
        </w:rPr>
        <w:t xml:space="preserve"> phoiblí ar cuimsitheach, </w:t>
      </w:r>
      <w:proofErr w:type="spellStart"/>
      <w:r>
        <w:rPr>
          <w:lang w:val="en-GB"/>
        </w:rPr>
        <w:t>intuigthe</w:t>
      </w:r>
      <w:proofErr w:type="spellEnd"/>
      <w:r>
        <w:rPr>
          <w:lang w:val="en-GB"/>
        </w:rPr>
        <w:t xml:space="preserve">, </w:t>
      </w:r>
      <w:proofErr w:type="spellStart"/>
      <w:r>
        <w:rPr>
          <w:lang w:val="en-GB"/>
        </w:rPr>
        <w:t>inrochtana</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inúsáide</w:t>
      </w:r>
      <w:proofErr w:type="spellEnd"/>
      <w:r>
        <w:rPr>
          <w:lang w:val="en-GB"/>
        </w:rPr>
        <w:t xml:space="preserve"> é</w:t>
      </w:r>
      <w:r>
        <w:t>.</w:t>
      </w:r>
    </w:p>
    <w:p w14:paraId="262CFEEC" w14:textId="77777777" w:rsidR="006C148C" w:rsidRDefault="006C148C">
      <w:pPr>
        <w:pStyle w:val="Heading1"/>
        <w:pageBreakBefore/>
      </w:pPr>
      <w:bookmarkStart w:id="371" w:name="_Toc335829660"/>
      <w:bookmarkStart w:id="372" w:name="_Toc335836478"/>
      <w:bookmarkStart w:id="373" w:name="_Toc335983449"/>
      <w:bookmarkStart w:id="374" w:name="_Toc335986619"/>
      <w:r>
        <w:lastRenderedPageBreak/>
        <w:t xml:space="preserve">Tosaíocht </w:t>
      </w:r>
      <w:proofErr w:type="spellStart"/>
      <w:r>
        <w:t>Straitéiseach</w:t>
      </w:r>
      <w:proofErr w:type="spellEnd"/>
      <w:r>
        <w:t xml:space="preserve"> 2:  Comhairle beartais </w:t>
      </w:r>
      <w:proofErr w:type="spellStart"/>
      <w:r>
        <w:t>fhianaise-bhunaithe</w:t>
      </w:r>
      <w:proofErr w:type="spellEnd"/>
      <w:r>
        <w:t xml:space="preserve"> a </w:t>
      </w:r>
      <w:proofErr w:type="spellStart"/>
      <w:r>
        <w:t>sholáthar</w:t>
      </w:r>
      <w:proofErr w:type="spellEnd"/>
      <w:r>
        <w:t xml:space="preserve"> </w:t>
      </w:r>
      <w:proofErr w:type="spellStart"/>
      <w:r>
        <w:t>chun</w:t>
      </w:r>
      <w:proofErr w:type="spellEnd"/>
      <w:r>
        <w:t xml:space="preserve"> </w:t>
      </w:r>
      <w:proofErr w:type="spellStart"/>
      <w:r>
        <w:t>neamhspleáchas</w:t>
      </w:r>
      <w:proofErr w:type="spellEnd"/>
      <w:r>
        <w:t xml:space="preserve"> </w:t>
      </w:r>
      <w:proofErr w:type="spellStart"/>
      <w:r>
        <w:t>agus</w:t>
      </w:r>
      <w:proofErr w:type="spellEnd"/>
      <w:r>
        <w:t xml:space="preserve"> </w:t>
      </w:r>
      <w:proofErr w:type="spellStart"/>
      <w:r>
        <w:t>caighdeán</w:t>
      </w:r>
      <w:proofErr w:type="spellEnd"/>
      <w:r>
        <w:t xml:space="preserve"> an </w:t>
      </w:r>
      <w:proofErr w:type="spellStart"/>
      <w:r>
        <w:t>ghnáthshaoil</w:t>
      </w:r>
      <w:proofErr w:type="spellEnd"/>
      <w:r>
        <w:t xml:space="preserve"> </w:t>
      </w:r>
      <w:proofErr w:type="spellStart"/>
      <w:r>
        <w:t>laethúil</w:t>
      </w:r>
      <w:proofErr w:type="spellEnd"/>
      <w:r>
        <w:t xml:space="preserve"> a chur </w:t>
      </w:r>
      <w:proofErr w:type="spellStart"/>
      <w:r>
        <w:t>chun</w:t>
      </w:r>
      <w:proofErr w:type="spellEnd"/>
      <w:r>
        <w:t xml:space="preserve"> </w:t>
      </w:r>
      <w:proofErr w:type="spellStart"/>
      <w:r>
        <w:t>cinn</w:t>
      </w:r>
      <w:proofErr w:type="spellEnd"/>
      <w:r>
        <w:t xml:space="preserve"> do </w:t>
      </w:r>
      <w:proofErr w:type="spellStart"/>
      <w:r>
        <w:t>dhaoine</w:t>
      </w:r>
      <w:proofErr w:type="spellEnd"/>
      <w:r>
        <w:t xml:space="preserve"> le </w:t>
      </w:r>
      <w:proofErr w:type="spellStart"/>
      <w:r>
        <w:t>míchumais</w:t>
      </w:r>
      <w:proofErr w:type="spellEnd"/>
      <w:r>
        <w:t xml:space="preserve"> ó </w:t>
      </w:r>
      <w:proofErr w:type="spellStart"/>
      <w:r>
        <w:t>cheann</w:t>
      </w:r>
      <w:proofErr w:type="spellEnd"/>
      <w:r>
        <w:t xml:space="preserve"> </w:t>
      </w:r>
      <w:proofErr w:type="spellStart"/>
      <w:r>
        <w:t>ceann</w:t>
      </w:r>
      <w:proofErr w:type="spellEnd"/>
      <w:r>
        <w:t xml:space="preserve"> </w:t>
      </w:r>
      <w:proofErr w:type="spellStart"/>
      <w:r>
        <w:t>na</w:t>
      </w:r>
      <w:proofErr w:type="spellEnd"/>
      <w:r>
        <w:t xml:space="preserve"> </w:t>
      </w:r>
      <w:proofErr w:type="spellStart"/>
      <w:r>
        <w:t>beatha</w:t>
      </w:r>
      <w:bookmarkEnd w:id="371"/>
      <w:bookmarkEnd w:id="372"/>
      <w:bookmarkEnd w:id="373"/>
      <w:bookmarkEnd w:id="374"/>
      <w:proofErr w:type="spellEnd"/>
    </w:p>
    <w:p w14:paraId="273C6E97" w14:textId="77777777" w:rsidR="006C148C" w:rsidRDefault="006C148C">
      <w:pPr>
        <w:pStyle w:val="Heading2"/>
      </w:pPr>
      <w:bookmarkStart w:id="375" w:name="_Toc335836479"/>
      <w:r>
        <w:t xml:space="preserve">Suirbhé Náisiúnta ar Dhearcadh an </w:t>
      </w:r>
      <w:proofErr w:type="spellStart"/>
      <w:r>
        <w:t>Phobail</w:t>
      </w:r>
      <w:proofErr w:type="spellEnd"/>
      <w:r>
        <w:t xml:space="preserve"> in </w:t>
      </w:r>
      <w:proofErr w:type="spellStart"/>
      <w:r>
        <w:t>Éirinn</w:t>
      </w:r>
      <w:proofErr w:type="spellEnd"/>
      <w:r>
        <w:t xml:space="preserve"> </w:t>
      </w:r>
      <w:proofErr w:type="spellStart"/>
      <w:r>
        <w:t>i</w:t>
      </w:r>
      <w:proofErr w:type="spellEnd"/>
      <w:r>
        <w:t xml:space="preserve"> </w:t>
      </w:r>
      <w:proofErr w:type="spellStart"/>
      <w:r>
        <w:t>leith</w:t>
      </w:r>
      <w:proofErr w:type="spellEnd"/>
      <w:r>
        <w:t xml:space="preserve"> an </w:t>
      </w:r>
      <w:proofErr w:type="spellStart"/>
      <w:r>
        <w:t>Mhíchumais</w:t>
      </w:r>
      <w:bookmarkEnd w:id="375"/>
      <w:proofErr w:type="spellEnd"/>
      <w:r>
        <w:t xml:space="preserve"> </w:t>
      </w:r>
    </w:p>
    <w:p w14:paraId="546B5BF0" w14:textId="77777777" w:rsidR="006C148C" w:rsidRDefault="006C148C">
      <w:proofErr w:type="spellStart"/>
      <w:r>
        <w:t>Choimisiúnaigh</w:t>
      </w:r>
      <w:proofErr w:type="spellEnd"/>
      <w:r>
        <w:t xml:space="preserve"> </w:t>
      </w:r>
      <w:r>
        <w:rPr>
          <w:lang w:val="en-GB"/>
        </w:rPr>
        <w:t xml:space="preserve">an </w:t>
      </w:r>
      <w:proofErr w:type="spellStart"/>
      <w:r>
        <w:rPr>
          <w:lang w:val="en-GB"/>
        </w:rPr>
        <w:t>tÚdarás</w:t>
      </w:r>
      <w:proofErr w:type="spellEnd"/>
      <w:r>
        <w:rPr>
          <w:lang w:val="en-GB"/>
        </w:rPr>
        <w:t xml:space="preserve"> Náisiúnta </w:t>
      </w:r>
      <w:proofErr w:type="spellStart"/>
      <w:proofErr w:type="gramStart"/>
      <w:r>
        <w:rPr>
          <w:lang w:val="en-GB"/>
        </w:rPr>
        <w:t>Míchumais</w:t>
      </w:r>
      <w:proofErr w:type="spellEnd"/>
      <w:r>
        <w:rPr>
          <w:lang w:val="en-GB"/>
        </w:rPr>
        <w:t xml:space="preserve">  suirbhé</w:t>
      </w:r>
      <w:proofErr w:type="gramEnd"/>
      <w:r>
        <w:rPr>
          <w:lang w:val="en-GB"/>
        </w:rPr>
        <w:t xml:space="preserve"> náisiúnta ar dhearcadh an phobail in Éirinn i leith an </w:t>
      </w:r>
      <w:proofErr w:type="spellStart"/>
      <w:r>
        <w:rPr>
          <w:lang w:val="en-GB"/>
        </w:rPr>
        <w:t>Mhíchumais</w:t>
      </w:r>
      <w:proofErr w:type="spellEnd"/>
      <w:r>
        <w:rPr>
          <w:lang w:val="en-GB"/>
        </w:rPr>
        <w:t xml:space="preserve"> i míonna Iúil agus Lúnasa 2011 mar chuid de </w:t>
      </w:r>
      <w:proofErr w:type="spellStart"/>
      <w:r>
        <w:rPr>
          <w:lang w:val="en-GB"/>
        </w:rPr>
        <w:t>thiomantas</w:t>
      </w:r>
      <w:proofErr w:type="spellEnd"/>
      <w:r>
        <w:rPr>
          <w:lang w:val="en-GB"/>
        </w:rPr>
        <w:t xml:space="preserve"> </w:t>
      </w:r>
      <w:proofErr w:type="spellStart"/>
      <w:r>
        <w:rPr>
          <w:lang w:val="en-GB"/>
        </w:rPr>
        <w:t>straitéiseach</w:t>
      </w:r>
      <w:proofErr w:type="spellEnd"/>
      <w:r>
        <w:rPr>
          <w:lang w:val="en-GB"/>
        </w:rPr>
        <w:t xml:space="preserve"> an Údaráis Náisiúnta </w:t>
      </w:r>
      <w:proofErr w:type="spellStart"/>
      <w:r>
        <w:rPr>
          <w:lang w:val="en-GB"/>
        </w:rPr>
        <w:t>Míchumais</w:t>
      </w:r>
      <w:proofErr w:type="spellEnd"/>
      <w:r>
        <w:rPr>
          <w:lang w:val="en-GB"/>
        </w:rPr>
        <w:t xml:space="preserve"> do spreagadh na </w:t>
      </w:r>
      <w:proofErr w:type="spellStart"/>
      <w:r>
        <w:rPr>
          <w:lang w:val="en-GB"/>
        </w:rPr>
        <w:t>feasachta</w:t>
      </w:r>
      <w:proofErr w:type="spellEnd"/>
      <w:r>
        <w:rPr>
          <w:lang w:val="en-GB"/>
        </w:rPr>
        <w:t xml:space="preserve"> </w:t>
      </w:r>
      <w:proofErr w:type="spellStart"/>
      <w:r>
        <w:rPr>
          <w:lang w:val="en-GB"/>
        </w:rPr>
        <w:t>agus</w:t>
      </w:r>
      <w:proofErr w:type="spellEnd"/>
      <w:r>
        <w:rPr>
          <w:lang w:val="en-GB"/>
        </w:rPr>
        <w:t xml:space="preserve"> do chur </w:t>
      </w:r>
      <w:proofErr w:type="spellStart"/>
      <w:r>
        <w:rPr>
          <w:lang w:val="en-GB"/>
        </w:rPr>
        <w:t>chun</w:t>
      </w:r>
      <w:proofErr w:type="spellEnd"/>
      <w:r>
        <w:rPr>
          <w:lang w:val="en-GB"/>
        </w:rPr>
        <w:t xml:space="preserve"> </w:t>
      </w:r>
      <w:proofErr w:type="spellStart"/>
      <w:r>
        <w:rPr>
          <w:lang w:val="en-GB"/>
        </w:rPr>
        <w:t>cinn</w:t>
      </w:r>
      <w:proofErr w:type="spellEnd"/>
      <w:r>
        <w:rPr>
          <w:lang w:val="en-GB"/>
        </w:rPr>
        <w:t xml:space="preserve"> </w:t>
      </w:r>
      <w:proofErr w:type="spellStart"/>
      <w:r>
        <w:rPr>
          <w:lang w:val="en-GB"/>
        </w:rPr>
        <w:t>dearcaidh</w:t>
      </w:r>
      <w:proofErr w:type="spellEnd"/>
      <w:r>
        <w:rPr>
          <w:lang w:val="en-GB"/>
        </w:rPr>
        <w:t xml:space="preserve"> </w:t>
      </w:r>
      <w:proofErr w:type="spellStart"/>
      <w:r>
        <w:rPr>
          <w:lang w:val="en-GB"/>
        </w:rPr>
        <w:t>dhearfaigh</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leith</w:t>
      </w:r>
      <w:proofErr w:type="spellEnd"/>
      <w:r>
        <w:rPr>
          <w:lang w:val="en-GB"/>
        </w:rPr>
        <w:t xml:space="preserve"> an </w:t>
      </w:r>
      <w:proofErr w:type="spellStart"/>
      <w:r>
        <w:rPr>
          <w:lang w:val="en-GB"/>
        </w:rPr>
        <w:t>mhíchumais</w:t>
      </w:r>
      <w:proofErr w:type="spellEnd"/>
      <w:r>
        <w:rPr>
          <w:lang w:val="en-GB"/>
        </w:rPr>
        <w:t xml:space="preserve">.  </w:t>
      </w:r>
      <w:proofErr w:type="spellStart"/>
      <w:r>
        <w:rPr>
          <w:lang w:val="en-GB"/>
        </w:rPr>
        <w:t>Cuireann</w:t>
      </w:r>
      <w:proofErr w:type="spellEnd"/>
      <w:r>
        <w:rPr>
          <w:lang w:val="en-GB"/>
        </w:rPr>
        <w:t xml:space="preserve"> an </w:t>
      </w:r>
      <w:proofErr w:type="spellStart"/>
      <w:r>
        <w:rPr>
          <w:lang w:val="en-GB"/>
        </w:rPr>
        <w:t>suirbhé</w:t>
      </w:r>
      <w:proofErr w:type="spellEnd"/>
      <w:r>
        <w:rPr>
          <w:lang w:val="en-GB"/>
        </w:rPr>
        <w:t xml:space="preserve"> sin le </w:t>
      </w:r>
      <w:proofErr w:type="spellStart"/>
      <w:r>
        <w:rPr>
          <w:lang w:val="en-GB"/>
        </w:rPr>
        <w:t>suirbhéanna</w:t>
      </w:r>
      <w:proofErr w:type="spellEnd"/>
      <w:r>
        <w:rPr>
          <w:lang w:val="en-GB"/>
        </w:rPr>
        <w:t xml:space="preserve"> </w:t>
      </w:r>
      <w:proofErr w:type="spellStart"/>
      <w:r>
        <w:rPr>
          <w:lang w:val="en-GB"/>
        </w:rPr>
        <w:t>roimhe</w:t>
      </w:r>
      <w:proofErr w:type="spellEnd"/>
      <w:r>
        <w:rPr>
          <w:lang w:val="en-GB"/>
        </w:rPr>
        <w:t xml:space="preserve"> </w:t>
      </w:r>
      <w:proofErr w:type="spellStart"/>
      <w:r>
        <w:rPr>
          <w:lang w:val="en-GB"/>
        </w:rPr>
        <w:t>seo</w:t>
      </w:r>
      <w:proofErr w:type="spellEnd"/>
      <w:r>
        <w:rPr>
          <w:lang w:val="en-GB"/>
        </w:rPr>
        <w:t xml:space="preserve"> arna </w:t>
      </w:r>
      <w:proofErr w:type="spellStart"/>
      <w:r>
        <w:rPr>
          <w:lang w:val="en-GB"/>
        </w:rPr>
        <w:t>stiúradh</w:t>
      </w:r>
      <w:proofErr w:type="spellEnd"/>
      <w:r>
        <w:rPr>
          <w:lang w:val="en-GB"/>
        </w:rPr>
        <w:t xml:space="preserve"> ag an </w:t>
      </w:r>
      <w:proofErr w:type="spellStart"/>
      <w:r>
        <w:rPr>
          <w:lang w:val="en-GB"/>
        </w:rPr>
        <w:t>Údarás</w:t>
      </w:r>
      <w:proofErr w:type="spellEnd"/>
      <w:r>
        <w:rPr>
          <w:lang w:val="en-GB"/>
        </w:rPr>
        <w:t xml:space="preserve"> </w:t>
      </w:r>
      <w:proofErr w:type="spellStart"/>
      <w:r>
        <w:rPr>
          <w:lang w:val="en-GB"/>
        </w:rPr>
        <w:t>Náisiúnta</w:t>
      </w:r>
      <w:proofErr w:type="spellEnd"/>
      <w:r>
        <w:rPr>
          <w:lang w:val="en-GB"/>
        </w:rPr>
        <w:t xml:space="preserve"> </w:t>
      </w:r>
      <w:proofErr w:type="spellStart"/>
      <w:r>
        <w:rPr>
          <w:lang w:val="en-GB"/>
        </w:rPr>
        <w:t>Míchumais</w:t>
      </w:r>
      <w:proofErr w:type="spellEnd"/>
      <w:r>
        <w:rPr>
          <w:lang w:val="en-GB"/>
        </w:rPr>
        <w:t xml:space="preserve"> </w:t>
      </w:r>
      <w:proofErr w:type="spellStart"/>
      <w:r>
        <w:rPr>
          <w:lang w:val="en-GB"/>
        </w:rPr>
        <w:t>sna</w:t>
      </w:r>
      <w:proofErr w:type="spellEnd"/>
      <w:r>
        <w:rPr>
          <w:lang w:val="en-GB"/>
        </w:rPr>
        <w:t xml:space="preserve"> </w:t>
      </w:r>
      <w:proofErr w:type="spellStart"/>
      <w:r>
        <w:rPr>
          <w:lang w:val="en-GB"/>
        </w:rPr>
        <w:t>blianta</w:t>
      </w:r>
      <w:proofErr w:type="spellEnd"/>
      <w:r>
        <w:rPr>
          <w:lang w:val="en-GB"/>
        </w:rPr>
        <w:t xml:space="preserve"> </w:t>
      </w:r>
      <w:r>
        <w:t xml:space="preserve">2001 </w:t>
      </w:r>
      <w:proofErr w:type="spellStart"/>
      <w:r>
        <w:t>agus</w:t>
      </w:r>
      <w:proofErr w:type="spellEnd"/>
      <w:r>
        <w:t xml:space="preserve"> 2006. </w:t>
      </w:r>
    </w:p>
    <w:p w14:paraId="35B2F229" w14:textId="77777777" w:rsidR="006C148C" w:rsidRDefault="006C148C">
      <w:r>
        <w:t xml:space="preserve">Bhí an taighde bunaithe ar shampla ionadaíoch </w:t>
      </w:r>
      <w:proofErr w:type="spellStart"/>
      <w:r>
        <w:t>náisiunta</w:t>
      </w:r>
      <w:proofErr w:type="spellEnd"/>
      <w:r>
        <w:t xml:space="preserve"> de 1,039 </w:t>
      </w:r>
      <w:proofErr w:type="spellStart"/>
      <w:r>
        <w:t>aosach</w:t>
      </w:r>
      <w:proofErr w:type="spellEnd"/>
      <w:r>
        <w:t xml:space="preserve"> </w:t>
      </w:r>
      <w:proofErr w:type="spellStart"/>
      <w:r>
        <w:t>os</w:t>
      </w:r>
      <w:proofErr w:type="spellEnd"/>
      <w:r>
        <w:t xml:space="preserve"> </w:t>
      </w:r>
      <w:proofErr w:type="spellStart"/>
      <w:r>
        <w:t>cionn</w:t>
      </w:r>
      <w:proofErr w:type="spellEnd"/>
      <w:r>
        <w:t xml:space="preserve"> 18 </w:t>
      </w:r>
      <w:proofErr w:type="spellStart"/>
      <w:r>
        <w:t>bliain</w:t>
      </w:r>
      <w:proofErr w:type="spellEnd"/>
      <w:r>
        <w:t xml:space="preserve"> </w:t>
      </w:r>
      <w:proofErr w:type="spellStart"/>
      <w:r>
        <w:t>d'aois</w:t>
      </w:r>
      <w:proofErr w:type="spellEnd"/>
      <w:r>
        <w:t xml:space="preserve">, </w:t>
      </w:r>
      <w:proofErr w:type="spellStart"/>
      <w:r>
        <w:t>móide</w:t>
      </w:r>
      <w:proofErr w:type="spellEnd"/>
      <w:r>
        <w:t xml:space="preserve"> 265 </w:t>
      </w:r>
      <w:proofErr w:type="spellStart"/>
      <w:r>
        <w:t>aosach</w:t>
      </w:r>
      <w:proofErr w:type="spellEnd"/>
      <w:r>
        <w:t xml:space="preserve"> </w:t>
      </w:r>
      <w:proofErr w:type="spellStart"/>
      <w:r>
        <w:t>breise</w:t>
      </w:r>
      <w:proofErr w:type="spellEnd"/>
      <w:r>
        <w:t xml:space="preserve">, </w:t>
      </w:r>
      <w:proofErr w:type="spellStart"/>
      <w:r>
        <w:t>os</w:t>
      </w:r>
      <w:proofErr w:type="spellEnd"/>
      <w:r>
        <w:t xml:space="preserve"> </w:t>
      </w:r>
      <w:proofErr w:type="spellStart"/>
      <w:r>
        <w:t>cionn</w:t>
      </w:r>
      <w:proofErr w:type="spellEnd"/>
      <w:r>
        <w:t xml:space="preserve"> 18 bliain d'aois freisin, le </w:t>
      </w:r>
      <w:proofErr w:type="spellStart"/>
      <w:r>
        <w:t>míchumas</w:t>
      </w:r>
      <w:proofErr w:type="spellEnd"/>
      <w:r>
        <w:t xml:space="preserve"> ag </w:t>
      </w:r>
      <w:proofErr w:type="spellStart"/>
      <w:r>
        <w:t>tabhairt</w:t>
      </w:r>
      <w:proofErr w:type="spellEnd"/>
      <w:r>
        <w:t xml:space="preserve"> an </w:t>
      </w:r>
      <w:proofErr w:type="spellStart"/>
      <w:r>
        <w:t>fho-shampla</w:t>
      </w:r>
      <w:proofErr w:type="spellEnd"/>
      <w:r>
        <w:t xml:space="preserve"> </w:t>
      </w:r>
      <w:proofErr w:type="spellStart"/>
      <w:r>
        <w:t>iomláin</w:t>
      </w:r>
      <w:proofErr w:type="spellEnd"/>
      <w:r>
        <w:t xml:space="preserve"> do </w:t>
      </w:r>
      <w:proofErr w:type="spellStart"/>
      <w:r>
        <w:t>mhíchumas</w:t>
      </w:r>
      <w:proofErr w:type="spellEnd"/>
      <w:r>
        <w:t xml:space="preserve"> </w:t>
      </w:r>
      <w:proofErr w:type="spellStart"/>
      <w:r>
        <w:t>chuig</w:t>
      </w:r>
      <w:proofErr w:type="spellEnd"/>
      <w:r>
        <w:t xml:space="preserve"> 400 </w:t>
      </w:r>
      <w:proofErr w:type="spellStart"/>
      <w:r>
        <w:t>duine</w:t>
      </w:r>
      <w:proofErr w:type="spellEnd"/>
      <w:r>
        <w:t xml:space="preserve">. </w:t>
      </w:r>
      <w:proofErr w:type="spellStart"/>
      <w:r>
        <w:t>Áiríodh</w:t>
      </w:r>
      <w:proofErr w:type="spellEnd"/>
      <w:r>
        <w:t xml:space="preserve"> leis </w:t>
      </w:r>
      <w:proofErr w:type="gramStart"/>
      <w:r>
        <w:t>an</w:t>
      </w:r>
      <w:proofErr w:type="gramEnd"/>
      <w:r>
        <w:t xml:space="preserve"> </w:t>
      </w:r>
      <w:proofErr w:type="spellStart"/>
      <w:r>
        <w:t>suirbhé</w:t>
      </w:r>
      <w:proofErr w:type="spellEnd"/>
      <w:r>
        <w:t xml:space="preserve"> 1,304 </w:t>
      </w:r>
      <w:proofErr w:type="spellStart"/>
      <w:r>
        <w:t>agallamh</w:t>
      </w:r>
      <w:proofErr w:type="spellEnd"/>
      <w:r>
        <w:t xml:space="preserve"> </w:t>
      </w:r>
      <w:proofErr w:type="spellStart"/>
      <w:r>
        <w:t>aonair</w:t>
      </w:r>
      <w:proofErr w:type="spellEnd"/>
      <w:r>
        <w:t xml:space="preserve"> </w:t>
      </w:r>
      <w:proofErr w:type="spellStart"/>
      <w:r>
        <w:t>trí</w:t>
      </w:r>
      <w:proofErr w:type="spellEnd"/>
      <w:r>
        <w:t xml:space="preserve"> </w:t>
      </w:r>
      <w:proofErr w:type="spellStart"/>
      <w:r>
        <w:t>chéile</w:t>
      </w:r>
      <w:proofErr w:type="spellEnd"/>
      <w:r>
        <w:t>.</w:t>
      </w:r>
    </w:p>
    <w:p w14:paraId="2D00DEEB" w14:textId="77777777" w:rsidR="006C148C" w:rsidRDefault="006C148C">
      <w:r>
        <w:t xml:space="preserve">Chonacthas </w:t>
      </w:r>
      <w:proofErr w:type="spellStart"/>
      <w:r>
        <w:t>géarú</w:t>
      </w:r>
      <w:proofErr w:type="spellEnd"/>
      <w:r>
        <w:t xml:space="preserve"> ar dhearcadh i leith daoine le gach cineál </w:t>
      </w:r>
      <w:proofErr w:type="spellStart"/>
      <w:r>
        <w:t>míchumais</w:t>
      </w:r>
      <w:proofErr w:type="spellEnd"/>
      <w:r>
        <w:t xml:space="preserve"> go </w:t>
      </w:r>
      <w:proofErr w:type="spellStart"/>
      <w:r>
        <w:t>ginearálta</w:t>
      </w:r>
      <w:proofErr w:type="spellEnd"/>
      <w:r>
        <w:t xml:space="preserve"> </w:t>
      </w:r>
      <w:proofErr w:type="spellStart"/>
      <w:r>
        <w:t>sa</w:t>
      </w:r>
      <w:proofErr w:type="spellEnd"/>
      <w:r>
        <w:t xml:space="preserve"> </w:t>
      </w:r>
      <w:proofErr w:type="spellStart"/>
      <w:r>
        <w:t>suirbhé</w:t>
      </w:r>
      <w:proofErr w:type="spellEnd"/>
      <w:r>
        <w:t xml:space="preserve">, thar </w:t>
      </w:r>
      <w:proofErr w:type="spellStart"/>
      <w:r>
        <w:t>réimse</w:t>
      </w:r>
      <w:proofErr w:type="spellEnd"/>
      <w:r>
        <w:t xml:space="preserve"> </w:t>
      </w:r>
      <w:proofErr w:type="spellStart"/>
      <w:r>
        <w:t>suíomh</w:t>
      </w:r>
      <w:proofErr w:type="spellEnd"/>
      <w:r>
        <w:t xml:space="preserve"> </w:t>
      </w:r>
      <w:proofErr w:type="spellStart"/>
      <w:r>
        <w:t>lena</w:t>
      </w:r>
      <w:proofErr w:type="spellEnd"/>
      <w:r>
        <w:t xml:space="preserve"> n-</w:t>
      </w:r>
      <w:proofErr w:type="spellStart"/>
      <w:r>
        <w:t>áirítear</w:t>
      </w:r>
      <w:proofErr w:type="spellEnd"/>
      <w:r>
        <w:t xml:space="preserve"> an </w:t>
      </w:r>
      <w:proofErr w:type="spellStart"/>
      <w:r>
        <w:t>láthair</w:t>
      </w:r>
      <w:proofErr w:type="spellEnd"/>
      <w:r>
        <w:t xml:space="preserve"> </w:t>
      </w:r>
      <w:proofErr w:type="spellStart"/>
      <w:r>
        <w:t>oibre</w:t>
      </w:r>
      <w:proofErr w:type="spellEnd"/>
      <w:r>
        <w:t xml:space="preserve">, </w:t>
      </w:r>
      <w:proofErr w:type="spellStart"/>
      <w:r>
        <w:t>scoileanna</w:t>
      </w:r>
      <w:proofErr w:type="spellEnd"/>
      <w:r>
        <w:t xml:space="preserve"> </w:t>
      </w:r>
      <w:proofErr w:type="spellStart"/>
      <w:r>
        <w:t>agus</w:t>
      </w:r>
      <w:proofErr w:type="spellEnd"/>
      <w:r>
        <w:t xml:space="preserve"> </w:t>
      </w:r>
      <w:proofErr w:type="spellStart"/>
      <w:r>
        <w:t>sa</w:t>
      </w:r>
      <w:proofErr w:type="spellEnd"/>
      <w:r>
        <w:t xml:space="preserve"> </w:t>
      </w:r>
      <w:proofErr w:type="spellStart"/>
      <w:r>
        <w:t>phobal</w:t>
      </w:r>
      <w:proofErr w:type="spellEnd"/>
      <w:r>
        <w:t xml:space="preserve">. </w:t>
      </w:r>
      <w:proofErr w:type="spellStart"/>
      <w:r>
        <w:t>Tagann</w:t>
      </w:r>
      <w:proofErr w:type="spellEnd"/>
      <w:r>
        <w:t xml:space="preserve"> an </w:t>
      </w:r>
      <w:proofErr w:type="spellStart"/>
      <w:r>
        <w:t>treocht</w:t>
      </w:r>
      <w:proofErr w:type="spellEnd"/>
      <w:r>
        <w:t xml:space="preserve"> sin </w:t>
      </w:r>
      <w:proofErr w:type="spellStart"/>
      <w:r>
        <w:t>sna</w:t>
      </w:r>
      <w:proofErr w:type="spellEnd"/>
      <w:r>
        <w:t xml:space="preserve"> </w:t>
      </w:r>
      <w:proofErr w:type="spellStart"/>
      <w:r>
        <w:t>sála</w:t>
      </w:r>
      <w:proofErr w:type="spellEnd"/>
      <w:r>
        <w:t xml:space="preserve"> </w:t>
      </w:r>
      <w:proofErr w:type="spellStart"/>
      <w:r>
        <w:t>ar</w:t>
      </w:r>
      <w:proofErr w:type="spellEnd"/>
      <w:r>
        <w:t xml:space="preserve"> </w:t>
      </w:r>
      <w:proofErr w:type="spellStart"/>
      <w:r>
        <w:t>thréimhse</w:t>
      </w:r>
      <w:proofErr w:type="spellEnd"/>
      <w:r>
        <w:t xml:space="preserve"> </w:t>
      </w:r>
      <w:proofErr w:type="spellStart"/>
      <w:r>
        <w:t>ina</w:t>
      </w:r>
      <w:proofErr w:type="spellEnd"/>
      <w:r>
        <w:t xml:space="preserve"> </w:t>
      </w:r>
      <w:proofErr w:type="spellStart"/>
      <w:r>
        <w:t>bhfacthas</w:t>
      </w:r>
      <w:proofErr w:type="spellEnd"/>
      <w:r>
        <w:t xml:space="preserve"> </w:t>
      </w:r>
      <w:proofErr w:type="spellStart"/>
      <w:r>
        <w:t>dearcadh</w:t>
      </w:r>
      <w:proofErr w:type="spellEnd"/>
      <w:r>
        <w:t xml:space="preserve"> </w:t>
      </w:r>
      <w:proofErr w:type="spellStart"/>
      <w:r>
        <w:t>agus</w:t>
      </w:r>
      <w:proofErr w:type="spellEnd"/>
      <w:r>
        <w:t xml:space="preserve"> </w:t>
      </w:r>
      <w:proofErr w:type="spellStart"/>
      <w:r>
        <w:t>eolas</w:t>
      </w:r>
      <w:proofErr w:type="spellEnd"/>
      <w:r>
        <w:t xml:space="preserve"> </w:t>
      </w:r>
      <w:proofErr w:type="spellStart"/>
      <w:r>
        <w:t>feabhsaithe</w:t>
      </w:r>
      <w:proofErr w:type="spellEnd"/>
      <w:r>
        <w:t xml:space="preserve"> </w:t>
      </w:r>
      <w:proofErr w:type="spellStart"/>
      <w:r>
        <w:t>i</w:t>
      </w:r>
      <w:proofErr w:type="spellEnd"/>
      <w:r>
        <w:t xml:space="preserve"> </w:t>
      </w:r>
      <w:proofErr w:type="spellStart"/>
      <w:r>
        <w:t>leith</w:t>
      </w:r>
      <w:proofErr w:type="spellEnd"/>
      <w:r>
        <w:t xml:space="preserve"> </w:t>
      </w:r>
      <w:proofErr w:type="spellStart"/>
      <w:r>
        <w:t>míchumais</w:t>
      </w:r>
      <w:proofErr w:type="spellEnd"/>
      <w:r>
        <w:t xml:space="preserve">. </w:t>
      </w:r>
      <w:proofErr w:type="spellStart"/>
      <w:r>
        <w:t>Tá</w:t>
      </w:r>
      <w:proofErr w:type="spellEnd"/>
      <w:r>
        <w:t xml:space="preserve"> </w:t>
      </w:r>
      <w:proofErr w:type="spellStart"/>
      <w:r>
        <w:t>roinnt</w:t>
      </w:r>
      <w:proofErr w:type="spellEnd"/>
      <w:r>
        <w:t xml:space="preserve"> </w:t>
      </w:r>
      <w:proofErr w:type="spellStart"/>
      <w:r>
        <w:t>fianaise</w:t>
      </w:r>
      <w:proofErr w:type="spellEnd"/>
      <w:r>
        <w:t xml:space="preserve"> </w:t>
      </w:r>
      <w:proofErr w:type="spellStart"/>
      <w:r>
        <w:t>ann</w:t>
      </w:r>
      <w:proofErr w:type="spellEnd"/>
      <w:r>
        <w:t xml:space="preserve"> go </w:t>
      </w:r>
      <w:proofErr w:type="spellStart"/>
      <w:r>
        <w:t>bhfacthas</w:t>
      </w:r>
      <w:proofErr w:type="spellEnd"/>
      <w:r>
        <w:t xml:space="preserve"> </w:t>
      </w:r>
      <w:proofErr w:type="spellStart"/>
      <w:r>
        <w:t>roinnt</w:t>
      </w:r>
      <w:proofErr w:type="spellEnd"/>
      <w:r>
        <w:t xml:space="preserve"> de </w:t>
      </w:r>
      <w:proofErr w:type="spellStart"/>
      <w:r>
        <w:t>na</w:t>
      </w:r>
      <w:proofErr w:type="spellEnd"/>
      <w:r>
        <w:t xml:space="preserve"> </w:t>
      </w:r>
      <w:proofErr w:type="spellStart"/>
      <w:r>
        <w:t>feabhsuithe</w:t>
      </w:r>
      <w:proofErr w:type="spellEnd"/>
      <w:r>
        <w:t xml:space="preserve"> </w:t>
      </w:r>
      <w:proofErr w:type="spellStart"/>
      <w:r>
        <w:t>idir</w:t>
      </w:r>
      <w:proofErr w:type="spellEnd"/>
      <w:r>
        <w:t xml:space="preserve"> </w:t>
      </w:r>
      <w:proofErr w:type="spellStart"/>
      <w:r>
        <w:t>na</w:t>
      </w:r>
      <w:proofErr w:type="spellEnd"/>
      <w:r>
        <w:t xml:space="preserve"> </w:t>
      </w:r>
      <w:proofErr w:type="spellStart"/>
      <w:r>
        <w:t>bliana</w:t>
      </w:r>
      <w:proofErr w:type="spellEnd"/>
      <w:r>
        <w:t xml:space="preserve"> 2001 agus 2006 sa dearcadh </w:t>
      </w:r>
      <w:proofErr w:type="spellStart"/>
      <w:r>
        <w:t>i</w:t>
      </w:r>
      <w:proofErr w:type="spellEnd"/>
      <w:r>
        <w:t xml:space="preserve"> </w:t>
      </w:r>
      <w:proofErr w:type="spellStart"/>
      <w:r>
        <w:t>leith</w:t>
      </w:r>
      <w:proofErr w:type="spellEnd"/>
      <w:r>
        <w:t xml:space="preserve"> </w:t>
      </w:r>
      <w:proofErr w:type="spellStart"/>
      <w:r>
        <w:t>daoine</w:t>
      </w:r>
      <w:proofErr w:type="spellEnd"/>
      <w:r>
        <w:t xml:space="preserve"> le </w:t>
      </w:r>
      <w:proofErr w:type="spellStart"/>
      <w:r>
        <w:t>deacrachtaí</w:t>
      </w:r>
      <w:proofErr w:type="spellEnd"/>
      <w:r>
        <w:t xml:space="preserve"> </w:t>
      </w:r>
      <w:proofErr w:type="spellStart"/>
      <w:r>
        <w:t>meabhair-shláinte</w:t>
      </w:r>
      <w:proofErr w:type="spellEnd"/>
      <w:r>
        <w:t xml:space="preserve">.  </w:t>
      </w:r>
    </w:p>
    <w:p w14:paraId="1574B6EA" w14:textId="77777777" w:rsidR="006C148C" w:rsidRDefault="006C148C">
      <w:pPr>
        <w:pStyle w:val="Heading2"/>
      </w:pPr>
      <w:bookmarkStart w:id="376" w:name="_Toc335836480"/>
      <w:proofErr w:type="spellStart"/>
      <w:r>
        <w:t>Comhdháil</w:t>
      </w:r>
      <w:proofErr w:type="spellEnd"/>
      <w:r>
        <w:t xml:space="preserve"> </w:t>
      </w:r>
      <w:proofErr w:type="spellStart"/>
      <w:r>
        <w:t>Bhliantúil</w:t>
      </w:r>
      <w:proofErr w:type="spellEnd"/>
      <w:r>
        <w:t xml:space="preserve"> an </w:t>
      </w:r>
      <w:proofErr w:type="spellStart"/>
      <w:r>
        <w:t>Údaráis</w:t>
      </w:r>
      <w:proofErr w:type="spellEnd"/>
      <w:r>
        <w:t xml:space="preserve"> </w:t>
      </w:r>
      <w:proofErr w:type="spellStart"/>
      <w:r>
        <w:t>Náisiúnta</w:t>
      </w:r>
      <w:proofErr w:type="spellEnd"/>
      <w:r>
        <w:t xml:space="preserve"> </w:t>
      </w:r>
      <w:proofErr w:type="spellStart"/>
      <w:r>
        <w:t>Míchumais</w:t>
      </w:r>
      <w:bookmarkEnd w:id="376"/>
      <w:proofErr w:type="spellEnd"/>
      <w:r>
        <w:t xml:space="preserve"> </w:t>
      </w:r>
    </w:p>
    <w:p w14:paraId="3999E4CF" w14:textId="77777777" w:rsidR="006C148C" w:rsidRDefault="006C148C">
      <w:proofErr w:type="spellStart"/>
      <w:r>
        <w:t>B'éard</w:t>
      </w:r>
      <w:proofErr w:type="spellEnd"/>
      <w:r>
        <w:t xml:space="preserve"> ab aidhm lies </w:t>
      </w:r>
      <w:proofErr w:type="gramStart"/>
      <w:r>
        <w:t>an</w:t>
      </w:r>
      <w:proofErr w:type="gramEnd"/>
      <w:r>
        <w:t xml:space="preserve"> gcomhdháil bhliantúil 2011 taispeántas a léiriú de bheartais, cleachtais agus tionscnaimh náisiúnta agus idirnáisiúnta trína gcuirtear chun cinn rannpháirtíocht, neamhspleáchas, agus </w:t>
      </w:r>
      <w:proofErr w:type="spellStart"/>
      <w:r>
        <w:t>sábháilteacht</w:t>
      </w:r>
      <w:proofErr w:type="spellEnd"/>
      <w:r>
        <w:t xml:space="preserve"> do dhaoine le </w:t>
      </w:r>
      <w:proofErr w:type="spellStart"/>
      <w:r>
        <w:t>míchumas</w:t>
      </w:r>
      <w:proofErr w:type="spellEnd"/>
      <w:r>
        <w:t xml:space="preserve"> a chónaíonn sa phobal. Thug saineolaithe idirnáisiúnta móra le rá cur i láthair uathu faoi </w:t>
      </w:r>
      <w:proofErr w:type="spellStart"/>
      <w:r>
        <w:t>thionscnaimh</w:t>
      </w:r>
      <w:proofErr w:type="spellEnd"/>
      <w:r>
        <w:t xml:space="preserve"> </w:t>
      </w:r>
      <w:proofErr w:type="spellStart"/>
      <w:r>
        <w:t>dhea-chleachtais</w:t>
      </w:r>
      <w:proofErr w:type="spellEnd"/>
      <w:r>
        <w:t xml:space="preserve"> agus forbairtí beartais. I dteannta na seisiún </w:t>
      </w:r>
      <w:proofErr w:type="spellStart"/>
      <w:r>
        <w:t>iomlánach</w:t>
      </w:r>
      <w:proofErr w:type="spellEnd"/>
      <w:r>
        <w:t xml:space="preserve">, </w:t>
      </w:r>
      <w:proofErr w:type="spellStart"/>
      <w:r>
        <w:t>bhí</w:t>
      </w:r>
      <w:proofErr w:type="spellEnd"/>
      <w:r>
        <w:t xml:space="preserve"> cur </w:t>
      </w:r>
      <w:proofErr w:type="spellStart"/>
      <w:r>
        <w:t>i</w:t>
      </w:r>
      <w:proofErr w:type="spellEnd"/>
      <w:r>
        <w:t xml:space="preserve"> </w:t>
      </w:r>
      <w:proofErr w:type="spellStart"/>
      <w:r>
        <w:t>láthair</w:t>
      </w:r>
      <w:proofErr w:type="spellEnd"/>
      <w:r>
        <w:t xml:space="preserve"> </w:t>
      </w:r>
      <w:proofErr w:type="spellStart"/>
      <w:r>
        <w:t>eile</w:t>
      </w:r>
      <w:proofErr w:type="spellEnd"/>
      <w:r>
        <w:t xml:space="preserve"> </w:t>
      </w:r>
      <w:proofErr w:type="spellStart"/>
      <w:r>
        <w:t>ann</w:t>
      </w:r>
      <w:proofErr w:type="spellEnd"/>
      <w:r>
        <w:t xml:space="preserve"> </w:t>
      </w:r>
      <w:proofErr w:type="spellStart"/>
      <w:r>
        <w:t>faoi</w:t>
      </w:r>
      <w:proofErr w:type="spellEnd"/>
      <w:r>
        <w:t xml:space="preserve">: leas a </w:t>
      </w:r>
      <w:proofErr w:type="spellStart"/>
      <w:r>
        <w:t>bhaint</w:t>
      </w:r>
      <w:proofErr w:type="spellEnd"/>
      <w:r>
        <w:t xml:space="preserve"> as </w:t>
      </w:r>
      <w:proofErr w:type="spellStart"/>
      <w:r>
        <w:t>teicneolaíocht</w:t>
      </w:r>
      <w:proofErr w:type="spellEnd"/>
      <w:r>
        <w:t xml:space="preserve"> </w:t>
      </w:r>
      <w:proofErr w:type="spellStart"/>
      <w:r>
        <w:t>chúnta</w:t>
      </w:r>
      <w:proofErr w:type="spellEnd"/>
      <w:r>
        <w:t xml:space="preserve"> </w:t>
      </w:r>
      <w:proofErr w:type="spellStart"/>
      <w:r>
        <w:t>chun</w:t>
      </w:r>
      <w:proofErr w:type="spellEnd"/>
      <w:r>
        <w:t xml:space="preserve"> </w:t>
      </w:r>
      <w:proofErr w:type="spellStart"/>
      <w:r>
        <w:t>rannpháirt</w:t>
      </w:r>
      <w:proofErr w:type="spellEnd"/>
      <w:r>
        <w:t xml:space="preserve"> </w:t>
      </w:r>
      <w:proofErr w:type="spellStart"/>
      <w:r>
        <w:t>iomlán</w:t>
      </w:r>
      <w:proofErr w:type="spellEnd"/>
      <w:r>
        <w:t xml:space="preserve"> a </w:t>
      </w:r>
      <w:proofErr w:type="spellStart"/>
      <w:r>
        <w:t>ghlacadh</w:t>
      </w:r>
      <w:proofErr w:type="spellEnd"/>
      <w:r>
        <w:t xml:space="preserve"> </w:t>
      </w:r>
      <w:proofErr w:type="spellStart"/>
      <w:r>
        <w:t>sa</w:t>
      </w:r>
      <w:proofErr w:type="spellEnd"/>
      <w:r>
        <w:t xml:space="preserve"> </w:t>
      </w:r>
      <w:proofErr w:type="spellStart"/>
      <w:r>
        <w:t>phobal</w:t>
      </w:r>
      <w:proofErr w:type="spellEnd"/>
      <w:r>
        <w:t xml:space="preserve">; </w:t>
      </w:r>
      <w:proofErr w:type="spellStart"/>
      <w:r>
        <w:t>caidrimh</w:t>
      </w:r>
      <w:proofErr w:type="spellEnd"/>
      <w:r>
        <w:t xml:space="preserve"> </w:t>
      </w:r>
      <w:proofErr w:type="spellStart"/>
      <w:r>
        <w:t>ghnéasúlachta</w:t>
      </w:r>
      <w:proofErr w:type="spellEnd"/>
      <w:r>
        <w:t xml:space="preserve">, </w:t>
      </w:r>
      <w:proofErr w:type="spellStart"/>
      <w:r>
        <w:t>tuismitheoireachta</w:t>
      </w:r>
      <w:proofErr w:type="spellEnd"/>
      <w:r>
        <w:t xml:space="preserve"> </w:t>
      </w:r>
      <w:proofErr w:type="spellStart"/>
      <w:r>
        <w:t>agus</w:t>
      </w:r>
      <w:proofErr w:type="spellEnd"/>
      <w:r>
        <w:t xml:space="preserve"> </w:t>
      </w:r>
      <w:proofErr w:type="spellStart"/>
      <w:r>
        <w:t>teaghlaigh</w:t>
      </w:r>
      <w:proofErr w:type="spellEnd"/>
      <w:r>
        <w:t xml:space="preserve">; </w:t>
      </w:r>
      <w:proofErr w:type="spellStart"/>
      <w:r>
        <w:t>buiséid</w:t>
      </w:r>
      <w:proofErr w:type="spellEnd"/>
      <w:r>
        <w:t xml:space="preserve"> </w:t>
      </w:r>
      <w:proofErr w:type="spellStart"/>
      <w:r>
        <w:t>duine-láraithe</w:t>
      </w:r>
      <w:proofErr w:type="spellEnd"/>
      <w:r>
        <w:t xml:space="preserve">; ag </w:t>
      </w:r>
      <w:proofErr w:type="spellStart"/>
      <w:r>
        <w:t>tógáil</w:t>
      </w:r>
      <w:proofErr w:type="spellEnd"/>
      <w:r>
        <w:t xml:space="preserve"> </w:t>
      </w:r>
      <w:proofErr w:type="spellStart"/>
      <w:r>
        <w:t>pobal</w:t>
      </w:r>
      <w:proofErr w:type="spellEnd"/>
      <w:r>
        <w:t xml:space="preserve"> </w:t>
      </w:r>
      <w:proofErr w:type="spellStart"/>
      <w:r>
        <w:t>sábháilte</w:t>
      </w:r>
      <w:proofErr w:type="spellEnd"/>
      <w:r>
        <w:t xml:space="preserve">. </w:t>
      </w:r>
    </w:p>
    <w:p w14:paraId="5FEB9CB5" w14:textId="77777777" w:rsidR="006C148C" w:rsidRDefault="006C148C">
      <w:pPr>
        <w:pStyle w:val="Heading2"/>
      </w:pPr>
      <w:bookmarkStart w:id="377" w:name="_Toc335836481"/>
      <w:proofErr w:type="spellStart"/>
      <w:r>
        <w:t>Samhlacha</w:t>
      </w:r>
      <w:proofErr w:type="spellEnd"/>
      <w:r>
        <w:t xml:space="preserve"> </w:t>
      </w:r>
      <w:proofErr w:type="spellStart"/>
      <w:r>
        <w:t>leithdháilte</w:t>
      </w:r>
      <w:proofErr w:type="spellEnd"/>
      <w:r>
        <w:t xml:space="preserve"> </w:t>
      </w:r>
      <w:proofErr w:type="spellStart"/>
      <w:r>
        <w:t>acmhainne</w:t>
      </w:r>
      <w:bookmarkEnd w:id="377"/>
      <w:proofErr w:type="spellEnd"/>
    </w:p>
    <w:p w14:paraId="6CE7BED7" w14:textId="77777777" w:rsidR="006C148C" w:rsidRDefault="006C148C">
      <w:pPr>
        <w:pStyle w:val="Heading3"/>
      </w:pPr>
      <w:bookmarkStart w:id="378" w:name="_Toc335836482"/>
      <w:proofErr w:type="spellStart"/>
      <w:r>
        <w:t>Athbhreithniú</w:t>
      </w:r>
      <w:proofErr w:type="spellEnd"/>
      <w:r>
        <w:t xml:space="preserve"> </w:t>
      </w:r>
      <w:proofErr w:type="spellStart"/>
      <w:r>
        <w:t>litríochta</w:t>
      </w:r>
      <w:bookmarkEnd w:id="378"/>
      <w:proofErr w:type="spellEnd"/>
    </w:p>
    <w:p w14:paraId="11913E50" w14:textId="77777777" w:rsidR="006C148C" w:rsidRDefault="006C148C">
      <w:r>
        <w:t xml:space="preserve">Rinne </w:t>
      </w:r>
      <w:r>
        <w:rPr>
          <w:lang w:val="en-GB"/>
        </w:rPr>
        <w:t xml:space="preserve">an </w:t>
      </w:r>
      <w:proofErr w:type="spellStart"/>
      <w:r>
        <w:rPr>
          <w:lang w:val="en-GB"/>
        </w:rPr>
        <w:t>tÚdarás</w:t>
      </w:r>
      <w:proofErr w:type="spellEnd"/>
      <w:r>
        <w:rPr>
          <w:lang w:val="en-GB"/>
        </w:rPr>
        <w:t xml:space="preserve"> Náisiúnta </w:t>
      </w:r>
      <w:proofErr w:type="spellStart"/>
      <w:proofErr w:type="gramStart"/>
      <w:r>
        <w:rPr>
          <w:lang w:val="en-GB"/>
        </w:rPr>
        <w:t>Míchumais</w:t>
      </w:r>
      <w:proofErr w:type="spellEnd"/>
      <w:r>
        <w:rPr>
          <w:lang w:val="en-GB"/>
        </w:rPr>
        <w:t xml:space="preserve">  athbhreithniú</w:t>
      </w:r>
      <w:proofErr w:type="gramEnd"/>
      <w:r>
        <w:rPr>
          <w:lang w:val="en-GB"/>
        </w:rPr>
        <w:t xml:space="preserve"> </w:t>
      </w:r>
      <w:proofErr w:type="spellStart"/>
      <w:r>
        <w:rPr>
          <w:lang w:val="en-GB"/>
        </w:rPr>
        <w:t>cuimsiteach</w:t>
      </w:r>
      <w:proofErr w:type="spellEnd"/>
      <w:r>
        <w:rPr>
          <w:lang w:val="en-GB"/>
        </w:rPr>
        <w:t xml:space="preserve"> ar litríocht an taighde faoi </w:t>
      </w:r>
      <w:proofErr w:type="spellStart"/>
      <w:r>
        <w:rPr>
          <w:lang w:val="en-GB"/>
        </w:rPr>
        <w:t>shamhlacha</w:t>
      </w:r>
      <w:proofErr w:type="spellEnd"/>
      <w:r>
        <w:rPr>
          <w:lang w:val="en-GB"/>
        </w:rPr>
        <w:t xml:space="preserve"> as a mbaintear leas go </w:t>
      </w:r>
      <w:proofErr w:type="spellStart"/>
      <w:r>
        <w:rPr>
          <w:lang w:val="en-GB"/>
        </w:rPr>
        <w:t>hidirnáisiúnta</w:t>
      </w:r>
      <w:proofErr w:type="spellEnd"/>
      <w:r>
        <w:t xml:space="preserve"> chun acmhainní do </w:t>
      </w:r>
      <w:proofErr w:type="spellStart"/>
      <w:r>
        <w:t>sheirbhísí</w:t>
      </w:r>
      <w:proofErr w:type="spellEnd"/>
      <w:r>
        <w:t xml:space="preserve"> </w:t>
      </w:r>
      <w:proofErr w:type="spellStart"/>
      <w:r>
        <w:t>míchumais</w:t>
      </w:r>
      <w:proofErr w:type="spellEnd"/>
      <w:r>
        <w:t xml:space="preserve"> a </w:t>
      </w:r>
      <w:proofErr w:type="spellStart"/>
      <w:r>
        <w:t>leithdháileadh</w:t>
      </w:r>
      <w:proofErr w:type="spellEnd"/>
      <w:r>
        <w:t xml:space="preserve">, ag díriú go sonrach ar thorthaí i </w:t>
      </w:r>
      <w:proofErr w:type="spellStart"/>
      <w:r>
        <w:t>ndáil</w:t>
      </w:r>
      <w:proofErr w:type="spellEnd"/>
      <w:r>
        <w:t xml:space="preserve"> leis an </w:t>
      </w:r>
      <w:proofErr w:type="spellStart"/>
      <w:r>
        <w:lastRenderedPageBreak/>
        <w:t>Scála</w:t>
      </w:r>
      <w:proofErr w:type="spellEnd"/>
      <w:r>
        <w:t xml:space="preserve"> </w:t>
      </w:r>
      <w:proofErr w:type="spellStart"/>
      <w:r>
        <w:t>Tacaíochtaí</w:t>
      </w:r>
      <w:proofErr w:type="spellEnd"/>
      <w:r>
        <w:t xml:space="preserve"> SAM, </w:t>
      </w:r>
      <w:proofErr w:type="spellStart"/>
      <w:r>
        <w:t>samhail</w:t>
      </w:r>
      <w:proofErr w:type="spellEnd"/>
      <w:r>
        <w:t xml:space="preserve"> </w:t>
      </w:r>
      <w:proofErr w:type="spellStart"/>
      <w:r>
        <w:t>leithdháilte</w:t>
      </w:r>
      <w:proofErr w:type="spellEnd"/>
      <w:r>
        <w:t xml:space="preserve"> </w:t>
      </w:r>
      <w:proofErr w:type="spellStart"/>
      <w:r>
        <w:t>na</w:t>
      </w:r>
      <w:proofErr w:type="spellEnd"/>
      <w:r>
        <w:t xml:space="preserve"> RA arna forbairt ag In Control, </w:t>
      </w:r>
      <w:proofErr w:type="spellStart"/>
      <w:r>
        <w:t>agus</w:t>
      </w:r>
      <w:proofErr w:type="spellEnd"/>
      <w:r>
        <w:t xml:space="preserve"> an </w:t>
      </w:r>
      <w:proofErr w:type="spellStart"/>
      <w:r>
        <w:t>córas</w:t>
      </w:r>
      <w:proofErr w:type="spellEnd"/>
      <w:r>
        <w:t xml:space="preserve"> </w:t>
      </w:r>
      <w:proofErr w:type="spellStart"/>
      <w:r>
        <w:t>Astrálach</w:t>
      </w:r>
      <w:proofErr w:type="spellEnd"/>
      <w:r>
        <w:t xml:space="preserve"> I-Can. </w:t>
      </w:r>
      <w:proofErr w:type="spellStart"/>
      <w:r>
        <w:t>Foilsítear</w:t>
      </w:r>
      <w:proofErr w:type="spellEnd"/>
      <w:r>
        <w:t xml:space="preserve"> an t-</w:t>
      </w:r>
      <w:proofErr w:type="spellStart"/>
      <w:r>
        <w:t>athbhreithniú</w:t>
      </w:r>
      <w:proofErr w:type="spellEnd"/>
      <w:r>
        <w:t xml:space="preserve"> </w:t>
      </w:r>
      <w:proofErr w:type="spellStart"/>
      <w:r>
        <w:t>litríochta</w:t>
      </w:r>
      <w:proofErr w:type="spellEnd"/>
      <w:r>
        <w:t xml:space="preserve"> sin ar </w:t>
      </w:r>
      <w:proofErr w:type="spellStart"/>
      <w:r>
        <w:t>láithreán</w:t>
      </w:r>
      <w:proofErr w:type="spellEnd"/>
      <w:r>
        <w:t xml:space="preserve"> </w:t>
      </w:r>
      <w:proofErr w:type="spellStart"/>
      <w:r>
        <w:t>gréasáin</w:t>
      </w:r>
      <w:proofErr w:type="spellEnd"/>
      <w:r>
        <w:t xml:space="preserve"> </w:t>
      </w:r>
      <w:r>
        <w:rPr>
          <w:lang w:val="en-GB"/>
        </w:rPr>
        <w:t xml:space="preserve">an </w:t>
      </w:r>
      <w:proofErr w:type="spellStart"/>
      <w:r>
        <w:rPr>
          <w:lang w:val="en-GB"/>
        </w:rPr>
        <w:t>Údaráis</w:t>
      </w:r>
      <w:proofErr w:type="spellEnd"/>
      <w:r>
        <w:rPr>
          <w:lang w:val="en-GB"/>
        </w:rPr>
        <w:t xml:space="preserve"> </w:t>
      </w:r>
      <w:proofErr w:type="spellStart"/>
      <w:r>
        <w:rPr>
          <w:lang w:val="en-GB"/>
        </w:rPr>
        <w:t>Náisiúnta</w:t>
      </w:r>
      <w:proofErr w:type="spellEnd"/>
      <w:r>
        <w:rPr>
          <w:lang w:val="en-GB"/>
        </w:rPr>
        <w:t xml:space="preserve"> </w:t>
      </w:r>
      <w:proofErr w:type="spellStart"/>
      <w:r>
        <w:rPr>
          <w:lang w:val="en-GB"/>
        </w:rPr>
        <w:t>Míchumais</w:t>
      </w:r>
      <w:proofErr w:type="spellEnd"/>
      <w:r>
        <w:t xml:space="preserve">.  </w:t>
      </w:r>
    </w:p>
    <w:p w14:paraId="0C102E73" w14:textId="77777777" w:rsidR="006C148C" w:rsidRDefault="006C148C">
      <w:pPr>
        <w:pStyle w:val="Heading3"/>
      </w:pPr>
      <w:bookmarkStart w:id="379" w:name="_Toc335836483"/>
      <w:r>
        <w:t xml:space="preserve">Triail </w:t>
      </w:r>
      <w:proofErr w:type="spellStart"/>
      <w:r>
        <w:t>allamuigh</w:t>
      </w:r>
      <w:bookmarkEnd w:id="379"/>
      <w:proofErr w:type="spellEnd"/>
    </w:p>
    <w:p w14:paraId="63D2ABC5" w14:textId="77777777" w:rsidR="006C148C" w:rsidRDefault="006C148C">
      <w:r>
        <w:t xml:space="preserve">Thosaigh </w:t>
      </w:r>
      <w:r>
        <w:rPr>
          <w:lang w:val="en-GB"/>
        </w:rPr>
        <w:t xml:space="preserve">an </w:t>
      </w:r>
      <w:proofErr w:type="spellStart"/>
      <w:r>
        <w:rPr>
          <w:lang w:val="en-GB"/>
        </w:rPr>
        <w:t>tÚdarás</w:t>
      </w:r>
      <w:proofErr w:type="spellEnd"/>
      <w:r>
        <w:rPr>
          <w:lang w:val="en-GB"/>
        </w:rPr>
        <w:t xml:space="preserve"> Náisiúnta </w:t>
      </w:r>
      <w:proofErr w:type="spellStart"/>
      <w:r>
        <w:rPr>
          <w:lang w:val="en-GB"/>
        </w:rPr>
        <w:t>Míchumais</w:t>
      </w:r>
      <w:proofErr w:type="spellEnd"/>
      <w:r>
        <w:rPr>
          <w:lang w:val="en-GB"/>
        </w:rPr>
        <w:t xml:space="preserve"> triail </w:t>
      </w:r>
      <w:proofErr w:type="spellStart"/>
      <w:r>
        <w:rPr>
          <w:lang w:val="en-GB"/>
        </w:rPr>
        <w:t>allamuigh</w:t>
      </w:r>
      <w:proofErr w:type="spellEnd"/>
      <w:r>
        <w:rPr>
          <w:lang w:val="en-GB"/>
        </w:rPr>
        <w:t xml:space="preserve"> den dá </w:t>
      </w:r>
      <w:proofErr w:type="spellStart"/>
      <w:r>
        <w:rPr>
          <w:lang w:val="en-GB"/>
        </w:rPr>
        <w:t>uirlis</w:t>
      </w:r>
      <w:proofErr w:type="spellEnd"/>
      <w:r>
        <w:rPr>
          <w:lang w:val="en-GB"/>
        </w:rPr>
        <w:t xml:space="preserve"> </w:t>
      </w:r>
      <w:proofErr w:type="spellStart"/>
      <w:r>
        <w:rPr>
          <w:lang w:val="en-GB"/>
        </w:rPr>
        <w:t>mheasúnaithe</w:t>
      </w:r>
      <w:proofErr w:type="spellEnd"/>
      <w:r>
        <w:rPr>
          <w:lang w:val="en-GB"/>
        </w:rPr>
        <w:t xml:space="preserve"> ar éilimh is </w:t>
      </w:r>
      <w:proofErr w:type="spellStart"/>
      <w:r>
        <w:rPr>
          <w:lang w:val="en-GB"/>
        </w:rPr>
        <w:t>foirleithne</w:t>
      </w:r>
      <w:proofErr w:type="spellEnd"/>
      <w:r>
        <w:rPr>
          <w:lang w:val="en-GB"/>
        </w:rPr>
        <w:t xml:space="preserve"> a úsáidtear d'fhonn r</w:t>
      </w:r>
      <w:proofErr w:type="spellStart"/>
      <w:r>
        <w:t>oghnú</w:t>
      </w:r>
      <w:proofErr w:type="spellEnd"/>
      <w:r>
        <w:t xml:space="preserve"> praiticiúil </w:t>
      </w:r>
      <w:proofErr w:type="spellStart"/>
      <w:r>
        <w:t>samhail</w:t>
      </w:r>
      <w:proofErr w:type="spellEnd"/>
      <w:r>
        <w:t xml:space="preserve"> an </w:t>
      </w:r>
      <w:proofErr w:type="spellStart"/>
      <w:r>
        <w:t>leithdháilte</w:t>
      </w:r>
      <w:proofErr w:type="spellEnd"/>
      <w:r>
        <w:t xml:space="preserve"> </w:t>
      </w:r>
      <w:proofErr w:type="spellStart"/>
      <w:r>
        <w:t>acmhainne</w:t>
      </w:r>
      <w:proofErr w:type="spellEnd"/>
      <w:r>
        <w:t xml:space="preserve"> d'Éirinn a mhúnlú, mar atá an Scála Déine </w:t>
      </w:r>
      <w:proofErr w:type="spellStart"/>
      <w:r>
        <w:t>Tacaíochtaí</w:t>
      </w:r>
      <w:proofErr w:type="spellEnd"/>
      <w:r>
        <w:t xml:space="preserve">  i SAM, agus an Córas </w:t>
      </w:r>
      <w:proofErr w:type="spellStart"/>
      <w:r>
        <w:t>Leithdháilte</w:t>
      </w:r>
      <w:proofErr w:type="spellEnd"/>
      <w:r>
        <w:t xml:space="preserve"> </w:t>
      </w:r>
      <w:proofErr w:type="spellStart"/>
      <w:r>
        <w:t>Acmhainne</w:t>
      </w:r>
      <w:proofErr w:type="spellEnd"/>
      <w:r>
        <w:t xml:space="preserve"> (RAS5) as a </w:t>
      </w:r>
      <w:proofErr w:type="spellStart"/>
      <w:r>
        <w:t>mbaintear</w:t>
      </w:r>
      <w:proofErr w:type="spellEnd"/>
      <w:r>
        <w:t xml:space="preserve"> leas </w:t>
      </w:r>
      <w:proofErr w:type="spellStart"/>
      <w:r>
        <w:t>chun</w:t>
      </w:r>
      <w:proofErr w:type="spellEnd"/>
      <w:r>
        <w:t xml:space="preserve"> </w:t>
      </w:r>
      <w:proofErr w:type="spellStart"/>
      <w:r>
        <w:t>buiséid</w:t>
      </w:r>
      <w:proofErr w:type="spellEnd"/>
      <w:r>
        <w:t xml:space="preserve"> </w:t>
      </w:r>
      <w:proofErr w:type="spellStart"/>
      <w:r>
        <w:t>phearsanta</w:t>
      </w:r>
      <w:proofErr w:type="spellEnd"/>
      <w:r>
        <w:t xml:space="preserve"> a </w:t>
      </w:r>
      <w:proofErr w:type="spellStart"/>
      <w:r>
        <w:t>leithdháileadh</w:t>
      </w:r>
      <w:proofErr w:type="spellEnd"/>
      <w:r>
        <w:t xml:space="preserve"> </w:t>
      </w:r>
      <w:proofErr w:type="spellStart"/>
      <w:r>
        <w:t>i</w:t>
      </w:r>
      <w:proofErr w:type="spellEnd"/>
      <w:r>
        <w:t xml:space="preserve"> </w:t>
      </w:r>
      <w:proofErr w:type="spellStart"/>
      <w:r>
        <w:t>Sasana</w:t>
      </w:r>
      <w:proofErr w:type="spellEnd"/>
      <w:r>
        <w:t xml:space="preserve">, le comparáid a dhéanamh idir na </w:t>
      </w:r>
      <w:proofErr w:type="spellStart"/>
      <w:r>
        <w:t>fiúntais</w:t>
      </w:r>
      <w:proofErr w:type="spellEnd"/>
      <w:r>
        <w:t xml:space="preserve"> </w:t>
      </w:r>
      <w:proofErr w:type="spellStart"/>
      <w:r>
        <w:t>choibhneachta</w:t>
      </w:r>
      <w:proofErr w:type="spellEnd"/>
      <w:r>
        <w:t xml:space="preserve"> </w:t>
      </w:r>
      <w:proofErr w:type="spellStart"/>
      <w:r>
        <w:t>leo</w:t>
      </w:r>
      <w:proofErr w:type="spellEnd"/>
      <w:r>
        <w:t xml:space="preserve"> </w:t>
      </w:r>
      <w:proofErr w:type="spellStart"/>
      <w:r>
        <w:t>i</w:t>
      </w:r>
      <w:proofErr w:type="spellEnd"/>
      <w:r>
        <w:t xml:space="preserve"> </w:t>
      </w:r>
      <w:proofErr w:type="spellStart"/>
      <w:r>
        <w:t>gcomhthéacs</w:t>
      </w:r>
      <w:proofErr w:type="spellEnd"/>
      <w:r>
        <w:t xml:space="preserve"> </w:t>
      </w:r>
      <w:proofErr w:type="spellStart"/>
      <w:r>
        <w:t>na</w:t>
      </w:r>
      <w:proofErr w:type="spellEnd"/>
      <w:r>
        <w:t xml:space="preserve"> </w:t>
      </w:r>
      <w:proofErr w:type="spellStart"/>
      <w:r>
        <w:t>hÉireann</w:t>
      </w:r>
      <w:proofErr w:type="spellEnd"/>
      <w:r>
        <w:t xml:space="preserve"> </w:t>
      </w:r>
      <w:proofErr w:type="spellStart"/>
      <w:r>
        <w:t>agus</w:t>
      </w:r>
      <w:proofErr w:type="spellEnd"/>
      <w:r>
        <w:t xml:space="preserve"> </w:t>
      </w:r>
      <w:proofErr w:type="spellStart"/>
      <w:r>
        <w:t>chun</w:t>
      </w:r>
      <w:proofErr w:type="spellEnd"/>
      <w:r>
        <w:t xml:space="preserve"> </w:t>
      </w:r>
      <w:proofErr w:type="spellStart"/>
      <w:r>
        <w:t>aon</w:t>
      </w:r>
      <w:proofErr w:type="spellEnd"/>
      <w:r>
        <w:t xml:space="preserve"> </w:t>
      </w:r>
      <w:proofErr w:type="spellStart"/>
      <w:r>
        <w:t>saincheist</w:t>
      </w:r>
      <w:proofErr w:type="spellEnd"/>
      <w:r>
        <w:t xml:space="preserve"> ag </w:t>
      </w:r>
      <w:proofErr w:type="spellStart"/>
      <w:r>
        <w:t>éirí</w:t>
      </w:r>
      <w:proofErr w:type="spellEnd"/>
      <w:r>
        <w:t xml:space="preserve"> as sin a </w:t>
      </w:r>
      <w:proofErr w:type="spellStart"/>
      <w:r>
        <w:t>thaiscéaladh</w:t>
      </w:r>
      <w:proofErr w:type="spellEnd"/>
      <w:r>
        <w:t xml:space="preserve">. </w:t>
      </w:r>
      <w:proofErr w:type="spellStart"/>
      <w:r>
        <w:t>Gach</w:t>
      </w:r>
      <w:proofErr w:type="spellEnd"/>
      <w:r>
        <w:t xml:space="preserve"> </w:t>
      </w:r>
      <w:proofErr w:type="spellStart"/>
      <w:r>
        <w:t>aon</w:t>
      </w:r>
      <w:proofErr w:type="spellEnd"/>
      <w:r>
        <w:t xml:space="preserve"> </w:t>
      </w:r>
      <w:proofErr w:type="spellStart"/>
      <w:r>
        <w:t>cheann</w:t>
      </w:r>
      <w:proofErr w:type="spellEnd"/>
      <w:r>
        <w:t xml:space="preserve"> de </w:t>
      </w:r>
      <w:proofErr w:type="spellStart"/>
      <w:r>
        <w:t>na</w:t>
      </w:r>
      <w:proofErr w:type="spellEnd"/>
      <w:r>
        <w:t xml:space="preserve"> </w:t>
      </w:r>
      <w:proofErr w:type="spellStart"/>
      <w:r>
        <w:t>ceistneoirí</w:t>
      </w:r>
      <w:proofErr w:type="spellEnd"/>
      <w:r>
        <w:t xml:space="preserve"> sin a chur </w:t>
      </w:r>
      <w:proofErr w:type="spellStart"/>
      <w:r>
        <w:t>ar</w:t>
      </w:r>
      <w:proofErr w:type="spellEnd"/>
      <w:r>
        <w:t xml:space="preserve"> 120 </w:t>
      </w:r>
      <w:proofErr w:type="spellStart"/>
      <w:r>
        <w:t>rannpháirtí</w:t>
      </w:r>
      <w:proofErr w:type="spellEnd"/>
      <w:r>
        <w:t xml:space="preserve"> le </w:t>
      </w:r>
      <w:proofErr w:type="spellStart"/>
      <w:r>
        <w:t>míchumas</w:t>
      </w:r>
      <w:proofErr w:type="spellEnd"/>
      <w:r>
        <w:t xml:space="preserve"> is í an </w:t>
      </w:r>
      <w:proofErr w:type="spellStart"/>
      <w:r>
        <w:t>sprioc</w:t>
      </w:r>
      <w:proofErr w:type="spellEnd"/>
      <w:r>
        <w:t xml:space="preserve">, </w:t>
      </w:r>
      <w:proofErr w:type="spellStart"/>
      <w:r>
        <w:t>agus</w:t>
      </w:r>
      <w:proofErr w:type="spellEnd"/>
      <w:r>
        <w:t xml:space="preserve"> </w:t>
      </w:r>
      <w:proofErr w:type="spellStart"/>
      <w:r>
        <w:t>chun</w:t>
      </w:r>
      <w:proofErr w:type="spellEnd"/>
      <w:r>
        <w:t xml:space="preserve"> </w:t>
      </w:r>
      <w:proofErr w:type="spellStart"/>
      <w:r>
        <w:t>eolas</w:t>
      </w:r>
      <w:proofErr w:type="spellEnd"/>
      <w:r>
        <w:t xml:space="preserve"> a </w:t>
      </w:r>
      <w:proofErr w:type="spellStart"/>
      <w:r>
        <w:t>bhailiú</w:t>
      </w:r>
      <w:proofErr w:type="spellEnd"/>
      <w:r>
        <w:t xml:space="preserve"> </w:t>
      </w:r>
      <w:proofErr w:type="spellStart"/>
      <w:r>
        <w:t>lena</w:t>
      </w:r>
      <w:proofErr w:type="spellEnd"/>
      <w:r>
        <w:t xml:space="preserve"> n-</w:t>
      </w:r>
      <w:proofErr w:type="spellStart"/>
      <w:r>
        <w:t>inúsáidteacht</w:t>
      </w:r>
      <w:proofErr w:type="spellEnd"/>
      <w:r>
        <w:t>, a n-</w:t>
      </w:r>
      <w:proofErr w:type="spellStart"/>
      <w:r>
        <w:t>inghlacthacht</w:t>
      </w:r>
      <w:proofErr w:type="spellEnd"/>
      <w:r>
        <w:t xml:space="preserve"> </w:t>
      </w:r>
      <w:proofErr w:type="spellStart"/>
      <w:r>
        <w:t>agus</w:t>
      </w:r>
      <w:proofErr w:type="spellEnd"/>
      <w:r>
        <w:t xml:space="preserve"> a </w:t>
      </w:r>
      <w:proofErr w:type="spellStart"/>
      <w:r>
        <w:t>luach</w:t>
      </w:r>
      <w:proofErr w:type="spellEnd"/>
      <w:r>
        <w:t xml:space="preserve"> </w:t>
      </w:r>
      <w:proofErr w:type="spellStart"/>
      <w:r>
        <w:t>sa</w:t>
      </w:r>
      <w:proofErr w:type="spellEnd"/>
      <w:r>
        <w:t xml:space="preserve"> </w:t>
      </w:r>
      <w:proofErr w:type="spellStart"/>
      <w:r>
        <w:t>chomhthéacs</w:t>
      </w:r>
      <w:proofErr w:type="spellEnd"/>
      <w:r>
        <w:t xml:space="preserve"> </w:t>
      </w:r>
      <w:proofErr w:type="spellStart"/>
      <w:r>
        <w:t>Éireannach</w:t>
      </w:r>
      <w:proofErr w:type="spellEnd"/>
      <w:r>
        <w:t xml:space="preserve"> a </w:t>
      </w:r>
      <w:proofErr w:type="spellStart"/>
      <w:r>
        <w:t>mhúnlú</w:t>
      </w:r>
      <w:proofErr w:type="spellEnd"/>
      <w:r>
        <w:t xml:space="preserve">. Is </w:t>
      </w:r>
      <w:proofErr w:type="spellStart"/>
      <w:r>
        <w:t>gairmigh</w:t>
      </w:r>
      <w:proofErr w:type="spellEnd"/>
      <w:r>
        <w:t xml:space="preserve"> </w:t>
      </w:r>
      <w:proofErr w:type="spellStart"/>
      <w:r>
        <w:t>iad</w:t>
      </w:r>
      <w:proofErr w:type="spellEnd"/>
      <w:r>
        <w:t xml:space="preserve"> </w:t>
      </w:r>
      <w:proofErr w:type="spellStart"/>
      <w:r>
        <w:t>na</w:t>
      </w:r>
      <w:proofErr w:type="spellEnd"/>
      <w:r>
        <w:t xml:space="preserve"> </w:t>
      </w:r>
      <w:proofErr w:type="spellStart"/>
      <w:r>
        <w:t>hagallóirí</w:t>
      </w:r>
      <w:proofErr w:type="spellEnd"/>
      <w:r>
        <w:t xml:space="preserve"> a </w:t>
      </w:r>
      <w:proofErr w:type="spellStart"/>
      <w:r>
        <w:t>bhfuil</w:t>
      </w:r>
      <w:proofErr w:type="spellEnd"/>
      <w:r>
        <w:t xml:space="preserve"> </w:t>
      </w:r>
      <w:proofErr w:type="spellStart"/>
      <w:r>
        <w:t>taithí</w:t>
      </w:r>
      <w:proofErr w:type="spellEnd"/>
      <w:r>
        <w:t xml:space="preserve"> </w:t>
      </w:r>
      <w:proofErr w:type="spellStart"/>
      <w:r>
        <w:t>acu</w:t>
      </w:r>
      <w:proofErr w:type="spellEnd"/>
      <w:r>
        <w:t xml:space="preserve"> ag </w:t>
      </w:r>
      <w:proofErr w:type="spellStart"/>
      <w:r>
        <w:t>obair</w:t>
      </w:r>
      <w:proofErr w:type="spellEnd"/>
      <w:r>
        <w:t xml:space="preserve"> </w:t>
      </w:r>
      <w:proofErr w:type="spellStart"/>
      <w:r>
        <w:t>sna</w:t>
      </w:r>
      <w:proofErr w:type="spellEnd"/>
      <w:r>
        <w:t xml:space="preserve"> </w:t>
      </w:r>
      <w:proofErr w:type="spellStart"/>
      <w:r>
        <w:t>seirbhísí</w:t>
      </w:r>
      <w:proofErr w:type="spellEnd"/>
      <w:r>
        <w:t xml:space="preserve"> </w:t>
      </w:r>
      <w:proofErr w:type="spellStart"/>
      <w:r>
        <w:t>míchumais</w:t>
      </w:r>
      <w:proofErr w:type="spellEnd"/>
      <w:r>
        <w:t xml:space="preserve">, a </w:t>
      </w:r>
      <w:proofErr w:type="spellStart"/>
      <w:r>
        <w:t>chuirfidh</w:t>
      </w:r>
      <w:proofErr w:type="spellEnd"/>
      <w:r>
        <w:t xml:space="preserve"> </w:t>
      </w:r>
      <w:proofErr w:type="spellStart"/>
      <w:r>
        <w:t>agallamh</w:t>
      </w:r>
      <w:proofErr w:type="spellEnd"/>
      <w:r>
        <w:t xml:space="preserve"> </w:t>
      </w:r>
      <w:proofErr w:type="spellStart"/>
      <w:r>
        <w:t>ar</w:t>
      </w:r>
      <w:proofErr w:type="spellEnd"/>
      <w:r>
        <w:t xml:space="preserve"> </w:t>
      </w:r>
      <w:proofErr w:type="spellStart"/>
      <w:r>
        <w:t>dhaoine</w:t>
      </w:r>
      <w:proofErr w:type="spellEnd"/>
      <w:r>
        <w:t xml:space="preserve"> le </w:t>
      </w:r>
      <w:proofErr w:type="spellStart"/>
      <w:r>
        <w:t>míchumas</w:t>
      </w:r>
      <w:proofErr w:type="spellEnd"/>
      <w:r>
        <w:t xml:space="preserve"> </w:t>
      </w:r>
      <w:proofErr w:type="spellStart"/>
      <w:r>
        <w:t>i</w:t>
      </w:r>
      <w:proofErr w:type="spellEnd"/>
      <w:r>
        <w:t xml:space="preserve"> </w:t>
      </w:r>
      <w:proofErr w:type="spellStart"/>
      <w:r>
        <w:t>seirbhís</w:t>
      </w:r>
      <w:proofErr w:type="spellEnd"/>
      <w:r>
        <w:t xml:space="preserve"> </w:t>
      </w:r>
      <w:proofErr w:type="spellStart"/>
      <w:r>
        <w:t>éagsúil</w:t>
      </w:r>
      <w:proofErr w:type="spellEnd"/>
      <w:r>
        <w:t xml:space="preserve"> (</w:t>
      </w:r>
      <w:proofErr w:type="spellStart"/>
      <w:r>
        <w:t>nó</w:t>
      </w:r>
      <w:proofErr w:type="spellEnd"/>
      <w:r>
        <w:t xml:space="preserve"> </w:t>
      </w:r>
      <w:proofErr w:type="spellStart"/>
      <w:r>
        <w:t>i</w:t>
      </w:r>
      <w:proofErr w:type="spellEnd"/>
      <w:r>
        <w:t xml:space="preserve"> </w:t>
      </w:r>
      <w:proofErr w:type="spellStart"/>
      <w:r>
        <w:t>seirbhís</w:t>
      </w:r>
      <w:proofErr w:type="spellEnd"/>
      <w:r>
        <w:t xml:space="preserve"> </w:t>
      </w:r>
      <w:proofErr w:type="spellStart"/>
      <w:r>
        <w:t>ar</w:t>
      </w:r>
      <w:proofErr w:type="spellEnd"/>
      <w:r>
        <w:t xml:space="preserve"> </w:t>
      </w:r>
      <w:proofErr w:type="spellStart"/>
      <w:r>
        <w:t>bith</w:t>
      </w:r>
      <w:proofErr w:type="spellEnd"/>
      <w:r>
        <w:t xml:space="preserve">). </w:t>
      </w:r>
      <w:proofErr w:type="spellStart"/>
      <w:r>
        <w:t>Tugadh</w:t>
      </w:r>
      <w:proofErr w:type="spellEnd"/>
      <w:r>
        <w:t xml:space="preserve"> an </w:t>
      </w:r>
      <w:proofErr w:type="spellStart"/>
      <w:r>
        <w:t>oiliúint</w:t>
      </w:r>
      <w:proofErr w:type="spellEnd"/>
      <w:r>
        <w:t xml:space="preserve"> do </w:t>
      </w:r>
      <w:proofErr w:type="spellStart"/>
      <w:r>
        <w:t>na</w:t>
      </w:r>
      <w:proofErr w:type="spellEnd"/>
      <w:r>
        <w:t xml:space="preserve"> </w:t>
      </w:r>
      <w:proofErr w:type="spellStart"/>
      <w:r>
        <w:t>hagallóirí</w:t>
      </w:r>
      <w:proofErr w:type="spellEnd"/>
      <w:r>
        <w:t xml:space="preserve"> </w:t>
      </w:r>
      <w:proofErr w:type="spellStart"/>
      <w:r>
        <w:t>sa</w:t>
      </w:r>
      <w:proofErr w:type="spellEnd"/>
      <w:r>
        <w:t xml:space="preserve"> </w:t>
      </w:r>
      <w:proofErr w:type="spellStart"/>
      <w:r>
        <w:t>bhliain</w:t>
      </w:r>
      <w:proofErr w:type="spellEnd"/>
      <w:r>
        <w:t xml:space="preserve"> 2011 </w:t>
      </w:r>
      <w:proofErr w:type="spellStart"/>
      <w:r>
        <w:t>i</w:t>
      </w:r>
      <w:proofErr w:type="spellEnd"/>
      <w:r>
        <w:t xml:space="preserve"> </w:t>
      </w:r>
      <w:proofErr w:type="spellStart"/>
      <w:r>
        <w:t>leith</w:t>
      </w:r>
      <w:proofErr w:type="spellEnd"/>
      <w:r>
        <w:t xml:space="preserve"> </w:t>
      </w:r>
      <w:proofErr w:type="spellStart"/>
      <w:r>
        <w:t>gach</w:t>
      </w:r>
      <w:proofErr w:type="spellEnd"/>
      <w:r>
        <w:t xml:space="preserve"> </w:t>
      </w:r>
      <w:proofErr w:type="spellStart"/>
      <w:r>
        <w:t>aon</w:t>
      </w:r>
      <w:proofErr w:type="spellEnd"/>
      <w:r>
        <w:t xml:space="preserve"> </w:t>
      </w:r>
      <w:proofErr w:type="spellStart"/>
      <w:r>
        <w:t>cheistneoir</w:t>
      </w:r>
      <w:proofErr w:type="spellEnd"/>
      <w:r>
        <w:t xml:space="preserve">, </w:t>
      </w:r>
      <w:proofErr w:type="spellStart"/>
      <w:r>
        <w:t>roimh</w:t>
      </w:r>
      <w:proofErr w:type="spellEnd"/>
      <w:r>
        <w:t xml:space="preserve"> an </w:t>
      </w:r>
      <w:proofErr w:type="spellStart"/>
      <w:r>
        <w:t>saothar</w:t>
      </w:r>
      <w:proofErr w:type="spellEnd"/>
      <w:r>
        <w:t xml:space="preserve"> </w:t>
      </w:r>
      <w:proofErr w:type="spellStart"/>
      <w:r>
        <w:t>allamuigh</w:t>
      </w:r>
      <w:proofErr w:type="spellEnd"/>
      <w:r>
        <w:t xml:space="preserve"> a </w:t>
      </w:r>
      <w:proofErr w:type="spellStart"/>
      <w:r>
        <w:t>bhí</w:t>
      </w:r>
      <w:proofErr w:type="spellEnd"/>
      <w:r>
        <w:t xml:space="preserve"> </w:t>
      </w:r>
      <w:proofErr w:type="spellStart"/>
      <w:r>
        <w:t>ar</w:t>
      </w:r>
      <w:proofErr w:type="spellEnd"/>
      <w:r>
        <w:t xml:space="preserve"> an sceideal don bhliain 2012.</w:t>
      </w:r>
    </w:p>
    <w:p w14:paraId="24149509" w14:textId="77777777" w:rsidR="006C148C" w:rsidRDefault="006C148C">
      <w:pPr>
        <w:pStyle w:val="Heading2"/>
        <w:rPr>
          <w:iCs w:val="0"/>
        </w:rPr>
      </w:pPr>
      <w:bookmarkStart w:id="380" w:name="_Toc335836484"/>
      <w:proofErr w:type="spellStart"/>
      <w:r>
        <w:t>Taca</w:t>
      </w:r>
      <w:r>
        <w:rPr>
          <w:iCs w:val="0"/>
        </w:rPr>
        <w:t>íochtaí</w:t>
      </w:r>
      <w:proofErr w:type="spellEnd"/>
      <w:r>
        <w:rPr>
          <w:iCs w:val="0"/>
        </w:rPr>
        <w:t xml:space="preserve"> </w:t>
      </w:r>
      <w:proofErr w:type="spellStart"/>
      <w:r>
        <w:rPr>
          <w:iCs w:val="0"/>
        </w:rPr>
        <w:t>Nádúrtha</w:t>
      </w:r>
      <w:proofErr w:type="spellEnd"/>
      <w:r>
        <w:rPr>
          <w:iCs w:val="0"/>
        </w:rPr>
        <w:t xml:space="preserve"> </w:t>
      </w:r>
      <w:proofErr w:type="spellStart"/>
      <w:r>
        <w:rPr>
          <w:iCs w:val="0"/>
        </w:rPr>
        <w:t>Pobail</w:t>
      </w:r>
      <w:bookmarkEnd w:id="380"/>
      <w:proofErr w:type="spellEnd"/>
    </w:p>
    <w:p w14:paraId="44A64666" w14:textId="77777777" w:rsidR="006C148C" w:rsidRDefault="006C148C">
      <w:r>
        <w:t xml:space="preserve">Chuathas i mbun trí cinn de shaothair le féachaint ar ról na </w:t>
      </w:r>
      <w:proofErr w:type="spellStart"/>
      <w:r>
        <w:t>dtacaíochtaí</w:t>
      </w:r>
      <w:proofErr w:type="spellEnd"/>
      <w:r>
        <w:t xml:space="preserve"> nádúrtha pobail chun tacú agus </w:t>
      </w:r>
      <w:proofErr w:type="spellStart"/>
      <w:r>
        <w:t>cumasú</w:t>
      </w:r>
      <w:proofErr w:type="spellEnd"/>
      <w:r>
        <w:t xml:space="preserve"> daoine le </w:t>
      </w:r>
      <w:proofErr w:type="spellStart"/>
      <w:r>
        <w:t>míchumas</w:t>
      </w:r>
      <w:proofErr w:type="spellEnd"/>
      <w:r>
        <w:t xml:space="preserve"> beatha neamhspleách a bheith sa phobal acu.</w:t>
      </w:r>
    </w:p>
    <w:p w14:paraId="39E77F83" w14:textId="77777777" w:rsidR="006C148C" w:rsidRDefault="006C148C">
      <w:pPr>
        <w:pStyle w:val="Heading3"/>
      </w:pPr>
      <w:bookmarkStart w:id="381" w:name="_Toc335836485"/>
      <w:r>
        <w:t>Athbhreithniú litríochta</w:t>
      </w:r>
      <w:bookmarkEnd w:id="381"/>
    </w:p>
    <w:p w14:paraId="011390DF" w14:textId="77777777" w:rsidR="006C148C" w:rsidRDefault="006C148C">
      <w:r>
        <w:t xml:space="preserve">Is sa chéad shaothar, arna </w:t>
      </w:r>
      <w:proofErr w:type="spellStart"/>
      <w:r>
        <w:t>choimisiúnú</w:t>
      </w:r>
      <w:proofErr w:type="spellEnd"/>
      <w:r>
        <w:t xml:space="preserve"> ón Lárionad Taighde Oibre, a dhéantar achoimre ar na torthaí ó litríocht an taighde, </w:t>
      </w:r>
      <w:proofErr w:type="spellStart"/>
      <w:r>
        <w:t>agus</w:t>
      </w:r>
      <w:proofErr w:type="spellEnd"/>
      <w:r>
        <w:t xml:space="preserve"> </w:t>
      </w:r>
      <w:proofErr w:type="spellStart"/>
      <w:r>
        <w:t>foilsíodh</w:t>
      </w:r>
      <w:proofErr w:type="spellEnd"/>
      <w:r>
        <w:t xml:space="preserve"> </w:t>
      </w:r>
      <w:proofErr w:type="spellStart"/>
      <w:r>
        <w:t>ar</w:t>
      </w:r>
      <w:proofErr w:type="spellEnd"/>
      <w:r>
        <w:t xml:space="preserve"> </w:t>
      </w:r>
      <w:hyperlink r:id="rId11" w:history="1">
        <w:r>
          <w:rPr>
            <w:rStyle w:val="Hyperlink"/>
          </w:rPr>
          <w:t>www.nda.ie</w:t>
        </w:r>
      </w:hyperlink>
      <w:r>
        <w:t xml:space="preserve"> é. Léirítear sna torthaí go </w:t>
      </w:r>
      <w:proofErr w:type="spellStart"/>
      <w:r>
        <w:t>bhféadann</w:t>
      </w:r>
      <w:proofErr w:type="spellEnd"/>
      <w:r>
        <w:t xml:space="preserve"> </w:t>
      </w:r>
      <w:proofErr w:type="spellStart"/>
      <w:r>
        <w:t>easpa</w:t>
      </w:r>
      <w:proofErr w:type="spellEnd"/>
      <w:r>
        <w:t xml:space="preserve"> </w:t>
      </w:r>
      <w:proofErr w:type="spellStart"/>
      <w:r>
        <w:t>fóntas</w:t>
      </w:r>
      <w:proofErr w:type="spellEnd"/>
      <w:r>
        <w:t xml:space="preserve">, </w:t>
      </w:r>
      <w:proofErr w:type="spellStart"/>
      <w:r>
        <w:t>drochiompar</w:t>
      </w:r>
      <w:proofErr w:type="spellEnd"/>
      <w:r>
        <w:t xml:space="preserve"> </w:t>
      </w:r>
      <w:proofErr w:type="spellStart"/>
      <w:r>
        <w:t>poiblí</w:t>
      </w:r>
      <w:proofErr w:type="spellEnd"/>
      <w:r>
        <w:t xml:space="preserve">, </w:t>
      </w:r>
      <w:proofErr w:type="spellStart"/>
      <w:r>
        <w:t>easpa</w:t>
      </w:r>
      <w:proofErr w:type="spellEnd"/>
      <w:r>
        <w:t xml:space="preserve"> </w:t>
      </w:r>
      <w:proofErr w:type="spellStart"/>
      <w:r>
        <w:t>airgeadais</w:t>
      </w:r>
      <w:proofErr w:type="spellEnd"/>
      <w:r>
        <w:t xml:space="preserve"> </w:t>
      </w:r>
      <w:proofErr w:type="spellStart"/>
      <w:r>
        <w:t>agus</w:t>
      </w:r>
      <w:proofErr w:type="spellEnd"/>
      <w:r>
        <w:t xml:space="preserve"> an </w:t>
      </w:r>
      <w:proofErr w:type="spellStart"/>
      <w:r>
        <w:t>náire</w:t>
      </w:r>
      <w:proofErr w:type="spellEnd"/>
      <w:r>
        <w:t xml:space="preserve"> </w:t>
      </w:r>
      <w:proofErr w:type="spellStart"/>
      <w:r>
        <w:t>bheith</w:t>
      </w:r>
      <w:proofErr w:type="spellEnd"/>
      <w:r>
        <w:t xml:space="preserve"> </w:t>
      </w:r>
      <w:proofErr w:type="spellStart"/>
      <w:r>
        <w:t>ina</w:t>
      </w:r>
      <w:proofErr w:type="spellEnd"/>
      <w:r>
        <w:t xml:space="preserve"> </w:t>
      </w:r>
      <w:proofErr w:type="spellStart"/>
      <w:r>
        <w:t>mbacainní</w:t>
      </w:r>
      <w:proofErr w:type="spellEnd"/>
      <w:r>
        <w:t xml:space="preserve"> do </w:t>
      </w:r>
      <w:proofErr w:type="spellStart"/>
      <w:r>
        <w:t>chruthú</w:t>
      </w:r>
      <w:proofErr w:type="spellEnd"/>
      <w:r>
        <w:t xml:space="preserve"> </w:t>
      </w:r>
      <w:proofErr w:type="spellStart"/>
      <w:r>
        <w:t>na</w:t>
      </w:r>
      <w:proofErr w:type="spellEnd"/>
      <w:r>
        <w:t xml:space="preserve"> </w:t>
      </w:r>
      <w:proofErr w:type="spellStart"/>
      <w:r>
        <w:t>líonraí</w:t>
      </w:r>
      <w:proofErr w:type="spellEnd"/>
      <w:r>
        <w:t xml:space="preserve"> </w:t>
      </w:r>
      <w:proofErr w:type="spellStart"/>
      <w:r>
        <w:t>sóisialta</w:t>
      </w:r>
      <w:proofErr w:type="spellEnd"/>
      <w:r>
        <w:t xml:space="preserve"> (</w:t>
      </w:r>
      <w:proofErr w:type="spellStart"/>
      <w:r>
        <w:t>agus</w:t>
      </w:r>
      <w:proofErr w:type="spellEnd"/>
      <w:r>
        <w:t xml:space="preserve"> don </w:t>
      </w:r>
      <w:proofErr w:type="spellStart"/>
      <w:r>
        <w:t>tacaíocht</w:t>
      </w:r>
      <w:proofErr w:type="spellEnd"/>
      <w:r>
        <w:t xml:space="preserve"> </w:t>
      </w:r>
      <w:proofErr w:type="spellStart"/>
      <w:r>
        <w:t>shóisialta</w:t>
      </w:r>
      <w:proofErr w:type="spellEnd"/>
      <w:r>
        <w:t xml:space="preserve"> </w:t>
      </w:r>
      <w:proofErr w:type="spellStart"/>
      <w:r>
        <w:t>dá</w:t>
      </w:r>
      <w:proofErr w:type="spellEnd"/>
      <w:r>
        <w:t xml:space="preserve"> </w:t>
      </w:r>
      <w:proofErr w:type="spellStart"/>
      <w:r>
        <w:t>réir</w:t>
      </w:r>
      <w:proofErr w:type="spellEnd"/>
      <w:r>
        <w:t xml:space="preserve">). Is </w:t>
      </w:r>
      <w:proofErr w:type="spellStart"/>
      <w:r>
        <w:t>deacra</w:t>
      </w:r>
      <w:proofErr w:type="spellEnd"/>
      <w:r>
        <w:t xml:space="preserve"> do </w:t>
      </w:r>
      <w:proofErr w:type="spellStart"/>
      <w:r>
        <w:t>dhaoine</w:t>
      </w:r>
      <w:proofErr w:type="spellEnd"/>
      <w:r>
        <w:t xml:space="preserve"> le </w:t>
      </w:r>
      <w:proofErr w:type="spellStart"/>
      <w:r>
        <w:t>míchumas</w:t>
      </w:r>
      <w:proofErr w:type="spellEnd"/>
      <w:r>
        <w:t xml:space="preserve"> </w:t>
      </w:r>
      <w:proofErr w:type="spellStart"/>
      <w:r>
        <w:t>géar</w:t>
      </w:r>
      <w:proofErr w:type="spellEnd"/>
      <w:r>
        <w:t xml:space="preserve"> </w:t>
      </w:r>
      <w:proofErr w:type="spellStart"/>
      <w:r>
        <w:t>nó</w:t>
      </w:r>
      <w:proofErr w:type="spellEnd"/>
      <w:r>
        <w:t xml:space="preserve"> </w:t>
      </w:r>
      <w:proofErr w:type="spellStart"/>
      <w:r>
        <w:t>atá</w:t>
      </w:r>
      <w:proofErr w:type="spellEnd"/>
      <w:r>
        <w:t xml:space="preserve"> </w:t>
      </w:r>
      <w:proofErr w:type="spellStart"/>
      <w:r>
        <w:t>ar</w:t>
      </w:r>
      <w:proofErr w:type="spellEnd"/>
      <w:r>
        <w:t xml:space="preserve"> </w:t>
      </w:r>
      <w:proofErr w:type="spellStart"/>
      <w:r>
        <w:t>bheagan</w:t>
      </w:r>
      <w:proofErr w:type="spellEnd"/>
      <w:r>
        <w:t xml:space="preserve"> </w:t>
      </w:r>
      <w:proofErr w:type="spellStart"/>
      <w:r>
        <w:t>scileanna</w:t>
      </w:r>
      <w:proofErr w:type="spellEnd"/>
      <w:r>
        <w:t xml:space="preserve"> </w:t>
      </w:r>
      <w:proofErr w:type="spellStart"/>
      <w:r>
        <w:t>sóisialta</w:t>
      </w:r>
      <w:proofErr w:type="spellEnd"/>
      <w:r>
        <w:t xml:space="preserve"> </w:t>
      </w:r>
      <w:proofErr w:type="spellStart"/>
      <w:r>
        <w:t>líonraí</w:t>
      </w:r>
      <w:proofErr w:type="spellEnd"/>
      <w:r>
        <w:t xml:space="preserve"> </w:t>
      </w:r>
      <w:proofErr w:type="spellStart"/>
      <w:r>
        <w:t>sóisialta</w:t>
      </w:r>
      <w:proofErr w:type="spellEnd"/>
      <w:r>
        <w:t xml:space="preserve"> a </w:t>
      </w:r>
      <w:proofErr w:type="spellStart"/>
      <w:r>
        <w:t>chruthú</w:t>
      </w:r>
      <w:proofErr w:type="spellEnd"/>
      <w:r>
        <w:t xml:space="preserve"> </w:t>
      </w:r>
      <w:proofErr w:type="spellStart"/>
      <w:r>
        <w:t>chun</w:t>
      </w:r>
      <w:proofErr w:type="spellEnd"/>
      <w:r>
        <w:t xml:space="preserve"> </w:t>
      </w:r>
      <w:proofErr w:type="spellStart"/>
      <w:r>
        <w:t>tacaíocht</w:t>
      </w:r>
      <w:proofErr w:type="spellEnd"/>
      <w:r>
        <w:t xml:space="preserve"> </w:t>
      </w:r>
      <w:proofErr w:type="spellStart"/>
      <w:r>
        <w:t>neamhfhoirmiúil</w:t>
      </w:r>
      <w:proofErr w:type="spellEnd"/>
      <w:r>
        <w:t xml:space="preserve"> a </w:t>
      </w:r>
      <w:proofErr w:type="spellStart"/>
      <w:r>
        <w:t>sholáthar</w:t>
      </w:r>
      <w:proofErr w:type="spellEnd"/>
      <w:r>
        <w:t xml:space="preserve">. </w:t>
      </w:r>
    </w:p>
    <w:p w14:paraId="66A96B0A" w14:textId="77777777" w:rsidR="006C148C" w:rsidRDefault="006C148C">
      <w:proofErr w:type="spellStart"/>
      <w:r>
        <w:t>B'fhachtóir</w:t>
      </w:r>
      <w:proofErr w:type="spellEnd"/>
      <w:r>
        <w:t xml:space="preserve"> iad cleachtais na foirne sna cásanna ina bhfaigheann daoine seirbhísí </w:t>
      </w:r>
      <w:proofErr w:type="spellStart"/>
      <w:r>
        <w:t>míchumais</w:t>
      </w:r>
      <w:proofErr w:type="spellEnd"/>
      <w:r>
        <w:t xml:space="preserve">, ar nós an tosaíocht a thugtar don chúram thar </w:t>
      </w:r>
      <w:proofErr w:type="spellStart"/>
      <w:r>
        <w:t>rannpháirtíocht</w:t>
      </w:r>
      <w:proofErr w:type="spellEnd"/>
      <w:r>
        <w:t xml:space="preserve"> an </w:t>
      </w:r>
      <w:proofErr w:type="spellStart"/>
      <w:r>
        <w:t>phobail</w:t>
      </w:r>
      <w:proofErr w:type="spellEnd"/>
      <w:r>
        <w:t xml:space="preserve">. </w:t>
      </w:r>
      <w:proofErr w:type="spellStart"/>
      <w:r>
        <w:t>Tháing</w:t>
      </w:r>
      <w:proofErr w:type="spellEnd"/>
      <w:r>
        <w:t xml:space="preserve"> </w:t>
      </w:r>
      <w:proofErr w:type="spellStart"/>
      <w:r>
        <w:t>bainistiú</w:t>
      </w:r>
      <w:proofErr w:type="spellEnd"/>
      <w:r>
        <w:t xml:space="preserve"> an </w:t>
      </w:r>
      <w:proofErr w:type="spellStart"/>
      <w:r>
        <w:t>phriacail</w:t>
      </w:r>
      <w:proofErr w:type="spellEnd"/>
      <w:r>
        <w:t xml:space="preserve"> </w:t>
      </w:r>
      <w:proofErr w:type="spellStart"/>
      <w:r>
        <w:t>aníos</w:t>
      </w:r>
      <w:proofErr w:type="spellEnd"/>
      <w:r>
        <w:t xml:space="preserve"> ina </w:t>
      </w:r>
      <w:proofErr w:type="spellStart"/>
      <w:r>
        <w:t>eochair-bhacainn</w:t>
      </w:r>
      <w:proofErr w:type="spellEnd"/>
      <w:r>
        <w:t xml:space="preserve"> do </w:t>
      </w:r>
      <w:proofErr w:type="spellStart"/>
      <w:r>
        <w:t>chothú</w:t>
      </w:r>
      <w:proofErr w:type="spellEnd"/>
      <w:r>
        <w:t xml:space="preserve"> </w:t>
      </w:r>
      <w:proofErr w:type="spellStart"/>
      <w:r>
        <w:t>neamhspleáchais</w:t>
      </w:r>
      <w:proofErr w:type="spellEnd"/>
      <w:r>
        <w:t xml:space="preserve"> </w:t>
      </w:r>
      <w:proofErr w:type="spellStart"/>
      <w:r>
        <w:t>agus</w:t>
      </w:r>
      <w:proofErr w:type="spellEnd"/>
      <w:r>
        <w:t xml:space="preserve"> </w:t>
      </w:r>
      <w:proofErr w:type="spellStart"/>
      <w:r>
        <w:t>cuimsitheachta</w:t>
      </w:r>
      <w:proofErr w:type="spellEnd"/>
      <w:r>
        <w:t xml:space="preserve"> </w:t>
      </w:r>
      <w:proofErr w:type="spellStart"/>
      <w:r>
        <w:t>sóisialta</w:t>
      </w:r>
      <w:proofErr w:type="spellEnd"/>
      <w:r>
        <w:t xml:space="preserve"> </w:t>
      </w:r>
      <w:proofErr w:type="spellStart"/>
      <w:r>
        <w:t>ní</w:t>
      </w:r>
      <w:proofErr w:type="spellEnd"/>
      <w:r>
        <w:t xml:space="preserve"> </w:t>
      </w:r>
      <w:proofErr w:type="spellStart"/>
      <w:r>
        <w:t>ba</w:t>
      </w:r>
      <w:proofErr w:type="spellEnd"/>
      <w:r>
        <w:t xml:space="preserve"> </w:t>
      </w:r>
      <w:proofErr w:type="spellStart"/>
      <w:r>
        <w:t>mhó</w:t>
      </w:r>
      <w:proofErr w:type="spellEnd"/>
      <w:r>
        <w:t xml:space="preserve"> ag foireann na </w:t>
      </w:r>
      <w:proofErr w:type="spellStart"/>
      <w:r>
        <w:t>soláthróirí</w:t>
      </w:r>
      <w:proofErr w:type="spellEnd"/>
      <w:r>
        <w:t xml:space="preserve"> seirbhíse.</w:t>
      </w:r>
    </w:p>
    <w:p w14:paraId="0C7C4909" w14:textId="77777777" w:rsidR="006C148C" w:rsidRDefault="006C148C">
      <w:r>
        <w:t xml:space="preserve">Léiríodh san athbhreithniú gurbh iad na beartais soiléire faoi réir na </w:t>
      </w:r>
      <w:proofErr w:type="spellStart"/>
      <w:r>
        <w:t>monatóireachta</w:t>
      </w:r>
      <w:proofErr w:type="spellEnd"/>
      <w:r>
        <w:t xml:space="preserve"> agus athrú béascna sa </w:t>
      </w:r>
      <w:proofErr w:type="spellStart"/>
      <w:r>
        <w:t>chaoin</w:t>
      </w:r>
      <w:proofErr w:type="spellEnd"/>
      <w:r>
        <w:t xml:space="preserve"> ina </w:t>
      </w:r>
      <w:proofErr w:type="spellStart"/>
      <w:r>
        <w:t>seachadtar</w:t>
      </w:r>
      <w:proofErr w:type="spellEnd"/>
      <w:r>
        <w:t xml:space="preserve"> seirbhísí a </w:t>
      </w:r>
      <w:proofErr w:type="spellStart"/>
      <w:r>
        <w:t>d'éascaigh</w:t>
      </w:r>
      <w:proofErr w:type="spellEnd"/>
      <w:r>
        <w:t xml:space="preserve"> do ghníomhaíocht ní ba mhó ag </w:t>
      </w:r>
      <w:proofErr w:type="gramStart"/>
      <w:r>
        <w:t>an</w:t>
      </w:r>
      <w:proofErr w:type="gramEnd"/>
      <w:r>
        <w:t xml:space="preserve"> </w:t>
      </w:r>
      <w:proofErr w:type="spellStart"/>
      <w:r>
        <w:t>bpobal</w:t>
      </w:r>
      <w:proofErr w:type="spellEnd"/>
      <w:r>
        <w:t xml:space="preserve"> </w:t>
      </w:r>
      <w:proofErr w:type="spellStart"/>
      <w:r>
        <w:t>agus</w:t>
      </w:r>
      <w:proofErr w:type="spellEnd"/>
      <w:r>
        <w:t xml:space="preserve"> </w:t>
      </w:r>
      <w:proofErr w:type="spellStart"/>
      <w:r>
        <w:t>d'fhorás</w:t>
      </w:r>
      <w:proofErr w:type="spellEnd"/>
      <w:r>
        <w:t xml:space="preserve"> </w:t>
      </w:r>
      <w:proofErr w:type="spellStart"/>
      <w:r>
        <w:t>sa</w:t>
      </w:r>
      <w:proofErr w:type="spellEnd"/>
      <w:r>
        <w:t xml:space="preserve"> </w:t>
      </w:r>
      <w:proofErr w:type="spellStart"/>
      <w:r>
        <w:t>tacaíocht</w:t>
      </w:r>
      <w:proofErr w:type="spellEnd"/>
      <w:r>
        <w:t xml:space="preserve"> </w:t>
      </w:r>
      <w:proofErr w:type="spellStart"/>
      <w:r>
        <w:t>nádúrtha</w:t>
      </w:r>
      <w:proofErr w:type="spellEnd"/>
      <w:r>
        <w:t xml:space="preserve">. Is </w:t>
      </w:r>
      <w:proofErr w:type="spellStart"/>
      <w:r>
        <w:t>eochaircheist</w:t>
      </w:r>
      <w:proofErr w:type="spellEnd"/>
      <w:r>
        <w:t xml:space="preserve"> í </w:t>
      </w:r>
      <w:proofErr w:type="spellStart"/>
      <w:r>
        <w:t>oiliúint</w:t>
      </w:r>
      <w:proofErr w:type="spellEnd"/>
      <w:r>
        <w:t xml:space="preserve"> </w:t>
      </w:r>
      <w:proofErr w:type="spellStart"/>
      <w:r>
        <w:t>na</w:t>
      </w:r>
      <w:proofErr w:type="spellEnd"/>
      <w:r>
        <w:t xml:space="preserve"> </w:t>
      </w:r>
      <w:proofErr w:type="spellStart"/>
      <w:r>
        <w:t>foirne</w:t>
      </w:r>
      <w:proofErr w:type="spellEnd"/>
      <w:r>
        <w:t xml:space="preserve">, </w:t>
      </w:r>
      <w:proofErr w:type="spellStart"/>
      <w:r>
        <w:t>chomh</w:t>
      </w:r>
      <w:proofErr w:type="spellEnd"/>
      <w:r>
        <w:t xml:space="preserve"> </w:t>
      </w:r>
      <w:proofErr w:type="spellStart"/>
      <w:r>
        <w:t>maith</w:t>
      </w:r>
      <w:proofErr w:type="spellEnd"/>
      <w:r>
        <w:t xml:space="preserve"> le </w:t>
      </w:r>
      <w:proofErr w:type="spellStart"/>
      <w:r>
        <w:t>rólanna</w:t>
      </w:r>
      <w:proofErr w:type="spellEnd"/>
      <w:r>
        <w:t xml:space="preserve"> </w:t>
      </w:r>
      <w:proofErr w:type="spellStart"/>
      <w:r>
        <w:t>saintiomanta</w:t>
      </w:r>
      <w:proofErr w:type="spellEnd"/>
      <w:r>
        <w:t xml:space="preserve"> </w:t>
      </w:r>
      <w:proofErr w:type="spellStart"/>
      <w:r>
        <w:t>chun</w:t>
      </w:r>
      <w:proofErr w:type="spellEnd"/>
      <w:r>
        <w:t xml:space="preserve"> </w:t>
      </w:r>
      <w:proofErr w:type="spellStart"/>
      <w:r>
        <w:lastRenderedPageBreak/>
        <w:t>saothrú</w:t>
      </w:r>
      <w:proofErr w:type="spellEnd"/>
      <w:r>
        <w:t xml:space="preserve"> le </w:t>
      </w:r>
      <w:proofErr w:type="spellStart"/>
      <w:r>
        <w:t>daoine</w:t>
      </w:r>
      <w:proofErr w:type="spellEnd"/>
      <w:r>
        <w:t xml:space="preserve"> le </w:t>
      </w:r>
      <w:proofErr w:type="spellStart"/>
      <w:r>
        <w:t>míchumas</w:t>
      </w:r>
      <w:proofErr w:type="spellEnd"/>
      <w:r>
        <w:t xml:space="preserve"> </w:t>
      </w:r>
      <w:proofErr w:type="spellStart"/>
      <w:r>
        <w:t>chun</w:t>
      </w:r>
      <w:proofErr w:type="spellEnd"/>
      <w:r>
        <w:t xml:space="preserve"> </w:t>
      </w:r>
      <w:proofErr w:type="spellStart"/>
      <w:r>
        <w:t>naisc</w:t>
      </w:r>
      <w:proofErr w:type="spellEnd"/>
      <w:r>
        <w:t xml:space="preserve"> </w:t>
      </w:r>
      <w:proofErr w:type="spellStart"/>
      <w:r>
        <w:t>lena</w:t>
      </w:r>
      <w:proofErr w:type="spellEnd"/>
      <w:r>
        <w:t xml:space="preserve"> </w:t>
      </w:r>
      <w:proofErr w:type="spellStart"/>
      <w:r>
        <w:t>bpobail</w:t>
      </w:r>
      <w:proofErr w:type="spellEnd"/>
      <w:r>
        <w:t xml:space="preserve"> áitiúla a thógáil.  Aithnítear freisin </w:t>
      </w:r>
      <w:proofErr w:type="spellStart"/>
      <w:r>
        <w:t>chun</w:t>
      </w:r>
      <w:proofErr w:type="spellEnd"/>
      <w:r>
        <w:t xml:space="preserve"> </w:t>
      </w:r>
      <w:proofErr w:type="spellStart"/>
      <w:r>
        <w:t>tacú</w:t>
      </w:r>
      <w:proofErr w:type="spellEnd"/>
      <w:r>
        <w:t xml:space="preserve"> </w:t>
      </w:r>
      <w:proofErr w:type="spellStart"/>
      <w:r>
        <w:t>leo</w:t>
      </w:r>
      <w:proofErr w:type="spellEnd"/>
      <w:r>
        <w:t xml:space="preserve"> </w:t>
      </w:r>
      <w:proofErr w:type="spellStart"/>
      <w:r>
        <w:t>siúd</w:t>
      </w:r>
      <w:proofErr w:type="spellEnd"/>
      <w:r>
        <w:t xml:space="preserve"> a sholáthraíonn tacaíocht nádúrtha. </w:t>
      </w:r>
    </w:p>
    <w:p w14:paraId="170A9A84" w14:textId="77777777" w:rsidR="006C148C" w:rsidRDefault="006C148C">
      <w:pPr>
        <w:pStyle w:val="Heading3"/>
      </w:pPr>
      <w:bookmarkStart w:id="382" w:name="_Toc335836486"/>
      <w:r>
        <w:t xml:space="preserve">Taighde idir </w:t>
      </w:r>
      <w:proofErr w:type="spellStart"/>
      <w:r>
        <w:t>lámha</w:t>
      </w:r>
      <w:bookmarkEnd w:id="382"/>
      <w:proofErr w:type="spellEnd"/>
    </w:p>
    <w:p w14:paraId="0CD66EEE" w14:textId="77777777" w:rsidR="006C148C" w:rsidRDefault="006C148C">
      <w:pPr>
        <w:pStyle w:val="ListBullet"/>
        <w:numPr>
          <w:ilvl w:val="0"/>
          <w:numId w:val="0"/>
        </w:numPr>
        <w:spacing w:after="240"/>
      </w:pPr>
      <w:proofErr w:type="spellStart"/>
      <w:r>
        <w:t>Doiciméadaítear</w:t>
      </w:r>
      <w:proofErr w:type="spellEnd"/>
      <w:r>
        <w:t xml:space="preserve"> sa dara saothar </w:t>
      </w:r>
      <w:proofErr w:type="spellStart"/>
      <w:r>
        <w:t>tionscadail</w:t>
      </w:r>
      <w:proofErr w:type="spellEnd"/>
      <w:r>
        <w:t xml:space="preserve"> a bhaineann le cur chun </w:t>
      </w:r>
      <w:proofErr w:type="spellStart"/>
      <w:r>
        <w:t>cinn</w:t>
      </w:r>
      <w:proofErr w:type="spellEnd"/>
      <w:r>
        <w:t xml:space="preserve"> </w:t>
      </w:r>
      <w:proofErr w:type="spellStart"/>
      <w:r>
        <w:t>líonraí</w:t>
      </w:r>
      <w:proofErr w:type="spellEnd"/>
      <w:r>
        <w:t xml:space="preserve"> </w:t>
      </w:r>
      <w:proofErr w:type="spellStart"/>
      <w:r>
        <w:t>agus</w:t>
      </w:r>
      <w:proofErr w:type="spellEnd"/>
      <w:r>
        <w:t xml:space="preserve"> </w:t>
      </w:r>
      <w:proofErr w:type="spellStart"/>
      <w:r>
        <w:t>tacaíochtaí</w:t>
      </w:r>
      <w:proofErr w:type="spellEnd"/>
      <w:r>
        <w:t xml:space="preserve"> </w:t>
      </w:r>
      <w:proofErr w:type="spellStart"/>
      <w:r>
        <w:t>nádúrtha</w:t>
      </w:r>
      <w:proofErr w:type="spellEnd"/>
      <w:r>
        <w:t xml:space="preserve"> arna </w:t>
      </w:r>
      <w:proofErr w:type="spellStart"/>
      <w:r>
        <w:t>dtaisceadh</w:t>
      </w:r>
      <w:proofErr w:type="spellEnd"/>
      <w:r>
        <w:t xml:space="preserve"> ag </w:t>
      </w:r>
      <w:proofErr w:type="spellStart"/>
      <w:r>
        <w:t>sampla</w:t>
      </w:r>
      <w:proofErr w:type="spellEnd"/>
      <w:r>
        <w:t xml:space="preserve"> </w:t>
      </w:r>
      <w:proofErr w:type="spellStart"/>
      <w:r>
        <w:t>soláthróirí</w:t>
      </w:r>
      <w:proofErr w:type="spellEnd"/>
      <w:r>
        <w:t xml:space="preserve"> </w:t>
      </w:r>
      <w:proofErr w:type="spellStart"/>
      <w:r>
        <w:t>seirbhíse</w:t>
      </w:r>
      <w:proofErr w:type="spellEnd"/>
      <w:r>
        <w:t xml:space="preserve">. </w:t>
      </w:r>
      <w:proofErr w:type="spellStart"/>
      <w:r>
        <w:t>Rinneadh</w:t>
      </w:r>
      <w:proofErr w:type="spellEnd"/>
      <w:r>
        <w:t xml:space="preserve"> </w:t>
      </w:r>
      <w:proofErr w:type="spellStart"/>
      <w:r>
        <w:t>suirbhé</w:t>
      </w:r>
      <w:proofErr w:type="spellEnd"/>
      <w:r>
        <w:t xml:space="preserve"> </w:t>
      </w:r>
      <w:proofErr w:type="spellStart"/>
      <w:r>
        <w:t>sa</w:t>
      </w:r>
      <w:proofErr w:type="spellEnd"/>
      <w:r>
        <w:t xml:space="preserve"> </w:t>
      </w:r>
      <w:proofErr w:type="spellStart"/>
      <w:r>
        <w:t>tríú</w:t>
      </w:r>
      <w:proofErr w:type="spellEnd"/>
      <w:r>
        <w:t xml:space="preserve"> </w:t>
      </w:r>
      <w:proofErr w:type="spellStart"/>
      <w:r>
        <w:t>saothar</w:t>
      </w:r>
      <w:proofErr w:type="spellEnd"/>
      <w:r>
        <w:t xml:space="preserve"> </w:t>
      </w:r>
      <w:proofErr w:type="spellStart"/>
      <w:r>
        <w:t>ar</w:t>
      </w:r>
      <w:proofErr w:type="spellEnd"/>
      <w:r>
        <w:t xml:space="preserve"> </w:t>
      </w:r>
      <w:proofErr w:type="spellStart"/>
      <w:r>
        <w:t>dhaoine</w:t>
      </w:r>
      <w:proofErr w:type="spellEnd"/>
      <w:r>
        <w:t xml:space="preserve"> le </w:t>
      </w:r>
      <w:proofErr w:type="spellStart"/>
      <w:r>
        <w:t>míchumas</w:t>
      </w:r>
      <w:proofErr w:type="spellEnd"/>
      <w:r>
        <w:t xml:space="preserve"> a </w:t>
      </w:r>
      <w:proofErr w:type="spellStart"/>
      <w:r>
        <w:t>chónaíonn</w:t>
      </w:r>
      <w:proofErr w:type="spellEnd"/>
      <w:r>
        <w:t xml:space="preserve"> go </w:t>
      </w:r>
      <w:proofErr w:type="spellStart"/>
      <w:r>
        <w:t>neamhspleách</w:t>
      </w:r>
      <w:proofErr w:type="spellEnd"/>
      <w:r>
        <w:t xml:space="preserve"> leis </w:t>
      </w:r>
      <w:proofErr w:type="spellStart"/>
      <w:r>
        <w:t>na</w:t>
      </w:r>
      <w:proofErr w:type="spellEnd"/>
      <w:r>
        <w:t xml:space="preserve"> </w:t>
      </w:r>
      <w:proofErr w:type="spellStart"/>
      <w:r>
        <w:t>tacaíochtaí</w:t>
      </w:r>
      <w:proofErr w:type="spellEnd"/>
      <w:r>
        <w:t xml:space="preserve"> </w:t>
      </w:r>
      <w:proofErr w:type="spellStart"/>
      <w:r>
        <w:t>pobail</w:t>
      </w:r>
      <w:proofErr w:type="spellEnd"/>
      <w:r>
        <w:t xml:space="preserve"> a </w:t>
      </w:r>
      <w:proofErr w:type="spellStart"/>
      <w:r>
        <w:t>dtugtar</w:t>
      </w:r>
      <w:proofErr w:type="spellEnd"/>
      <w:r>
        <w:t xml:space="preserve"> </w:t>
      </w:r>
      <w:proofErr w:type="spellStart"/>
      <w:r>
        <w:t>dóibh</w:t>
      </w:r>
      <w:proofErr w:type="spellEnd"/>
      <w:r>
        <w:t xml:space="preserve"> </w:t>
      </w:r>
      <w:proofErr w:type="spellStart"/>
      <w:r>
        <w:t>chun</w:t>
      </w:r>
      <w:proofErr w:type="spellEnd"/>
      <w:r>
        <w:t xml:space="preserve"> </w:t>
      </w:r>
      <w:proofErr w:type="spellStart"/>
      <w:r>
        <w:t>fanacht</w:t>
      </w:r>
      <w:proofErr w:type="spellEnd"/>
      <w:r>
        <w:t xml:space="preserve"> </w:t>
      </w:r>
      <w:proofErr w:type="spellStart"/>
      <w:r>
        <w:t>neamhspleách</w:t>
      </w:r>
      <w:proofErr w:type="spellEnd"/>
      <w:r>
        <w:t xml:space="preserve"> a </w:t>
      </w:r>
      <w:proofErr w:type="spellStart"/>
      <w:r>
        <w:t>fháil</w:t>
      </w:r>
      <w:proofErr w:type="spellEnd"/>
      <w:r>
        <w:t xml:space="preserve"> </w:t>
      </w:r>
      <w:proofErr w:type="spellStart"/>
      <w:r>
        <w:t>amach</w:t>
      </w:r>
      <w:proofErr w:type="spellEnd"/>
      <w:r>
        <w:t xml:space="preserve">. </w:t>
      </w:r>
      <w:proofErr w:type="spellStart"/>
      <w:r>
        <w:t>Tabharfar</w:t>
      </w:r>
      <w:proofErr w:type="spellEnd"/>
      <w:r>
        <w:t xml:space="preserve"> </w:t>
      </w:r>
      <w:proofErr w:type="spellStart"/>
      <w:r>
        <w:t>na</w:t>
      </w:r>
      <w:proofErr w:type="spellEnd"/>
      <w:r>
        <w:t xml:space="preserve"> </w:t>
      </w:r>
      <w:proofErr w:type="spellStart"/>
      <w:r>
        <w:t>tuarascálacha</w:t>
      </w:r>
      <w:proofErr w:type="spellEnd"/>
      <w:r>
        <w:t xml:space="preserve"> sin </w:t>
      </w:r>
      <w:proofErr w:type="spellStart"/>
      <w:r>
        <w:t>chun</w:t>
      </w:r>
      <w:proofErr w:type="spellEnd"/>
      <w:r>
        <w:t xml:space="preserve"> </w:t>
      </w:r>
      <w:proofErr w:type="spellStart"/>
      <w:r>
        <w:t>críche</w:t>
      </w:r>
      <w:proofErr w:type="spellEnd"/>
      <w:r>
        <w:t xml:space="preserve"> </w:t>
      </w:r>
      <w:proofErr w:type="spellStart"/>
      <w:r>
        <w:t>sa</w:t>
      </w:r>
      <w:proofErr w:type="spellEnd"/>
      <w:r>
        <w:t xml:space="preserve"> </w:t>
      </w:r>
      <w:proofErr w:type="spellStart"/>
      <w:proofErr w:type="gramStart"/>
      <w:r>
        <w:t>bhliain</w:t>
      </w:r>
      <w:proofErr w:type="spellEnd"/>
      <w:r>
        <w:t xml:space="preserve">  2012</w:t>
      </w:r>
      <w:proofErr w:type="gramEnd"/>
      <w:r>
        <w:t>.</w:t>
      </w:r>
    </w:p>
    <w:p w14:paraId="196A640D" w14:textId="77777777" w:rsidR="006C148C" w:rsidRDefault="006C148C">
      <w:pPr>
        <w:pStyle w:val="Heading2"/>
      </w:pPr>
      <w:bookmarkStart w:id="383" w:name="_Toc335836487"/>
      <w:r>
        <w:t xml:space="preserve">Páipéir </w:t>
      </w:r>
      <w:proofErr w:type="spellStart"/>
      <w:r>
        <w:t>Choimisiúnaithe</w:t>
      </w:r>
      <w:proofErr w:type="spellEnd"/>
      <w:r>
        <w:t xml:space="preserve"> le </w:t>
      </w:r>
      <w:proofErr w:type="spellStart"/>
      <w:r>
        <w:t>hachoimre</w:t>
      </w:r>
      <w:proofErr w:type="spellEnd"/>
      <w:r>
        <w:t xml:space="preserve"> a thabhairt den fhianaise </w:t>
      </w:r>
      <w:proofErr w:type="spellStart"/>
      <w:r>
        <w:t>reatha</w:t>
      </w:r>
      <w:bookmarkEnd w:id="383"/>
      <w:proofErr w:type="spellEnd"/>
    </w:p>
    <w:p w14:paraId="218CF40E" w14:textId="77777777" w:rsidR="006C148C" w:rsidRDefault="006C148C">
      <w:proofErr w:type="spellStart"/>
      <w:r>
        <w:t>Choimisiúnaigh</w:t>
      </w:r>
      <w:proofErr w:type="spellEnd"/>
      <w:r>
        <w:t xml:space="preserve"> </w:t>
      </w:r>
      <w:r>
        <w:rPr>
          <w:lang w:val="en-GB"/>
        </w:rPr>
        <w:t xml:space="preserve">an </w:t>
      </w:r>
      <w:proofErr w:type="spellStart"/>
      <w:r>
        <w:rPr>
          <w:lang w:val="en-GB"/>
        </w:rPr>
        <w:t>tÚdarás</w:t>
      </w:r>
      <w:proofErr w:type="spellEnd"/>
      <w:r>
        <w:rPr>
          <w:lang w:val="en-GB"/>
        </w:rPr>
        <w:t xml:space="preserve"> Náisiúnta </w:t>
      </w:r>
      <w:proofErr w:type="spellStart"/>
      <w:r>
        <w:rPr>
          <w:lang w:val="en-GB"/>
        </w:rPr>
        <w:t>Míchumais</w:t>
      </w:r>
      <w:proofErr w:type="spellEnd"/>
      <w:r>
        <w:rPr>
          <w:lang w:val="en-GB"/>
        </w:rPr>
        <w:t xml:space="preserve"> Ollscoil na </w:t>
      </w:r>
      <w:proofErr w:type="spellStart"/>
      <w:r>
        <w:rPr>
          <w:lang w:val="en-GB"/>
        </w:rPr>
        <w:t>Banríona</w:t>
      </w:r>
      <w:proofErr w:type="spellEnd"/>
      <w:r>
        <w:rPr>
          <w:lang w:val="en-GB"/>
        </w:rPr>
        <w:t xml:space="preserve">, </w:t>
      </w:r>
      <w:proofErr w:type="spellStart"/>
      <w:r>
        <w:rPr>
          <w:lang w:val="en-GB"/>
        </w:rPr>
        <w:t>Béal</w:t>
      </w:r>
      <w:proofErr w:type="spellEnd"/>
      <w:r>
        <w:rPr>
          <w:lang w:val="en-GB"/>
        </w:rPr>
        <w:t xml:space="preserve"> </w:t>
      </w:r>
      <w:proofErr w:type="spellStart"/>
      <w:r>
        <w:rPr>
          <w:lang w:val="en-GB"/>
        </w:rPr>
        <w:t>Feirste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mí</w:t>
      </w:r>
      <w:proofErr w:type="spellEnd"/>
      <w:r>
        <w:rPr>
          <w:lang w:val="en-GB"/>
        </w:rPr>
        <w:t xml:space="preserve"> an </w:t>
      </w:r>
      <w:proofErr w:type="spellStart"/>
      <w:r>
        <w:rPr>
          <w:lang w:val="en-GB"/>
        </w:rPr>
        <w:t>Mheithimh</w:t>
      </w:r>
      <w:proofErr w:type="spellEnd"/>
      <w:r>
        <w:rPr>
          <w:lang w:val="en-GB"/>
        </w:rPr>
        <w:t xml:space="preserve"> </w:t>
      </w:r>
      <w:r>
        <w:t xml:space="preserve">2011, </w:t>
      </w:r>
      <w:proofErr w:type="spellStart"/>
      <w:r>
        <w:t>chun</w:t>
      </w:r>
      <w:proofErr w:type="spellEnd"/>
      <w:r>
        <w:t xml:space="preserve"> </w:t>
      </w:r>
      <w:proofErr w:type="spellStart"/>
      <w:r>
        <w:t>trí</w:t>
      </w:r>
      <w:proofErr w:type="spellEnd"/>
      <w:r>
        <w:t xml:space="preserve"> </w:t>
      </w:r>
      <w:proofErr w:type="spellStart"/>
      <w:r>
        <w:t>phlépháipéar</w:t>
      </w:r>
      <w:proofErr w:type="spellEnd"/>
      <w:r>
        <w:t xml:space="preserve"> a </w:t>
      </w:r>
      <w:proofErr w:type="spellStart"/>
      <w:r>
        <w:t>fhorbairt</w:t>
      </w:r>
      <w:proofErr w:type="spellEnd"/>
      <w:r>
        <w:t xml:space="preserve"> </w:t>
      </w:r>
      <w:proofErr w:type="spellStart"/>
      <w:r>
        <w:t>i</w:t>
      </w:r>
      <w:proofErr w:type="spellEnd"/>
      <w:r>
        <w:t xml:space="preserve"> </w:t>
      </w:r>
      <w:proofErr w:type="spellStart"/>
      <w:r>
        <w:t>leith</w:t>
      </w:r>
      <w:proofErr w:type="spellEnd"/>
      <w:r>
        <w:t xml:space="preserve"> </w:t>
      </w:r>
      <w:proofErr w:type="spellStart"/>
      <w:r>
        <w:t>eochairábhar</w:t>
      </w:r>
      <w:proofErr w:type="spellEnd"/>
      <w:r>
        <w:t xml:space="preserve"> </w:t>
      </w:r>
      <w:proofErr w:type="spellStart"/>
      <w:r>
        <w:t>beartais</w:t>
      </w:r>
      <w:proofErr w:type="spellEnd"/>
      <w:r>
        <w:t xml:space="preserve">, mar </w:t>
      </w:r>
      <w:proofErr w:type="spellStart"/>
      <w:r>
        <w:t>achoimriú</w:t>
      </w:r>
      <w:proofErr w:type="spellEnd"/>
      <w:r>
        <w:t xml:space="preserve"> den </w:t>
      </w:r>
      <w:proofErr w:type="spellStart"/>
      <w:r>
        <w:t>fhianaise</w:t>
      </w:r>
      <w:proofErr w:type="spellEnd"/>
      <w:r>
        <w:t xml:space="preserve"> </w:t>
      </w:r>
      <w:proofErr w:type="spellStart"/>
      <w:r>
        <w:t>reatha</w:t>
      </w:r>
      <w:proofErr w:type="spellEnd"/>
      <w:r>
        <w:t xml:space="preserve"> </w:t>
      </w:r>
      <w:proofErr w:type="spellStart"/>
      <w:r>
        <w:t>sna</w:t>
      </w:r>
      <w:proofErr w:type="spellEnd"/>
      <w:r>
        <w:t xml:space="preserve"> </w:t>
      </w:r>
      <w:proofErr w:type="spellStart"/>
      <w:r>
        <w:t>limistéir</w:t>
      </w:r>
      <w:proofErr w:type="spellEnd"/>
      <w:r>
        <w:t xml:space="preserve"> </w:t>
      </w:r>
      <w:proofErr w:type="spellStart"/>
      <w:r>
        <w:t>úd</w:t>
      </w:r>
      <w:proofErr w:type="spellEnd"/>
      <w:r>
        <w:t xml:space="preserve"> de </w:t>
      </w:r>
      <w:proofErr w:type="spellStart"/>
      <w:r>
        <w:t>réir</w:t>
      </w:r>
      <w:proofErr w:type="spellEnd"/>
      <w:r>
        <w:t xml:space="preserve"> mar a </w:t>
      </w:r>
      <w:proofErr w:type="spellStart"/>
      <w:r>
        <w:t>bhaineann</w:t>
      </w:r>
      <w:proofErr w:type="spellEnd"/>
      <w:r>
        <w:t xml:space="preserve"> </w:t>
      </w:r>
      <w:proofErr w:type="spellStart"/>
      <w:r>
        <w:t>sí</w:t>
      </w:r>
      <w:proofErr w:type="spellEnd"/>
      <w:r>
        <w:t xml:space="preserve"> leis an </w:t>
      </w:r>
      <w:proofErr w:type="spellStart"/>
      <w:r>
        <w:t>míchumas</w:t>
      </w:r>
      <w:proofErr w:type="spellEnd"/>
      <w:r>
        <w:t xml:space="preserve">. Ba </w:t>
      </w:r>
      <w:proofErr w:type="spellStart"/>
      <w:r>
        <w:t>iad</w:t>
      </w:r>
      <w:proofErr w:type="spellEnd"/>
      <w:r>
        <w:t xml:space="preserve"> </w:t>
      </w:r>
      <w:proofErr w:type="spellStart"/>
      <w:r>
        <w:t>na</w:t>
      </w:r>
      <w:proofErr w:type="spellEnd"/>
      <w:r>
        <w:t xml:space="preserve"> </w:t>
      </w:r>
      <w:proofErr w:type="spellStart"/>
      <w:r>
        <w:t>trí</w:t>
      </w:r>
      <w:proofErr w:type="spellEnd"/>
      <w:r>
        <w:t xml:space="preserve"> </w:t>
      </w:r>
      <w:proofErr w:type="spellStart"/>
      <w:r>
        <w:t>ábhar</w:t>
      </w:r>
      <w:proofErr w:type="spellEnd"/>
      <w:r>
        <w:t>:</w:t>
      </w:r>
    </w:p>
    <w:p w14:paraId="377B92CE" w14:textId="77777777" w:rsidR="006C148C" w:rsidRDefault="006C148C">
      <w:pPr>
        <w:pStyle w:val="ListBullet"/>
      </w:pPr>
      <w:r>
        <w:t xml:space="preserve">Athbhreithniú ar chórais árachais sláinte </w:t>
      </w:r>
      <w:proofErr w:type="spellStart"/>
      <w:r>
        <w:t>sóisialta</w:t>
      </w:r>
      <w:proofErr w:type="spellEnd"/>
      <w:r>
        <w:t xml:space="preserve"> </w:t>
      </w:r>
      <w:proofErr w:type="spellStart"/>
      <w:r>
        <w:t>agus</w:t>
      </w:r>
      <w:proofErr w:type="spellEnd"/>
      <w:r>
        <w:t xml:space="preserve"> </w:t>
      </w:r>
      <w:proofErr w:type="spellStart"/>
      <w:r>
        <w:t>soláthar</w:t>
      </w:r>
      <w:proofErr w:type="spellEnd"/>
      <w:r>
        <w:t xml:space="preserve"> </w:t>
      </w:r>
      <w:proofErr w:type="spellStart"/>
      <w:r>
        <w:t>seirbhísí</w:t>
      </w:r>
      <w:proofErr w:type="spellEnd"/>
      <w:r>
        <w:t xml:space="preserve"> </w:t>
      </w:r>
      <w:proofErr w:type="spellStart"/>
      <w:r>
        <w:t>sláinte</w:t>
      </w:r>
      <w:proofErr w:type="spellEnd"/>
      <w:r>
        <w:t xml:space="preserve"> do </w:t>
      </w:r>
      <w:proofErr w:type="spellStart"/>
      <w:r>
        <w:t>dhaoine</w:t>
      </w:r>
      <w:proofErr w:type="spellEnd"/>
      <w:r>
        <w:t xml:space="preserve"> le </w:t>
      </w:r>
      <w:proofErr w:type="spellStart"/>
      <w:r>
        <w:t>míchumas</w:t>
      </w:r>
      <w:proofErr w:type="spellEnd"/>
      <w:r>
        <w:t xml:space="preserve"> </w:t>
      </w:r>
      <w:proofErr w:type="spellStart"/>
      <w:r>
        <w:t>i</w:t>
      </w:r>
      <w:proofErr w:type="spellEnd"/>
      <w:r>
        <w:t xml:space="preserve"> </w:t>
      </w:r>
      <w:proofErr w:type="spellStart"/>
      <w:r>
        <w:t>ndlínsí</w:t>
      </w:r>
      <w:proofErr w:type="spellEnd"/>
      <w:r>
        <w:t xml:space="preserve"> </w:t>
      </w:r>
      <w:proofErr w:type="spellStart"/>
      <w:r>
        <w:t>sonraithe</w:t>
      </w:r>
      <w:proofErr w:type="spellEnd"/>
      <w:r>
        <w:t xml:space="preserve"> </w:t>
      </w:r>
    </w:p>
    <w:p w14:paraId="1ABBBAE3" w14:textId="77777777" w:rsidR="006C148C" w:rsidRDefault="006C148C">
      <w:pPr>
        <w:pStyle w:val="ListBullet"/>
      </w:pPr>
      <w:proofErr w:type="gramStart"/>
      <w:r>
        <w:t>An</w:t>
      </w:r>
      <w:proofErr w:type="gramEnd"/>
      <w:r>
        <w:t xml:space="preserve"> </w:t>
      </w:r>
      <w:proofErr w:type="spellStart"/>
      <w:r>
        <w:t>dea-chleachtas</w:t>
      </w:r>
      <w:proofErr w:type="spellEnd"/>
      <w:r>
        <w:t xml:space="preserve"> sa </w:t>
      </w:r>
      <w:proofErr w:type="spellStart"/>
      <w:r>
        <w:t>chinnteoireacht</w:t>
      </w:r>
      <w:proofErr w:type="spellEnd"/>
      <w:r>
        <w:t xml:space="preserve"> le tacaíocht faoi reachtaíocht nua-aimseartha na </w:t>
      </w:r>
      <w:proofErr w:type="spellStart"/>
      <w:r>
        <w:t>hinniúlachta</w:t>
      </w:r>
      <w:proofErr w:type="spellEnd"/>
      <w:r>
        <w:t xml:space="preserve"> </w:t>
      </w:r>
      <w:proofErr w:type="spellStart"/>
      <w:r>
        <w:t>meabhrach</w:t>
      </w:r>
      <w:proofErr w:type="spellEnd"/>
    </w:p>
    <w:p w14:paraId="2EFD45F9" w14:textId="77777777" w:rsidR="006C148C" w:rsidRDefault="006C148C">
      <w:pPr>
        <w:pStyle w:val="ListBullet"/>
        <w:spacing w:after="240"/>
      </w:pPr>
      <w:r>
        <w:t xml:space="preserve">An t-aistriú chuig </w:t>
      </w:r>
      <w:proofErr w:type="spellStart"/>
      <w:r>
        <w:t>buiséid</w:t>
      </w:r>
      <w:proofErr w:type="spellEnd"/>
      <w:r>
        <w:t xml:space="preserve"> phearsanta do </w:t>
      </w:r>
      <w:proofErr w:type="spellStart"/>
      <w:r>
        <w:t>dhaoine</w:t>
      </w:r>
      <w:proofErr w:type="spellEnd"/>
      <w:r>
        <w:t xml:space="preserve"> le </w:t>
      </w:r>
      <w:proofErr w:type="spellStart"/>
      <w:r>
        <w:t>míchumas</w:t>
      </w:r>
      <w:proofErr w:type="spellEnd"/>
      <w:r>
        <w:t xml:space="preserve">: </w:t>
      </w:r>
      <w:proofErr w:type="spellStart"/>
      <w:r>
        <w:t>athbhreithniú</w:t>
      </w:r>
      <w:proofErr w:type="spellEnd"/>
      <w:r>
        <w:t xml:space="preserve"> </w:t>
      </w:r>
      <w:proofErr w:type="spellStart"/>
      <w:r>
        <w:t>ar</w:t>
      </w:r>
      <w:proofErr w:type="spellEnd"/>
      <w:r>
        <w:t xml:space="preserve"> </w:t>
      </w:r>
      <w:proofErr w:type="spellStart"/>
      <w:r>
        <w:t>chleachtas</w:t>
      </w:r>
      <w:proofErr w:type="spellEnd"/>
      <w:r>
        <w:t xml:space="preserve"> </w:t>
      </w:r>
      <w:proofErr w:type="spellStart"/>
      <w:r>
        <w:t>i</w:t>
      </w:r>
      <w:proofErr w:type="spellEnd"/>
      <w:r>
        <w:t xml:space="preserve"> </w:t>
      </w:r>
      <w:proofErr w:type="spellStart"/>
      <w:r>
        <w:t>ndlínsí</w:t>
      </w:r>
      <w:proofErr w:type="spellEnd"/>
      <w:r>
        <w:t xml:space="preserve"> </w:t>
      </w:r>
      <w:proofErr w:type="spellStart"/>
      <w:r>
        <w:t>sonraithe</w:t>
      </w:r>
      <w:proofErr w:type="spellEnd"/>
    </w:p>
    <w:p w14:paraId="45721B14" w14:textId="77777777" w:rsidR="006C148C" w:rsidRDefault="006C148C">
      <w:r>
        <w:t xml:space="preserve">Déantar </w:t>
      </w:r>
      <w:proofErr w:type="spellStart"/>
      <w:r>
        <w:t>breithmheas</w:t>
      </w:r>
      <w:proofErr w:type="spellEnd"/>
      <w:r>
        <w:t xml:space="preserve"> agus achoimre ar an bhfianaise idirnáisiúnta sna </w:t>
      </w:r>
      <w:proofErr w:type="spellStart"/>
      <w:r>
        <w:t>plépháipéir</w:t>
      </w:r>
      <w:proofErr w:type="spellEnd"/>
      <w:r>
        <w:t xml:space="preserve">; déantar machnamh agus plé </w:t>
      </w:r>
      <w:proofErr w:type="spellStart"/>
      <w:r>
        <w:t>iontu</w:t>
      </w:r>
      <w:proofErr w:type="spellEnd"/>
      <w:r>
        <w:t xml:space="preserve"> </w:t>
      </w:r>
      <w:proofErr w:type="spellStart"/>
      <w:r>
        <w:t>ar</w:t>
      </w:r>
      <w:proofErr w:type="spellEnd"/>
      <w:r>
        <w:t xml:space="preserve"> </w:t>
      </w:r>
      <w:proofErr w:type="spellStart"/>
      <w:r>
        <w:t>impleachtaí</w:t>
      </w:r>
      <w:proofErr w:type="spellEnd"/>
      <w:r>
        <w:t xml:space="preserve"> an </w:t>
      </w:r>
      <w:proofErr w:type="spellStart"/>
      <w:r>
        <w:t>taighde</w:t>
      </w:r>
      <w:proofErr w:type="spellEnd"/>
      <w:r>
        <w:t xml:space="preserve"> do </w:t>
      </w:r>
      <w:proofErr w:type="spellStart"/>
      <w:r>
        <w:t>lucht</w:t>
      </w:r>
      <w:proofErr w:type="spellEnd"/>
      <w:r>
        <w:t xml:space="preserve"> </w:t>
      </w:r>
      <w:proofErr w:type="spellStart"/>
      <w:r>
        <w:t>ceaptha</w:t>
      </w:r>
      <w:proofErr w:type="spellEnd"/>
      <w:r>
        <w:t xml:space="preserve"> </w:t>
      </w:r>
      <w:proofErr w:type="spellStart"/>
      <w:r>
        <w:t>beartais</w:t>
      </w:r>
      <w:proofErr w:type="spellEnd"/>
      <w:r>
        <w:t xml:space="preserve"> </w:t>
      </w:r>
      <w:proofErr w:type="spellStart"/>
      <w:r>
        <w:t>agus</w:t>
      </w:r>
      <w:proofErr w:type="spellEnd"/>
      <w:r>
        <w:t xml:space="preserve"> </w:t>
      </w:r>
      <w:proofErr w:type="spellStart"/>
      <w:r>
        <w:t>cleachtóirí</w:t>
      </w:r>
      <w:proofErr w:type="spellEnd"/>
      <w:r>
        <w:t xml:space="preserve"> </w:t>
      </w:r>
      <w:proofErr w:type="spellStart"/>
      <w:r>
        <w:t>Éireannacha</w:t>
      </w:r>
      <w:proofErr w:type="spellEnd"/>
      <w:r>
        <w:t xml:space="preserve">; </w:t>
      </w:r>
      <w:proofErr w:type="spellStart"/>
      <w:r>
        <w:t>agus</w:t>
      </w:r>
      <w:proofErr w:type="spellEnd"/>
      <w:r>
        <w:t xml:space="preserve"> is </w:t>
      </w:r>
      <w:proofErr w:type="spellStart"/>
      <w:r>
        <w:t>iontu</w:t>
      </w:r>
      <w:proofErr w:type="spellEnd"/>
      <w:r>
        <w:t xml:space="preserve"> </w:t>
      </w:r>
      <w:proofErr w:type="gramStart"/>
      <w:r>
        <w:t>a</w:t>
      </w:r>
      <w:proofErr w:type="gramEnd"/>
      <w:r>
        <w:t xml:space="preserve"> </w:t>
      </w:r>
      <w:proofErr w:type="spellStart"/>
      <w:r>
        <w:t>aithnítear</w:t>
      </w:r>
      <w:proofErr w:type="spellEnd"/>
      <w:r>
        <w:t xml:space="preserve"> </w:t>
      </w:r>
      <w:proofErr w:type="spellStart"/>
      <w:r>
        <w:t>bearnaí</w:t>
      </w:r>
      <w:proofErr w:type="spellEnd"/>
      <w:r>
        <w:t>/</w:t>
      </w:r>
      <w:proofErr w:type="spellStart"/>
      <w:r>
        <w:t>teorainneacha</w:t>
      </w:r>
      <w:proofErr w:type="spellEnd"/>
      <w:r>
        <w:t xml:space="preserve"> </w:t>
      </w:r>
      <w:proofErr w:type="spellStart"/>
      <w:r>
        <w:t>sa</w:t>
      </w:r>
      <w:proofErr w:type="spellEnd"/>
      <w:r>
        <w:t xml:space="preserve"> </w:t>
      </w:r>
      <w:proofErr w:type="spellStart"/>
      <w:r>
        <w:t>taighde</w:t>
      </w:r>
      <w:proofErr w:type="spellEnd"/>
      <w:r>
        <w:t xml:space="preserve">. Is </w:t>
      </w:r>
      <w:proofErr w:type="spellStart"/>
      <w:r>
        <w:t>iad</w:t>
      </w:r>
      <w:proofErr w:type="spellEnd"/>
      <w:r>
        <w:t xml:space="preserve"> </w:t>
      </w:r>
      <w:proofErr w:type="spellStart"/>
      <w:r>
        <w:t>na</w:t>
      </w:r>
      <w:proofErr w:type="spellEnd"/>
      <w:r>
        <w:t xml:space="preserve"> </w:t>
      </w:r>
      <w:proofErr w:type="spellStart"/>
      <w:r>
        <w:t>plépháipéir</w:t>
      </w:r>
      <w:proofErr w:type="spellEnd"/>
      <w:r>
        <w:t xml:space="preserve"> a bheidh mar bhunús do </w:t>
      </w:r>
      <w:proofErr w:type="spellStart"/>
      <w:r>
        <w:t>chomhairliúchán</w:t>
      </w:r>
      <w:proofErr w:type="spellEnd"/>
      <w:r>
        <w:t xml:space="preserve"> breise le </w:t>
      </w:r>
      <w:proofErr w:type="spellStart"/>
      <w:r>
        <w:t>heochair-gheallsealbhóirí</w:t>
      </w:r>
      <w:proofErr w:type="spellEnd"/>
      <w:r>
        <w:t xml:space="preserve"> </w:t>
      </w:r>
      <w:proofErr w:type="spellStart"/>
      <w:r>
        <w:t>agus</w:t>
      </w:r>
      <w:proofErr w:type="spellEnd"/>
      <w:r>
        <w:t xml:space="preserve"> a </w:t>
      </w:r>
      <w:proofErr w:type="spellStart"/>
      <w:r>
        <w:t>mhúnlóidh</w:t>
      </w:r>
      <w:proofErr w:type="spellEnd"/>
      <w:r>
        <w:t xml:space="preserve"> </w:t>
      </w:r>
      <w:proofErr w:type="spellStart"/>
      <w:r>
        <w:t>comhairle</w:t>
      </w:r>
      <w:proofErr w:type="spellEnd"/>
      <w:r>
        <w:t xml:space="preserve"> </w:t>
      </w:r>
      <w:proofErr w:type="spellStart"/>
      <w:r>
        <w:t>beartais</w:t>
      </w:r>
      <w:proofErr w:type="spellEnd"/>
      <w:r>
        <w:t xml:space="preserve"> </w:t>
      </w:r>
      <w:proofErr w:type="spellStart"/>
      <w:r>
        <w:t>na</w:t>
      </w:r>
      <w:proofErr w:type="spellEnd"/>
      <w:r>
        <w:t xml:space="preserve"> </w:t>
      </w:r>
      <w:proofErr w:type="spellStart"/>
      <w:r>
        <w:t>todhchaí</w:t>
      </w:r>
      <w:proofErr w:type="spellEnd"/>
      <w:r>
        <w:t xml:space="preserve"> </w:t>
      </w:r>
      <w:proofErr w:type="spellStart"/>
      <w:r>
        <w:t>sdon</w:t>
      </w:r>
      <w:proofErr w:type="spellEnd"/>
      <w:r>
        <w:t xml:space="preserve"> Aire.</w:t>
      </w:r>
    </w:p>
    <w:p w14:paraId="45859BE4" w14:textId="77777777" w:rsidR="006C148C" w:rsidRDefault="006C148C">
      <w:pPr>
        <w:pStyle w:val="Heading2"/>
      </w:pPr>
      <w:bookmarkStart w:id="384" w:name="_Toc335836488"/>
      <w:r>
        <w:t xml:space="preserve">An </w:t>
      </w:r>
      <w:proofErr w:type="spellStart"/>
      <w:r>
        <w:t>Scéim</w:t>
      </w:r>
      <w:proofErr w:type="spellEnd"/>
      <w:r>
        <w:t xml:space="preserve"> do Chur </w:t>
      </w:r>
      <w:proofErr w:type="spellStart"/>
      <w:r>
        <w:t>chun</w:t>
      </w:r>
      <w:proofErr w:type="spellEnd"/>
      <w:r>
        <w:t xml:space="preserve"> </w:t>
      </w:r>
      <w:proofErr w:type="spellStart"/>
      <w:r>
        <w:t>Cinn</w:t>
      </w:r>
      <w:proofErr w:type="spellEnd"/>
      <w:r>
        <w:t xml:space="preserve"> an </w:t>
      </w:r>
      <w:proofErr w:type="spellStart"/>
      <w:r>
        <w:t>Taighde</w:t>
      </w:r>
      <w:proofErr w:type="spellEnd"/>
      <w:r>
        <w:t xml:space="preserve"> 2011</w:t>
      </w:r>
      <w:bookmarkEnd w:id="384"/>
    </w:p>
    <w:p w14:paraId="31BA5A90" w14:textId="77777777" w:rsidR="006C148C" w:rsidRDefault="006C148C">
      <w:pPr>
        <w:rPr>
          <w:lang w:val="en-GB"/>
        </w:rPr>
      </w:pPr>
      <w:r>
        <w:t xml:space="preserve">Is gléas </w:t>
      </w:r>
      <w:proofErr w:type="spellStart"/>
      <w:r>
        <w:t>cistithe</w:t>
      </w:r>
      <w:proofErr w:type="spellEnd"/>
      <w:r>
        <w:t xml:space="preserve"> í an Scéim do Chur chun Cinn an </w:t>
      </w:r>
      <w:proofErr w:type="spellStart"/>
      <w:r>
        <w:t>Taighde</w:t>
      </w:r>
      <w:proofErr w:type="spellEnd"/>
      <w:r>
        <w:t xml:space="preserve"> a </w:t>
      </w:r>
      <w:proofErr w:type="spellStart"/>
      <w:r>
        <w:t>bhfuil</w:t>
      </w:r>
      <w:proofErr w:type="spellEnd"/>
      <w:r>
        <w:t xml:space="preserve"> mar </w:t>
      </w:r>
      <w:proofErr w:type="spellStart"/>
      <w:r>
        <w:t>aidhm</w:t>
      </w:r>
      <w:proofErr w:type="spellEnd"/>
      <w:r>
        <w:t xml:space="preserve"> </w:t>
      </w:r>
      <w:proofErr w:type="spellStart"/>
      <w:proofErr w:type="gramStart"/>
      <w:r>
        <w:t>aici</w:t>
      </w:r>
      <w:proofErr w:type="spellEnd"/>
      <w:r>
        <w:t xml:space="preserve">  </w:t>
      </w:r>
      <w:proofErr w:type="spellStart"/>
      <w:r>
        <w:t>bunachar</w:t>
      </w:r>
      <w:proofErr w:type="spellEnd"/>
      <w:proofErr w:type="gramEnd"/>
      <w:r>
        <w:t xml:space="preserve"> </w:t>
      </w:r>
      <w:proofErr w:type="spellStart"/>
      <w:r>
        <w:t>eolais</w:t>
      </w:r>
      <w:proofErr w:type="spellEnd"/>
      <w:r>
        <w:t xml:space="preserve"> </w:t>
      </w:r>
      <w:r>
        <w:rPr>
          <w:lang w:val="en-GB"/>
        </w:rPr>
        <w:t xml:space="preserve">an </w:t>
      </w:r>
      <w:proofErr w:type="spellStart"/>
      <w:r>
        <w:rPr>
          <w:lang w:val="en-GB"/>
        </w:rPr>
        <w:t>Údaráis</w:t>
      </w:r>
      <w:proofErr w:type="spellEnd"/>
      <w:r>
        <w:rPr>
          <w:lang w:val="en-GB"/>
        </w:rPr>
        <w:t xml:space="preserve"> </w:t>
      </w:r>
      <w:proofErr w:type="spellStart"/>
      <w:r>
        <w:rPr>
          <w:lang w:val="en-GB"/>
        </w:rPr>
        <w:t>Náisiúnta</w:t>
      </w:r>
      <w:proofErr w:type="spellEnd"/>
      <w:r>
        <w:rPr>
          <w:lang w:val="en-GB"/>
        </w:rPr>
        <w:t xml:space="preserve"> </w:t>
      </w:r>
      <w:proofErr w:type="spellStart"/>
      <w:r>
        <w:rPr>
          <w:lang w:val="en-GB"/>
        </w:rPr>
        <w:t>Míchumais</w:t>
      </w:r>
      <w:proofErr w:type="spellEnd"/>
      <w:r>
        <w:rPr>
          <w:lang w:val="en-GB"/>
        </w:rPr>
        <w:t xml:space="preserve"> a </w:t>
      </w:r>
      <w:proofErr w:type="spellStart"/>
      <w:r>
        <w:rPr>
          <w:lang w:val="en-GB"/>
        </w:rPr>
        <w:t>fheabhsú</w:t>
      </w:r>
      <w:proofErr w:type="spellEnd"/>
      <w:r>
        <w:rPr>
          <w:lang w:val="en-GB"/>
        </w:rPr>
        <w:t xml:space="preserve">, le </w:t>
      </w:r>
      <w:proofErr w:type="spellStart"/>
      <w:r>
        <w:rPr>
          <w:lang w:val="en-GB"/>
        </w:rPr>
        <w:t>tograí</w:t>
      </w:r>
      <w:proofErr w:type="spellEnd"/>
      <w:r>
        <w:rPr>
          <w:lang w:val="en-GB"/>
        </w:rPr>
        <w:t xml:space="preserve"> </w:t>
      </w:r>
      <w:proofErr w:type="spellStart"/>
      <w:r>
        <w:rPr>
          <w:lang w:val="en-GB"/>
        </w:rPr>
        <w:t>sonracha</w:t>
      </w:r>
      <w:proofErr w:type="spellEnd"/>
      <w:r>
        <w:rPr>
          <w:lang w:val="en-GB"/>
        </w:rPr>
        <w:t xml:space="preserve"> á n-</w:t>
      </w:r>
      <w:proofErr w:type="spellStart"/>
      <w:r>
        <w:rPr>
          <w:lang w:val="en-GB"/>
        </w:rPr>
        <w:t>aithint</w:t>
      </w:r>
      <w:proofErr w:type="spellEnd"/>
      <w:r>
        <w:rPr>
          <w:lang w:val="en-GB"/>
        </w:rPr>
        <w:t xml:space="preserve"> </w:t>
      </w:r>
      <w:proofErr w:type="spellStart"/>
      <w:r>
        <w:rPr>
          <w:lang w:val="en-GB"/>
        </w:rPr>
        <w:t>agus</w:t>
      </w:r>
      <w:proofErr w:type="spellEnd"/>
      <w:r>
        <w:rPr>
          <w:lang w:val="en-GB"/>
        </w:rPr>
        <w:t xml:space="preserve"> á </w:t>
      </w:r>
      <w:proofErr w:type="spellStart"/>
      <w:r>
        <w:rPr>
          <w:lang w:val="en-GB"/>
        </w:rPr>
        <w:t>bhforbairt</w:t>
      </w:r>
      <w:proofErr w:type="spellEnd"/>
      <w:r>
        <w:rPr>
          <w:lang w:val="en-GB"/>
        </w:rPr>
        <w:t xml:space="preserve"> ag </w:t>
      </w:r>
      <w:proofErr w:type="spellStart"/>
      <w:r>
        <w:rPr>
          <w:lang w:val="en-GB"/>
        </w:rPr>
        <w:t>taighdeoirí</w:t>
      </w:r>
      <w:proofErr w:type="spellEnd"/>
      <w:r>
        <w:rPr>
          <w:lang w:val="en-GB"/>
        </w:rPr>
        <w:t xml:space="preserve"> </w:t>
      </w:r>
      <w:proofErr w:type="spellStart"/>
      <w:r>
        <w:rPr>
          <w:lang w:val="en-GB"/>
        </w:rPr>
        <w:t>neamhspleácha</w:t>
      </w:r>
      <w:proofErr w:type="spellEnd"/>
      <w:r>
        <w:rPr>
          <w:lang w:val="en-GB"/>
        </w:rPr>
        <w:t xml:space="preserve">. </w:t>
      </w:r>
      <w:proofErr w:type="spellStart"/>
      <w:r>
        <w:rPr>
          <w:lang w:val="en-GB"/>
        </w:rPr>
        <w:t>B'éard</w:t>
      </w:r>
      <w:proofErr w:type="spellEnd"/>
      <w:r>
        <w:rPr>
          <w:lang w:val="en-GB"/>
        </w:rPr>
        <w:t xml:space="preserve"> </w:t>
      </w:r>
      <w:proofErr w:type="spellStart"/>
      <w:r>
        <w:rPr>
          <w:lang w:val="en-GB"/>
        </w:rPr>
        <w:t>ba</w:t>
      </w:r>
      <w:proofErr w:type="spellEnd"/>
      <w:r>
        <w:rPr>
          <w:lang w:val="en-GB"/>
        </w:rPr>
        <w:t xml:space="preserve"> </w:t>
      </w:r>
      <w:proofErr w:type="spellStart"/>
      <w:r>
        <w:rPr>
          <w:lang w:val="en-GB"/>
        </w:rPr>
        <w:t>chuspór</w:t>
      </w:r>
      <w:proofErr w:type="spellEnd"/>
      <w:r>
        <w:rPr>
          <w:lang w:val="en-GB"/>
        </w:rPr>
        <w:t xml:space="preserve"> </w:t>
      </w:r>
      <w:proofErr w:type="spellStart"/>
      <w:r>
        <w:rPr>
          <w:lang w:val="en-GB"/>
        </w:rPr>
        <w:t>na</w:t>
      </w:r>
      <w:proofErr w:type="spellEnd"/>
      <w:r>
        <w:rPr>
          <w:lang w:val="en-GB"/>
        </w:rPr>
        <w:t xml:space="preserve"> n-</w:t>
      </w:r>
      <w:proofErr w:type="spellStart"/>
      <w:r>
        <w:rPr>
          <w:lang w:val="en-GB"/>
        </w:rPr>
        <w:t>ábhar</w:t>
      </w:r>
      <w:proofErr w:type="spellEnd"/>
      <w:r>
        <w:rPr>
          <w:lang w:val="en-GB"/>
        </w:rPr>
        <w:t xml:space="preserve"> </w:t>
      </w:r>
      <w:proofErr w:type="spellStart"/>
      <w:r>
        <w:rPr>
          <w:lang w:val="en-GB"/>
        </w:rPr>
        <w:t>taighde</w:t>
      </w:r>
      <w:proofErr w:type="spellEnd"/>
      <w:r>
        <w:rPr>
          <w:lang w:val="en-GB"/>
        </w:rPr>
        <w:t xml:space="preserve"> don </w:t>
      </w:r>
      <w:proofErr w:type="spellStart"/>
      <w:r>
        <w:rPr>
          <w:lang w:val="en-GB"/>
        </w:rPr>
        <w:t>Scéim</w:t>
      </w:r>
      <w:proofErr w:type="spellEnd"/>
      <w:r>
        <w:rPr>
          <w:lang w:val="en-GB"/>
        </w:rPr>
        <w:t xml:space="preserve"> do Chur </w:t>
      </w:r>
      <w:proofErr w:type="spellStart"/>
      <w:r>
        <w:rPr>
          <w:lang w:val="en-GB"/>
        </w:rPr>
        <w:t>chun</w:t>
      </w:r>
      <w:proofErr w:type="spellEnd"/>
      <w:r>
        <w:rPr>
          <w:lang w:val="en-GB"/>
        </w:rPr>
        <w:t xml:space="preserve"> </w:t>
      </w:r>
      <w:proofErr w:type="spellStart"/>
      <w:r>
        <w:rPr>
          <w:lang w:val="en-GB"/>
        </w:rPr>
        <w:t>Cinn</w:t>
      </w:r>
      <w:proofErr w:type="spellEnd"/>
      <w:r>
        <w:rPr>
          <w:lang w:val="en-GB"/>
        </w:rPr>
        <w:t xml:space="preserve"> an </w:t>
      </w:r>
      <w:proofErr w:type="spellStart"/>
      <w:r>
        <w:rPr>
          <w:lang w:val="en-GB"/>
        </w:rPr>
        <w:t>Taighde</w:t>
      </w:r>
      <w:proofErr w:type="spellEnd"/>
      <w:r>
        <w:rPr>
          <w:lang w:val="en-GB"/>
        </w:rPr>
        <w:t xml:space="preserve">: An </w:t>
      </w:r>
      <w:proofErr w:type="spellStart"/>
      <w:r>
        <w:rPr>
          <w:lang w:val="en-GB"/>
        </w:rPr>
        <w:t>tSábháilteacht</w:t>
      </w:r>
      <w:proofErr w:type="spellEnd"/>
      <w:r>
        <w:rPr>
          <w:lang w:val="en-GB"/>
        </w:rPr>
        <w:t xml:space="preserve"> </w:t>
      </w:r>
      <w:proofErr w:type="spellStart"/>
      <w:proofErr w:type="gramStart"/>
      <w:r>
        <w:rPr>
          <w:lang w:val="en-GB"/>
        </w:rPr>
        <w:t>agus</w:t>
      </w:r>
      <w:proofErr w:type="spellEnd"/>
      <w:r>
        <w:rPr>
          <w:lang w:val="en-GB"/>
        </w:rPr>
        <w:t xml:space="preserve">  an</w:t>
      </w:r>
      <w:proofErr w:type="gramEnd"/>
      <w:r>
        <w:rPr>
          <w:lang w:val="en-GB"/>
        </w:rPr>
        <w:t xml:space="preserve"> </w:t>
      </w:r>
      <w:proofErr w:type="spellStart"/>
      <w:r>
        <w:rPr>
          <w:lang w:val="en-GB"/>
        </w:rPr>
        <w:t>tSaoirse</w:t>
      </w:r>
      <w:proofErr w:type="spellEnd"/>
      <w:r>
        <w:rPr>
          <w:lang w:val="en-GB"/>
        </w:rPr>
        <w:t xml:space="preserve"> ó </w:t>
      </w:r>
      <w:proofErr w:type="spellStart"/>
      <w:r>
        <w:rPr>
          <w:lang w:val="en-GB"/>
        </w:rPr>
        <w:t>Mhí-úsáid</w:t>
      </w:r>
      <w:proofErr w:type="spellEnd"/>
      <w:r>
        <w:rPr>
          <w:lang w:val="en-GB"/>
        </w:rPr>
        <w:t xml:space="preserve"> do </w:t>
      </w:r>
      <w:proofErr w:type="spellStart"/>
      <w:r>
        <w:rPr>
          <w:lang w:val="en-GB"/>
        </w:rPr>
        <w:t>Dhaoine</w:t>
      </w:r>
      <w:proofErr w:type="spellEnd"/>
      <w:r>
        <w:rPr>
          <w:lang w:val="en-GB"/>
        </w:rPr>
        <w:t xml:space="preserve"> le </w:t>
      </w:r>
      <w:proofErr w:type="spellStart"/>
      <w:r>
        <w:rPr>
          <w:lang w:val="en-GB"/>
        </w:rPr>
        <w:t>Míchumas</w:t>
      </w:r>
      <w:proofErr w:type="spellEnd"/>
      <w:r>
        <w:rPr>
          <w:lang w:val="en-GB"/>
        </w:rPr>
        <w:t xml:space="preserve"> a Chur </w:t>
      </w:r>
      <w:proofErr w:type="spellStart"/>
      <w:r>
        <w:rPr>
          <w:lang w:val="en-GB"/>
        </w:rPr>
        <w:t>chun</w:t>
      </w:r>
      <w:proofErr w:type="spellEnd"/>
      <w:r>
        <w:rPr>
          <w:lang w:val="en-GB"/>
        </w:rPr>
        <w:t xml:space="preserve"> </w:t>
      </w:r>
      <w:proofErr w:type="spellStart"/>
      <w:r>
        <w:rPr>
          <w:lang w:val="en-GB"/>
        </w:rPr>
        <w:t>Cinn</w:t>
      </w:r>
      <w:proofErr w:type="spellEnd"/>
      <w:r>
        <w:rPr>
          <w:lang w:val="en-GB"/>
        </w:rPr>
        <w:t xml:space="preserve">. </w:t>
      </w:r>
    </w:p>
    <w:p w14:paraId="55310CE5" w14:textId="77777777" w:rsidR="006C148C" w:rsidRDefault="006C148C">
      <w:pPr>
        <w:spacing w:after="120"/>
        <w:rPr>
          <w:lang w:val="es-ES"/>
        </w:rPr>
      </w:pPr>
      <w:r>
        <w:rPr>
          <w:lang w:val="es-ES"/>
        </w:rPr>
        <w:t>Bronnadh conarthaí ar na comhlachtaí seo a leanas</w:t>
      </w:r>
    </w:p>
    <w:p w14:paraId="55C88B13" w14:textId="77777777" w:rsidR="006C148C" w:rsidRDefault="006C148C">
      <w:pPr>
        <w:pStyle w:val="ListBullet"/>
        <w:rPr>
          <w:b/>
          <w:bCs/>
          <w:lang w:val="es-ES"/>
        </w:rPr>
      </w:pPr>
      <w:r>
        <w:rPr>
          <w:lang w:val="es-ES"/>
        </w:rPr>
        <w:t xml:space="preserve">Coláiste na hOllscoile Chorcaí, don tuarascáil – </w:t>
      </w:r>
      <w:r>
        <w:rPr>
          <w:b/>
          <w:bCs/>
          <w:lang w:val="es-ES"/>
        </w:rPr>
        <w:t>Rochtain ar Cheartas do Dhaoine le Míchumas mar Íobartaigh Choireachta in Éirinn</w:t>
      </w:r>
    </w:p>
    <w:p w14:paraId="098C4899" w14:textId="77777777" w:rsidR="006C148C" w:rsidRDefault="006C148C">
      <w:pPr>
        <w:pStyle w:val="ListBullet"/>
        <w:rPr>
          <w:b/>
          <w:bCs/>
          <w:lang w:val="es-ES"/>
        </w:rPr>
      </w:pPr>
      <w:r>
        <w:rPr>
          <w:lang w:val="es-ES"/>
        </w:rPr>
        <w:lastRenderedPageBreak/>
        <w:t xml:space="preserve">Líonra na nIonad Éigeandála um Éigniú in Éirinn, don tuarascáil – </w:t>
      </w:r>
      <w:r>
        <w:rPr>
          <w:b/>
          <w:bCs/>
          <w:lang w:val="es-ES"/>
        </w:rPr>
        <w:t>Foréigean Gnéasach i gcoinne Daoine le Míchumas: Bailiú sonraí agus bacainní i gcoinne a nochta</w:t>
      </w:r>
    </w:p>
    <w:p w14:paraId="65C9D040" w14:textId="77777777" w:rsidR="006C148C" w:rsidRDefault="006C148C">
      <w:pPr>
        <w:pStyle w:val="ListBullet"/>
        <w:spacing w:after="240"/>
        <w:rPr>
          <w:lang w:val="es-ES"/>
        </w:rPr>
      </w:pPr>
      <w:r>
        <w:rPr>
          <w:lang w:val="es-ES"/>
        </w:rPr>
        <w:t xml:space="preserve">An Lárionad Náisiúnta do Mhíchumas Meabhrach, don </w:t>
      </w:r>
      <w:r>
        <w:rPr>
          <w:b/>
          <w:bCs/>
          <w:lang w:val="es-ES"/>
        </w:rPr>
        <w:t>Treoir Eolais Bhulaíocht: Cuir stad leis an mBulaíocht</w:t>
      </w:r>
      <w:r>
        <w:rPr>
          <w:lang w:val="es-ES"/>
        </w:rPr>
        <w:t xml:space="preserve"> agus treoir faoi chineál, méid agus taithí na ndaoine le míchumas meabhrach mar a fuarthas amach ó athbhreithniú litríochta agus taighde fócasghrúpa araon.</w:t>
      </w:r>
    </w:p>
    <w:p w14:paraId="0A4709B6" w14:textId="77777777" w:rsidR="006C148C" w:rsidRPr="000230E8" w:rsidRDefault="006C148C">
      <w:pPr>
        <w:pStyle w:val="Heading2"/>
        <w:rPr>
          <w:lang w:val="es-ES"/>
        </w:rPr>
      </w:pPr>
      <w:bookmarkStart w:id="385" w:name="_Toc335836489"/>
      <w:r w:rsidRPr="000230E8">
        <w:rPr>
          <w:lang w:val="es-ES"/>
        </w:rPr>
        <w:t>Seimineáir ó Shaineolaithe um Míchumas</w:t>
      </w:r>
      <w:bookmarkEnd w:id="385"/>
    </w:p>
    <w:p w14:paraId="624C3227" w14:textId="77777777" w:rsidR="006C148C" w:rsidRPr="000230E8" w:rsidRDefault="006C148C">
      <w:pPr>
        <w:rPr>
          <w:lang w:val="es-ES"/>
        </w:rPr>
      </w:pPr>
      <w:r w:rsidRPr="000230E8">
        <w:rPr>
          <w:lang w:val="es-ES"/>
        </w:rPr>
        <w:t xml:space="preserve">D'óstáil an tÚdarás Náisiúnta Míchumais  seimineáir shaineolacha le Carl Dunst, saineolaí SAM ar shamhlacha teaghlaigh-bhunaithe de thacaíochtaí do leanaí le míchumas, agus le John O'Brien, saineolaí SAM ar mhaireachtáil neamhspleách agus ar chlaochlú na seirbhísí míchumais. </w:t>
      </w:r>
    </w:p>
    <w:p w14:paraId="202CF45C" w14:textId="77777777" w:rsidR="006C148C" w:rsidRPr="000230E8" w:rsidRDefault="006C148C">
      <w:pPr>
        <w:pStyle w:val="Heading2"/>
        <w:rPr>
          <w:lang w:val="es-ES"/>
        </w:rPr>
      </w:pPr>
      <w:bookmarkStart w:id="386" w:name="_Toc335836490"/>
      <w:r w:rsidRPr="000230E8">
        <w:rPr>
          <w:lang w:val="es-ES"/>
        </w:rPr>
        <w:t>Modúl ríomh-Fhoghlama san oiliúint Míchumais</w:t>
      </w:r>
      <w:bookmarkEnd w:id="386"/>
      <w:r w:rsidRPr="000230E8">
        <w:rPr>
          <w:lang w:val="es-ES"/>
        </w:rPr>
        <w:t xml:space="preserve"> </w:t>
      </w:r>
    </w:p>
    <w:p w14:paraId="77A7405D" w14:textId="77777777" w:rsidR="006C148C" w:rsidRPr="000230E8" w:rsidRDefault="006C148C">
      <w:pPr>
        <w:rPr>
          <w:lang w:val="es-ES"/>
        </w:rPr>
      </w:pPr>
      <w:r w:rsidRPr="000230E8">
        <w:rPr>
          <w:lang w:val="es-ES"/>
        </w:rPr>
        <w:t>Chríochnaigh agus sheol an tÚdarás Náisiúnta Míchumais a mhodúl nua ríomh-Fhoghlama, I mí na Nollag 2011, le hoiliúint ar chur ar fhoireann na hearnála poiblí chun seirbhísí den scoth a sholáthar do dhaoine le míchumas.Tá an modúl ríomh-Fhoghlama ar fáil saor in aisce do chomhlachtaí poiblí. Ligeann sé do chomhlachtaí poiblí oiliúint a chur ar líon mór foirne gan íoc as oilúnóirí ná ionaid oiliúna agus  ligeann sé d'oiliúnaithe an oiread ama nó a laghad ama agus is gá dóibh a chaitheamh ar an oiliúint. Rinneadh an modúl a phíolótú sa bhliain 2011i roinnt Ranna, agus sheol Ard-Rúnaí na Roinne Caiteachais Phoiblí agus Athchóirithe go foirmiúil i mí na Nollag é.</w:t>
      </w:r>
    </w:p>
    <w:p w14:paraId="665D32E8" w14:textId="77777777" w:rsidR="006C148C" w:rsidRDefault="006C148C">
      <w:pPr>
        <w:rPr>
          <w:lang w:val="en-GB"/>
        </w:rPr>
      </w:pPr>
      <w:r>
        <w:t xml:space="preserve">Is féidir leas a bhaint as an </w:t>
      </w:r>
      <w:proofErr w:type="spellStart"/>
      <w:r>
        <w:t>modúil</w:t>
      </w:r>
      <w:proofErr w:type="spellEnd"/>
      <w:r>
        <w:t xml:space="preserve"> aon áit a bhíonn ríomhaire le clos-aschur </w:t>
      </w:r>
      <w:proofErr w:type="spellStart"/>
      <w:r>
        <w:t>ar</w:t>
      </w:r>
      <w:proofErr w:type="spellEnd"/>
      <w:r>
        <w:t xml:space="preserve"> </w:t>
      </w:r>
      <w:proofErr w:type="spellStart"/>
      <w:r>
        <w:t>fáil</w:t>
      </w:r>
      <w:proofErr w:type="spellEnd"/>
      <w:r>
        <w:t xml:space="preserve">, </w:t>
      </w:r>
      <w:proofErr w:type="spellStart"/>
      <w:r>
        <w:t>agus</w:t>
      </w:r>
      <w:proofErr w:type="spellEnd"/>
      <w:r>
        <w:t xml:space="preserve"> </w:t>
      </w:r>
      <w:proofErr w:type="spellStart"/>
      <w:r>
        <w:t>tá</w:t>
      </w:r>
      <w:proofErr w:type="spellEnd"/>
      <w:r>
        <w:t xml:space="preserve"> </w:t>
      </w:r>
      <w:proofErr w:type="spellStart"/>
      <w:r>
        <w:t>leagan</w:t>
      </w:r>
      <w:proofErr w:type="spellEnd"/>
      <w:r>
        <w:t xml:space="preserve"> </w:t>
      </w:r>
      <w:proofErr w:type="spellStart"/>
      <w:r>
        <w:t>clóite</w:t>
      </w:r>
      <w:proofErr w:type="spellEnd"/>
      <w:r>
        <w:t xml:space="preserve"> de </w:t>
      </w:r>
      <w:proofErr w:type="spellStart"/>
      <w:r>
        <w:t>ann</w:t>
      </w:r>
      <w:proofErr w:type="spellEnd"/>
      <w:r>
        <w:t xml:space="preserve"> </w:t>
      </w:r>
      <w:proofErr w:type="spellStart"/>
      <w:r>
        <w:t>freisin</w:t>
      </w:r>
      <w:proofErr w:type="spellEnd"/>
      <w:r>
        <w:t xml:space="preserve">. </w:t>
      </w:r>
      <w:proofErr w:type="spellStart"/>
      <w:r>
        <w:t>Tairgtear</w:t>
      </w:r>
      <w:proofErr w:type="spellEnd"/>
      <w:r>
        <w:t xml:space="preserve"> </w:t>
      </w:r>
      <w:proofErr w:type="spellStart"/>
      <w:r>
        <w:t>comhairle</w:t>
      </w:r>
      <w:proofErr w:type="spellEnd"/>
      <w:r>
        <w:t xml:space="preserve"> </w:t>
      </w:r>
      <w:proofErr w:type="spellStart"/>
      <w:r>
        <w:t>phraiticiúil</w:t>
      </w:r>
      <w:proofErr w:type="spellEnd"/>
      <w:r>
        <w:t xml:space="preserve"> </w:t>
      </w:r>
      <w:proofErr w:type="spellStart"/>
      <w:r>
        <w:t>sa</w:t>
      </w:r>
      <w:proofErr w:type="spellEnd"/>
      <w:r>
        <w:t xml:space="preserve"> </w:t>
      </w:r>
      <w:proofErr w:type="spellStart"/>
      <w:r>
        <w:t>chúrsa</w:t>
      </w:r>
      <w:proofErr w:type="spellEnd"/>
      <w:r>
        <w:t xml:space="preserve"> </w:t>
      </w:r>
      <w:proofErr w:type="spellStart"/>
      <w:r>
        <w:t>chun</w:t>
      </w:r>
      <w:proofErr w:type="spellEnd"/>
      <w:r>
        <w:t xml:space="preserve"> </w:t>
      </w:r>
      <w:proofErr w:type="spellStart"/>
      <w:r>
        <w:t>plé</w:t>
      </w:r>
      <w:proofErr w:type="spellEnd"/>
      <w:r>
        <w:t xml:space="preserve"> le </w:t>
      </w:r>
      <w:proofErr w:type="spellStart"/>
      <w:r>
        <w:t>custaiméirí</w:t>
      </w:r>
      <w:proofErr w:type="spellEnd"/>
      <w:r>
        <w:t xml:space="preserve"> de </w:t>
      </w:r>
      <w:proofErr w:type="spellStart"/>
      <w:r>
        <w:t>chineálacha</w:t>
      </w:r>
      <w:proofErr w:type="spellEnd"/>
      <w:r>
        <w:t xml:space="preserve"> </w:t>
      </w:r>
      <w:proofErr w:type="spellStart"/>
      <w:r>
        <w:t>míchumais</w:t>
      </w:r>
      <w:proofErr w:type="spellEnd"/>
      <w:r>
        <w:t xml:space="preserve"> éagsúla. Scaiptear na ceisteanna </w:t>
      </w:r>
      <w:proofErr w:type="spellStart"/>
      <w:r>
        <w:t>measúnaithe</w:t>
      </w:r>
      <w:proofErr w:type="spellEnd"/>
      <w:r>
        <w:t xml:space="preserve"> </w:t>
      </w:r>
      <w:proofErr w:type="spellStart"/>
      <w:r>
        <w:t>ar</w:t>
      </w:r>
      <w:proofErr w:type="spellEnd"/>
      <w:r>
        <w:t xml:space="preserve"> fud </w:t>
      </w:r>
      <w:proofErr w:type="gramStart"/>
      <w:r>
        <w:t>an</w:t>
      </w:r>
      <w:proofErr w:type="gramEnd"/>
      <w:r>
        <w:t xml:space="preserve"> </w:t>
      </w:r>
      <w:proofErr w:type="spellStart"/>
      <w:r>
        <w:t>chúrsa</w:t>
      </w:r>
      <w:proofErr w:type="spellEnd"/>
      <w:r>
        <w:t xml:space="preserve"> </w:t>
      </w:r>
      <w:proofErr w:type="spellStart"/>
      <w:r>
        <w:t>oiliúna</w:t>
      </w:r>
      <w:proofErr w:type="spellEnd"/>
      <w:r>
        <w:t xml:space="preserve">, </w:t>
      </w:r>
      <w:proofErr w:type="spellStart"/>
      <w:r>
        <w:t>chun</w:t>
      </w:r>
      <w:proofErr w:type="spellEnd"/>
      <w:r>
        <w:t xml:space="preserve"> </w:t>
      </w:r>
      <w:proofErr w:type="spellStart"/>
      <w:r>
        <w:t>cuidiú</w:t>
      </w:r>
      <w:proofErr w:type="spellEnd"/>
      <w:r>
        <w:t xml:space="preserve"> le </w:t>
      </w:r>
      <w:proofErr w:type="spellStart"/>
      <w:r>
        <w:t>hoiliúnaithe</w:t>
      </w:r>
      <w:proofErr w:type="spellEnd"/>
      <w:r>
        <w:t xml:space="preserve"> a </w:t>
      </w:r>
      <w:proofErr w:type="spellStart"/>
      <w:r>
        <w:t>gcuid</w:t>
      </w:r>
      <w:proofErr w:type="spellEnd"/>
      <w:r>
        <w:t xml:space="preserve"> </w:t>
      </w:r>
      <w:proofErr w:type="spellStart"/>
      <w:r>
        <w:t>foghlama</w:t>
      </w:r>
      <w:proofErr w:type="spellEnd"/>
      <w:r>
        <w:t xml:space="preserve"> </w:t>
      </w:r>
      <w:proofErr w:type="spellStart"/>
      <w:r>
        <w:t>féin</w:t>
      </w:r>
      <w:proofErr w:type="spellEnd"/>
      <w:r>
        <w:t xml:space="preserve"> a </w:t>
      </w:r>
      <w:proofErr w:type="spellStart"/>
      <w:r>
        <w:t>bhainistiú</w:t>
      </w:r>
      <w:proofErr w:type="spellEnd"/>
      <w:r>
        <w:t xml:space="preserve">. Is é </w:t>
      </w:r>
      <w:r>
        <w:rPr>
          <w:lang w:val="en-GB"/>
        </w:rPr>
        <w:t xml:space="preserve">an </w:t>
      </w:r>
      <w:proofErr w:type="spellStart"/>
      <w:r>
        <w:rPr>
          <w:lang w:val="en-GB"/>
        </w:rPr>
        <w:t>tÚdarás</w:t>
      </w:r>
      <w:proofErr w:type="spellEnd"/>
      <w:r>
        <w:rPr>
          <w:lang w:val="en-GB"/>
        </w:rPr>
        <w:t xml:space="preserve"> </w:t>
      </w:r>
      <w:proofErr w:type="spellStart"/>
      <w:r>
        <w:rPr>
          <w:lang w:val="en-GB"/>
        </w:rPr>
        <w:t>Náisiúnta</w:t>
      </w:r>
      <w:proofErr w:type="spellEnd"/>
      <w:r>
        <w:rPr>
          <w:lang w:val="en-GB"/>
        </w:rPr>
        <w:t xml:space="preserve"> </w:t>
      </w:r>
      <w:proofErr w:type="spellStart"/>
      <w:r>
        <w:rPr>
          <w:lang w:val="en-GB"/>
        </w:rPr>
        <w:t>Míchumais</w:t>
      </w:r>
      <w:proofErr w:type="spellEnd"/>
      <w:r>
        <w:rPr>
          <w:lang w:val="en-GB"/>
        </w:rPr>
        <w:t xml:space="preserve"> </w:t>
      </w:r>
      <w:proofErr w:type="spellStart"/>
      <w:r>
        <w:rPr>
          <w:lang w:val="en-GB"/>
        </w:rPr>
        <w:t>atá</w:t>
      </w:r>
      <w:proofErr w:type="spellEnd"/>
      <w:r>
        <w:rPr>
          <w:lang w:val="en-GB"/>
        </w:rPr>
        <w:t xml:space="preserve"> ag </w:t>
      </w:r>
      <w:proofErr w:type="spellStart"/>
      <w:r>
        <w:rPr>
          <w:lang w:val="en-GB"/>
        </w:rPr>
        <w:t>obair</w:t>
      </w:r>
      <w:proofErr w:type="spellEnd"/>
      <w:r>
        <w:rPr>
          <w:lang w:val="en-GB"/>
        </w:rPr>
        <w:t xml:space="preserve"> le </w:t>
      </w:r>
      <w:proofErr w:type="spellStart"/>
      <w:r>
        <w:rPr>
          <w:lang w:val="en-GB"/>
        </w:rPr>
        <w:t>roinnt</w:t>
      </w:r>
      <w:proofErr w:type="spellEnd"/>
      <w:r>
        <w:rPr>
          <w:lang w:val="en-GB"/>
        </w:rPr>
        <w:t xml:space="preserve"> </w:t>
      </w:r>
      <w:proofErr w:type="spellStart"/>
      <w:r>
        <w:rPr>
          <w:lang w:val="en-GB"/>
        </w:rPr>
        <w:t>comhlachtaí</w:t>
      </w:r>
      <w:proofErr w:type="spellEnd"/>
      <w:r>
        <w:rPr>
          <w:lang w:val="en-GB"/>
        </w:rPr>
        <w:t xml:space="preserve"> </w:t>
      </w:r>
      <w:proofErr w:type="spellStart"/>
      <w:r>
        <w:rPr>
          <w:lang w:val="en-GB"/>
        </w:rPr>
        <w:t>poiblí</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láthair</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huaire</w:t>
      </w:r>
      <w:proofErr w:type="spellEnd"/>
      <w:r>
        <w:rPr>
          <w:lang w:val="en-GB"/>
        </w:rPr>
        <w:t xml:space="preserve"> leis an </w:t>
      </w:r>
      <w:proofErr w:type="spellStart"/>
      <w:r>
        <w:rPr>
          <w:lang w:val="en-GB"/>
        </w:rPr>
        <w:t>oiliúint</w:t>
      </w:r>
      <w:proofErr w:type="spellEnd"/>
      <w:r>
        <w:rPr>
          <w:lang w:val="en-GB"/>
        </w:rPr>
        <w:t xml:space="preserve"> sin a </w:t>
      </w:r>
      <w:proofErr w:type="spellStart"/>
      <w:r>
        <w:rPr>
          <w:lang w:val="en-GB"/>
        </w:rPr>
        <w:t>rolladh</w:t>
      </w:r>
      <w:proofErr w:type="spellEnd"/>
      <w:r>
        <w:rPr>
          <w:lang w:val="en-GB"/>
        </w:rPr>
        <w:t xml:space="preserve"> </w:t>
      </w:r>
      <w:proofErr w:type="spellStart"/>
      <w:r>
        <w:rPr>
          <w:lang w:val="en-GB"/>
        </w:rPr>
        <w:t>amach</w:t>
      </w:r>
      <w:proofErr w:type="spellEnd"/>
      <w:r>
        <w:rPr>
          <w:lang w:val="en-GB"/>
        </w:rPr>
        <w:t xml:space="preserve"> </w:t>
      </w:r>
      <w:proofErr w:type="spellStart"/>
      <w:r>
        <w:rPr>
          <w:lang w:val="en-GB"/>
        </w:rPr>
        <w:t>ar</w:t>
      </w:r>
      <w:proofErr w:type="spellEnd"/>
      <w:r>
        <w:rPr>
          <w:lang w:val="en-GB"/>
        </w:rPr>
        <w:t xml:space="preserve"> fud </w:t>
      </w:r>
      <w:proofErr w:type="spellStart"/>
      <w:r>
        <w:rPr>
          <w:lang w:val="en-GB"/>
        </w:rPr>
        <w:t>na</w:t>
      </w:r>
      <w:proofErr w:type="spellEnd"/>
      <w:r>
        <w:rPr>
          <w:lang w:val="en-GB"/>
        </w:rPr>
        <w:t xml:space="preserve"> </w:t>
      </w:r>
      <w:proofErr w:type="spellStart"/>
      <w:r>
        <w:rPr>
          <w:lang w:val="en-GB"/>
        </w:rPr>
        <w:t>hearnála</w:t>
      </w:r>
      <w:proofErr w:type="spellEnd"/>
      <w:r>
        <w:rPr>
          <w:lang w:val="en-GB"/>
        </w:rPr>
        <w:t xml:space="preserve"> </w:t>
      </w:r>
      <w:proofErr w:type="spellStart"/>
      <w:r>
        <w:rPr>
          <w:lang w:val="en-GB"/>
        </w:rPr>
        <w:t>poiblí</w:t>
      </w:r>
      <w:proofErr w:type="spellEnd"/>
      <w:r>
        <w:rPr>
          <w:lang w:val="en-GB"/>
        </w:rPr>
        <w:t>.</w:t>
      </w:r>
    </w:p>
    <w:p w14:paraId="2076E9B1" w14:textId="77777777" w:rsidR="006C148C" w:rsidRDefault="006C148C">
      <w:pPr>
        <w:pStyle w:val="Heading2"/>
      </w:pPr>
      <w:bookmarkStart w:id="387" w:name="_Toc335836491"/>
      <w:proofErr w:type="spellStart"/>
      <w:r>
        <w:t>Inrochtaineacht</w:t>
      </w:r>
      <w:proofErr w:type="spellEnd"/>
      <w:r>
        <w:t xml:space="preserve"> </w:t>
      </w:r>
      <w:proofErr w:type="spellStart"/>
      <w:r>
        <w:t>na</w:t>
      </w:r>
      <w:proofErr w:type="spellEnd"/>
      <w:r>
        <w:t xml:space="preserve"> </w:t>
      </w:r>
      <w:proofErr w:type="spellStart"/>
      <w:r>
        <w:t>Láithreán</w:t>
      </w:r>
      <w:proofErr w:type="spellEnd"/>
      <w:r>
        <w:t xml:space="preserve"> </w:t>
      </w:r>
      <w:proofErr w:type="spellStart"/>
      <w:r>
        <w:t>Oidhreachta</w:t>
      </w:r>
      <w:bookmarkEnd w:id="387"/>
      <w:proofErr w:type="spellEnd"/>
      <w:r>
        <w:t xml:space="preserve"> </w:t>
      </w:r>
    </w:p>
    <w:p w14:paraId="0CEFE500" w14:textId="77777777" w:rsidR="006C148C" w:rsidRDefault="006C148C">
      <w:r>
        <w:t xml:space="preserve">Sheol an </w:t>
      </w:r>
      <w:proofErr w:type="spellStart"/>
      <w:r>
        <w:t>tÚdarás</w:t>
      </w:r>
      <w:proofErr w:type="spellEnd"/>
      <w:r>
        <w:t xml:space="preserve"> Náisiúnta </w:t>
      </w:r>
      <w:proofErr w:type="spellStart"/>
      <w:r>
        <w:t>Míchumais</w:t>
      </w:r>
      <w:proofErr w:type="spellEnd"/>
      <w:r>
        <w:t xml:space="preserve"> </w:t>
      </w:r>
      <w:r>
        <w:rPr>
          <w:b/>
          <w:bCs/>
        </w:rPr>
        <w:t xml:space="preserve">an Cód Cleachtais </w:t>
      </w:r>
      <w:r>
        <w:t>(reachtúil)</w:t>
      </w:r>
      <w:r>
        <w:rPr>
          <w:b/>
          <w:bCs/>
        </w:rPr>
        <w:t xml:space="preserve"> um </w:t>
      </w:r>
      <w:proofErr w:type="spellStart"/>
      <w:r>
        <w:rPr>
          <w:b/>
          <w:bCs/>
        </w:rPr>
        <w:t>Láithreáin</w:t>
      </w:r>
      <w:proofErr w:type="spellEnd"/>
      <w:r>
        <w:rPr>
          <w:b/>
          <w:bCs/>
        </w:rPr>
        <w:t xml:space="preserve"> </w:t>
      </w:r>
      <w:proofErr w:type="spellStart"/>
      <w:r>
        <w:rPr>
          <w:b/>
          <w:bCs/>
        </w:rPr>
        <w:t>Oidhreachta</w:t>
      </w:r>
      <w:proofErr w:type="spellEnd"/>
      <w:r>
        <w:rPr>
          <w:b/>
          <w:bCs/>
        </w:rPr>
        <w:t xml:space="preserve"> </w:t>
      </w:r>
      <w:proofErr w:type="spellStart"/>
      <w:r>
        <w:rPr>
          <w:b/>
          <w:bCs/>
        </w:rPr>
        <w:t>Inrochtana</w:t>
      </w:r>
      <w:proofErr w:type="spellEnd"/>
      <w:r>
        <w:t xml:space="preserve"> </w:t>
      </w:r>
      <w:proofErr w:type="spellStart"/>
      <w:r>
        <w:t>i</w:t>
      </w:r>
      <w:proofErr w:type="spellEnd"/>
      <w:r>
        <w:t xml:space="preserve"> </w:t>
      </w:r>
      <w:proofErr w:type="spellStart"/>
      <w:r>
        <w:t>mí</w:t>
      </w:r>
      <w:proofErr w:type="spellEnd"/>
      <w:r>
        <w:t xml:space="preserve"> </w:t>
      </w:r>
      <w:proofErr w:type="spellStart"/>
      <w:r>
        <w:t>na</w:t>
      </w:r>
      <w:proofErr w:type="spellEnd"/>
      <w:r>
        <w:t xml:space="preserve"> </w:t>
      </w:r>
      <w:proofErr w:type="spellStart"/>
      <w:r>
        <w:t>Nollag</w:t>
      </w:r>
      <w:proofErr w:type="spellEnd"/>
      <w:r>
        <w:t xml:space="preserve"> 2011. </w:t>
      </w:r>
      <w:proofErr w:type="spellStart"/>
      <w:r>
        <w:t>Cuideoidh</w:t>
      </w:r>
      <w:proofErr w:type="spellEnd"/>
      <w:r>
        <w:t xml:space="preserve"> an </w:t>
      </w:r>
      <w:proofErr w:type="spellStart"/>
      <w:r>
        <w:t>chomhairle</w:t>
      </w:r>
      <w:proofErr w:type="spellEnd"/>
      <w:r>
        <w:t xml:space="preserve"> </w:t>
      </w:r>
      <w:proofErr w:type="spellStart"/>
      <w:r>
        <w:t>phraiticiúil</w:t>
      </w:r>
      <w:proofErr w:type="spellEnd"/>
      <w:r>
        <w:t xml:space="preserve"> </w:t>
      </w:r>
      <w:proofErr w:type="spellStart"/>
      <w:r>
        <w:t>sa</w:t>
      </w:r>
      <w:proofErr w:type="spellEnd"/>
      <w:r>
        <w:t xml:space="preserve"> </w:t>
      </w:r>
      <w:proofErr w:type="spellStart"/>
      <w:r>
        <w:t>Chód</w:t>
      </w:r>
      <w:proofErr w:type="spellEnd"/>
      <w:r>
        <w:t xml:space="preserve"> </w:t>
      </w:r>
      <w:proofErr w:type="spellStart"/>
      <w:r>
        <w:t>Cleachtais</w:t>
      </w:r>
      <w:proofErr w:type="spellEnd"/>
      <w:r>
        <w:t xml:space="preserve"> </w:t>
      </w:r>
      <w:proofErr w:type="spellStart"/>
      <w:r>
        <w:t>seo</w:t>
      </w:r>
      <w:proofErr w:type="spellEnd"/>
      <w:r>
        <w:t xml:space="preserve"> le </w:t>
      </w:r>
      <w:proofErr w:type="spellStart"/>
      <w:r>
        <w:t>comhlachtaí</w:t>
      </w:r>
      <w:proofErr w:type="spellEnd"/>
      <w:r>
        <w:t xml:space="preserve"> </w:t>
      </w:r>
      <w:proofErr w:type="spellStart"/>
      <w:r>
        <w:t>poiblí</w:t>
      </w:r>
      <w:proofErr w:type="spellEnd"/>
      <w:r>
        <w:t xml:space="preserve"> a </w:t>
      </w:r>
      <w:proofErr w:type="spellStart"/>
      <w:r>
        <w:t>gcuid</w:t>
      </w:r>
      <w:proofErr w:type="spellEnd"/>
      <w:r>
        <w:t xml:space="preserve"> </w:t>
      </w:r>
      <w:proofErr w:type="spellStart"/>
      <w:r>
        <w:t>ceangaltas</w:t>
      </w:r>
      <w:proofErr w:type="spellEnd"/>
      <w:r>
        <w:t xml:space="preserve"> </w:t>
      </w:r>
      <w:proofErr w:type="spellStart"/>
      <w:r>
        <w:t>faoi</w:t>
      </w:r>
      <w:proofErr w:type="spellEnd"/>
      <w:r>
        <w:t xml:space="preserve"> alt 29 den </w:t>
      </w:r>
      <w:proofErr w:type="spellStart"/>
      <w:r>
        <w:t>Acht</w:t>
      </w:r>
      <w:proofErr w:type="spellEnd"/>
      <w:r>
        <w:t xml:space="preserve"> </w:t>
      </w:r>
      <w:proofErr w:type="spellStart"/>
      <w:r>
        <w:t>Míchumais</w:t>
      </w:r>
      <w:proofErr w:type="spellEnd"/>
      <w:r>
        <w:t xml:space="preserve"> 2005 a shásamh, chun a chinntiú go </w:t>
      </w:r>
      <w:proofErr w:type="spellStart"/>
      <w:r>
        <w:t>mbíonn</w:t>
      </w:r>
      <w:proofErr w:type="spellEnd"/>
      <w:r>
        <w:t xml:space="preserve"> </w:t>
      </w:r>
      <w:proofErr w:type="spellStart"/>
      <w:r>
        <w:t>na</w:t>
      </w:r>
      <w:proofErr w:type="spellEnd"/>
      <w:r>
        <w:t xml:space="preserve"> </w:t>
      </w:r>
      <w:proofErr w:type="spellStart"/>
      <w:r>
        <w:t>suímh</w:t>
      </w:r>
      <w:proofErr w:type="spellEnd"/>
      <w:r>
        <w:t xml:space="preserve"> </w:t>
      </w:r>
      <w:proofErr w:type="spellStart"/>
      <w:r>
        <w:t>oidhreachta</w:t>
      </w:r>
      <w:proofErr w:type="spellEnd"/>
      <w:r>
        <w:t xml:space="preserve"> </w:t>
      </w:r>
      <w:proofErr w:type="spellStart"/>
      <w:r>
        <w:t>inrochtana</w:t>
      </w:r>
      <w:proofErr w:type="spellEnd"/>
      <w:r>
        <w:t xml:space="preserve"> do </w:t>
      </w:r>
      <w:proofErr w:type="spellStart"/>
      <w:r>
        <w:t>dhaoine</w:t>
      </w:r>
      <w:proofErr w:type="spellEnd"/>
      <w:r>
        <w:t xml:space="preserve"> le </w:t>
      </w:r>
      <w:proofErr w:type="spellStart"/>
      <w:r>
        <w:t>míchumas</w:t>
      </w:r>
      <w:proofErr w:type="spellEnd"/>
      <w:r>
        <w:t xml:space="preserve">. </w:t>
      </w:r>
    </w:p>
    <w:p w14:paraId="6A30DF3A" w14:textId="77777777" w:rsidR="006C148C" w:rsidRDefault="006C148C">
      <w:proofErr w:type="spellStart"/>
      <w:r>
        <w:lastRenderedPageBreak/>
        <w:t>Forbraíodh</w:t>
      </w:r>
      <w:proofErr w:type="spellEnd"/>
      <w:r>
        <w:t xml:space="preserve"> </w:t>
      </w:r>
      <w:r>
        <w:rPr>
          <w:b/>
          <w:bCs/>
        </w:rPr>
        <w:t xml:space="preserve">an Cód Cleachtais um </w:t>
      </w:r>
      <w:proofErr w:type="spellStart"/>
      <w:r>
        <w:rPr>
          <w:b/>
          <w:bCs/>
        </w:rPr>
        <w:t>Láithreáin</w:t>
      </w:r>
      <w:proofErr w:type="spellEnd"/>
      <w:r>
        <w:rPr>
          <w:b/>
          <w:bCs/>
        </w:rPr>
        <w:t xml:space="preserve"> </w:t>
      </w:r>
      <w:proofErr w:type="spellStart"/>
      <w:r>
        <w:rPr>
          <w:b/>
          <w:bCs/>
        </w:rPr>
        <w:t>Oidhreachta</w:t>
      </w:r>
      <w:proofErr w:type="spellEnd"/>
      <w:r>
        <w:rPr>
          <w:b/>
          <w:bCs/>
        </w:rPr>
        <w:t xml:space="preserve"> </w:t>
      </w:r>
      <w:proofErr w:type="spellStart"/>
      <w:r>
        <w:rPr>
          <w:b/>
          <w:bCs/>
        </w:rPr>
        <w:t>Inrochtana</w:t>
      </w:r>
      <w:proofErr w:type="spellEnd"/>
      <w:r>
        <w:t xml:space="preserve"> </w:t>
      </w:r>
      <w:proofErr w:type="spellStart"/>
      <w:r>
        <w:t>i</w:t>
      </w:r>
      <w:proofErr w:type="spellEnd"/>
      <w:r>
        <w:t xml:space="preserve"> </w:t>
      </w:r>
      <w:proofErr w:type="spellStart"/>
      <w:r>
        <w:t>gcomhairle</w:t>
      </w:r>
      <w:proofErr w:type="spellEnd"/>
      <w:r>
        <w:t xml:space="preserve"> le </w:t>
      </w:r>
      <w:proofErr w:type="spellStart"/>
      <w:r>
        <w:t>ranna</w:t>
      </w:r>
      <w:proofErr w:type="spellEnd"/>
      <w:r>
        <w:t xml:space="preserve"> </w:t>
      </w:r>
      <w:proofErr w:type="spellStart"/>
      <w:r>
        <w:t>rialtais</w:t>
      </w:r>
      <w:proofErr w:type="spellEnd"/>
      <w:r>
        <w:t xml:space="preserve">, </w:t>
      </w:r>
      <w:proofErr w:type="spellStart"/>
      <w:r>
        <w:t>comhlachtaí</w:t>
      </w:r>
      <w:proofErr w:type="spellEnd"/>
      <w:r>
        <w:t xml:space="preserve"> </w:t>
      </w:r>
      <w:proofErr w:type="spellStart"/>
      <w:r>
        <w:t>poiblí</w:t>
      </w:r>
      <w:proofErr w:type="spellEnd"/>
      <w:r>
        <w:t xml:space="preserve">, </w:t>
      </w:r>
      <w:proofErr w:type="spellStart"/>
      <w:r>
        <w:t>grúpaí</w:t>
      </w:r>
      <w:proofErr w:type="spellEnd"/>
      <w:r>
        <w:t xml:space="preserve"> </w:t>
      </w:r>
      <w:proofErr w:type="spellStart"/>
      <w:r>
        <w:t>oidhreachta</w:t>
      </w:r>
      <w:proofErr w:type="spellEnd"/>
      <w:r>
        <w:t xml:space="preserve"> </w:t>
      </w:r>
      <w:proofErr w:type="spellStart"/>
      <w:r>
        <w:t>agus</w:t>
      </w:r>
      <w:proofErr w:type="spellEnd"/>
      <w:r>
        <w:t xml:space="preserve"> </w:t>
      </w:r>
      <w:proofErr w:type="spellStart"/>
      <w:r>
        <w:t>eagrais</w:t>
      </w:r>
      <w:proofErr w:type="spellEnd"/>
      <w:r>
        <w:t xml:space="preserve"> </w:t>
      </w:r>
      <w:proofErr w:type="spellStart"/>
      <w:r>
        <w:t>mhíchumais</w:t>
      </w:r>
      <w:proofErr w:type="spellEnd"/>
      <w:r>
        <w:t xml:space="preserve">. </w:t>
      </w:r>
    </w:p>
    <w:p w14:paraId="6FF0B70B" w14:textId="77777777" w:rsidR="006C148C" w:rsidRDefault="006C148C">
      <w:r>
        <w:t xml:space="preserve">D'oibrigh an </w:t>
      </w:r>
      <w:proofErr w:type="spellStart"/>
      <w:r>
        <w:t>tÚdarás</w:t>
      </w:r>
      <w:proofErr w:type="spellEnd"/>
      <w:r>
        <w:t xml:space="preserve"> Náisiúnta </w:t>
      </w:r>
      <w:proofErr w:type="spellStart"/>
      <w:r>
        <w:t>Míchumais</w:t>
      </w:r>
      <w:proofErr w:type="spellEnd"/>
      <w:r>
        <w:t xml:space="preserve"> go dlúth freisin leis an Aonad Oidhreachta </w:t>
      </w:r>
      <w:proofErr w:type="spellStart"/>
      <w:r>
        <w:t>Ailtireachta</w:t>
      </w:r>
      <w:proofErr w:type="spellEnd"/>
      <w:r>
        <w:t xml:space="preserve"> de </w:t>
      </w:r>
      <w:proofErr w:type="spellStart"/>
      <w:r>
        <w:t>chuid</w:t>
      </w:r>
      <w:proofErr w:type="spellEnd"/>
      <w:r>
        <w:t xml:space="preserve"> </w:t>
      </w:r>
      <w:proofErr w:type="spellStart"/>
      <w:r>
        <w:t>na</w:t>
      </w:r>
      <w:proofErr w:type="spellEnd"/>
      <w:r>
        <w:t xml:space="preserve"> </w:t>
      </w:r>
      <w:proofErr w:type="spellStart"/>
      <w:r>
        <w:t>Roinne</w:t>
      </w:r>
      <w:proofErr w:type="spellEnd"/>
      <w:r>
        <w:t xml:space="preserve"> </w:t>
      </w:r>
      <w:proofErr w:type="spellStart"/>
      <w:r>
        <w:t>Ealaíon</w:t>
      </w:r>
      <w:proofErr w:type="spellEnd"/>
      <w:r>
        <w:t xml:space="preserve">, </w:t>
      </w:r>
      <w:proofErr w:type="spellStart"/>
      <w:r>
        <w:t>Oidhreachta</w:t>
      </w:r>
      <w:proofErr w:type="spellEnd"/>
      <w:r>
        <w:t xml:space="preserve"> </w:t>
      </w:r>
      <w:proofErr w:type="spellStart"/>
      <w:r>
        <w:t>agus</w:t>
      </w:r>
      <w:proofErr w:type="spellEnd"/>
      <w:r>
        <w:t xml:space="preserve"> </w:t>
      </w:r>
      <w:proofErr w:type="spellStart"/>
      <w:r>
        <w:t>Gaeltachta</w:t>
      </w:r>
      <w:proofErr w:type="spellEnd"/>
      <w:r>
        <w:t xml:space="preserve"> </w:t>
      </w:r>
      <w:proofErr w:type="spellStart"/>
      <w:r>
        <w:t>ar</w:t>
      </w:r>
      <w:proofErr w:type="spellEnd"/>
      <w:r>
        <w:t xml:space="preserve"> </w:t>
      </w:r>
      <w:proofErr w:type="spellStart"/>
      <w:r>
        <w:t>fhoilseachán</w:t>
      </w:r>
      <w:proofErr w:type="spellEnd"/>
      <w:r>
        <w:t xml:space="preserve"> </w:t>
      </w:r>
      <w:proofErr w:type="spellStart"/>
      <w:r>
        <w:t>comhlántach</w:t>
      </w:r>
      <w:proofErr w:type="spellEnd"/>
      <w:r>
        <w:t xml:space="preserve"> </w:t>
      </w:r>
      <w:proofErr w:type="spellStart"/>
      <w:r>
        <w:t>dar</w:t>
      </w:r>
      <w:proofErr w:type="spellEnd"/>
      <w:r>
        <w:t xml:space="preserve"> </w:t>
      </w:r>
      <w:proofErr w:type="spellStart"/>
      <w:r>
        <w:t>teideal</w:t>
      </w:r>
      <w:proofErr w:type="spellEnd"/>
      <w:r>
        <w:t xml:space="preserve">: </w:t>
      </w:r>
      <w:proofErr w:type="gramStart"/>
      <w:r>
        <w:rPr>
          <w:b/>
          <w:bCs/>
        </w:rPr>
        <w:t>An</w:t>
      </w:r>
      <w:proofErr w:type="gramEnd"/>
      <w:r>
        <w:rPr>
          <w:b/>
          <w:bCs/>
        </w:rPr>
        <w:t xml:space="preserve"> </w:t>
      </w:r>
      <w:proofErr w:type="spellStart"/>
      <w:r>
        <w:rPr>
          <w:b/>
          <w:bCs/>
        </w:rPr>
        <w:t>rochtain</w:t>
      </w:r>
      <w:proofErr w:type="spellEnd"/>
      <w:r>
        <w:rPr>
          <w:b/>
          <w:bCs/>
        </w:rPr>
        <w:t xml:space="preserve">: </w:t>
      </w:r>
      <w:proofErr w:type="spellStart"/>
      <w:r>
        <w:rPr>
          <w:b/>
          <w:bCs/>
        </w:rPr>
        <w:t>Inrochtaineacht</w:t>
      </w:r>
      <w:proofErr w:type="spellEnd"/>
      <w:r>
        <w:rPr>
          <w:b/>
          <w:bCs/>
        </w:rPr>
        <w:t xml:space="preserve"> </w:t>
      </w:r>
      <w:proofErr w:type="spellStart"/>
      <w:r>
        <w:rPr>
          <w:b/>
          <w:bCs/>
        </w:rPr>
        <w:t>na</w:t>
      </w:r>
      <w:proofErr w:type="spellEnd"/>
      <w:r>
        <w:rPr>
          <w:b/>
          <w:bCs/>
        </w:rPr>
        <w:t xml:space="preserve"> </w:t>
      </w:r>
      <w:proofErr w:type="spellStart"/>
      <w:r>
        <w:rPr>
          <w:b/>
          <w:bCs/>
        </w:rPr>
        <w:t>bhFoirgneamh</w:t>
      </w:r>
      <w:proofErr w:type="spellEnd"/>
      <w:r>
        <w:rPr>
          <w:b/>
          <w:bCs/>
        </w:rPr>
        <w:t xml:space="preserve"> </w:t>
      </w:r>
      <w:proofErr w:type="spellStart"/>
      <w:r>
        <w:rPr>
          <w:b/>
          <w:bCs/>
        </w:rPr>
        <w:t>agus</w:t>
      </w:r>
      <w:proofErr w:type="spellEnd"/>
      <w:r>
        <w:rPr>
          <w:b/>
          <w:bCs/>
        </w:rPr>
        <w:t xml:space="preserve"> </w:t>
      </w:r>
      <w:proofErr w:type="spellStart"/>
      <w:r>
        <w:rPr>
          <w:b/>
          <w:bCs/>
        </w:rPr>
        <w:t>na</w:t>
      </w:r>
      <w:proofErr w:type="spellEnd"/>
      <w:r>
        <w:rPr>
          <w:b/>
          <w:bCs/>
        </w:rPr>
        <w:t xml:space="preserve"> </w:t>
      </w:r>
      <w:proofErr w:type="spellStart"/>
      <w:r>
        <w:rPr>
          <w:b/>
          <w:bCs/>
        </w:rPr>
        <w:t>nIonad</w:t>
      </w:r>
      <w:proofErr w:type="spellEnd"/>
      <w:r>
        <w:rPr>
          <w:b/>
          <w:bCs/>
        </w:rPr>
        <w:t xml:space="preserve"> </w:t>
      </w:r>
      <w:proofErr w:type="spellStart"/>
      <w:r>
        <w:rPr>
          <w:b/>
          <w:bCs/>
        </w:rPr>
        <w:t>Stairiúil</w:t>
      </w:r>
      <w:proofErr w:type="spellEnd"/>
      <w:r>
        <w:rPr>
          <w:b/>
          <w:bCs/>
        </w:rPr>
        <w:t xml:space="preserve"> a </w:t>
      </w:r>
      <w:proofErr w:type="spellStart"/>
      <w:r>
        <w:rPr>
          <w:b/>
          <w:bCs/>
        </w:rPr>
        <w:t>Fheabhsú</w:t>
      </w:r>
      <w:proofErr w:type="spellEnd"/>
      <w:r>
        <w:t xml:space="preserve"> </w:t>
      </w:r>
      <w:proofErr w:type="spellStart"/>
      <w:r>
        <w:t>d'úinéirí</w:t>
      </w:r>
      <w:proofErr w:type="spellEnd"/>
      <w:r>
        <w:t xml:space="preserve"> </w:t>
      </w:r>
      <w:proofErr w:type="spellStart"/>
      <w:r>
        <w:t>agus</w:t>
      </w:r>
      <w:proofErr w:type="spellEnd"/>
      <w:r>
        <w:t xml:space="preserve"> </w:t>
      </w:r>
      <w:proofErr w:type="spellStart"/>
      <w:r>
        <w:t>bainisteoirí</w:t>
      </w:r>
      <w:proofErr w:type="spellEnd"/>
      <w:r>
        <w:t xml:space="preserve"> </w:t>
      </w:r>
      <w:proofErr w:type="spellStart"/>
      <w:r>
        <w:t>na</w:t>
      </w:r>
      <w:proofErr w:type="spellEnd"/>
      <w:r>
        <w:t xml:space="preserve"> </w:t>
      </w:r>
      <w:proofErr w:type="spellStart"/>
      <w:r>
        <w:t>suíomh</w:t>
      </w:r>
      <w:proofErr w:type="spellEnd"/>
      <w:r>
        <w:t xml:space="preserve"> </w:t>
      </w:r>
      <w:proofErr w:type="spellStart"/>
      <w:r>
        <w:t>oidhreachta</w:t>
      </w:r>
      <w:proofErr w:type="spellEnd"/>
      <w:r>
        <w:t xml:space="preserve">. Is </w:t>
      </w:r>
      <w:proofErr w:type="spellStart"/>
      <w:r>
        <w:t>san</w:t>
      </w:r>
      <w:proofErr w:type="spellEnd"/>
      <w:r>
        <w:t xml:space="preserve"> </w:t>
      </w:r>
      <w:proofErr w:type="spellStart"/>
      <w:r>
        <w:t>fhoilseachán</w:t>
      </w:r>
      <w:proofErr w:type="spellEnd"/>
      <w:r>
        <w:t xml:space="preserve"> sin a </w:t>
      </w:r>
      <w:proofErr w:type="spellStart"/>
      <w:r>
        <w:t>sholáthraítear</w:t>
      </w:r>
      <w:proofErr w:type="spellEnd"/>
      <w:r>
        <w:t xml:space="preserve"> go </w:t>
      </w:r>
      <w:proofErr w:type="spellStart"/>
      <w:r>
        <w:t>leor</w:t>
      </w:r>
      <w:proofErr w:type="spellEnd"/>
      <w:r>
        <w:t xml:space="preserve"> </w:t>
      </w:r>
      <w:proofErr w:type="spellStart"/>
      <w:r>
        <w:t>samplaí</w:t>
      </w:r>
      <w:proofErr w:type="spellEnd"/>
      <w:r>
        <w:t xml:space="preserve"> den </w:t>
      </w:r>
      <w:proofErr w:type="spellStart"/>
      <w:r>
        <w:t>dea-chleachtas</w:t>
      </w:r>
      <w:proofErr w:type="spellEnd"/>
      <w:r>
        <w:t xml:space="preserve"> </w:t>
      </w:r>
      <w:proofErr w:type="spellStart"/>
      <w:r>
        <w:t>agus</w:t>
      </w:r>
      <w:proofErr w:type="spellEnd"/>
      <w:r>
        <w:t xml:space="preserve"> </w:t>
      </w:r>
      <w:proofErr w:type="spellStart"/>
      <w:r>
        <w:t>treoir</w:t>
      </w:r>
      <w:proofErr w:type="spellEnd"/>
      <w:r>
        <w:t xml:space="preserve"> </w:t>
      </w:r>
      <w:proofErr w:type="spellStart"/>
      <w:r>
        <w:t>faoi</w:t>
      </w:r>
      <w:proofErr w:type="spellEnd"/>
      <w:r>
        <w:t xml:space="preserve"> </w:t>
      </w:r>
      <w:proofErr w:type="spellStart"/>
      <w:r>
        <w:t>chaighdeán</w:t>
      </w:r>
      <w:proofErr w:type="spellEnd"/>
      <w:r>
        <w:t xml:space="preserve"> </w:t>
      </w:r>
      <w:proofErr w:type="spellStart"/>
      <w:r>
        <w:t>ard</w:t>
      </w:r>
      <w:proofErr w:type="spellEnd"/>
      <w:r>
        <w:t xml:space="preserve"> </w:t>
      </w:r>
      <w:proofErr w:type="spellStart"/>
      <w:r>
        <w:t>inrochtaineachta</w:t>
      </w:r>
      <w:proofErr w:type="spellEnd"/>
      <w:r>
        <w:t xml:space="preserve"> a </w:t>
      </w:r>
      <w:proofErr w:type="spellStart"/>
      <w:r>
        <w:t>ghnóthú</w:t>
      </w:r>
      <w:proofErr w:type="spellEnd"/>
      <w:r>
        <w:t xml:space="preserve">, </w:t>
      </w:r>
      <w:proofErr w:type="spellStart"/>
      <w:r>
        <w:t>agus</w:t>
      </w:r>
      <w:proofErr w:type="spellEnd"/>
      <w:r>
        <w:t xml:space="preserve"> </w:t>
      </w:r>
      <w:proofErr w:type="spellStart"/>
      <w:r>
        <w:t>cosaint</w:t>
      </w:r>
      <w:proofErr w:type="spellEnd"/>
      <w:r>
        <w:t xml:space="preserve"> á </w:t>
      </w:r>
      <w:proofErr w:type="spellStart"/>
      <w:r>
        <w:t>tabhairt</w:t>
      </w:r>
      <w:proofErr w:type="spellEnd"/>
      <w:r>
        <w:t xml:space="preserve"> do </w:t>
      </w:r>
      <w:proofErr w:type="spellStart"/>
      <w:r>
        <w:t>shláine</w:t>
      </w:r>
      <w:proofErr w:type="spellEnd"/>
      <w:r>
        <w:t xml:space="preserve"> an </w:t>
      </w:r>
      <w:proofErr w:type="spellStart"/>
      <w:r>
        <w:t>láithreáin</w:t>
      </w:r>
      <w:proofErr w:type="spellEnd"/>
      <w:r>
        <w:t xml:space="preserve"> </w:t>
      </w:r>
      <w:proofErr w:type="spellStart"/>
      <w:r>
        <w:t>oidhreachta</w:t>
      </w:r>
      <w:proofErr w:type="spellEnd"/>
      <w:r>
        <w:t xml:space="preserve">.  </w:t>
      </w:r>
    </w:p>
    <w:p w14:paraId="00AB0E52" w14:textId="77777777" w:rsidR="006C148C" w:rsidRDefault="006C148C">
      <w:pPr>
        <w:pStyle w:val="Heading2"/>
      </w:pPr>
      <w:bookmarkStart w:id="388" w:name="_Toc335836492"/>
      <w:r>
        <w:t xml:space="preserve">An </w:t>
      </w:r>
      <w:proofErr w:type="spellStart"/>
      <w:r>
        <w:t>Soláthar</w:t>
      </w:r>
      <w:bookmarkEnd w:id="388"/>
      <w:proofErr w:type="spellEnd"/>
    </w:p>
    <w:p w14:paraId="3D5113DD" w14:textId="77777777" w:rsidR="006C148C" w:rsidRDefault="006C148C">
      <w:r>
        <w:t xml:space="preserve">Tá an </w:t>
      </w:r>
      <w:proofErr w:type="spellStart"/>
      <w:r>
        <w:t>tÚdarás</w:t>
      </w:r>
      <w:proofErr w:type="spellEnd"/>
      <w:r>
        <w:t xml:space="preserve"> Náisiúnta </w:t>
      </w:r>
      <w:proofErr w:type="spellStart"/>
      <w:r>
        <w:t>Míchumais</w:t>
      </w:r>
      <w:proofErr w:type="spellEnd"/>
      <w:r>
        <w:t xml:space="preserve"> ag forbairt treorach i láthair na huaire do </w:t>
      </w:r>
      <w:proofErr w:type="spellStart"/>
      <w:r>
        <w:t>ghairmigh</w:t>
      </w:r>
      <w:proofErr w:type="spellEnd"/>
      <w:r>
        <w:t xml:space="preserve"> sholáthair, chun cuidiú leo comhlíonadh le halt 27 den Acht </w:t>
      </w:r>
      <w:proofErr w:type="spellStart"/>
      <w:r>
        <w:t>Míchumais</w:t>
      </w:r>
      <w:proofErr w:type="spellEnd"/>
      <w:r>
        <w:t xml:space="preserve"> 2005. Ní foláir de réir an Achta go </w:t>
      </w:r>
      <w:proofErr w:type="spellStart"/>
      <w:r>
        <w:t>gcinntíonn</w:t>
      </w:r>
      <w:proofErr w:type="spellEnd"/>
      <w:r>
        <w:t xml:space="preserve"> ceann comhlachta phoiblí gurb </w:t>
      </w:r>
      <w:proofErr w:type="spellStart"/>
      <w:r>
        <w:t>inrochtana</w:t>
      </w:r>
      <w:proofErr w:type="spellEnd"/>
      <w:r>
        <w:t xml:space="preserve"> do dhaoine le </w:t>
      </w:r>
      <w:proofErr w:type="spellStart"/>
      <w:r>
        <w:t>míchumas</w:t>
      </w:r>
      <w:proofErr w:type="spellEnd"/>
      <w:r>
        <w:t xml:space="preserve"> iad na hearraí agus seirbhísí a </w:t>
      </w:r>
      <w:proofErr w:type="spellStart"/>
      <w:r>
        <w:t>sholáthraítear</w:t>
      </w:r>
      <w:proofErr w:type="spellEnd"/>
      <w:r>
        <w:t xml:space="preserve"> don chomhlacht sin. </w:t>
      </w:r>
      <w:proofErr w:type="spellStart"/>
      <w:r>
        <w:t>Cuideoidh</w:t>
      </w:r>
      <w:proofErr w:type="spellEnd"/>
      <w:r>
        <w:t xml:space="preserve"> an treoir le haon duine a mbíonn baint acu le </w:t>
      </w:r>
      <w:proofErr w:type="spellStart"/>
      <w:r>
        <w:t>hullmhú</w:t>
      </w:r>
      <w:proofErr w:type="spellEnd"/>
      <w:r>
        <w:t xml:space="preserve"> nó le </w:t>
      </w:r>
      <w:proofErr w:type="spellStart"/>
      <w:r>
        <w:t>measúnú</w:t>
      </w:r>
      <w:proofErr w:type="spellEnd"/>
      <w:r>
        <w:t xml:space="preserve"> tairiscintí chun a chinntiú go dtugtar aird d'éilimh dhaoine le </w:t>
      </w:r>
      <w:proofErr w:type="spellStart"/>
      <w:r>
        <w:t>míchumas</w:t>
      </w:r>
      <w:proofErr w:type="spellEnd"/>
      <w:r>
        <w:t xml:space="preserve"> ar feadh an phróisis. Chuaigh an </w:t>
      </w:r>
      <w:proofErr w:type="spellStart"/>
      <w:r>
        <w:t>tÚdarás</w:t>
      </w:r>
      <w:proofErr w:type="spellEnd"/>
      <w:r>
        <w:t xml:space="preserve"> Náisiúnta </w:t>
      </w:r>
      <w:proofErr w:type="spellStart"/>
      <w:r>
        <w:t>Míchumais</w:t>
      </w:r>
      <w:proofErr w:type="spellEnd"/>
      <w:r>
        <w:t xml:space="preserve"> i mbun </w:t>
      </w:r>
      <w:proofErr w:type="spellStart"/>
      <w:r>
        <w:t>cleachtaidh</w:t>
      </w:r>
      <w:proofErr w:type="spellEnd"/>
      <w:r>
        <w:t xml:space="preserve"> </w:t>
      </w:r>
      <w:proofErr w:type="spellStart"/>
      <w:r>
        <w:t>chomhairliúcháin</w:t>
      </w:r>
      <w:proofErr w:type="spellEnd"/>
      <w:r>
        <w:t xml:space="preserve"> le </w:t>
      </w:r>
      <w:proofErr w:type="spellStart"/>
      <w:r>
        <w:t>feidhmeannaigh</w:t>
      </w:r>
      <w:proofErr w:type="spellEnd"/>
      <w:r>
        <w:t xml:space="preserve"> </w:t>
      </w:r>
      <w:proofErr w:type="spellStart"/>
      <w:r>
        <w:t>sholáthair</w:t>
      </w:r>
      <w:proofErr w:type="spellEnd"/>
      <w:r>
        <w:t xml:space="preserve"> ó </w:t>
      </w:r>
      <w:proofErr w:type="spellStart"/>
      <w:r>
        <w:t>réimse</w:t>
      </w:r>
      <w:proofErr w:type="spellEnd"/>
      <w:r>
        <w:t xml:space="preserve"> </w:t>
      </w:r>
      <w:proofErr w:type="spellStart"/>
      <w:r>
        <w:t>comhlachtaí</w:t>
      </w:r>
      <w:proofErr w:type="spellEnd"/>
      <w:r>
        <w:t xml:space="preserve"> </w:t>
      </w:r>
      <w:proofErr w:type="spellStart"/>
      <w:r>
        <w:t>poiblí</w:t>
      </w:r>
      <w:proofErr w:type="spellEnd"/>
      <w:r>
        <w:t xml:space="preserve"> </w:t>
      </w:r>
      <w:proofErr w:type="spellStart"/>
      <w:r>
        <w:t>chun</w:t>
      </w:r>
      <w:proofErr w:type="spellEnd"/>
      <w:r>
        <w:t xml:space="preserve"> a </w:t>
      </w:r>
      <w:proofErr w:type="spellStart"/>
      <w:r>
        <w:t>chinntiú</w:t>
      </w:r>
      <w:proofErr w:type="spellEnd"/>
      <w:r>
        <w:t xml:space="preserve"> go </w:t>
      </w:r>
      <w:proofErr w:type="spellStart"/>
      <w:r>
        <w:t>sásóidh</w:t>
      </w:r>
      <w:proofErr w:type="spellEnd"/>
      <w:r>
        <w:t xml:space="preserve"> foilseachán na treorach a gcuid éileamh. Táthar ag dúil go </w:t>
      </w:r>
      <w:proofErr w:type="spellStart"/>
      <w:r>
        <w:t>bhfoilseofar</w:t>
      </w:r>
      <w:proofErr w:type="spellEnd"/>
      <w:r>
        <w:t xml:space="preserve"> an </w:t>
      </w:r>
      <w:proofErr w:type="spellStart"/>
      <w:r>
        <w:t>treoir</w:t>
      </w:r>
      <w:proofErr w:type="spellEnd"/>
      <w:r>
        <w:t xml:space="preserve"> sin </w:t>
      </w:r>
      <w:proofErr w:type="spellStart"/>
      <w:r>
        <w:t>amach</w:t>
      </w:r>
      <w:proofErr w:type="spellEnd"/>
      <w:r>
        <w:t xml:space="preserve"> </w:t>
      </w:r>
      <w:proofErr w:type="spellStart"/>
      <w:r>
        <w:t>sa</w:t>
      </w:r>
      <w:proofErr w:type="spellEnd"/>
      <w:r>
        <w:t xml:space="preserve"> </w:t>
      </w:r>
      <w:proofErr w:type="spellStart"/>
      <w:r>
        <w:t>bhliain</w:t>
      </w:r>
      <w:proofErr w:type="spellEnd"/>
      <w:r>
        <w:t xml:space="preserve"> 2012.</w:t>
      </w:r>
    </w:p>
    <w:p w14:paraId="6A73E857" w14:textId="77777777" w:rsidR="006C148C" w:rsidRDefault="006C148C">
      <w:pPr>
        <w:pStyle w:val="Heading1"/>
        <w:pageBreakBefore/>
      </w:pPr>
      <w:bookmarkStart w:id="389" w:name="_Toc335829661"/>
      <w:bookmarkStart w:id="390" w:name="_Toc335836493"/>
      <w:bookmarkStart w:id="391" w:name="_Toc335983450"/>
      <w:bookmarkStart w:id="392" w:name="_Toc335986620"/>
      <w:r>
        <w:lastRenderedPageBreak/>
        <w:t xml:space="preserve">Tosaíocht </w:t>
      </w:r>
      <w:proofErr w:type="spellStart"/>
      <w:r>
        <w:t>Straitéiseach</w:t>
      </w:r>
      <w:proofErr w:type="spellEnd"/>
      <w:r>
        <w:t xml:space="preserve"> 3:  </w:t>
      </w:r>
      <w:proofErr w:type="spellStart"/>
      <w:r>
        <w:t>Cuimsiú</w:t>
      </w:r>
      <w:proofErr w:type="spellEnd"/>
      <w:r>
        <w:t xml:space="preserve"> a chur </w:t>
      </w:r>
      <w:proofErr w:type="spellStart"/>
      <w:r>
        <w:t>chun</w:t>
      </w:r>
      <w:proofErr w:type="spellEnd"/>
      <w:r>
        <w:t xml:space="preserve"> </w:t>
      </w:r>
      <w:proofErr w:type="spellStart"/>
      <w:r>
        <w:t>cinn</w:t>
      </w:r>
      <w:proofErr w:type="spellEnd"/>
      <w:r>
        <w:t xml:space="preserve"> </w:t>
      </w:r>
      <w:proofErr w:type="spellStart"/>
      <w:r>
        <w:t>trí</w:t>
      </w:r>
      <w:proofErr w:type="spellEnd"/>
      <w:r>
        <w:t xml:space="preserve"> </w:t>
      </w:r>
      <w:proofErr w:type="spellStart"/>
      <w:r>
        <w:t>inrochtaineacht</w:t>
      </w:r>
      <w:proofErr w:type="spellEnd"/>
      <w:r>
        <w:t xml:space="preserve"> </w:t>
      </w:r>
      <w:proofErr w:type="spellStart"/>
      <w:r>
        <w:t>agus</w:t>
      </w:r>
      <w:proofErr w:type="spellEnd"/>
      <w:r>
        <w:t xml:space="preserve"> </w:t>
      </w:r>
      <w:proofErr w:type="spellStart"/>
      <w:r>
        <w:t>dearadh</w:t>
      </w:r>
      <w:proofErr w:type="spellEnd"/>
      <w:r>
        <w:t xml:space="preserve"> </w:t>
      </w:r>
      <w:proofErr w:type="spellStart"/>
      <w:r>
        <w:t>uilíoch</w:t>
      </w:r>
      <w:bookmarkEnd w:id="389"/>
      <w:bookmarkEnd w:id="390"/>
      <w:bookmarkEnd w:id="391"/>
      <w:bookmarkEnd w:id="392"/>
      <w:proofErr w:type="spellEnd"/>
    </w:p>
    <w:p w14:paraId="7BA53BDA" w14:textId="77777777" w:rsidR="006C148C" w:rsidRDefault="006C148C">
      <w:pPr>
        <w:pStyle w:val="Heading2"/>
      </w:pPr>
      <w:bookmarkStart w:id="393" w:name="_Toc335836494"/>
      <w:proofErr w:type="spellStart"/>
      <w:r>
        <w:t>Treoir</w:t>
      </w:r>
      <w:proofErr w:type="spellEnd"/>
      <w:r>
        <w:t xml:space="preserve"> </w:t>
      </w:r>
      <w:proofErr w:type="spellStart"/>
      <w:r>
        <w:t>agus</w:t>
      </w:r>
      <w:proofErr w:type="spellEnd"/>
      <w:r>
        <w:t xml:space="preserve"> </w:t>
      </w:r>
      <w:proofErr w:type="spellStart"/>
      <w:r>
        <w:t>caighdeáin</w:t>
      </w:r>
      <w:bookmarkEnd w:id="393"/>
      <w:proofErr w:type="spellEnd"/>
    </w:p>
    <w:p w14:paraId="0CF609C4" w14:textId="77777777" w:rsidR="006C148C" w:rsidRDefault="006C148C">
      <w:pPr>
        <w:pStyle w:val="Heading3"/>
      </w:pPr>
      <w:bookmarkStart w:id="394" w:name="_Toc335836495"/>
      <w:proofErr w:type="spellStart"/>
      <w:r>
        <w:t>Tógáil</w:t>
      </w:r>
      <w:proofErr w:type="spellEnd"/>
      <w:r>
        <w:t xml:space="preserve"> do </w:t>
      </w:r>
      <w:proofErr w:type="spellStart"/>
      <w:r>
        <w:t>chách</w:t>
      </w:r>
      <w:proofErr w:type="spellEnd"/>
      <w:r>
        <w:t xml:space="preserve">: Cur </w:t>
      </w:r>
      <w:proofErr w:type="spellStart"/>
      <w:r>
        <w:t>chuige</w:t>
      </w:r>
      <w:proofErr w:type="spellEnd"/>
      <w:r>
        <w:t xml:space="preserve"> </w:t>
      </w:r>
      <w:proofErr w:type="spellStart"/>
      <w:r>
        <w:t>dearaidh</w:t>
      </w:r>
      <w:proofErr w:type="spellEnd"/>
      <w:r>
        <w:t xml:space="preserve"> </w:t>
      </w:r>
      <w:proofErr w:type="spellStart"/>
      <w:r>
        <w:t>uilíoch</w:t>
      </w:r>
      <w:bookmarkEnd w:id="394"/>
      <w:proofErr w:type="spellEnd"/>
    </w:p>
    <w:p w14:paraId="55E16983" w14:textId="77777777" w:rsidR="006C148C" w:rsidRDefault="006C148C">
      <w:proofErr w:type="spellStart"/>
      <w:r>
        <w:t>Leanadh</w:t>
      </w:r>
      <w:proofErr w:type="spellEnd"/>
      <w:r>
        <w:t xml:space="preserve"> den obair i gcruthú sraith leabhrán chun cur chuige </w:t>
      </w:r>
      <w:proofErr w:type="spellStart"/>
      <w:r>
        <w:t>dearaidh</w:t>
      </w:r>
      <w:proofErr w:type="spellEnd"/>
      <w:r>
        <w:t xml:space="preserve"> </w:t>
      </w:r>
      <w:proofErr w:type="spellStart"/>
      <w:r>
        <w:t>uilíoch</w:t>
      </w:r>
      <w:proofErr w:type="spellEnd"/>
      <w:r>
        <w:t xml:space="preserve"> </w:t>
      </w:r>
      <w:proofErr w:type="spellStart"/>
      <w:r>
        <w:t>i</w:t>
      </w:r>
      <w:proofErr w:type="spellEnd"/>
      <w:r>
        <w:t xml:space="preserve"> </w:t>
      </w:r>
      <w:proofErr w:type="spellStart"/>
      <w:r>
        <w:t>leith</w:t>
      </w:r>
      <w:proofErr w:type="spellEnd"/>
      <w:r>
        <w:t xml:space="preserve"> </w:t>
      </w:r>
      <w:proofErr w:type="spellStart"/>
      <w:r>
        <w:t>na</w:t>
      </w:r>
      <w:proofErr w:type="spellEnd"/>
      <w:r>
        <w:t xml:space="preserve"> </w:t>
      </w:r>
      <w:proofErr w:type="spellStart"/>
      <w:r>
        <w:t>timpeallachta</w:t>
      </w:r>
      <w:proofErr w:type="spellEnd"/>
      <w:r>
        <w:t xml:space="preserve"> </w:t>
      </w:r>
      <w:proofErr w:type="spellStart"/>
      <w:r>
        <w:t>tógtha</w:t>
      </w:r>
      <w:proofErr w:type="spellEnd"/>
      <w:r>
        <w:t xml:space="preserve"> a chur </w:t>
      </w:r>
      <w:proofErr w:type="spellStart"/>
      <w:r>
        <w:t>chun</w:t>
      </w:r>
      <w:proofErr w:type="spellEnd"/>
      <w:r>
        <w:t xml:space="preserve"> cinn, rud a </w:t>
      </w:r>
      <w:proofErr w:type="spellStart"/>
      <w:r>
        <w:t>nuashonraíonn</w:t>
      </w:r>
      <w:proofErr w:type="spellEnd"/>
      <w:r>
        <w:t xml:space="preserve"> treoir </w:t>
      </w:r>
      <w:proofErr w:type="spellStart"/>
      <w:r>
        <w:t>bhunaidh</w:t>
      </w:r>
      <w:proofErr w:type="spellEnd"/>
      <w:r>
        <w:t xml:space="preserve"> </w:t>
      </w:r>
      <w:proofErr w:type="spellStart"/>
      <w:r>
        <w:rPr>
          <w:b/>
        </w:rPr>
        <w:t>Tógáil</w:t>
      </w:r>
      <w:proofErr w:type="spellEnd"/>
      <w:r>
        <w:rPr>
          <w:b/>
        </w:rPr>
        <w:t xml:space="preserve"> do </w:t>
      </w:r>
      <w:proofErr w:type="spellStart"/>
      <w:r>
        <w:rPr>
          <w:b/>
        </w:rPr>
        <w:t>Chách</w:t>
      </w:r>
      <w:proofErr w:type="spellEnd"/>
      <w:r>
        <w:rPr>
          <w:b/>
        </w:rPr>
        <w:t xml:space="preserve"> </w:t>
      </w:r>
      <w:r>
        <w:t xml:space="preserve">an </w:t>
      </w:r>
      <w:proofErr w:type="spellStart"/>
      <w:r>
        <w:t>Údaráis</w:t>
      </w:r>
      <w:proofErr w:type="spellEnd"/>
      <w:r>
        <w:t xml:space="preserve"> </w:t>
      </w:r>
      <w:proofErr w:type="spellStart"/>
      <w:r>
        <w:t>Náisiúnta</w:t>
      </w:r>
      <w:proofErr w:type="spellEnd"/>
      <w:r>
        <w:t xml:space="preserve"> </w:t>
      </w:r>
      <w:proofErr w:type="spellStart"/>
      <w:r>
        <w:t>Míchumais</w:t>
      </w:r>
      <w:proofErr w:type="spellEnd"/>
      <w:r>
        <w:t xml:space="preserve"> ó 2002, </w:t>
      </w:r>
      <w:proofErr w:type="spellStart"/>
      <w:r>
        <w:t>i</w:t>
      </w:r>
      <w:proofErr w:type="spellEnd"/>
      <w:r>
        <w:t xml:space="preserve"> </w:t>
      </w:r>
      <w:proofErr w:type="spellStart"/>
      <w:r>
        <w:t>gcomhréir</w:t>
      </w:r>
      <w:proofErr w:type="spellEnd"/>
      <w:r>
        <w:t xml:space="preserve"> le </w:t>
      </w:r>
      <w:proofErr w:type="spellStart"/>
      <w:r>
        <w:t>caighdeáin</w:t>
      </w:r>
      <w:proofErr w:type="spellEnd"/>
      <w:r>
        <w:t xml:space="preserve"> </w:t>
      </w:r>
      <w:proofErr w:type="spellStart"/>
      <w:r>
        <w:t>nua</w:t>
      </w:r>
      <w:proofErr w:type="spellEnd"/>
      <w:r>
        <w:t xml:space="preserve"> </w:t>
      </w:r>
      <w:proofErr w:type="spellStart"/>
      <w:r>
        <w:t>agus</w:t>
      </w:r>
      <w:proofErr w:type="spellEnd"/>
      <w:r>
        <w:t xml:space="preserve"> cur </w:t>
      </w:r>
      <w:proofErr w:type="spellStart"/>
      <w:r>
        <w:t>chuige</w:t>
      </w:r>
      <w:proofErr w:type="spellEnd"/>
      <w:r>
        <w:t xml:space="preserve"> </w:t>
      </w:r>
      <w:proofErr w:type="spellStart"/>
      <w:r>
        <w:t>dearaidh</w:t>
      </w:r>
      <w:proofErr w:type="spellEnd"/>
      <w:r>
        <w:t xml:space="preserve"> </w:t>
      </w:r>
      <w:proofErr w:type="spellStart"/>
      <w:r>
        <w:t>uilíoch</w:t>
      </w:r>
      <w:proofErr w:type="spellEnd"/>
      <w:r>
        <w:t>.</w:t>
      </w:r>
    </w:p>
    <w:p w14:paraId="4399A11A" w14:textId="77777777" w:rsidR="006C148C" w:rsidRDefault="006C148C">
      <w:pPr>
        <w:spacing w:after="0"/>
        <w:rPr>
          <w:rFonts w:cs="Arial"/>
        </w:rPr>
      </w:pPr>
      <w:proofErr w:type="spellStart"/>
      <w:r>
        <w:rPr>
          <w:rFonts w:cs="Arial"/>
        </w:rPr>
        <w:t>Cuimsíonn</w:t>
      </w:r>
      <w:proofErr w:type="spellEnd"/>
      <w:r>
        <w:rPr>
          <w:rFonts w:cs="Arial"/>
        </w:rPr>
        <w:t xml:space="preserve"> an leagan nua sraith 10 leabhrán a chuimsíonn réimsí éagsúla de dhearadh </w:t>
      </w:r>
      <w:proofErr w:type="spellStart"/>
      <w:r>
        <w:rPr>
          <w:rFonts w:cs="Arial"/>
        </w:rPr>
        <w:t>foirgníochta</w:t>
      </w:r>
      <w:proofErr w:type="spellEnd"/>
      <w:r>
        <w:rPr>
          <w:rFonts w:cs="Arial"/>
        </w:rPr>
        <w:t xml:space="preserve">, lena n-áirítear spás seachtrach, </w:t>
      </w:r>
      <w:proofErr w:type="spellStart"/>
      <w:r>
        <w:rPr>
          <w:rFonts w:cs="Arial"/>
        </w:rPr>
        <w:t>cúrsaíocht</w:t>
      </w:r>
      <w:proofErr w:type="spellEnd"/>
      <w:r>
        <w:rPr>
          <w:rFonts w:cs="Arial"/>
        </w:rPr>
        <w:t xml:space="preserve"> </w:t>
      </w:r>
      <w:proofErr w:type="spellStart"/>
      <w:r>
        <w:rPr>
          <w:rFonts w:cs="Arial"/>
        </w:rPr>
        <w:t>ingearach</w:t>
      </w:r>
      <w:proofErr w:type="spellEnd"/>
      <w:r>
        <w:rPr>
          <w:rFonts w:cs="Arial"/>
        </w:rPr>
        <w:t xml:space="preserve"> agus </w:t>
      </w:r>
      <w:proofErr w:type="spellStart"/>
      <w:r>
        <w:rPr>
          <w:rFonts w:cs="Arial"/>
        </w:rPr>
        <w:t>chothrománach</w:t>
      </w:r>
      <w:proofErr w:type="spellEnd"/>
      <w:r>
        <w:rPr>
          <w:rFonts w:cs="Arial"/>
        </w:rPr>
        <w:t xml:space="preserve"> agus an próiseas pleanála. Tá treoir </w:t>
      </w:r>
      <w:proofErr w:type="spellStart"/>
      <w:r>
        <w:rPr>
          <w:rFonts w:cs="Arial"/>
        </w:rPr>
        <w:t>mhionsonraithe</w:t>
      </w:r>
      <w:proofErr w:type="spellEnd"/>
      <w:r>
        <w:rPr>
          <w:rFonts w:cs="Arial"/>
        </w:rPr>
        <w:t xml:space="preserve"> </w:t>
      </w:r>
      <w:proofErr w:type="spellStart"/>
      <w:r>
        <w:rPr>
          <w:rFonts w:cs="Arial"/>
        </w:rPr>
        <w:t>phraiticiúil</w:t>
      </w:r>
      <w:proofErr w:type="spellEnd"/>
      <w:r>
        <w:rPr>
          <w:rFonts w:cs="Arial"/>
        </w:rPr>
        <w:t xml:space="preserve"> </w:t>
      </w:r>
      <w:proofErr w:type="spellStart"/>
      <w:r>
        <w:rPr>
          <w:rFonts w:cs="Arial"/>
        </w:rPr>
        <w:t>ann</w:t>
      </w:r>
      <w:proofErr w:type="spellEnd"/>
      <w:r>
        <w:rPr>
          <w:rFonts w:cs="Arial"/>
        </w:rPr>
        <w:t xml:space="preserve">, in </w:t>
      </w:r>
      <w:proofErr w:type="spellStart"/>
      <w:r>
        <w:rPr>
          <w:rFonts w:cs="Arial"/>
        </w:rPr>
        <w:t>éineacht</w:t>
      </w:r>
      <w:proofErr w:type="spellEnd"/>
      <w:r>
        <w:rPr>
          <w:rFonts w:cs="Arial"/>
        </w:rPr>
        <w:t xml:space="preserve"> le </w:t>
      </w:r>
      <w:proofErr w:type="spellStart"/>
      <w:r>
        <w:rPr>
          <w:rFonts w:cs="Arial"/>
        </w:rPr>
        <w:t>léaráidí</w:t>
      </w:r>
      <w:proofErr w:type="spellEnd"/>
      <w:r>
        <w:rPr>
          <w:rFonts w:cs="Arial"/>
        </w:rPr>
        <w:t xml:space="preserve">, </w:t>
      </w:r>
      <w:proofErr w:type="spellStart"/>
      <w:r>
        <w:rPr>
          <w:rFonts w:cs="Arial"/>
        </w:rPr>
        <w:t>grianghraif</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seicliostaí</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mhaithe</w:t>
      </w:r>
      <w:proofErr w:type="spellEnd"/>
      <w:r>
        <w:rPr>
          <w:rFonts w:cs="Arial"/>
        </w:rPr>
        <w:t xml:space="preserve"> le </w:t>
      </w:r>
      <w:proofErr w:type="spellStart"/>
      <w:r>
        <w:rPr>
          <w:rFonts w:cs="Arial"/>
        </w:rPr>
        <w:t>forbróirí</w:t>
      </w:r>
      <w:proofErr w:type="spellEnd"/>
      <w:r>
        <w:rPr>
          <w:rFonts w:cs="Arial"/>
        </w:rPr>
        <w:t xml:space="preserve">, </w:t>
      </w:r>
      <w:proofErr w:type="spellStart"/>
      <w:r>
        <w:rPr>
          <w:rFonts w:cs="Arial"/>
        </w:rPr>
        <w:t>ailtirí</w:t>
      </w:r>
      <w:proofErr w:type="spellEnd"/>
      <w:r>
        <w:rPr>
          <w:rFonts w:cs="Arial"/>
        </w:rPr>
        <w:t xml:space="preserve">, </w:t>
      </w:r>
      <w:proofErr w:type="spellStart"/>
      <w:r>
        <w:rPr>
          <w:rFonts w:cs="Arial"/>
        </w:rPr>
        <w:t>dearthóirí</w:t>
      </w:r>
      <w:proofErr w:type="spellEnd"/>
      <w:r>
        <w:rPr>
          <w:rFonts w:cs="Arial"/>
        </w:rPr>
        <w:t xml:space="preserve">, </w:t>
      </w:r>
      <w:proofErr w:type="spellStart"/>
      <w:r>
        <w:rPr>
          <w:rFonts w:cs="Arial"/>
        </w:rPr>
        <w:t>tógálaithe</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bainisteoirí</w:t>
      </w:r>
      <w:proofErr w:type="spellEnd"/>
      <w:r>
        <w:rPr>
          <w:rFonts w:cs="Arial"/>
        </w:rPr>
        <w:t xml:space="preserve"> </w:t>
      </w:r>
      <w:proofErr w:type="spellStart"/>
      <w:r>
        <w:rPr>
          <w:rFonts w:cs="Arial"/>
        </w:rPr>
        <w:t>foirgníochta</w:t>
      </w:r>
      <w:proofErr w:type="spellEnd"/>
      <w:r>
        <w:rPr>
          <w:rFonts w:cs="Arial"/>
        </w:rPr>
        <w:t xml:space="preserve"> a </w:t>
      </w:r>
      <w:proofErr w:type="spellStart"/>
      <w:r>
        <w:rPr>
          <w:rFonts w:cs="Arial"/>
        </w:rPr>
        <w:t>spreagadh</w:t>
      </w:r>
      <w:proofErr w:type="spellEnd"/>
      <w:r>
        <w:rPr>
          <w:rFonts w:cs="Arial"/>
        </w:rPr>
        <w:t xml:space="preserve"> le </w:t>
      </w:r>
      <w:proofErr w:type="spellStart"/>
      <w:r>
        <w:rPr>
          <w:rFonts w:cs="Arial"/>
        </w:rPr>
        <w:t>bheith</w:t>
      </w:r>
      <w:proofErr w:type="spellEnd"/>
      <w:r>
        <w:rPr>
          <w:rFonts w:cs="Arial"/>
        </w:rPr>
        <w:t xml:space="preserve"> </w:t>
      </w:r>
      <w:proofErr w:type="spellStart"/>
      <w:r>
        <w:rPr>
          <w:rFonts w:cs="Arial"/>
        </w:rPr>
        <w:t>nuálaíoch</w:t>
      </w:r>
      <w:proofErr w:type="spellEnd"/>
      <w:r>
        <w:rPr>
          <w:rFonts w:cs="Arial"/>
        </w:rPr>
        <w:t xml:space="preserve"> </w:t>
      </w:r>
      <w:proofErr w:type="spellStart"/>
      <w:r>
        <w:rPr>
          <w:rFonts w:cs="Arial"/>
        </w:rPr>
        <w:t>agus</w:t>
      </w:r>
      <w:proofErr w:type="spellEnd"/>
      <w:r>
        <w:rPr>
          <w:rFonts w:cs="Arial"/>
        </w:rPr>
        <w:t xml:space="preserve"> a </w:t>
      </w:r>
      <w:proofErr w:type="spellStart"/>
      <w:r>
        <w:rPr>
          <w:rFonts w:cs="Arial"/>
        </w:rPr>
        <w:t>bheith</w:t>
      </w:r>
      <w:proofErr w:type="spellEnd"/>
      <w:r>
        <w:rPr>
          <w:rFonts w:cs="Arial"/>
        </w:rPr>
        <w:t xml:space="preserve"> ag </w:t>
      </w:r>
      <w:proofErr w:type="spellStart"/>
      <w:r>
        <w:rPr>
          <w:rFonts w:cs="Arial"/>
        </w:rPr>
        <w:t>smaoineamh</w:t>
      </w:r>
      <w:proofErr w:type="spellEnd"/>
      <w:r>
        <w:rPr>
          <w:rFonts w:cs="Arial"/>
        </w:rPr>
        <w:t xml:space="preserve"> go </w:t>
      </w:r>
      <w:proofErr w:type="spellStart"/>
      <w:r>
        <w:rPr>
          <w:rFonts w:cs="Arial"/>
        </w:rPr>
        <w:t>cruthaitheach</w:t>
      </w:r>
      <w:proofErr w:type="spellEnd"/>
      <w:r>
        <w:rPr>
          <w:rFonts w:cs="Arial"/>
        </w:rPr>
        <w:t xml:space="preserve"> </w:t>
      </w:r>
      <w:proofErr w:type="spellStart"/>
      <w:r>
        <w:rPr>
          <w:rFonts w:cs="Arial"/>
        </w:rPr>
        <w:t>faoi</w:t>
      </w:r>
      <w:proofErr w:type="spellEnd"/>
      <w:r>
        <w:rPr>
          <w:rFonts w:cs="Arial"/>
        </w:rPr>
        <w:t xml:space="preserve"> </w:t>
      </w:r>
      <w:proofErr w:type="spellStart"/>
      <w:r>
        <w:rPr>
          <w:rFonts w:cs="Arial"/>
        </w:rPr>
        <w:t>réitigh</w:t>
      </w:r>
      <w:proofErr w:type="spellEnd"/>
      <w:r>
        <w:rPr>
          <w:rFonts w:cs="Arial"/>
        </w:rPr>
        <w:t xml:space="preserve"> a </w:t>
      </w:r>
      <w:proofErr w:type="spellStart"/>
      <w:r>
        <w:rPr>
          <w:rFonts w:cs="Arial"/>
        </w:rPr>
        <w:t>fhreastalaíonn</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riachtanais</w:t>
      </w:r>
      <w:proofErr w:type="spellEnd"/>
      <w:r>
        <w:rPr>
          <w:rFonts w:cs="Arial"/>
        </w:rPr>
        <w:t xml:space="preserve"> </w:t>
      </w:r>
      <w:proofErr w:type="spellStart"/>
      <w:r>
        <w:rPr>
          <w:rFonts w:cs="Arial"/>
        </w:rPr>
        <w:t>cáich</w:t>
      </w:r>
      <w:proofErr w:type="spellEnd"/>
      <w:r>
        <w:rPr>
          <w:rFonts w:cs="Arial"/>
        </w:rPr>
        <w:t xml:space="preserve">, </w:t>
      </w:r>
      <w:proofErr w:type="spellStart"/>
      <w:r>
        <w:rPr>
          <w:rFonts w:cs="Arial"/>
        </w:rPr>
        <w:t>beag</w:t>
      </w:r>
      <w:proofErr w:type="spellEnd"/>
      <w:r>
        <w:rPr>
          <w:rFonts w:cs="Arial"/>
        </w:rPr>
        <w:t xml:space="preserve"> </w:t>
      </w:r>
      <w:proofErr w:type="spellStart"/>
      <w:r>
        <w:rPr>
          <w:rFonts w:cs="Arial"/>
        </w:rPr>
        <w:t>beann</w:t>
      </w:r>
      <w:proofErr w:type="spellEnd"/>
      <w:r>
        <w:rPr>
          <w:rFonts w:cs="Arial"/>
        </w:rPr>
        <w:t xml:space="preserve"> </w:t>
      </w:r>
      <w:proofErr w:type="spellStart"/>
      <w:r>
        <w:rPr>
          <w:rFonts w:cs="Arial"/>
        </w:rPr>
        <w:t>ar</w:t>
      </w:r>
      <w:proofErr w:type="spellEnd"/>
      <w:r>
        <w:rPr>
          <w:rFonts w:cs="Arial"/>
        </w:rPr>
        <w:t xml:space="preserve"> a n-</w:t>
      </w:r>
      <w:proofErr w:type="spellStart"/>
      <w:r>
        <w:rPr>
          <w:rFonts w:cs="Arial"/>
        </w:rPr>
        <w:t>aois</w:t>
      </w:r>
      <w:proofErr w:type="spellEnd"/>
      <w:r>
        <w:rPr>
          <w:rFonts w:cs="Arial"/>
        </w:rPr>
        <w:t xml:space="preserve">, </w:t>
      </w:r>
      <w:proofErr w:type="spellStart"/>
      <w:r>
        <w:rPr>
          <w:rFonts w:cs="Arial"/>
        </w:rPr>
        <w:t>méid</w:t>
      </w:r>
      <w:proofErr w:type="spellEnd"/>
      <w:r>
        <w:rPr>
          <w:rFonts w:cs="Arial"/>
        </w:rPr>
        <w:t xml:space="preserve">, </w:t>
      </w:r>
      <w:proofErr w:type="spellStart"/>
      <w:r>
        <w:rPr>
          <w:rFonts w:cs="Arial"/>
        </w:rPr>
        <w:t>cumas</w:t>
      </w:r>
      <w:proofErr w:type="spellEnd"/>
      <w:r>
        <w:rPr>
          <w:rFonts w:cs="Arial"/>
        </w:rPr>
        <w:t xml:space="preserve"> </w:t>
      </w:r>
      <w:proofErr w:type="spellStart"/>
      <w:r>
        <w:rPr>
          <w:rFonts w:cs="Arial"/>
        </w:rPr>
        <w:t>nó</w:t>
      </w:r>
      <w:proofErr w:type="spellEnd"/>
      <w:r>
        <w:rPr>
          <w:rFonts w:cs="Arial"/>
        </w:rPr>
        <w:t xml:space="preserve"> </w:t>
      </w:r>
      <w:proofErr w:type="spellStart"/>
      <w:r>
        <w:rPr>
          <w:rFonts w:cs="Arial"/>
        </w:rPr>
        <w:t>míchumas</w:t>
      </w:r>
      <w:proofErr w:type="spellEnd"/>
      <w:r>
        <w:rPr>
          <w:rFonts w:cs="Arial"/>
        </w:rPr>
        <w:t xml:space="preserve">. </w:t>
      </w:r>
      <w:proofErr w:type="spellStart"/>
      <w:r>
        <w:rPr>
          <w:rFonts w:cs="Arial"/>
        </w:rPr>
        <w:t>Cuimsíonn</w:t>
      </w:r>
      <w:proofErr w:type="spellEnd"/>
      <w:r>
        <w:rPr>
          <w:rFonts w:cs="Arial"/>
        </w:rPr>
        <w:t xml:space="preserve"> an </w:t>
      </w:r>
      <w:proofErr w:type="spellStart"/>
      <w:r>
        <w:rPr>
          <w:rFonts w:cs="Arial"/>
        </w:rPr>
        <w:t>tsraith</w:t>
      </w:r>
      <w:proofErr w:type="spellEnd"/>
      <w:r>
        <w:rPr>
          <w:rFonts w:cs="Arial"/>
        </w:rPr>
        <w:t xml:space="preserve"> </w:t>
      </w:r>
      <w:proofErr w:type="spellStart"/>
      <w:r>
        <w:rPr>
          <w:rFonts w:cs="Arial"/>
        </w:rPr>
        <w:t>coincheapa</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fealsúnacht</w:t>
      </w:r>
      <w:proofErr w:type="spellEnd"/>
      <w:r>
        <w:rPr>
          <w:rFonts w:cs="Arial"/>
        </w:rPr>
        <w:t xml:space="preserve"> </w:t>
      </w:r>
      <w:proofErr w:type="spellStart"/>
      <w:r>
        <w:rPr>
          <w:rFonts w:cs="Arial"/>
        </w:rPr>
        <w:t>dearaidh</w:t>
      </w:r>
      <w:proofErr w:type="spellEnd"/>
      <w:r>
        <w:rPr>
          <w:rFonts w:cs="Arial"/>
        </w:rPr>
        <w:t xml:space="preserve"> </w:t>
      </w:r>
      <w:proofErr w:type="spellStart"/>
      <w:r>
        <w:rPr>
          <w:rFonts w:cs="Arial"/>
        </w:rPr>
        <w:t>uilíoch</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bhealach</w:t>
      </w:r>
      <w:proofErr w:type="spellEnd"/>
      <w:r>
        <w:rPr>
          <w:rFonts w:cs="Arial"/>
        </w:rPr>
        <w:t xml:space="preserve"> </w:t>
      </w:r>
      <w:proofErr w:type="spellStart"/>
      <w:r>
        <w:rPr>
          <w:rFonts w:cs="Arial"/>
        </w:rPr>
        <w:t>praiticiúil</w:t>
      </w:r>
      <w:proofErr w:type="spellEnd"/>
      <w:r>
        <w:rPr>
          <w:rFonts w:cs="Arial"/>
        </w:rPr>
        <w:t xml:space="preserve">. </w:t>
      </w:r>
      <w:proofErr w:type="spellStart"/>
      <w:r>
        <w:rPr>
          <w:rFonts w:cs="Arial"/>
        </w:rPr>
        <w:t>Seolfar</w:t>
      </w:r>
      <w:proofErr w:type="spellEnd"/>
      <w:r>
        <w:rPr>
          <w:rFonts w:cs="Arial"/>
        </w:rPr>
        <w:t xml:space="preserve"> an </w:t>
      </w:r>
      <w:proofErr w:type="spellStart"/>
      <w:r>
        <w:rPr>
          <w:rFonts w:cs="Arial"/>
        </w:rPr>
        <w:t>tsraith</w:t>
      </w:r>
      <w:proofErr w:type="spellEnd"/>
      <w:r>
        <w:rPr>
          <w:rFonts w:cs="Arial"/>
        </w:rPr>
        <w:t xml:space="preserve"> </w:t>
      </w:r>
      <w:proofErr w:type="spellStart"/>
      <w:r>
        <w:rPr>
          <w:rFonts w:cs="Arial"/>
        </w:rPr>
        <w:t>sa</w:t>
      </w:r>
      <w:proofErr w:type="spellEnd"/>
      <w:r>
        <w:rPr>
          <w:rFonts w:cs="Arial"/>
        </w:rPr>
        <w:t xml:space="preserve"> </w:t>
      </w:r>
      <w:proofErr w:type="spellStart"/>
      <w:r>
        <w:rPr>
          <w:rFonts w:cs="Arial"/>
        </w:rPr>
        <w:t>chuid</w:t>
      </w:r>
      <w:proofErr w:type="spellEnd"/>
      <w:r>
        <w:rPr>
          <w:rFonts w:cs="Arial"/>
        </w:rPr>
        <w:t xml:space="preserve"> </w:t>
      </w:r>
      <w:proofErr w:type="spellStart"/>
      <w:r>
        <w:rPr>
          <w:rFonts w:cs="Arial"/>
        </w:rPr>
        <w:t>luath</w:t>
      </w:r>
      <w:proofErr w:type="spellEnd"/>
      <w:r>
        <w:rPr>
          <w:rFonts w:cs="Arial"/>
        </w:rPr>
        <w:t xml:space="preserve"> de 2012.</w:t>
      </w:r>
    </w:p>
    <w:p w14:paraId="77C64C77" w14:textId="77777777" w:rsidR="006C148C" w:rsidRDefault="006C148C">
      <w:pPr>
        <w:spacing w:after="0"/>
        <w:rPr>
          <w:rFonts w:cs="Arial"/>
        </w:rPr>
      </w:pPr>
    </w:p>
    <w:p w14:paraId="0D707243" w14:textId="77777777" w:rsidR="006C148C" w:rsidRDefault="006C148C">
      <w:pPr>
        <w:pStyle w:val="Heading3"/>
      </w:pPr>
      <w:bookmarkStart w:id="395" w:name="_Toc335836496"/>
      <w:proofErr w:type="spellStart"/>
      <w:r>
        <w:t>Dearadh</w:t>
      </w:r>
      <w:proofErr w:type="spellEnd"/>
      <w:r>
        <w:t xml:space="preserve"> </w:t>
      </w:r>
      <w:proofErr w:type="spellStart"/>
      <w:r>
        <w:t>uilíoch</w:t>
      </w:r>
      <w:proofErr w:type="spellEnd"/>
      <w:r>
        <w:t xml:space="preserve"> do </w:t>
      </w:r>
      <w:proofErr w:type="spellStart"/>
      <w:r>
        <w:t>Sholáthraithe</w:t>
      </w:r>
      <w:proofErr w:type="spellEnd"/>
      <w:r>
        <w:t xml:space="preserve"> </w:t>
      </w:r>
      <w:proofErr w:type="spellStart"/>
      <w:r>
        <w:t>Fuinnimh</w:t>
      </w:r>
      <w:bookmarkEnd w:id="395"/>
      <w:proofErr w:type="spellEnd"/>
    </w:p>
    <w:p w14:paraId="2DDC1FBA" w14:textId="77777777" w:rsidR="006C148C" w:rsidRDefault="006C148C">
      <w:r>
        <w:t xml:space="preserve">Mar thoradh ar I.R. </w:t>
      </w:r>
      <w:proofErr w:type="spellStart"/>
      <w:r>
        <w:t>Uimh</w:t>
      </w:r>
      <w:proofErr w:type="spellEnd"/>
      <w:r>
        <w:t xml:space="preserve">. 463 de 2011: </w:t>
      </w:r>
      <w:proofErr w:type="spellStart"/>
      <w:r>
        <w:rPr>
          <w:b/>
        </w:rPr>
        <w:t>Rialacháin</w:t>
      </w:r>
      <w:proofErr w:type="spellEnd"/>
      <w:r>
        <w:rPr>
          <w:b/>
        </w:rPr>
        <w:t xml:space="preserve"> na </w:t>
      </w:r>
      <w:proofErr w:type="spellStart"/>
      <w:r>
        <w:rPr>
          <w:b/>
        </w:rPr>
        <w:t>gComhphobal</w:t>
      </w:r>
      <w:proofErr w:type="spellEnd"/>
      <w:r>
        <w:rPr>
          <w:b/>
        </w:rPr>
        <w:t xml:space="preserve"> Eorpach (Margadh Inmheánach sa Leictreachas agus </w:t>
      </w:r>
      <w:proofErr w:type="spellStart"/>
      <w:r>
        <w:rPr>
          <w:b/>
        </w:rPr>
        <w:t>Gás</w:t>
      </w:r>
      <w:proofErr w:type="spellEnd"/>
      <w:r>
        <w:rPr>
          <w:b/>
        </w:rPr>
        <w:t>) (Cosaint Tomhaltóirí) 2011</w:t>
      </w:r>
      <w:r>
        <w:t xml:space="preserve">, bhí ar an </w:t>
      </w:r>
      <w:proofErr w:type="spellStart"/>
      <w:r>
        <w:t>gCoimisiún</w:t>
      </w:r>
      <w:proofErr w:type="spellEnd"/>
      <w:r>
        <w:t xml:space="preserve"> um </w:t>
      </w:r>
      <w:proofErr w:type="spellStart"/>
      <w:r>
        <w:t>Rialáil</w:t>
      </w:r>
      <w:proofErr w:type="spellEnd"/>
      <w:r>
        <w:t xml:space="preserve"> Fuinnimh riachtanas a chur i bhfeidhm go </w:t>
      </w:r>
      <w:proofErr w:type="spellStart"/>
      <w:r>
        <w:t>gcuimseoidh</w:t>
      </w:r>
      <w:proofErr w:type="spellEnd"/>
      <w:r>
        <w:t xml:space="preserve"> </w:t>
      </w:r>
      <w:proofErr w:type="spellStart"/>
      <w:r>
        <w:t>soláthraithe</w:t>
      </w:r>
      <w:proofErr w:type="spellEnd"/>
      <w:r>
        <w:t xml:space="preserve"> fuinnimh </w:t>
      </w:r>
      <w:proofErr w:type="spellStart"/>
      <w:r>
        <w:t>dearadh</w:t>
      </w:r>
      <w:proofErr w:type="spellEnd"/>
      <w:r>
        <w:t xml:space="preserve"> seirbhíse </w:t>
      </w:r>
      <w:proofErr w:type="spellStart"/>
      <w:r>
        <w:t>uilíoch</w:t>
      </w:r>
      <w:proofErr w:type="spellEnd"/>
      <w:r>
        <w:t xml:space="preserve"> nuair a bhíonn siad ag pleanáil sholáthar a seirbhísí do </w:t>
      </w:r>
      <w:proofErr w:type="spellStart"/>
      <w:r>
        <w:t>chustaiméirí</w:t>
      </w:r>
      <w:proofErr w:type="spellEnd"/>
      <w:r>
        <w:t>.</w:t>
      </w:r>
    </w:p>
    <w:p w14:paraId="70B9DC90" w14:textId="77777777" w:rsidR="006C148C" w:rsidRDefault="006C148C">
      <w:pPr>
        <w:rPr>
          <w:lang w:val="en-GB"/>
        </w:rPr>
      </w:pPr>
      <w:r>
        <w:rPr>
          <w:lang w:val="en-GB"/>
        </w:rPr>
        <w:t xml:space="preserve">Bhí an </w:t>
      </w:r>
      <w:proofErr w:type="spellStart"/>
      <w:r>
        <w:rPr>
          <w:lang w:val="en-GB"/>
        </w:rPr>
        <w:t>tÚdarás</w:t>
      </w:r>
      <w:proofErr w:type="spellEnd"/>
      <w:r>
        <w:rPr>
          <w:lang w:val="en-GB"/>
        </w:rPr>
        <w:t xml:space="preserve"> Náisiúnta </w:t>
      </w:r>
      <w:proofErr w:type="spellStart"/>
      <w:r>
        <w:rPr>
          <w:lang w:val="en-GB"/>
        </w:rPr>
        <w:t>Míchumais</w:t>
      </w:r>
      <w:proofErr w:type="spellEnd"/>
      <w:r>
        <w:rPr>
          <w:lang w:val="en-GB"/>
        </w:rPr>
        <w:t xml:space="preserve"> ag obair i gcomhar leis an </w:t>
      </w:r>
      <w:proofErr w:type="spellStart"/>
      <w:r>
        <w:rPr>
          <w:lang w:val="en-GB"/>
        </w:rPr>
        <w:t>gCoimisiún</w:t>
      </w:r>
      <w:proofErr w:type="spellEnd"/>
      <w:r>
        <w:rPr>
          <w:lang w:val="en-GB"/>
        </w:rPr>
        <w:t xml:space="preserve"> agus leis an Údarás um Chaighdeáin Náisiúnta na hÉireann i </w:t>
      </w:r>
      <w:proofErr w:type="spellStart"/>
      <w:r>
        <w:rPr>
          <w:lang w:val="en-GB"/>
        </w:rPr>
        <w:t>gcruthú</w:t>
      </w:r>
      <w:proofErr w:type="spellEnd"/>
      <w:r>
        <w:rPr>
          <w:lang w:val="en-GB"/>
        </w:rPr>
        <w:t xml:space="preserve"> </w:t>
      </w:r>
      <w:proofErr w:type="spellStart"/>
      <w:r>
        <w:rPr>
          <w:lang w:val="en-GB"/>
        </w:rPr>
        <w:t>caighdeán</w:t>
      </w:r>
      <w:proofErr w:type="spellEnd"/>
      <w:r>
        <w:rPr>
          <w:lang w:val="en-GB"/>
        </w:rPr>
        <w:t xml:space="preserve"> </w:t>
      </w:r>
      <w:proofErr w:type="spellStart"/>
      <w:r>
        <w:rPr>
          <w:lang w:val="en-GB"/>
        </w:rPr>
        <w:t>SWiFT</w:t>
      </w:r>
      <w:proofErr w:type="spellEnd"/>
      <w:r>
        <w:rPr>
          <w:lang w:val="en-GB"/>
        </w:rPr>
        <w:t xml:space="preserve"> (Standard Written in Fast Track) do </w:t>
      </w:r>
      <w:proofErr w:type="spellStart"/>
      <w:r>
        <w:rPr>
          <w:lang w:val="en-GB"/>
        </w:rPr>
        <w:t>dhearadh</w:t>
      </w:r>
      <w:proofErr w:type="spellEnd"/>
      <w:r>
        <w:rPr>
          <w:lang w:val="en-GB"/>
        </w:rPr>
        <w:t xml:space="preserve"> </w:t>
      </w:r>
      <w:proofErr w:type="spellStart"/>
      <w:r>
        <w:rPr>
          <w:lang w:val="en-GB"/>
        </w:rPr>
        <w:t>uilíoch</w:t>
      </w:r>
      <w:proofErr w:type="spellEnd"/>
      <w:r>
        <w:rPr>
          <w:lang w:val="en-GB"/>
        </w:rPr>
        <w:t xml:space="preserve"> le </w:t>
      </w:r>
      <w:proofErr w:type="spellStart"/>
      <w:r>
        <w:rPr>
          <w:lang w:val="en-GB"/>
        </w:rPr>
        <w:t>haghaidh</w:t>
      </w:r>
      <w:proofErr w:type="spellEnd"/>
      <w:r>
        <w:rPr>
          <w:lang w:val="en-GB"/>
        </w:rPr>
        <w:t xml:space="preserve"> </w:t>
      </w:r>
      <w:proofErr w:type="spellStart"/>
      <w:r>
        <w:rPr>
          <w:lang w:val="en-GB"/>
        </w:rPr>
        <w:t>soláthraithe</w:t>
      </w:r>
      <w:proofErr w:type="spellEnd"/>
      <w:r>
        <w:rPr>
          <w:lang w:val="en-GB"/>
        </w:rPr>
        <w:t xml:space="preserve"> </w:t>
      </w:r>
      <w:proofErr w:type="spellStart"/>
      <w:r>
        <w:rPr>
          <w:lang w:val="en-GB"/>
        </w:rPr>
        <w:t>fuinnimh</w:t>
      </w:r>
      <w:proofErr w:type="spellEnd"/>
      <w:r>
        <w:rPr>
          <w:lang w:val="en-GB"/>
        </w:rPr>
        <w:t xml:space="preserve">; </w:t>
      </w:r>
      <w:proofErr w:type="gramStart"/>
      <w:r>
        <w:rPr>
          <w:lang w:val="en-GB"/>
        </w:rPr>
        <w:t>an</w:t>
      </w:r>
      <w:proofErr w:type="gramEnd"/>
      <w:r>
        <w:rPr>
          <w:lang w:val="en-GB"/>
        </w:rPr>
        <w:t xml:space="preserve"> chéad cheann dá chineál ar </w:t>
      </w:r>
      <w:proofErr w:type="spellStart"/>
      <w:r>
        <w:rPr>
          <w:lang w:val="en-GB"/>
        </w:rPr>
        <w:t>domhan</w:t>
      </w:r>
      <w:proofErr w:type="spellEnd"/>
      <w:r>
        <w:rPr>
          <w:lang w:val="en-GB"/>
        </w:rPr>
        <w:t>.</w:t>
      </w:r>
    </w:p>
    <w:p w14:paraId="254F70C8" w14:textId="77777777" w:rsidR="006C148C" w:rsidRDefault="006C148C">
      <w:proofErr w:type="spellStart"/>
      <w:r>
        <w:t>Soláthróidh</w:t>
      </w:r>
      <w:proofErr w:type="spellEnd"/>
      <w:r>
        <w:t xml:space="preserve"> an caighdeán uirlisí a bheidh </w:t>
      </w:r>
      <w:proofErr w:type="spellStart"/>
      <w:r>
        <w:t>úsáidte</w:t>
      </w:r>
      <w:proofErr w:type="spellEnd"/>
      <w:r>
        <w:t xml:space="preserve"> ag </w:t>
      </w:r>
      <w:proofErr w:type="spellStart"/>
      <w:r>
        <w:t>soláthraithe</w:t>
      </w:r>
      <w:proofErr w:type="spellEnd"/>
      <w:r>
        <w:t xml:space="preserve"> fuinnimh le bheith curtha i bhfeidhm maidir le thart ar 100 riachtanas </w:t>
      </w:r>
      <w:proofErr w:type="spellStart"/>
      <w:r>
        <w:t>dearaidh</w:t>
      </w:r>
      <w:proofErr w:type="spellEnd"/>
      <w:r>
        <w:t xml:space="preserve"> a </w:t>
      </w:r>
      <w:proofErr w:type="spellStart"/>
      <w:r>
        <w:t>chinnteoidh</w:t>
      </w:r>
      <w:proofErr w:type="spellEnd"/>
      <w:r>
        <w:t xml:space="preserve"> go </w:t>
      </w:r>
      <w:proofErr w:type="spellStart"/>
      <w:r>
        <w:t>mbeidh</w:t>
      </w:r>
      <w:proofErr w:type="spellEnd"/>
      <w:r>
        <w:t xml:space="preserve"> a </w:t>
      </w:r>
      <w:proofErr w:type="spellStart"/>
      <w:r>
        <w:t>gcumarsáid</w:t>
      </w:r>
      <w:proofErr w:type="spellEnd"/>
      <w:r>
        <w:t xml:space="preserve"> </w:t>
      </w:r>
      <w:proofErr w:type="spellStart"/>
      <w:r>
        <w:t>scríofa</w:t>
      </w:r>
      <w:proofErr w:type="spellEnd"/>
      <w:r>
        <w:t xml:space="preserve">, </w:t>
      </w:r>
      <w:proofErr w:type="spellStart"/>
      <w:r>
        <w:t>béil</w:t>
      </w:r>
      <w:proofErr w:type="spellEnd"/>
      <w:r>
        <w:t xml:space="preserve"> </w:t>
      </w:r>
      <w:proofErr w:type="spellStart"/>
      <w:r>
        <w:t>agus</w:t>
      </w:r>
      <w:proofErr w:type="spellEnd"/>
      <w:r>
        <w:t xml:space="preserve"> </w:t>
      </w:r>
      <w:proofErr w:type="spellStart"/>
      <w:r>
        <w:t>gréasáin</w:t>
      </w:r>
      <w:proofErr w:type="spellEnd"/>
      <w:r>
        <w:t xml:space="preserve"> le </w:t>
      </w:r>
      <w:proofErr w:type="spellStart"/>
      <w:r>
        <w:t>custaiméirí</w:t>
      </w:r>
      <w:proofErr w:type="spellEnd"/>
      <w:r>
        <w:t xml:space="preserve"> </w:t>
      </w:r>
      <w:proofErr w:type="spellStart"/>
      <w:r>
        <w:t>deartha</w:t>
      </w:r>
      <w:proofErr w:type="spellEnd"/>
      <w:r>
        <w:t xml:space="preserve"> go </w:t>
      </w:r>
      <w:proofErr w:type="spellStart"/>
      <w:r>
        <w:t>huilíoch</w:t>
      </w:r>
      <w:proofErr w:type="spellEnd"/>
      <w:r>
        <w:t xml:space="preserve">. </w:t>
      </w:r>
      <w:proofErr w:type="spellStart"/>
      <w:r>
        <w:t>Críochnófar</w:t>
      </w:r>
      <w:proofErr w:type="spellEnd"/>
      <w:r>
        <w:t xml:space="preserve"> </w:t>
      </w:r>
      <w:proofErr w:type="spellStart"/>
      <w:r>
        <w:t>agus</w:t>
      </w:r>
      <w:proofErr w:type="spellEnd"/>
      <w:r>
        <w:t xml:space="preserve"> </w:t>
      </w:r>
      <w:proofErr w:type="spellStart"/>
      <w:r>
        <w:t>seolfar</w:t>
      </w:r>
      <w:proofErr w:type="spellEnd"/>
      <w:r>
        <w:t xml:space="preserve"> an </w:t>
      </w:r>
      <w:proofErr w:type="spellStart"/>
      <w:r>
        <w:t>caighdeán</w:t>
      </w:r>
      <w:proofErr w:type="spellEnd"/>
      <w:r>
        <w:t xml:space="preserve"> </w:t>
      </w:r>
      <w:proofErr w:type="spellStart"/>
      <w:r>
        <w:t>seo</w:t>
      </w:r>
      <w:proofErr w:type="spellEnd"/>
      <w:r>
        <w:t xml:space="preserve"> </w:t>
      </w:r>
      <w:proofErr w:type="spellStart"/>
      <w:r>
        <w:t>sa</w:t>
      </w:r>
      <w:proofErr w:type="spellEnd"/>
      <w:r>
        <w:t xml:space="preserve"> </w:t>
      </w:r>
      <w:proofErr w:type="spellStart"/>
      <w:r>
        <w:t>chuid</w:t>
      </w:r>
      <w:proofErr w:type="spellEnd"/>
      <w:r>
        <w:t xml:space="preserve"> </w:t>
      </w:r>
      <w:proofErr w:type="spellStart"/>
      <w:r>
        <w:t>luath</w:t>
      </w:r>
      <w:proofErr w:type="spellEnd"/>
      <w:r>
        <w:t xml:space="preserve"> de 2012. </w:t>
      </w:r>
    </w:p>
    <w:p w14:paraId="73A674DB" w14:textId="77777777" w:rsidR="006C148C" w:rsidRDefault="006C148C">
      <w:pPr>
        <w:pStyle w:val="Heading3"/>
      </w:pPr>
      <w:bookmarkStart w:id="396" w:name="_Toc335836497"/>
      <w:r>
        <w:t xml:space="preserve">Treoirlínte </w:t>
      </w:r>
      <w:proofErr w:type="spellStart"/>
      <w:r>
        <w:t>dearaidh</w:t>
      </w:r>
      <w:proofErr w:type="spellEnd"/>
      <w:r>
        <w:t xml:space="preserve"> </w:t>
      </w:r>
      <w:proofErr w:type="spellStart"/>
      <w:r>
        <w:t>uilíoch</w:t>
      </w:r>
      <w:proofErr w:type="spellEnd"/>
      <w:r>
        <w:t xml:space="preserve"> do </w:t>
      </w:r>
      <w:proofErr w:type="spellStart"/>
      <w:r>
        <w:t>threalamh</w:t>
      </w:r>
      <w:proofErr w:type="spellEnd"/>
      <w:r>
        <w:t xml:space="preserve"> </w:t>
      </w:r>
      <w:proofErr w:type="spellStart"/>
      <w:r>
        <w:t>agus</w:t>
      </w:r>
      <w:proofErr w:type="spellEnd"/>
      <w:r>
        <w:t xml:space="preserve"> </w:t>
      </w:r>
      <w:proofErr w:type="spellStart"/>
      <w:r>
        <w:t>seirbhísí</w:t>
      </w:r>
      <w:proofErr w:type="spellEnd"/>
      <w:r>
        <w:t xml:space="preserve"> </w:t>
      </w:r>
      <w:proofErr w:type="spellStart"/>
      <w:r>
        <w:t>teilifíse</w:t>
      </w:r>
      <w:proofErr w:type="spellEnd"/>
      <w:r>
        <w:t xml:space="preserve"> </w:t>
      </w:r>
      <w:proofErr w:type="spellStart"/>
      <w:r>
        <w:t>digití</w:t>
      </w:r>
      <w:bookmarkEnd w:id="396"/>
      <w:proofErr w:type="spellEnd"/>
    </w:p>
    <w:p w14:paraId="53DDEB58" w14:textId="77777777" w:rsidR="006C148C" w:rsidRDefault="006C148C">
      <w:r>
        <w:t xml:space="preserve">I láthair na huaire, tá cuid mhaith de ghnéithe na seirbhísí agus an trealaimh teilifíse </w:t>
      </w:r>
      <w:proofErr w:type="spellStart"/>
      <w:r>
        <w:t>digití</w:t>
      </w:r>
      <w:proofErr w:type="spellEnd"/>
      <w:r>
        <w:t xml:space="preserve"> </w:t>
      </w:r>
      <w:proofErr w:type="spellStart"/>
      <w:r>
        <w:t>róchasta</w:t>
      </w:r>
      <w:proofErr w:type="spellEnd"/>
      <w:r>
        <w:t xml:space="preserve"> </w:t>
      </w:r>
      <w:proofErr w:type="spellStart"/>
      <w:r>
        <w:t>agus</w:t>
      </w:r>
      <w:proofErr w:type="spellEnd"/>
      <w:r>
        <w:t xml:space="preserve"> </w:t>
      </w:r>
      <w:proofErr w:type="spellStart"/>
      <w:r>
        <w:t>ní</w:t>
      </w:r>
      <w:proofErr w:type="spellEnd"/>
      <w:r>
        <w:t xml:space="preserve"> </w:t>
      </w:r>
      <w:proofErr w:type="spellStart"/>
      <w:r>
        <w:t>féidir</w:t>
      </w:r>
      <w:proofErr w:type="spellEnd"/>
      <w:r>
        <w:t xml:space="preserve"> le </w:t>
      </w:r>
      <w:proofErr w:type="spellStart"/>
      <w:r>
        <w:t>cuid</w:t>
      </w:r>
      <w:proofErr w:type="spellEnd"/>
      <w:r>
        <w:t xml:space="preserve"> </w:t>
      </w:r>
      <w:proofErr w:type="spellStart"/>
      <w:r>
        <w:t>mhaith</w:t>
      </w:r>
      <w:proofErr w:type="spellEnd"/>
      <w:r>
        <w:t xml:space="preserve"> </w:t>
      </w:r>
      <w:proofErr w:type="spellStart"/>
      <w:r>
        <w:t>daoine</w:t>
      </w:r>
      <w:proofErr w:type="spellEnd"/>
      <w:r>
        <w:t xml:space="preserve"> </w:t>
      </w:r>
      <w:proofErr w:type="spellStart"/>
      <w:r>
        <w:t>teacht</w:t>
      </w:r>
      <w:proofErr w:type="spellEnd"/>
      <w:r>
        <w:t xml:space="preserve"> </w:t>
      </w:r>
      <w:proofErr w:type="spellStart"/>
      <w:r>
        <w:t>orthu</w:t>
      </w:r>
      <w:proofErr w:type="spellEnd"/>
      <w:r>
        <w:t xml:space="preserve"> </w:t>
      </w:r>
      <w:proofErr w:type="spellStart"/>
      <w:r>
        <w:t>chun</w:t>
      </w:r>
      <w:proofErr w:type="spellEnd"/>
      <w:r>
        <w:t xml:space="preserve"> </w:t>
      </w:r>
      <w:proofErr w:type="spellStart"/>
      <w:r>
        <w:t>iad</w:t>
      </w:r>
      <w:proofErr w:type="spellEnd"/>
      <w:r>
        <w:t xml:space="preserve"> a </w:t>
      </w:r>
      <w:proofErr w:type="spellStart"/>
      <w:r>
        <w:t>úsáid</w:t>
      </w:r>
      <w:proofErr w:type="spellEnd"/>
      <w:r>
        <w:t xml:space="preserve"> go </w:t>
      </w:r>
      <w:proofErr w:type="spellStart"/>
      <w:r>
        <w:t>neamhspleách</w:t>
      </w:r>
      <w:proofErr w:type="spellEnd"/>
      <w:r>
        <w:t xml:space="preserve"> </w:t>
      </w:r>
      <w:proofErr w:type="spellStart"/>
      <w:r>
        <w:t>agus</w:t>
      </w:r>
      <w:proofErr w:type="spellEnd"/>
      <w:r>
        <w:t xml:space="preserve"> go </w:t>
      </w:r>
      <w:proofErr w:type="spellStart"/>
      <w:r>
        <w:t>compordach</w:t>
      </w:r>
      <w:proofErr w:type="spellEnd"/>
      <w:r>
        <w:t xml:space="preserve">. </w:t>
      </w:r>
      <w:proofErr w:type="spellStart"/>
      <w:r>
        <w:t>Choimisiúnaigh</w:t>
      </w:r>
      <w:proofErr w:type="spellEnd"/>
      <w:r>
        <w:t xml:space="preserve"> </w:t>
      </w:r>
      <w:proofErr w:type="spellStart"/>
      <w:r>
        <w:t>Ionad</w:t>
      </w:r>
      <w:proofErr w:type="spellEnd"/>
      <w:r>
        <w:t xml:space="preserve"> an </w:t>
      </w:r>
      <w:proofErr w:type="spellStart"/>
      <w:r>
        <w:t>Údaráis</w:t>
      </w:r>
      <w:proofErr w:type="spellEnd"/>
      <w:r>
        <w:t xml:space="preserve"> </w:t>
      </w:r>
      <w:proofErr w:type="spellStart"/>
      <w:r>
        <w:t>Náisiúnta</w:t>
      </w:r>
      <w:proofErr w:type="spellEnd"/>
      <w:r>
        <w:t xml:space="preserve"> </w:t>
      </w:r>
      <w:proofErr w:type="spellStart"/>
      <w:r>
        <w:t>Míchumais</w:t>
      </w:r>
      <w:proofErr w:type="spellEnd"/>
      <w:r>
        <w:t xml:space="preserve"> um </w:t>
      </w:r>
      <w:proofErr w:type="spellStart"/>
      <w:r>
        <w:t>Fheabhas</w:t>
      </w:r>
      <w:proofErr w:type="spellEnd"/>
      <w:r>
        <w:t xml:space="preserve"> </w:t>
      </w:r>
      <w:proofErr w:type="spellStart"/>
      <w:r>
        <w:t>Dearaidh</w:t>
      </w:r>
      <w:proofErr w:type="spellEnd"/>
      <w:r>
        <w:t xml:space="preserve"> </w:t>
      </w:r>
      <w:proofErr w:type="spellStart"/>
      <w:r>
        <w:t>Uilíoch</w:t>
      </w:r>
      <w:proofErr w:type="spellEnd"/>
      <w:r>
        <w:t xml:space="preserve"> taighde le cur le treoirlínte </w:t>
      </w:r>
      <w:proofErr w:type="spellStart"/>
      <w:r>
        <w:lastRenderedPageBreak/>
        <w:t>chun</w:t>
      </w:r>
      <w:proofErr w:type="spellEnd"/>
      <w:r>
        <w:t xml:space="preserve"> </w:t>
      </w:r>
      <w:proofErr w:type="spellStart"/>
      <w:r>
        <w:t>dearadh</w:t>
      </w:r>
      <w:proofErr w:type="spellEnd"/>
      <w:r>
        <w:t xml:space="preserve"> </w:t>
      </w:r>
      <w:proofErr w:type="spellStart"/>
      <w:r>
        <w:t>uilíoch</w:t>
      </w:r>
      <w:proofErr w:type="spellEnd"/>
      <w:r>
        <w:t xml:space="preserve"> a </w:t>
      </w:r>
      <w:proofErr w:type="spellStart"/>
      <w:r>
        <w:t>bhaint</w:t>
      </w:r>
      <w:proofErr w:type="spellEnd"/>
      <w:r>
        <w:t xml:space="preserve"> </w:t>
      </w:r>
      <w:proofErr w:type="spellStart"/>
      <w:r>
        <w:t>amach</w:t>
      </w:r>
      <w:proofErr w:type="spellEnd"/>
      <w:r>
        <w:t xml:space="preserve"> </w:t>
      </w:r>
      <w:proofErr w:type="spellStart"/>
      <w:r>
        <w:t>i</w:t>
      </w:r>
      <w:proofErr w:type="spellEnd"/>
      <w:r>
        <w:t xml:space="preserve"> </w:t>
      </w:r>
      <w:proofErr w:type="spellStart"/>
      <w:r>
        <w:t>dtrealamh</w:t>
      </w:r>
      <w:proofErr w:type="spellEnd"/>
      <w:r>
        <w:t xml:space="preserve"> </w:t>
      </w:r>
      <w:proofErr w:type="spellStart"/>
      <w:r>
        <w:t>agus</w:t>
      </w:r>
      <w:proofErr w:type="spellEnd"/>
      <w:r>
        <w:t xml:space="preserve"> </w:t>
      </w:r>
      <w:proofErr w:type="spellStart"/>
      <w:r>
        <w:t>seirbhísí</w:t>
      </w:r>
      <w:proofErr w:type="spellEnd"/>
      <w:r>
        <w:t xml:space="preserve"> </w:t>
      </w:r>
      <w:proofErr w:type="spellStart"/>
      <w:r>
        <w:t>teilifíse</w:t>
      </w:r>
      <w:proofErr w:type="spellEnd"/>
      <w:r>
        <w:t xml:space="preserve"> </w:t>
      </w:r>
      <w:proofErr w:type="spellStart"/>
      <w:r>
        <w:t>digití</w:t>
      </w:r>
      <w:proofErr w:type="spellEnd"/>
      <w:r>
        <w:t xml:space="preserve">. </w:t>
      </w:r>
      <w:proofErr w:type="spellStart"/>
      <w:r>
        <w:t>Tabharfaidh</w:t>
      </w:r>
      <w:proofErr w:type="spellEnd"/>
      <w:r>
        <w:t xml:space="preserve"> an </w:t>
      </w:r>
      <w:proofErr w:type="spellStart"/>
      <w:r>
        <w:t>taighde</w:t>
      </w:r>
      <w:proofErr w:type="spellEnd"/>
      <w:r>
        <w:t xml:space="preserve"> </w:t>
      </w:r>
      <w:proofErr w:type="spellStart"/>
      <w:r>
        <w:t>seo</w:t>
      </w:r>
      <w:proofErr w:type="spellEnd"/>
      <w:r>
        <w:t xml:space="preserve"> </w:t>
      </w:r>
      <w:proofErr w:type="spellStart"/>
      <w:r>
        <w:t>treoir</w:t>
      </w:r>
      <w:proofErr w:type="spellEnd"/>
      <w:r>
        <w:t xml:space="preserve"> do </w:t>
      </w:r>
      <w:proofErr w:type="spellStart"/>
      <w:r>
        <w:t>dhéantúsóirí</w:t>
      </w:r>
      <w:proofErr w:type="spellEnd"/>
      <w:r>
        <w:t xml:space="preserve">, </w:t>
      </w:r>
      <w:proofErr w:type="spellStart"/>
      <w:r>
        <w:t>dearthóirí</w:t>
      </w:r>
      <w:proofErr w:type="spellEnd"/>
      <w:r>
        <w:t xml:space="preserve">, </w:t>
      </w:r>
      <w:proofErr w:type="spellStart"/>
      <w:r>
        <w:t>craoltóirí</w:t>
      </w:r>
      <w:proofErr w:type="spellEnd"/>
      <w:r>
        <w:t xml:space="preserve"> </w:t>
      </w:r>
      <w:proofErr w:type="spellStart"/>
      <w:r>
        <w:t>agus</w:t>
      </w:r>
      <w:proofErr w:type="spellEnd"/>
      <w:r>
        <w:t xml:space="preserve"> </w:t>
      </w:r>
      <w:proofErr w:type="spellStart"/>
      <w:r>
        <w:t>soláthraithe</w:t>
      </w:r>
      <w:proofErr w:type="spellEnd"/>
      <w:r>
        <w:t xml:space="preserve"> </w:t>
      </w:r>
      <w:proofErr w:type="spellStart"/>
      <w:r>
        <w:t>seirbhís</w:t>
      </w:r>
      <w:proofErr w:type="spellEnd"/>
      <w:r>
        <w:t xml:space="preserve"> </w:t>
      </w:r>
      <w:proofErr w:type="spellStart"/>
      <w:r>
        <w:t>teilifíse</w:t>
      </w:r>
      <w:proofErr w:type="spellEnd"/>
      <w:r>
        <w:t xml:space="preserve"> </w:t>
      </w:r>
      <w:proofErr w:type="spellStart"/>
      <w:r>
        <w:t>ar</w:t>
      </w:r>
      <w:proofErr w:type="spellEnd"/>
      <w:r>
        <w:t xml:space="preserve"> </w:t>
      </w:r>
      <w:proofErr w:type="spellStart"/>
      <w:r>
        <w:t>na</w:t>
      </w:r>
      <w:proofErr w:type="spellEnd"/>
      <w:r>
        <w:t xml:space="preserve"> </w:t>
      </w:r>
      <w:proofErr w:type="spellStart"/>
      <w:r>
        <w:t>gnéithe</w:t>
      </w:r>
      <w:proofErr w:type="spellEnd"/>
      <w:r>
        <w:t xml:space="preserve"> </w:t>
      </w:r>
      <w:proofErr w:type="spellStart"/>
      <w:r>
        <w:t>dearaidh</w:t>
      </w:r>
      <w:proofErr w:type="spellEnd"/>
      <w:r>
        <w:t xml:space="preserve"> </w:t>
      </w:r>
      <w:proofErr w:type="spellStart"/>
      <w:r>
        <w:t>uilíoch</w:t>
      </w:r>
      <w:proofErr w:type="spellEnd"/>
      <w:r>
        <w:t xml:space="preserve"> a </w:t>
      </w:r>
      <w:proofErr w:type="spellStart"/>
      <w:r>
        <w:t>bhfuil</w:t>
      </w:r>
      <w:proofErr w:type="spellEnd"/>
      <w:r>
        <w:t xml:space="preserve"> </w:t>
      </w:r>
      <w:proofErr w:type="spellStart"/>
      <w:r>
        <w:t>gá</w:t>
      </w:r>
      <w:proofErr w:type="spellEnd"/>
      <w:r>
        <w:t xml:space="preserve"> </w:t>
      </w:r>
      <w:proofErr w:type="spellStart"/>
      <w:r>
        <w:t>leo</w:t>
      </w:r>
      <w:proofErr w:type="spellEnd"/>
      <w:r>
        <w:t xml:space="preserve"> le </w:t>
      </w:r>
      <w:proofErr w:type="spellStart"/>
      <w:r>
        <w:t>cinntiú</w:t>
      </w:r>
      <w:proofErr w:type="spellEnd"/>
      <w:r>
        <w:t xml:space="preserve"> go </w:t>
      </w:r>
      <w:proofErr w:type="spellStart"/>
      <w:r>
        <w:t>gcuirtear</w:t>
      </w:r>
      <w:proofErr w:type="spellEnd"/>
      <w:r>
        <w:t xml:space="preserve"> </w:t>
      </w:r>
      <w:proofErr w:type="spellStart"/>
      <w:r>
        <w:t>riachtanais</w:t>
      </w:r>
      <w:proofErr w:type="spellEnd"/>
      <w:r>
        <w:t xml:space="preserve"> an </w:t>
      </w:r>
      <w:proofErr w:type="spellStart"/>
      <w:r>
        <w:t>réimse</w:t>
      </w:r>
      <w:proofErr w:type="spellEnd"/>
      <w:r>
        <w:t xml:space="preserve"> </w:t>
      </w:r>
      <w:proofErr w:type="spellStart"/>
      <w:r>
        <w:t>úsáideoirí</w:t>
      </w:r>
      <w:proofErr w:type="spellEnd"/>
      <w:r>
        <w:t xml:space="preserve"> </w:t>
      </w:r>
      <w:proofErr w:type="spellStart"/>
      <w:r>
        <w:t>teilifíse</w:t>
      </w:r>
      <w:proofErr w:type="spellEnd"/>
      <w:r>
        <w:t xml:space="preserve"> </w:t>
      </w:r>
      <w:proofErr w:type="spellStart"/>
      <w:r>
        <w:t>digití</w:t>
      </w:r>
      <w:proofErr w:type="spellEnd"/>
      <w:r>
        <w:t xml:space="preserve"> is </w:t>
      </w:r>
      <w:proofErr w:type="spellStart"/>
      <w:r>
        <w:t>leithne</w:t>
      </w:r>
      <w:proofErr w:type="spellEnd"/>
      <w:r>
        <w:t xml:space="preserve"> </w:t>
      </w:r>
      <w:proofErr w:type="spellStart"/>
      <w:r>
        <w:t>san</w:t>
      </w:r>
      <w:proofErr w:type="spellEnd"/>
      <w:r>
        <w:t xml:space="preserve"> </w:t>
      </w:r>
      <w:proofErr w:type="spellStart"/>
      <w:r>
        <w:t>áireamh</w:t>
      </w:r>
      <w:proofErr w:type="spellEnd"/>
      <w:r>
        <w:t xml:space="preserve">. </w:t>
      </w:r>
      <w:proofErr w:type="spellStart"/>
      <w:r>
        <w:t>Tá</w:t>
      </w:r>
      <w:proofErr w:type="spellEnd"/>
      <w:r>
        <w:t xml:space="preserve"> </w:t>
      </w:r>
      <w:proofErr w:type="spellStart"/>
      <w:r>
        <w:t>na</w:t>
      </w:r>
      <w:proofErr w:type="spellEnd"/>
      <w:r>
        <w:t xml:space="preserve"> </w:t>
      </w:r>
      <w:proofErr w:type="spellStart"/>
      <w:r>
        <w:t>treoirlínte</w:t>
      </w:r>
      <w:proofErr w:type="spellEnd"/>
      <w:r>
        <w:t xml:space="preserve"> le </w:t>
      </w:r>
      <w:proofErr w:type="spellStart"/>
      <w:r>
        <w:t>bheith</w:t>
      </w:r>
      <w:proofErr w:type="spellEnd"/>
      <w:r>
        <w:t xml:space="preserve"> </w:t>
      </w:r>
      <w:proofErr w:type="spellStart"/>
      <w:r>
        <w:t>foilsithe</w:t>
      </w:r>
      <w:proofErr w:type="spellEnd"/>
      <w:r>
        <w:t xml:space="preserve"> </w:t>
      </w:r>
      <w:proofErr w:type="spellStart"/>
      <w:r>
        <w:t>sa</w:t>
      </w:r>
      <w:proofErr w:type="spellEnd"/>
      <w:r>
        <w:t xml:space="preserve"> </w:t>
      </w:r>
      <w:proofErr w:type="spellStart"/>
      <w:r>
        <w:t>chuid</w:t>
      </w:r>
      <w:proofErr w:type="spellEnd"/>
      <w:r>
        <w:t xml:space="preserve"> </w:t>
      </w:r>
      <w:proofErr w:type="spellStart"/>
      <w:r>
        <w:t>luath</w:t>
      </w:r>
      <w:proofErr w:type="spellEnd"/>
      <w:r>
        <w:t xml:space="preserve"> de 2012. </w:t>
      </w:r>
    </w:p>
    <w:p w14:paraId="039A7D7E" w14:textId="77777777" w:rsidR="006C148C" w:rsidRDefault="006C148C">
      <w:pPr>
        <w:pStyle w:val="Heading3"/>
      </w:pPr>
      <w:bookmarkStart w:id="397" w:name="_Toc335836498"/>
      <w:proofErr w:type="spellStart"/>
      <w:r>
        <w:t>Sainordú</w:t>
      </w:r>
      <w:proofErr w:type="spellEnd"/>
      <w:r>
        <w:t xml:space="preserve"> 376: </w:t>
      </w:r>
      <w:proofErr w:type="spellStart"/>
      <w:r>
        <w:t>Foireann</w:t>
      </w:r>
      <w:proofErr w:type="spellEnd"/>
      <w:r>
        <w:t xml:space="preserve"> </w:t>
      </w:r>
      <w:proofErr w:type="spellStart"/>
      <w:r>
        <w:t>Uirlisí</w:t>
      </w:r>
      <w:proofErr w:type="spellEnd"/>
      <w:r>
        <w:t xml:space="preserve"> </w:t>
      </w:r>
      <w:proofErr w:type="spellStart"/>
      <w:r>
        <w:t>Eorpach</w:t>
      </w:r>
      <w:proofErr w:type="spellEnd"/>
      <w:r>
        <w:t xml:space="preserve"> </w:t>
      </w:r>
      <w:proofErr w:type="spellStart"/>
      <w:r>
        <w:t>Soláthair</w:t>
      </w:r>
      <w:proofErr w:type="spellEnd"/>
      <w:r>
        <w:t xml:space="preserve"> um TF </w:t>
      </w:r>
      <w:proofErr w:type="spellStart"/>
      <w:r>
        <w:t>Inrochtana</w:t>
      </w:r>
      <w:bookmarkEnd w:id="397"/>
      <w:proofErr w:type="spellEnd"/>
    </w:p>
    <w:p w14:paraId="58CCFB2D" w14:textId="77777777" w:rsidR="006C148C" w:rsidRDefault="006C148C">
      <w:r>
        <w:t xml:space="preserve">Tá an </w:t>
      </w:r>
      <w:proofErr w:type="spellStart"/>
      <w:r>
        <w:t>tÚdarás</w:t>
      </w:r>
      <w:proofErr w:type="spellEnd"/>
      <w:r>
        <w:t xml:space="preserve"> Náisiúnta </w:t>
      </w:r>
      <w:proofErr w:type="spellStart"/>
      <w:r>
        <w:t>Míchumais</w:t>
      </w:r>
      <w:proofErr w:type="spellEnd"/>
      <w:r>
        <w:t xml:space="preserve"> ag cur le </w:t>
      </w:r>
      <w:proofErr w:type="spellStart"/>
      <w:r>
        <w:t>hiarracht</w:t>
      </w:r>
      <w:proofErr w:type="spellEnd"/>
      <w:r>
        <w:t xml:space="preserve"> </w:t>
      </w:r>
      <w:proofErr w:type="spellStart"/>
      <w:r>
        <w:t>caighdeánaithe</w:t>
      </w:r>
      <w:proofErr w:type="spellEnd"/>
      <w:r>
        <w:t xml:space="preserve"> </w:t>
      </w:r>
      <w:proofErr w:type="spellStart"/>
      <w:r>
        <w:t>Shainordú</w:t>
      </w:r>
      <w:proofErr w:type="spellEnd"/>
      <w:r>
        <w:t xml:space="preserve"> 376 ag an </w:t>
      </w:r>
      <w:proofErr w:type="spellStart"/>
      <w:r>
        <w:t>gCoimisiún</w:t>
      </w:r>
      <w:proofErr w:type="spellEnd"/>
      <w:r>
        <w:t xml:space="preserve"> Eorpach agus dhá chomhlachtaí </w:t>
      </w:r>
      <w:proofErr w:type="spellStart"/>
      <w:r>
        <w:t>Eorpacha</w:t>
      </w:r>
      <w:proofErr w:type="spellEnd"/>
      <w:r>
        <w:t xml:space="preserve"> </w:t>
      </w:r>
      <w:proofErr w:type="spellStart"/>
      <w:r>
        <w:t>caighdeánaithe</w:t>
      </w:r>
      <w:proofErr w:type="spellEnd"/>
      <w:r>
        <w:t xml:space="preserve">, CEN agus ETSI, ar mhaithe le caighdeán Eorpach agus foireann uirlisí </w:t>
      </w:r>
      <w:proofErr w:type="spellStart"/>
      <w:r>
        <w:t>tionlacain</w:t>
      </w:r>
      <w:proofErr w:type="spellEnd"/>
      <w:r>
        <w:t xml:space="preserve"> a </w:t>
      </w:r>
      <w:proofErr w:type="spellStart"/>
      <w:r>
        <w:t>fhorbairt</w:t>
      </w:r>
      <w:proofErr w:type="spellEnd"/>
      <w:r>
        <w:t xml:space="preserve">, </w:t>
      </w:r>
      <w:proofErr w:type="spellStart"/>
      <w:r>
        <w:t>chun</w:t>
      </w:r>
      <w:proofErr w:type="spellEnd"/>
      <w:r>
        <w:t xml:space="preserve"> </w:t>
      </w:r>
      <w:proofErr w:type="spellStart"/>
      <w:r>
        <w:t>soláthar</w:t>
      </w:r>
      <w:proofErr w:type="spellEnd"/>
      <w:r>
        <w:t xml:space="preserve"> </w:t>
      </w:r>
      <w:proofErr w:type="spellStart"/>
      <w:r>
        <w:t>poiblí</w:t>
      </w:r>
      <w:proofErr w:type="spellEnd"/>
      <w:r>
        <w:t xml:space="preserve"> </w:t>
      </w:r>
      <w:proofErr w:type="spellStart"/>
      <w:r>
        <w:t>teicneolaíochta</w:t>
      </w:r>
      <w:proofErr w:type="spellEnd"/>
      <w:r>
        <w:t xml:space="preserve"> </w:t>
      </w:r>
      <w:proofErr w:type="spellStart"/>
      <w:r>
        <w:t>faisnéise</w:t>
      </w:r>
      <w:proofErr w:type="spellEnd"/>
      <w:r>
        <w:t xml:space="preserve"> </w:t>
      </w:r>
      <w:proofErr w:type="spellStart"/>
      <w:r>
        <w:t>agus</w:t>
      </w:r>
      <w:proofErr w:type="spellEnd"/>
      <w:r>
        <w:t xml:space="preserve"> </w:t>
      </w:r>
      <w:proofErr w:type="spellStart"/>
      <w:r>
        <w:t>cumarsáide</w:t>
      </w:r>
      <w:proofErr w:type="spellEnd"/>
      <w:r>
        <w:t xml:space="preserve"> </w:t>
      </w:r>
      <w:proofErr w:type="spellStart"/>
      <w:r>
        <w:t>atá</w:t>
      </w:r>
      <w:proofErr w:type="spellEnd"/>
      <w:r>
        <w:t xml:space="preserve"> </w:t>
      </w:r>
      <w:proofErr w:type="spellStart"/>
      <w:r>
        <w:t>inrochtana</w:t>
      </w:r>
      <w:proofErr w:type="spellEnd"/>
      <w:r>
        <w:t xml:space="preserve"> a </w:t>
      </w:r>
      <w:proofErr w:type="spellStart"/>
      <w:r>
        <w:t>chumasú</w:t>
      </w:r>
      <w:proofErr w:type="spellEnd"/>
      <w:r>
        <w:t xml:space="preserve">. </w:t>
      </w:r>
      <w:proofErr w:type="spellStart"/>
      <w:r>
        <w:t>Chuimsigh</w:t>
      </w:r>
      <w:proofErr w:type="spellEnd"/>
      <w:r>
        <w:t xml:space="preserve"> an </w:t>
      </w:r>
      <w:proofErr w:type="spellStart"/>
      <w:r>
        <w:t>obair</w:t>
      </w:r>
      <w:proofErr w:type="spellEnd"/>
      <w:r>
        <w:t xml:space="preserve"> </w:t>
      </w:r>
      <w:proofErr w:type="spellStart"/>
      <w:r>
        <w:t>i</w:t>
      </w:r>
      <w:proofErr w:type="spellEnd"/>
      <w:r>
        <w:t xml:space="preserve"> </w:t>
      </w:r>
      <w:proofErr w:type="spellStart"/>
      <w:r>
        <w:t>rith</w:t>
      </w:r>
      <w:proofErr w:type="spellEnd"/>
      <w:r>
        <w:t xml:space="preserve"> 2011 </w:t>
      </w:r>
      <w:proofErr w:type="spellStart"/>
      <w:r>
        <w:t>bailiú</w:t>
      </w:r>
      <w:proofErr w:type="spellEnd"/>
      <w:r>
        <w:t xml:space="preserve"> </w:t>
      </w:r>
      <w:proofErr w:type="spellStart"/>
      <w:r>
        <w:t>riachtanas</w:t>
      </w:r>
      <w:proofErr w:type="spellEnd"/>
      <w:r>
        <w:t xml:space="preserve"> ó </w:t>
      </w:r>
      <w:proofErr w:type="spellStart"/>
      <w:r>
        <w:t>pháirtithe</w:t>
      </w:r>
      <w:proofErr w:type="spellEnd"/>
      <w:r>
        <w:t xml:space="preserve"> </w:t>
      </w:r>
      <w:proofErr w:type="spellStart"/>
      <w:r>
        <w:t>leasmhara</w:t>
      </w:r>
      <w:proofErr w:type="spellEnd"/>
      <w:r>
        <w:t xml:space="preserve">, </w:t>
      </w:r>
      <w:proofErr w:type="spellStart"/>
      <w:r>
        <w:t>lena</w:t>
      </w:r>
      <w:proofErr w:type="spellEnd"/>
      <w:r>
        <w:t xml:space="preserve"> n-</w:t>
      </w:r>
      <w:proofErr w:type="spellStart"/>
      <w:r>
        <w:t>áirítear</w:t>
      </w:r>
      <w:proofErr w:type="spellEnd"/>
      <w:r>
        <w:t xml:space="preserve"> </w:t>
      </w:r>
      <w:proofErr w:type="spellStart"/>
      <w:r>
        <w:t>lucht</w:t>
      </w:r>
      <w:proofErr w:type="spellEnd"/>
      <w:r>
        <w:t xml:space="preserve"> </w:t>
      </w:r>
      <w:proofErr w:type="spellStart"/>
      <w:r>
        <w:t>tionscail</w:t>
      </w:r>
      <w:proofErr w:type="spellEnd"/>
      <w:r>
        <w:t xml:space="preserve">, </w:t>
      </w:r>
      <w:proofErr w:type="spellStart"/>
      <w:r>
        <w:t>oifigigh</w:t>
      </w:r>
      <w:proofErr w:type="spellEnd"/>
      <w:r>
        <w:t xml:space="preserve"> </w:t>
      </w:r>
      <w:proofErr w:type="spellStart"/>
      <w:r>
        <w:t>soláthair</w:t>
      </w:r>
      <w:proofErr w:type="spellEnd"/>
      <w:r>
        <w:t xml:space="preserve"> </w:t>
      </w:r>
      <w:proofErr w:type="spellStart"/>
      <w:r>
        <w:t>phoiblí</w:t>
      </w:r>
      <w:proofErr w:type="spellEnd"/>
      <w:r>
        <w:t xml:space="preserve"> </w:t>
      </w:r>
      <w:proofErr w:type="spellStart"/>
      <w:r>
        <w:t>agus</w:t>
      </w:r>
      <w:proofErr w:type="spellEnd"/>
      <w:r>
        <w:t xml:space="preserve"> </w:t>
      </w:r>
      <w:proofErr w:type="spellStart"/>
      <w:r>
        <w:t>daoine</w:t>
      </w:r>
      <w:proofErr w:type="spellEnd"/>
      <w:r>
        <w:t xml:space="preserve"> </w:t>
      </w:r>
      <w:proofErr w:type="spellStart"/>
      <w:r>
        <w:t>faoi</w:t>
      </w:r>
      <w:proofErr w:type="spellEnd"/>
      <w:r>
        <w:t xml:space="preserve"> </w:t>
      </w:r>
      <w:proofErr w:type="spellStart"/>
      <w:r>
        <w:t>mhíchumas</w:t>
      </w:r>
      <w:proofErr w:type="spellEnd"/>
      <w:r>
        <w:t xml:space="preserve">. </w:t>
      </w:r>
      <w:proofErr w:type="spellStart"/>
      <w:r>
        <w:t>Rinneadh</w:t>
      </w:r>
      <w:proofErr w:type="spellEnd"/>
      <w:r>
        <w:t xml:space="preserve"> </w:t>
      </w:r>
      <w:proofErr w:type="spellStart"/>
      <w:r>
        <w:t>taighde</w:t>
      </w:r>
      <w:proofErr w:type="spellEnd"/>
      <w:r>
        <w:t xml:space="preserve"> </w:t>
      </w:r>
      <w:proofErr w:type="spellStart"/>
      <w:r>
        <w:t>chomh</w:t>
      </w:r>
      <w:proofErr w:type="spellEnd"/>
      <w:r>
        <w:t xml:space="preserve"> </w:t>
      </w:r>
      <w:proofErr w:type="spellStart"/>
      <w:r>
        <w:t>maith</w:t>
      </w:r>
      <w:proofErr w:type="spellEnd"/>
      <w:r>
        <w:t xml:space="preserve"> </w:t>
      </w:r>
      <w:proofErr w:type="spellStart"/>
      <w:r>
        <w:t>ar</w:t>
      </w:r>
      <w:proofErr w:type="spellEnd"/>
      <w:r>
        <w:t xml:space="preserve"> an </w:t>
      </w:r>
      <w:proofErr w:type="spellStart"/>
      <w:r>
        <w:t>gcomhairle</w:t>
      </w:r>
      <w:proofErr w:type="spellEnd"/>
      <w:r>
        <w:t xml:space="preserve"> </w:t>
      </w:r>
      <w:proofErr w:type="spellStart"/>
      <w:r>
        <w:t>inrochtaineachta</w:t>
      </w:r>
      <w:proofErr w:type="spellEnd"/>
      <w:r>
        <w:t xml:space="preserve"> a </w:t>
      </w:r>
      <w:proofErr w:type="spellStart"/>
      <w:r>
        <w:t>bhfuil</w:t>
      </w:r>
      <w:proofErr w:type="spellEnd"/>
      <w:r>
        <w:t xml:space="preserve"> </w:t>
      </w:r>
      <w:proofErr w:type="spellStart"/>
      <w:r>
        <w:t>gá</w:t>
      </w:r>
      <w:proofErr w:type="spellEnd"/>
      <w:r>
        <w:t xml:space="preserve"> </w:t>
      </w:r>
      <w:proofErr w:type="spellStart"/>
      <w:r>
        <w:t>léi</w:t>
      </w:r>
      <w:proofErr w:type="spellEnd"/>
      <w:r>
        <w:t xml:space="preserve"> le </w:t>
      </w:r>
      <w:proofErr w:type="spellStart"/>
      <w:r>
        <w:t>haghaidh</w:t>
      </w:r>
      <w:proofErr w:type="spellEnd"/>
      <w:r>
        <w:t xml:space="preserve"> </w:t>
      </w:r>
      <w:proofErr w:type="spellStart"/>
      <w:r>
        <w:t>na</w:t>
      </w:r>
      <w:proofErr w:type="spellEnd"/>
      <w:r>
        <w:t xml:space="preserve"> </w:t>
      </w:r>
      <w:proofErr w:type="spellStart"/>
      <w:r>
        <w:t>gcéimeanna</w:t>
      </w:r>
      <w:proofErr w:type="spellEnd"/>
      <w:r>
        <w:t xml:space="preserve"> </w:t>
      </w:r>
      <w:proofErr w:type="spellStart"/>
      <w:r>
        <w:t>éagsúla</w:t>
      </w:r>
      <w:proofErr w:type="spellEnd"/>
      <w:r>
        <w:t xml:space="preserve"> </w:t>
      </w:r>
      <w:proofErr w:type="spellStart"/>
      <w:r>
        <w:t>soláthair</w:t>
      </w:r>
      <w:proofErr w:type="spellEnd"/>
      <w:r>
        <w:t xml:space="preserve"> </w:t>
      </w:r>
      <w:proofErr w:type="spellStart"/>
      <w:r>
        <w:t>agus</w:t>
      </w:r>
      <w:proofErr w:type="spellEnd"/>
      <w:r>
        <w:t xml:space="preserve"> le </w:t>
      </w:r>
      <w:proofErr w:type="spellStart"/>
      <w:r>
        <w:t>cinntiú</w:t>
      </w:r>
      <w:proofErr w:type="spellEnd"/>
      <w:r>
        <w:t xml:space="preserve"> go </w:t>
      </w:r>
      <w:proofErr w:type="spellStart"/>
      <w:r>
        <w:t>bhfuil</w:t>
      </w:r>
      <w:proofErr w:type="spellEnd"/>
      <w:r>
        <w:t xml:space="preserve"> an </w:t>
      </w:r>
      <w:proofErr w:type="spellStart"/>
      <w:r>
        <w:t>fhoireann</w:t>
      </w:r>
      <w:proofErr w:type="spellEnd"/>
      <w:r>
        <w:t xml:space="preserve"> </w:t>
      </w:r>
      <w:proofErr w:type="spellStart"/>
      <w:r>
        <w:t>uirlisí</w:t>
      </w:r>
      <w:proofErr w:type="spellEnd"/>
      <w:r>
        <w:t xml:space="preserve"> </w:t>
      </w:r>
      <w:proofErr w:type="spellStart"/>
      <w:r>
        <w:t>i</w:t>
      </w:r>
      <w:proofErr w:type="spellEnd"/>
      <w:r>
        <w:t xml:space="preserve"> </w:t>
      </w:r>
      <w:proofErr w:type="spellStart"/>
      <w:r>
        <w:t>gcomhréir</w:t>
      </w:r>
      <w:proofErr w:type="spellEnd"/>
      <w:r>
        <w:t xml:space="preserve"> le </w:t>
      </w:r>
      <w:proofErr w:type="spellStart"/>
      <w:r>
        <w:t>caighdeáin</w:t>
      </w:r>
      <w:proofErr w:type="spellEnd"/>
      <w:r>
        <w:t xml:space="preserve"> </w:t>
      </w:r>
      <w:proofErr w:type="spellStart"/>
      <w:r>
        <w:t>agus</w:t>
      </w:r>
      <w:proofErr w:type="spellEnd"/>
      <w:r>
        <w:t xml:space="preserve"> </w:t>
      </w:r>
      <w:proofErr w:type="spellStart"/>
      <w:r>
        <w:t>treoirlínte</w:t>
      </w:r>
      <w:proofErr w:type="spellEnd"/>
      <w:r>
        <w:t xml:space="preserve"> soláthair ó réigiún eile an domhain. Tá an obair ar an bhfoireann </w:t>
      </w:r>
      <w:proofErr w:type="spellStart"/>
      <w:r>
        <w:t>uirlisí</w:t>
      </w:r>
      <w:proofErr w:type="spellEnd"/>
      <w:r>
        <w:t xml:space="preserve"> le </w:t>
      </w:r>
      <w:proofErr w:type="spellStart"/>
      <w:r>
        <w:t>bheith</w:t>
      </w:r>
      <w:proofErr w:type="spellEnd"/>
      <w:r>
        <w:t xml:space="preserve"> </w:t>
      </w:r>
      <w:proofErr w:type="spellStart"/>
      <w:r>
        <w:t>críochnaithe</w:t>
      </w:r>
      <w:proofErr w:type="spellEnd"/>
      <w:r>
        <w:t xml:space="preserve"> </w:t>
      </w:r>
      <w:proofErr w:type="spellStart"/>
      <w:r>
        <w:t>faoi</w:t>
      </w:r>
      <w:proofErr w:type="spellEnd"/>
      <w:r>
        <w:t xml:space="preserve"> </w:t>
      </w:r>
      <w:proofErr w:type="spellStart"/>
      <w:r>
        <w:t>dheireadh</w:t>
      </w:r>
      <w:proofErr w:type="spellEnd"/>
      <w:r>
        <w:t xml:space="preserve"> 2012.</w:t>
      </w:r>
    </w:p>
    <w:p w14:paraId="4ACCD439" w14:textId="77777777" w:rsidR="006C148C" w:rsidRDefault="006C148C">
      <w:pPr>
        <w:pStyle w:val="Heading3"/>
      </w:pPr>
      <w:bookmarkStart w:id="398" w:name="_Toc335836499"/>
      <w:r>
        <w:t xml:space="preserve">Treoirlínte áiteanna cónaithe </w:t>
      </w:r>
      <w:proofErr w:type="spellStart"/>
      <w:r>
        <w:t>dearaidh</w:t>
      </w:r>
      <w:proofErr w:type="spellEnd"/>
      <w:r>
        <w:t xml:space="preserve"> </w:t>
      </w:r>
      <w:proofErr w:type="spellStart"/>
      <w:r>
        <w:t>uilíoch</w:t>
      </w:r>
      <w:bookmarkEnd w:id="398"/>
      <w:proofErr w:type="spellEnd"/>
    </w:p>
    <w:p w14:paraId="2EF6779C" w14:textId="77777777" w:rsidR="006C148C" w:rsidRDefault="006C148C">
      <w:pPr>
        <w:rPr>
          <w:rFonts w:cs="Helv"/>
          <w:bCs/>
          <w:color w:val="000000"/>
        </w:rPr>
      </w:pPr>
      <w:r>
        <w:rPr>
          <w:rFonts w:cs="Helv"/>
          <w:bCs/>
          <w:color w:val="000000"/>
        </w:rPr>
        <w:t xml:space="preserve">Tá an </w:t>
      </w:r>
      <w:proofErr w:type="spellStart"/>
      <w:r>
        <w:rPr>
          <w:rFonts w:cs="Helv"/>
          <w:bCs/>
          <w:color w:val="000000"/>
        </w:rPr>
        <w:t>tÚdarás</w:t>
      </w:r>
      <w:proofErr w:type="spellEnd"/>
      <w:r>
        <w:rPr>
          <w:rFonts w:cs="Helv"/>
          <w:bCs/>
          <w:color w:val="000000"/>
        </w:rPr>
        <w:t xml:space="preserve"> Náisiúnta </w:t>
      </w:r>
      <w:proofErr w:type="spellStart"/>
      <w:r>
        <w:rPr>
          <w:rFonts w:cs="Helv"/>
          <w:bCs/>
          <w:color w:val="000000"/>
        </w:rPr>
        <w:t>Míchumais</w:t>
      </w:r>
      <w:proofErr w:type="spellEnd"/>
      <w:r>
        <w:rPr>
          <w:rFonts w:cs="Helv"/>
          <w:bCs/>
          <w:color w:val="000000"/>
        </w:rPr>
        <w:t xml:space="preserve"> ag obair chun treoirlínte a </w:t>
      </w:r>
      <w:proofErr w:type="spellStart"/>
      <w:r>
        <w:rPr>
          <w:rFonts w:cs="Helv"/>
          <w:bCs/>
          <w:color w:val="000000"/>
        </w:rPr>
        <w:t>fhorbairt</w:t>
      </w:r>
      <w:proofErr w:type="spellEnd"/>
      <w:r>
        <w:rPr>
          <w:rFonts w:cs="Helv"/>
          <w:bCs/>
          <w:color w:val="000000"/>
        </w:rPr>
        <w:t xml:space="preserve"> </w:t>
      </w:r>
      <w:proofErr w:type="spellStart"/>
      <w:r>
        <w:rPr>
          <w:rFonts w:cs="Helv"/>
          <w:bCs/>
          <w:color w:val="000000"/>
        </w:rPr>
        <w:t>d’áiteanna</w:t>
      </w:r>
      <w:proofErr w:type="spellEnd"/>
      <w:r>
        <w:rPr>
          <w:rFonts w:cs="Helv"/>
          <w:bCs/>
          <w:color w:val="000000"/>
        </w:rPr>
        <w:t xml:space="preserve"> </w:t>
      </w:r>
      <w:proofErr w:type="spellStart"/>
      <w:r>
        <w:rPr>
          <w:rFonts w:cs="Helv"/>
          <w:bCs/>
          <w:color w:val="000000"/>
        </w:rPr>
        <w:t>cónaithe</w:t>
      </w:r>
      <w:proofErr w:type="spellEnd"/>
      <w:r>
        <w:rPr>
          <w:rFonts w:cs="Helv"/>
          <w:bCs/>
          <w:color w:val="000000"/>
        </w:rPr>
        <w:t xml:space="preserve"> </w:t>
      </w:r>
      <w:proofErr w:type="spellStart"/>
      <w:r>
        <w:rPr>
          <w:rFonts w:cs="Helv"/>
          <w:bCs/>
          <w:color w:val="000000"/>
        </w:rPr>
        <w:t>dearaidh</w:t>
      </w:r>
      <w:proofErr w:type="spellEnd"/>
      <w:r>
        <w:rPr>
          <w:rFonts w:cs="Helv"/>
          <w:bCs/>
          <w:color w:val="000000"/>
        </w:rPr>
        <w:t xml:space="preserve"> </w:t>
      </w:r>
      <w:proofErr w:type="spellStart"/>
      <w:r>
        <w:rPr>
          <w:rFonts w:cs="Helv"/>
          <w:bCs/>
          <w:color w:val="000000"/>
        </w:rPr>
        <w:t>uilíoch</w:t>
      </w:r>
      <w:proofErr w:type="spellEnd"/>
      <w:r>
        <w:rPr>
          <w:rFonts w:cs="Helv"/>
          <w:bCs/>
          <w:color w:val="000000"/>
        </w:rPr>
        <w:t xml:space="preserve">; </w:t>
      </w:r>
      <w:proofErr w:type="spellStart"/>
      <w:r>
        <w:rPr>
          <w:rFonts w:cs="Helv"/>
          <w:bCs/>
          <w:color w:val="000000"/>
        </w:rPr>
        <w:t>áiteanna</w:t>
      </w:r>
      <w:proofErr w:type="spellEnd"/>
      <w:r>
        <w:rPr>
          <w:rFonts w:cs="Helv"/>
          <w:bCs/>
          <w:color w:val="000000"/>
        </w:rPr>
        <w:t xml:space="preserve"> </w:t>
      </w:r>
      <w:proofErr w:type="spellStart"/>
      <w:r>
        <w:rPr>
          <w:rFonts w:cs="Helv"/>
          <w:bCs/>
          <w:color w:val="000000"/>
        </w:rPr>
        <w:t>cónaithe</w:t>
      </w:r>
      <w:proofErr w:type="spellEnd"/>
      <w:r>
        <w:rPr>
          <w:rFonts w:cs="Helv"/>
          <w:bCs/>
          <w:color w:val="000000"/>
        </w:rPr>
        <w:t xml:space="preserve"> </w:t>
      </w:r>
      <w:proofErr w:type="spellStart"/>
      <w:r>
        <w:rPr>
          <w:rFonts w:cs="Helv"/>
          <w:bCs/>
          <w:color w:val="000000"/>
        </w:rPr>
        <w:t>atá</w:t>
      </w:r>
      <w:proofErr w:type="spellEnd"/>
      <w:r>
        <w:rPr>
          <w:rFonts w:cs="Helv"/>
          <w:bCs/>
          <w:color w:val="000000"/>
        </w:rPr>
        <w:t xml:space="preserve"> </w:t>
      </w:r>
      <w:proofErr w:type="spellStart"/>
      <w:r>
        <w:rPr>
          <w:rFonts w:cs="Helv"/>
          <w:bCs/>
          <w:color w:val="000000"/>
        </w:rPr>
        <w:t>oiriúnacha</w:t>
      </w:r>
      <w:proofErr w:type="spellEnd"/>
      <w:r>
        <w:rPr>
          <w:rFonts w:cs="Helv"/>
          <w:bCs/>
          <w:color w:val="000000"/>
        </w:rPr>
        <w:t xml:space="preserve"> do </w:t>
      </w:r>
      <w:proofErr w:type="spellStart"/>
      <w:r>
        <w:rPr>
          <w:rFonts w:cs="Helv"/>
          <w:bCs/>
          <w:color w:val="000000"/>
        </w:rPr>
        <w:t>dhaoine</w:t>
      </w:r>
      <w:proofErr w:type="spellEnd"/>
      <w:r>
        <w:rPr>
          <w:rFonts w:cs="Helv"/>
          <w:bCs/>
          <w:color w:val="000000"/>
        </w:rPr>
        <w:t xml:space="preserve"> a </w:t>
      </w:r>
      <w:proofErr w:type="spellStart"/>
      <w:r>
        <w:rPr>
          <w:rFonts w:cs="Helv"/>
          <w:bCs/>
          <w:color w:val="000000"/>
        </w:rPr>
        <w:t>bhfuil</w:t>
      </w:r>
      <w:proofErr w:type="spellEnd"/>
      <w:r>
        <w:rPr>
          <w:rFonts w:cs="Helv"/>
          <w:bCs/>
          <w:color w:val="000000"/>
        </w:rPr>
        <w:t xml:space="preserve"> </w:t>
      </w:r>
      <w:proofErr w:type="spellStart"/>
      <w:r>
        <w:rPr>
          <w:rFonts w:cs="Helv"/>
          <w:bCs/>
          <w:color w:val="000000"/>
        </w:rPr>
        <w:t>aois</w:t>
      </w:r>
      <w:proofErr w:type="spellEnd"/>
      <w:r>
        <w:rPr>
          <w:rFonts w:cs="Helv"/>
          <w:bCs/>
          <w:color w:val="000000"/>
        </w:rPr>
        <w:t xml:space="preserve">, </w:t>
      </w:r>
      <w:proofErr w:type="spellStart"/>
      <w:r>
        <w:rPr>
          <w:rFonts w:cs="Helv"/>
          <w:bCs/>
          <w:color w:val="000000"/>
        </w:rPr>
        <w:t>méid</w:t>
      </w:r>
      <w:proofErr w:type="spellEnd"/>
      <w:r>
        <w:rPr>
          <w:rFonts w:cs="Helv"/>
          <w:bCs/>
          <w:color w:val="000000"/>
        </w:rPr>
        <w:t xml:space="preserve">, </w:t>
      </w:r>
      <w:proofErr w:type="spellStart"/>
      <w:r>
        <w:rPr>
          <w:rFonts w:cs="Helv"/>
          <w:bCs/>
          <w:color w:val="000000"/>
        </w:rPr>
        <w:t>cumas</w:t>
      </w:r>
      <w:proofErr w:type="spellEnd"/>
      <w:r>
        <w:rPr>
          <w:rFonts w:cs="Helv"/>
          <w:bCs/>
          <w:color w:val="000000"/>
        </w:rPr>
        <w:t xml:space="preserve"> </w:t>
      </w:r>
      <w:proofErr w:type="spellStart"/>
      <w:r>
        <w:rPr>
          <w:rFonts w:cs="Helv"/>
          <w:bCs/>
          <w:color w:val="000000"/>
        </w:rPr>
        <w:t>nó</w:t>
      </w:r>
      <w:proofErr w:type="spellEnd"/>
      <w:r>
        <w:rPr>
          <w:rFonts w:cs="Helv"/>
          <w:bCs/>
          <w:color w:val="000000"/>
        </w:rPr>
        <w:t xml:space="preserve"> </w:t>
      </w:r>
      <w:proofErr w:type="spellStart"/>
      <w:r>
        <w:rPr>
          <w:rFonts w:cs="Helv"/>
          <w:bCs/>
          <w:color w:val="000000"/>
        </w:rPr>
        <w:t>míchumas</w:t>
      </w:r>
      <w:proofErr w:type="spellEnd"/>
      <w:r>
        <w:rPr>
          <w:rFonts w:cs="Helv"/>
          <w:bCs/>
          <w:color w:val="000000"/>
        </w:rPr>
        <w:t xml:space="preserve"> </w:t>
      </w:r>
      <w:proofErr w:type="spellStart"/>
      <w:r>
        <w:rPr>
          <w:rFonts w:cs="Helv"/>
          <w:bCs/>
          <w:color w:val="000000"/>
        </w:rPr>
        <w:t>difriúil</w:t>
      </w:r>
      <w:proofErr w:type="spellEnd"/>
      <w:r>
        <w:rPr>
          <w:rFonts w:cs="Helv"/>
          <w:bCs/>
          <w:color w:val="000000"/>
        </w:rPr>
        <w:t xml:space="preserve"> ag </w:t>
      </w:r>
      <w:proofErr w:type="spellStart"/>
      <w:r>
        <w:rPr>
          <w:rFonts w:cs="Helv"/>
          <w:bCs/>
          <w:color w:val="000000"/>
        </w:rPr>
        <w:t>baint</w:t>
      </w:r>
      <w:proofErr w:type="spellEnd"/>
      <w:r>
        <w:rPr>
          <w:rFonts w:cs="Helv"/>
          <w:bCs/>
          <w:color w:val="000000"/>
        </w:rPr>
        <w:t xml:space="preserve"> </w:t>
      </w:r>
      <w:proofErr w:type="spellStart"/>
      <w:r>
        <w:rPr>
          <w:rFonts w:cs="Helv"/>
          <w:bCs/>
          <w:color w:val="000000"/>
        </w:rPr>
        <w:t>leo</w:t>
      </w:r>
      <w:proofErr w:type="spellEnd"/>
      <w:r>
        <w:rPr>
          <w:rFonts w:cs="Helv"/>
          <w:bCs/>
          <w:color w:val="000000"/>
        </w:rPr>
        <w:t xml:space="preserve"> </w:t>
      </w:r>
      <w:proofErr w:type="spellStart"/>
      <w:r>
        <w:rPr>
          <w:rFonts w:cs="Helv"/>
          <w:bCs/>
          <w:color w:val="000000"/>
        </w:rPr>
        <w:t>agus</w:t>
      </w:r>
      <w:proofErr w:type="spellEnd"/>
      <w:r>
        <w:rPr>
          <w:rFonts w:cs="Helv"/>
          <w:bCs/>
          <w:color w:val="000000"/>
        </w:rPr>
        <w:t xml:space="preserve"> </w:t>
      </w:r>
      <w:proofErr w:type="spellStart"/>
      <w:r>
        <w:rPr>
          <w:rFonts w:cs="Helv"/>
          <w:bCs/>
          <w:color w:val="000000"/>
        </w:rPr>
        <w:t>atá</w:t>
      </w:r>
      <w:proofErr w:type="spellEnd"/>
      <w:r>
        <w:rPr>
          <w:rFonts w:cs="Helv"/>
          <w:bCs/>
          <w:color w:val="000000"/>
        </w:rPr>
        <w:t xml:space="preserve"> </w:t>
      </w:r>
      <w:proofErr w:type="spellStart"/>
      <w:proofErr w:type="gramStart"/>
      <w:r>
        <w:rPr>
          <w:rFonts w:cs="Helv"/>
          <w:bCs/>
          <w:color w:val="000000"/>
        </w:rPr>
        <w:t>inoiriúnaithe</w:t>
      </w:r>
      <w:proofErr w:type="spellEnd"/>
      <w:r>
        <w:rPr>
          <w:rFonts w:cs="Helv"/>
          <w:bCs/>
          <w:color w:val="000000"/>
        </w:rPr>
        <w:t xml:space="preserve">  go</w:t>
      </w:r>
      <w:proofErr w:type="gramEnd"/>
      <w:r>
        <w:rPr>
          <w:rFonts w:cs="Helv"/>
          <w:bCs/>
          <w:color w:val="000000"/>
        </w:rPr>
        <w:t xml:space="preserve"> </w:t>
      </w:r>
      <w:proofErr w:type="spellStart"/>
      <w:r>
        <w:rPr>
          <w:rFonts w:cs="Helv"/>
          <w:bCs/>
          <w:color w:val="000000"/>
        </w:rPr>
        <w:t>héasca</w:t>
      </w:r>
      <w:proofErr w:type="spellEnd"/>
      <w:r>
        <w:rPr>
          <w:rFonts w:cs="Helv"/>
          <w:bCs/>
          <w:color w:val="000000"/>
        </w:rPr>
        <w:t xml:space="preserve"> do </w:t>
      </w:r>
      <w:proofErr w:type="spellStart"/>
      <w:r>
        <w:rPr>
          <w:rFonts w:cs="Helv"/>
          <w:bCs/>
          <w:color w:val="000000"/>
        </w:rPr>
        <w:t>na</w:t>
      </w:r>
      <w:proofErr w:type="spellEnd"/>
      <w:r>
        <w:rPr>
          <w:rFonts w:cs="Helv"/>
          <w:bCs/>
          <w:color w:val="000000"/>
        </w:rPr>
        <w:t xml:space="preserve"> </w:t>
      </w:r>
      <w:proofErr w:type="spellStart"/>
      <w:r>
        <w:rPr>
          <w:rFonts w:cs="Helv"/>
          <w:bCs/>
          <w:color w:val="000000"/>
        </w:rPr>
        <w:t>céimeanna</w:t>
      </w:r>
      <w:proofErr w:type="spellEnd"/>
      <w:r>
        <w:rPr>
          <w:rFonts w:cs="Helv"/>
          <w:bCs/>
          <w:color w:val="000000"/>
        </w:rPr>
        <w:t xml:space="preserve"> </w:t>
      </w:r>
      <w:proofErr w:type="spellStart"/>
      <w:r>
        <w:rPr>
          <w:rFonts w:cs="Helv"/>
          <w:bCs/>
          <w:color w:val="000000"/>
        </w:rPr>
        <w:t>saoil</w:t>
      </w:r>
      <w:proofErr w:type="spellEnd"/>
      <w:r>
        <w:rPr>
          <w:rFonts w:cs="Helv"/>
          <w:bCs/>
          <w:color w:val="000000"/>
        </w:rPr>
        <w:t xml:space="preserve"> </w:t>
      </w:r>
      <w:proofErr w:type="spellStart"/>
      <w:r>
        <w:rPr>
          <w:rFonts w:cs="Helv"/>
          <w:bCs/>
          <w:color w:val="000000"/>
        </w:rPr>
        <w:t>éagsúla</w:t>
      </w:r>
      <w:proofErr w:type="spellEnd"/>
      <w:r>
        <w:rPr>
          <w:rFonts w:cs="Helv"/>
          <w:bCs/>
          <w:color w:val="000000"/>
        </w:rPr>
        <w:t xml:space="preserve">. </w:t>
      </w:r>
      <w:proofErr w:type="spellStart"/>
      <w:r>
        <w:rPr>
          <w:rFonts w:cs="Helv"/>
          <w:bCs/>
          <w:color w:val="000000"/>
        </w:rPr>
        <w:t>Tá</w:t>
      </w:r>
      <w:proofErr w:type="spellEnd"/>
      <w:r>
        <w:rPr>
          <w:rFonts w:cs="Helv"/>
          <w:bCs/>
          <w:color w:val="000000"/>
        </w:rPr>
        <w:t xml:space="preserve"> </w:t>
      </w:r>
      <w:proofErr w:type="spellStart"/>
      <w:r>
        <w:rPr>
          <w:rFonts w:cs="Helv"/>
          <w:bCs/>
          <w:color w:val="000000"/>
        </w:rPr>
        <w:t>sé</w:t>
      </w:r>
      <w:proofErr w:type="spellEnd"/>
      <w:r>
        <w:rPr>
          <w:rFonts w:cs="Helv"/>
          <w:bCs/>
          <w:color w:val="000000"/>
        </w:rPr>
        <w:t xml:space="preserve"> </w:t>
      </w:r>
      <w:proofErr w:type="spellStart"/>
      <w:r>
        <w:rPr>
          <w:rFonts w:cs="Helv"/>
          <w:bCs/>
          <w:color w:val="000000"/>
        </w:rPr>
        <w:t>i</w:t>
      </w:r>
      <w:proofErr w:type="spellEnd"/>
      <w:r>
        <w:rPr>
          <w:rFonts w:cs="Helv"/>
          <w:bCs/>
          <w:color w:val="000000"/>
        </w:rPr>
        <w:t xml:space="preserve"> </w:t>
      </w:r>
      <w:proofErr w:type="spellStart"/>
      <w:r>
        <w:rPr>
          <w:rFonts w:cs="Helv"/>
          <w:bCs/>
          <w:color w:val="000000"/>
        </w:rPr>
        <w:t>gceist</w:t>
      </w:r>
      <w:proofErr w:type="spellEnd"/>
      <w:r>
        <w:rPr>
          <w:rFonts w:cs="Helv"/>
          <w:bCs/>
          <w:color w:val="000000"/>
        </w:rPr>
        <w:t xml:space="preserve"> go </w:t>
      </w:r>
      <w:proofErr w:type="spellStart"/>
      <w:r>
        <w:rPr>
          <w:rFonts w:cs="Helv"/>
          <w:bCs/>
          <w:color w:val="000000"/>
        </w:rPr>
        <w:t>mbeadh</w:t>
      </w:r>
      <w:proofErr w:type="spellEnd"/>
      <w:r>
        <w:rPr>
          <w:rFonts w:cs="Helv"/>
          <w:bCs/>
          <w:color w:val="000000"/>
        </w:rPr>
        <w:t xml:space="preserve"> </w:t>
      </w:r>
      <w:proofErr w:type="spellStart"/>
      <w:r>
        <w:rPr>
          <w:rFonts w:cs="Helv"/>
          <w:bCs/>
          <w:color w:val="000000"/>
        </w:rPr>
        <w:t>na</w:t>
      </w:r>
      <w:proofErr w:type="spellEnd"/>
      <w:r>
        <w:rPr>
          <w:rFonts w:cs="Helv"/>
          <w:bCs/>
          <w:color w:val="000000"/>
        </w:rPr>
        <w:t xml:space="preserve"> </w:t>
      </w:r>
      <w:proofErr w:type="spellStart"/>
      <w:r>
        <w:rPr>
          <w:rFonts w:cs="Helv"/>
          <w:bCs/>
          <w:color w:val="000000"/>
        </w:rPr>
        <w:t>treoirlínte</w:t>
      </w:r>
      <w:proofErr w:type="spellEnd"/>
      <w:r>
        <w:rPr>
          <w:rFonts w:cs="Helv"/>
          <w:bCs/>
          <w:color w:val="000000"/>
        </w:rPr>
        <w:t xml:space="preserve"> </w:t>
      </w:r>
      <w:proofErr w:type="spellStart"/>
      <w:r>
        <w:rPr>
          <w:rFonts w:cs="Helv"/>
          <w:bCs/>
          <w:color w:val="000000"/>
        </w:rPr>
        <w:t>seo</w:t>
      </w:r>
      <w:proofErr w:type="spellEnd"/>
      <w:r>
        <w:rPr>
          <w:rFonts w:cs="Helv"/>
          <w:bCs/>
          <w:color w:val="000000"/>
        </w:rPr>
        <w:t xml:space="preserve"> </w:t>
      </w:r>
      <w:proofErr w:type="spellStart"/>
      <w:r>
        <w:rPr>
          <w:rFonts w:cs="Helv"/>
          <w:bCs/>
          <w:color w:val="000000"/>
        </w:rPr>
        <w:t>oiriúnach</w:t>
      </w:r>
      <w:proofErr w:type="spellEnd"/>
      <w:r>
        <w:rPr>
          <w:rFonts w:cs="Helv"/>
          <w:bCs/>
          <w:color w:val="000000"/>
        </w:rPr>
        <w:t xml:space="preserve"> do </w:t>
      </w:r>
      <w:proofErr w:type="spellStart"/>
      <w:r>
        <w:rPr>
          <w:rFonts w:cs="Helv"/>
          <w:bCs/>
          <w:color w:val="000000"/>
        </w:rPr>
        <w:t>gach</w:t>
      </w:r>
      <w:proofErr w:type="spellEnd"/>
      <w:r>
        <w:rPr>
          <w:rFonts w:cs="Helv"/>
          <w:bCs/>
          <w:color w:val="000000"/>
        </w:rPr>
        <w:t xml:space="preserve"> teach </w:t>
      </w:r>
      <w:proofErr w:type="spellStart"/>
      <w:r>
        <w:rPr>
          <w:rFonts w:cs="Helv"/>
          <w:bCs/>
          <w:color w:val="000000"/>
        </w:rPr>
        <w:t>agus</w:t>
      </w:r>
      <w:proofErr w:type="spellEnd"/>
      <w:r>
        <w:rPr>
          <w:rFonts w:cs="Helv"/>
          <w:bCs/>
          <w:color w:val="000000"/>
        </w:rPr>
        <w:t xml:space="preserve"> </w:t>
      </w:r>
      <w:proofErr w:type="spellStart"/>
      <w:r>
        <w:rPr>
          <w:rFonts w:cs="Helv"/>
          <w:bCs/>
          <w:color w:val="000000"/>
        </w:rPr>
        <w:t>árasán</w:t>
      </w:r>
      <w:proofErr w:type="spellEnd"/>
      <w:r>
        <w:rPr>
          <w:rFonts w:cs="Helv"/>
          <w:bCs/>
          <w:color w:val="000000"/>
        </w:rPr>
        <w:t xml:space="preserve">. </w:t>
      </w:r>
      <w:proofErr w:type="spellStart"/>
      <w:r>
        <w:rPr>
          <w:rFonts w:cs="Helv"/>
          <w:bCs/>
          <w:color w:val="000000"/>
        </w:rPr>
        <w:t>Tá</w:t>
      </w:r>
      <w:proofErr w:type="spellEnd"/>
      <w:r>
        <w:rPr>
          <w:rFonts w:cs="Helv"/>
          <w:bCs/>
          <w:color w:val="000000"/>
        </w:rPr>
        <w:t xml:space="preserve"> </w:t>
      </w:r>
      <w:proofErr w:type="spellStart"/>
      <w:r>
        <w:rPr>
          <w:rFonts w:cs="Helv"/>
          <w:bCs/>
          <w:color w:val="000000"/>
        </w:rPr>
        <w:t>na</w:t>
      </w:r>
      <w:proofErr w:type="spellEnd"/>
      <w:r>
        <w:rPr>
          <w:rFonts w:cs="Helv"/>
          <w:bCs/>
          <w:color w:val="000000"/>
        </w:rPr>
        <w:t xml:space="preserve"> </w:t>
      </w:r>
      <w:proofErr w:type="spellStart"/>
      <w:r>
        <w:rPr>
          <w:rFonts w:cs="Helv"/>
          <w:bCs/>
          <w:color w:val="000000"/>
        </w:rPr>
        <w:t>treoirlínte</w:t>
      </w:r>
      <w:proofErr w:type="spellEnd"/>
      <w:r>
        <w:rPr>
          <w:rFonts w:cs="Helv"/>
          <w:bCs/>
          <w:color w:val="000000"/>
        </w:rPr>
        <w:t xml:space="preserve"> le </w:t>
      </w:r>
      <w:proofErr w:type="spellStart"/>
      <w:r>
        <w:rPr>
          <w:rFonts w:cs="Helv"/>
          <w:bCs/>
          <w:color w:val="000000"/>
        </w:rPr>
        <w:t>bheith</w:t>
      </w:r>
      <w:proofErr w:type="spellEnd"/>
      <w:r>
        <w:rPr>
          <w:rFonts w:cs="Helv"/>
          <w:bCs/>
          <w:color w:val="000000"/>
        </w:rPr>
        <w:t xml:space="preserve"> críochnaithe sa chuid luath de 2012.</w:t>
      </w:r>
    </w:p>
    <w:p w14:paraId="40575A89" w14:textId="77777777" w:rsidR="006C148C" w:rsidRDefault="006C148C">
      <w:pPr>
        <w:pStyle w:val="Heading3"/>
      </w:pPr>
      <w:bookmarkStart w:id="399" w:name="_Toc335836500"/>
      <w:proofErr w:type="spellStart"/>
      <w:r>
        <w:t>Coiste</w:t>
      </w:r>
      <w:proofErr w:type="spellEnd"/>
      <w:r>
        <w:t xml:space="preserve"> </w:t>
      </w:r>
      <w:proofErr w:type="spellStart"/>
      <w:r>
        <w:t>Comhairleach</w:t>
      </w:r>
      <w:proofErr w:type="spellEnd"/>
      <w:r>
        <w:t xml:space="preserve"> um </w:t>
      </w:r>
      <w:proofErr w:type="spellStart"/>
      <w:r>
        <w:t>Inrochtaineacht</w:t>
      </w:r>
      <w:proofErr w:type="spellEnd"/>
      <w:r>
        <w:t xml:space="preserve"> </w:t>
      </w:r>
      <w:proofErr w:type="spellStart"/>
      <w:r>
        <w:t>ar</w:t>
      </w:r>
      <w:proofErr w:type="spellEnd"/>
      <w:r>
        <w:t xml:space="preserve"> </w:t>
      </w:r>
      <w:proofErr w:type="spellStart"/>
      <w:r>
        <w:t>Gach</w:t>
      </w:r>
      <w:proofErr w:type="spellEnd"/>
      <w:r>
        <w:t xml:space="preserve"> </w:t>
      </w:r>
      <w:proofErr w:type="spellStart"/>
      <w:r>
        <w:t>Caighdeán</w:t>
      </w:r>
      <w:bookmarkEnd w:id="399"/>
      <w:proofErr w:type="spellEnd"/>
    </w:p>
    <w:p w14:paraId="723922D1" w14:textId="77777777" w:rsidR="006C148C" w:rsidRDefault="006C148C">
      <w:r>
        <w:t xml:space="preserve">Bíonn an </w:t>
      </w:r>
      <w:proofErr w:type="spellStart"/>
      <w:r>
        <w:t>tÚdarás</w:t>
      </w:r>
      <w:proofErr w:type="spellEnd"/>
      <w:r>
        <w:t xml:space="preserve"> Náisiúnta </w:t>
      </w:r>
      <w:proofErr w:type="spellStart"/>
      <w:r>
        <w:t>Míchumais</w:t>
      </w:r>
      <w:proofErr w:type="spellEnd"/>
      <w:r>
        <w:t xml:space="preserve"> ag obair i gcomhar le </w:t>
      </w:r>
      <w:proofErr w:type="spellStart"/>
      <w:r>
        <w:t>hÚdarás</w:t>
      </w:r>
      <w:proofErr w:type="spellEnd"/>
      <w:r>
        <w:t xml:space="preserve"> um Chaighdeáin Náisiúnta na hÉireann, trí obair an Choiste Chomhairligh um </w:t>
      </w:r>
      <w:proofErr w:type="spellStart"/>
      <w:r>
        <w:t>Inrochtaineacht</w:t>
      </w:r>
      <w:proofErr w:type="spellEnd"/>
      <w:r>
        <w:t xml:space="preserve"> </w:t>
      </w:r>
      <w:proofErr w:type="spellStart"/>
      <w:r>
        <w:t>ar</w:t>
      </w:r>
      <w:proofErr w:type="spellEnd"/>
      <w:r>
        <w:t xml:space="preserve"> </w:t>
      </w:r>
      <w:proofErr w:type="spellStart"/>
      <w:r>
        <w:t>Gach</w:t>
      </w:r>
      <w:proofErr w:type="spellEnd"/>
      <w:r>
        <w:t xml:space="preserve"> </w:t>
      </w:r>
      <w:proofErr w:type="spellStart"/>
      <w:r>
        <w:t>Caighdeán</w:t>
      </w:r>
      <w:proofErr w:type="spellEnd"/>
      <w:r>
        <w:t xml:space="preserve"> </w:t>
      </w:r>
      <w:proofErr w:type="spellStart"/>
      <w:r>
        <w:t>agus</w:t>
      </w:r>
      <w:proofErr w:type="spellEnd"/>
      <w:r>
        <w:t xml:space="preserve"> </w:t>
      </w:r>
      <w:proofErr w:type="spellStart"/>
      <w:r>
        <w:t>na</w:t>
      </w:r>
      <w:proofErr w:type="spellEnd"/>
      <w:r>
        <w:t xml:space="preserve"> </w:t>
      </w:r>
      <w:proofErr w:type="spellStart"/>
      <w:r>
        <w:t>seacht</w:t>
      </w:r>
      <w:proofErr w:type="spellEnd"/>
      <w:r>
        <w:t xml:space="preserve"> </w:t>
      </w:r>
      <w:proofErr w:type="spellStart"/>
      <w:r>
        <w:t>meitheal</w:t>
      </w:r>
      <w:proofErr w:type="spellEnd"/>
      <w:r>
        <w:t xml:space="preserve"> a </w:t>
      </w:r>
      <w:proofErr w:type="spellStart"/>
      <w:r>
        <w:t>dtacaíonn</w:t>
      </w:r>
      <w:proofErr w:type="spellEnd"/>
      <w:r>
        <w:t xml:space="preserve"> </w:t>
      </w:r>
      <w:proofErr w:type="spellStart"/>
      <w:r>
        <w:t>sé</w:t>
      </w:r>
      <w:proofErr w:type="spellEnd"/>
      <w:r>
        <w:t xml:space="preserve"> </w:t>
      </w:r>
      <w:proofErr w:type="spellStart"/>
      <w:r>
        <w:t>leo</w:t>
      </w:r>
      <w:proofErr w:type="spellEnd"/>
      <w:r>
        <w:t xml:space="preserve"> </w:t>
      </w:r>
      <w:proofErr w:type="spellStart"/>
      <w:r>
        <w:t>agus</w:t>
      </w:r>
      <w:proofErr w:type="spellEnd"/>
      <w:r>
        <w:t xml:space="preserve"> a </w:t>
      </w:r>
      <w:proofErr w:type="spellStart"/>
      <w:r>
        <w:t>dhíríonn</w:t>
      </w:r>
      <w:proofErr w:type="spellEnd"/>
      <w:r>
        <w:t xml:space="preserve"> </w:t>
      </w:r>
      <w:proofErr w:type="spellStart"/>
      <w:r>
        <w:t>ar</w:t>
      </w:r>
      <w:proofErr w:type="spellEnd"/>
      <w:r>
        <w:t xml:space="preserve"> </w:t>
      </w:r>
      <w:proofErr w:type="spellStart"/>
      <w:r>
        <w:t>dhearadh</w:t>
      </w:r>
      <w:proofErr w:type="spellEnd"/>
      <w:r>
        <w:t xml:space="preserve"> </w:t>
      </w:r>
      <w:proofErr w:type="spellStart"/>
      <w:r>
        <w:t>uilíoch</w:t>
      </w:r>
      <w:proofErr w:type="spellEnd"/>
      <w:r>
        <w:t xml:space="preserve"> </w:t>
      </w:r>
      <w:proofErr w:type="spellStart"/>
      <w:r>
        <w:t>táirgí</w:t>
      </w:r>
      <w:proofErr w:type="spellEnd"/>
      <w:r>
        <w:t xml:space="preserve">, </w:t>
      </w:r>
      <w:proofErr w:type="spellStart"/>
      <w:r>
        <w:t>seirbhísí</w:t>
      </w:r>
      <w:proofErr w:type="spellEnd"/>
      <w:r>
        <w:t xml:space="preserve">, </w:t>
      </w:r>
      <w:proofErr w:type="spellStart"/>
      <w:r>
        <w:t>eolais</w:t>
      </w:r>
      <w:proofErr w:type="spellEnd"/>
      <w:r>
        <w:t xml:space="preserve"> </w:t>
      </w:r>
      <w:proofErr w:type="spellStart"/>
      <w:r>
        <w:t>agus</w:t>
      </w:r>
      <w:proofErr w:type="spellEnd"/>
      <w:r>
        <w:t xml:space="preserve"> </w:t>
      </w:r>
      <w:proofErr w:type="spellStart"/>
      <w:r>
        <w:t>teicneolaíochta</w:t>
      </w:r>
      <w:proofErr w:type="spellEnd"/>
      <w:r>
        <w:t xml:space="preserve"> </w:t>
      </w:r>
      <w:proofErr w:type="spellStart"/>
      <w:r>
        <w:t>cumarsáide</w:t>
      </w:r>
      <w:proofErr w:type="spellEnd"/>
      <w:r>
        <w:t xml:space="preserve">, </w:t>
      </w:r>
      <w:proofErr w:type="spellStart"/>
      <w:r>
        <w:t>chomh</w:t>
      </w:r>
      <w:proofErr w:type="spellEnd"/>
      <w:r>
        <w:t xml:space="preserve"> </w:t>
      </w:r>
      <w:proofErr w:type="spellStart"/>
      <w:r>
        <w:t>maith</w:t>
      </w:r>
      <w:proofErr w:type="spellEnd"/>
      <w:r>
        <w:t xml:space="preserve"> leis </w:t>
      </w:r>
      <w:proofErr w:type="gramStart"/>
      <w:r>
        <w:t>an</w:t>
      </w:r>
      <w:proofErr w:type="gramEnd"/>
      <w:r>
        <w:t xml:space="preserve"> </w:t>
      </w:r>
      <w:proofErr w:type="spellStart"/>
      <w:r>
        <w:t>timpeallacht</w:t>
      </w:r>
      <w:proofErr w:type="spellEnd"/>
      <w:r>
        <w:t xml:space="preserve"> </w:t>
      </w:r>
      <w:proofErr w:type="spellStart"/>
      <w:r>
        <w:t>thógtha</w:t>
      </w:r>
      <w:proofErr w:type="spellEnd"/>
      <w:r>
        <w:t xml:space="preserve">. </w:t>
      </w:r>
      <w:proofErr w:type="spellStart"/>
      <w:r>
        <w:t>Tá</w:t>
      </w:r>
      <w:proofErr w:type="spellEnd"/>
      <w:r>
        <w:t xml:space="preserve"> </w:t>
      </w:r>
      <w:proofErr w:type="spellStart"/>
      <w:r>
        <w:t>aighneachtaí</w:t>
      </w:r>
      <w:proofErr w:type="spellEnd"/>
      <w:r>
        <w:t xml:space="preserve"> </w:t>
      </w:r>
      <w:proofErr w:type="spellStart"/>
      <w:r>
        <w:t>déanta</w:t>
      </w:r>
      <w:proofErr w:type="spellEnd"/>
      <w:r>
        <w:t xml:space="preserve"> ag </w:t>
      </w:r>
      <w:proofErr w:type="spellStart"/>
      <w:r>
        <w:t>na</w:t>
      </w:r>
      <w:proofErr w:type="spellEnd"/>
      <w:r>
        <w:t xml:space="preserve"> </w:t>
      </w:r>
      <w:proofErr w:type="spellStart"/>
      <w:r>
        <w:t>grúpaí</w:t>
      </w:r>
      <w:proofErr w:type="spellEnd"/>
      <w:r>
        <w:t xml:space="preserve"> </w:t>
      </w:r>
      <w:proofErr w:type="spellStart"/>
      <w:r>
        <w:t>oibre</w:t>
      </w:r>
      <w:proofErr w:type="spellEnd"/>
      <w:r>
        <w:t xml:space="preserve"> </w:t>
      </w:r>
      <w:proofErr w:type="spellStart"/>
      <w:r>
        <w:t>ar</w:t>
      </w:r>
      <w:proofErr w:type="spellEnd"/>
      <w:r>
        <w:t xml:space="preserve"> </w:t>
      </w:r>
      <w:proofErr w:type="spellStart"/>
      <w:r>
        <w:t>roinnt</w:t>
      </w:r>
      <w:proofErr w:type="spellEnd"/>
      <w:r>
        <w:t xml:space="preserve"> </w:t>
      </w:r>
      <w:proofErr w:type="spellStart"/>
      <w:r>
        <w:t>caighdeán</w:t>
      </w:r>
      <w:proofErr w:type="spellEnd"/>
      <w:r>
        <w:t xml:space="preserve"> </w:t>
      </w:r>
      <w:proofErr w:type="spellStart"/>
      <w:r>
        <w:t>Eorpach</w:t>
      </w:r>
      <w:proofErr w:type="spellEnd"/>
      <w:r>
        <w:t xml:space="preserve"> </w:t>
      </w:r>
      <w:proofErr w:type="spellStart"/>
      <w:r>
        <w:t>agus</w:t>
      </w:r>
      <w:proofErr w:type="spellEnd"/>
      <w:r>
        <w:t xml:space="preserve"> </w:t>
      </w:r>
      <w:proofErr w:type="spellStart"/>
      <w:r>
        <w:t>idirnáisiúnta</w:t>
      </w:r>
      <w:proofErr w:type="spellEnd"/>
      <w:r>
        <w:t xml:space="preserve"> a </w:t>
      </w:r>
      <w:proofErr w:type="spellStart"/>
      <w:r>
        <w:t>bhain</w:t>
      </w:r>
      <w:proofErr w:type="spellEnd"/>
      <w:r>
        <w:t xml:space="preserve"> go </w:t>
      </w:r>
      <w:proofErr w:type="spellStart"/>
      <w:r>
        <w:t>sonrach</w:t>
      </w:r>
      <w:proofErr w:type="spellEnd"/>
      <w:r>
        <w:t xml:space="preserve"> le </w:t>
      </w:r>
      <w:proofErr w:type="spellStart"/>
      <w:r>
        <w:t>hinrochtaineacht</w:t>
      </w:r>
      <w:proofErr w:type="spellEnd"/>
      <w:r>
        <w:t xml:space="preserve"> </w:t>
      </w:r>
      <w:proofErr w:type="spellStart"/>
      <w:r>
        <w:t>agus</w:t>
      </w:r>
      <w:proofErr w:type="spellEnd"/>
      <w:r>
        <w:t xml:space="preserve"> </w:t>
      </w:r>
      <w:proofErr w:type="spellStart"/>
      <w:r>
        <w:t>inúsáidteacht</w:t>
      </w:r>
      <w:proofErr w:type="spellEnd"/>
      <w:r>
        <w:t xml:space="preserve"> </w:t>
      </w:r>
      <w:proofErr w:type="spellStart"/>
      <w:r>
        <w:t>táirgí</w:t>
      </w:r>
      <w:proofErr w:type="spellEnd"/>
      <w:r>
        <w:t xml:space="preserve">, seirbhísí, eolais agus teicneolaíochta cumarsáide, </w:t>
      </w:r>
      <w:proofErr w:type="spellStart"/>
      <w:r>
        <w:t>chomh</w:t>
      </w:r>
      <w:proofErr w:type="spellEnd"/>
      <w:r>
        <w:t xml:space="preserve"> </w:t>
      </w:r>
      <w:proofErr w:type="spellStart"/>
      <w:r>
        <w:t>maith</w:t>
      </w:r>
      <w:proofErr w:type="spellEnd"/>
      <w:r>
        <w:t xml:space="preserve"> leis </w:t>
      </w:r>
      <w:proofErr w:type="gramStart"/>
      <w:r>
        <w:t>an</w:t>
      </w:r>
      <w:proofErr w:type="gramEnd"/>
      <w:r>
        <w:t xml:space="preserve"> </w:t>
      </w:r>
      <w:proofErr w:type="spellStart"/>
      <w:r>
        <w:t>timpeallacht</w:t>
      </w:r>
      <w:proofErr w:type="spellEnd"/>
      <w:r>
        <w:t xml:space="preserve"> </w:t>
      </w:r>
      <w:proofErr w:type="spellStart"/>
      <w:r>
        <w:t>tógtha</w:t>
      </w:r>
      <w:proofErr w:type="spellEnd"/>
      <w:r>
        <w:t xml:space="preserve">. Ba é </w:t>
      </w:r>
      <w:proofErr w:type="spellStart"/>
      <w:r>
        <w:t>buaic</w:t>
      </w:r>
      <w:proofErr w:type="spellEnd"/>
      <w:r>
        <w:t xml:space="preserve"> </w:t>
      </w:r>
      <w:proofErr w:type="spellStart"/>
      <w:r>
        <w:t>na</w:t>
      </w:r>
      <w:proofErr w:type="spellEnd"/>
      <w:r>
        <w:t xml:space="preserve"> </w:t>
      </w:r>
      <w:proofErr w:type="spellStart"/>
      <w:r>
        <w:t>bliana</w:t>
      </w:r>
      <w:proofErr w:type="spellEnd"/>
      <w:r>
        <w:t xml:space="preserve"> </w:t>
      </w:r>
      <w:proofErr w:type="spellStart"/>
      <w:r>
        <w:t>ná</w:t>
      </w:r>
      <w:proofErr w:type="spellEnd"/>
      <w:r>
        <w:t xml:space="preserve"> </w:t>
      </w:r>
      <w:proofErr w:type="spellStart"/>
      <w:r>
        <w:t>obair</w:t>
      </w:r>
      <w:proofErr w:type="spellEnd"/>
      <w:r>
        <w:t xml:space="preserve"> a </w:t>
      </w:r>
      <w:proofErr w:type="spellStart"/>
      <w:r>
        <w:t>dhéanamh</w:t>
      </w:r>
      <w:proofErr w:type="spellEnd"/>
      <w:r>
        <w:t xml:space="preserve"> </w:t>
      </w:r>
      <w:proofErr w:type="spellStart"/>
      <w:r>
        <w:t>ar</w:t>
      </w:r>
      <w:proofErr w:type="spellEnd"/>
      <w:r>
        <w:t xml:space="preserve"> </w:t>
      </w:r>
      <w:proofErr w:type="spellStart"/>
      <w:r>
        <w:t>fhorbairt</w:t>
      </w:r>
      <w:proofErr w:type="spellEnd"/>
      <w:r>
        <w:t xml:space="preserve"> an </w:t>
      </w:r>
      <w:proofErr w:type="spellStart"/>
      <w:r>
        <w:t>chéad</w:t>
      </w:r>
      <w:proofErr w:type="spellEnd"/>
      <w:r>
        <w:t xml:space="preserve"> </w:t>
      </w:r>
      <w:proofErr w:type="spellStart"/>
      <w:r>
        <w:t>chaighdeáin</w:t>
      </w:r>
      <w:proofErr w:type="spellEnd"/>
      <w:r>
        <w:t xml:space="preserve"> </w:t>
      </w:r>
      <w:proofErr w:type="spellStart"/>
      <w:r>
        <w:t>náisiúnta</w:t>
      </w:r>
      <w:proofErr w:type="spellEnd"/>
      <w:r>
        <w:t xml:space="preserve"> </w:t>
      </w:r>
      <w:proofErr w:type="spellStart"/>
      <w:r>
        <w:t>treorach</w:t>
      </w:r>
      <w:proofErr w:type="spellEnd"/>
      <w:r>
        <w:t xml:space="preserve"> </w:t>
      </w:r>
      <w:proofErr w:type="spellStart"/>
      <w:r>
        <w:t>ar</w:t>
      </w:r>
      <w:proofErr w:type="spellEnd"/>
      <w:r>
        <w:t xml:space="preserve"> </w:t>
      </w:r>
      <w:proofErr w:type="spellStart"/>
      <w:r>
        <w:t>dhearadh</w:t>
      </w:r>
      <w:proofErr w:type="spellEnd"/>
      <w:r>
        <w:t xml:space="preserve"> </w:t>
      </w:r>
      <w:proofErr w:type="spellStart"/>
      <w:r>
        <w:t>uilíoch</w:t>
      </w:r>
      <w:proofErr w:type="spellEnd"/>
      <w:r>
        <w:t xml:space="preserve"> </w:t>
      </w:r>
      <w:proofErr w:type="spellStart"/>
      <w:r>
        <w:t>sna</w:t>
      </w:r>
      <w:proofErr w:type="spellEnd"/>
      <w:r>
        <w:t xml:space="preserve"> </w:t>
      </w:r>
      <w:proofErr w:type="spellStart"/>
      <w:r>
        <w:t>seirbhísí</w:t>
      </w:r>
      <w:proofErr w:type="spellEnd"/>
      <w:r>
        <w:t xml:space="preserve"> </w:t>
      </w:r>
      <w:proofErr w:type="spellStart"/>
      <w:r>
        <w:t>fuinnimh</w:t>
      </w:r>
      <w:proofErr w:type="spellEnd"/>
      <w:r>
        <w:t xml:space="preserve">. </w:t>
      </w:r>
      <w:proofErr w:type="spellStart"/>
      <w:r>
        <w:t>Tá</w:t>
      </w:r>
      <w:proofErr w:type="spellEnd"/>
      <w:r>
        <w:t xml:space="preserve"> cur </w:t>
      </w:r>
      <w:proofErr w:type="spellStart"/>
      <w:r>
        <w:t>síos</w:t>
      </w:r>
      <w:proofErr w:type="spellEnd"/>
      <w:r>
        <w:t xml:space="preserve"> </w:t>
      </w:r>
      <w:proofErr w:type="spellStart"/>
      <w:r>
        <w:t>ar</w:t>
      </w:r>
      <w:proofErr w:type="spellEnd"/>
      <w:r>
        <w:t xml:space="preserve"> </w:t>
      </w:r>
      <w:proofErr w:type="spellStart"/>
      <w:r>
        <w:t>shonraí</w:t>
      </w:r>
      <w:proofErr w:type="spellEnd"/>
      <w:r>
        <w:t xml:space="preserve"> </w:t>
      </w:r>
      <w:proofErr w:type="spellStart"/>
      <w:r>
        <w:t>na</w:t>
      </w:r>
      <w:proofErr w:type="spellEnd"/>
      <w:r>
        <w:t xml:space="preserve"> </w:t>
      </w:r>
      <w:proofErr w:type="spellStart"/>
      <w:r>
        <w:t>hoibre</w:t>
      </w:r>
      <w:proofErr w:type="spellEnd"/>
      <w:r>
        <w:t xml:space="preserve"> </w:t>
      </w:r>
      <w:proofErr w:type="spellStart"/>
      <w:r>
        <w:t>seo</w:t>
      </w:r>
      <w:proofErr w:type="spellEnd"/>
      <w:r>
        <w:t xml:space="preserve"> </w:t>
      </w:r>
      <w:proofErr w:type="spellStart"/>
      <w:r>
        <w:t>thíos</w:t>
      </w:r>
      <w:proofErr w:type="spellEnd"/>
      <w:r>
        <w:t>.</w:t>
      </w:r>
    </w:p>
    <w:p w14:paraId="14F99F18" w14:textId="77777777" w:rsidR="006C148C" w:rsidRDefault="006C148C">
      <w:pPr>
        <w:pStyle w:val="Heading2"/>
      </w:pPr>
      <w:bookmarkStart w:id="400" w:name="_Toc335836501"/>
      <w:proofErr w:type="spellStart"/>
      <w:r>
        <w:t>Scéimeanna</w:t>
      </w:r>
      <w:proofErr w:type="spellEnd"/>
      <w:r>
        <w:t xml:space="preserve"> </w:t>
      </w:r>
      <w:proofErr w:type="spellStart"/>
      <w:r>
        <w:t>dámhachtainí</w:t>
      </w:r>
      <w:bookmarkEnd w:id="400"/>
      <w:proofErr w:type="spellEnd"/>
    </w:p>
    <w:p w14:paraId="4759163D" w14:textId="77777777" w:rsidR="006C148C" w:rsidRDefault="006C148C">
      <w:pPr>
        <w:pStyle w:val="Heading3"/>
      </w:pPr>
      <w:bookmarkStart w:id="401" w:name="_Toc335836502"/>
      <w:r>
        <w:t xml:space="preserve">Dúshlán </w:t>
      </w:r>
      <w:proofErr w:type="spellStart"/>
      <w:r>
        <w:t>Dearaidh</w:t>
      </w:r>
      <w:proofErr w:type="spellEnd"/>
      <w:r>
        <w:t xml:space="preserve"> </w:t>
      </w:r>
      <w:proofErr w:type="spellStart"/>
      <w:r>
        <w:t>Uilíoch</w:t>
      </w:r>
      <w:proofErr w:type="spellEnd"/>
      <w:r>
        <w:t xml:space="preserve"> 2011</w:t>
      </w:r>
      <w:bookmarkEnd w:id="401"/>
    </w:p>
    <w:p w14:paraId="3FB6F6AE" w14:textId="77777777" w:rsidR="006C148C" w:rsidRDefault="006C148C">
      <w:r>
        <w:t xml:space="preserve">D’eagraigh Ionad an Údaráis Náisiúnta </w:t>
      </w:r>
      <w:proofErr w:type="spellStart"/>
      <w:r>
        <w:t>Míchumais</w:t>
      </w:r>
      <w:proofErr w:type="spellEnd"/>
      <w:r>
        <w:t xml:space="preserve"> um Fheabhas </w:t>
      </w:r>
      <w:proofErr w:type="spellStart"/>
      <w:r>
        <w:t>Dearaidh</w:t>
      </w:r>
      <w:proofErr w:type="spellEnd"/>
      <w:r>
        <w:t xml:space="preserve"> </w:t>
      </w:r>
      <w:proofErr w:type="spellStart"/>
      <w:r>
        <w:t>Uilíoch</w:t>
      </w:r>
      <w:proofErr w:type="spellEnd"/>
      <w:r>
        <w:t xml:space="preserve"> an tríú </w:t>
      </w:r>
      <w:proofErr w:type="spellStart"/>
      <w:r>
        <w:t>hócáid</w:t>
      </w:r>
      <w:proofErr w:type="spellEnd"/>
      <w:r>
        <w:t xml:space="preserve"> bhliantúil Dúshlán </w:t>
      </w:r>
      <w:proofErr w:type="spellStart"/>
      <w:r>
        <w:t>Dearaidh</w:t>
      </w:r>
      <w:proofErr w:type="spellEnd"/>
      <w:r>
        <w:t xml:space="preserve"> </w:t>
      </w:r>
      <w:proofErr w:type="spellStart"/>
      <w:r>
        <w:t>Uilíoch</w:t>
      </w:r>
      <w:proofErr w:type="spellEnd"/>
      <w:r>
        <w:t xml:space="preserve">. Is </w:t>
      </w:r>
      <w:proofErr w:type="spellStart"/>
      <w:r>
        <w:t>comórtas</w:t>
      </w:r>
      <w:proofErr w:type="spellEnd"/>
      <w:r>
        <w:t xml:space="preserve"> </w:t>
      </w:r>
      <w:proofErr w:type="spellStart"/>
      <w:r>
        <w:t>dearaidh</w:t>
      </w:r>
      <w:proofErr w:type="spellEnd"/>
      <w:r>
        <w:t xml:space="preserve"> 24 </w:t>
      </w:r>
      <w:proofErr w:type="spellStart"/>
      <w:r>
        <w:t>uair</w:t>
      </w:r>
      <w:proofErr w:type="spellEnd"/>
      <w:r>
        <w:t xml:space="preserve"> é </w:t>
      </w:r>
      <w:r>
        <w:lastRenderedPageBreak/>
        <w:t xml:space="preserve">an </w:t>
      </w:r>
      <w:proofErr w:type="spellStart"/>
      <w:r>
        <w:t>Dúshlán</w:t>
      </w:r>
      <w:proofErr w:type="spellEnd"/>
      <w:r>
        <w:t xml:space="preserve"> </w:t>
      </w:r>
      <w:proofErr w:type="spellStart"/>
      <w:r>
        <w:t>Dearaidh</w:t>
      </w:r>
      <w:proofErr w:type="spellEnd"/>
      <w:r>
        <w:t xml:space="preserve"> </w:t>
      </w:r>
      <w:proofErr w:type="spellStart"/>
      <w:r>
        <w:t>Uilíoch</w:t>
      </w:r>
      <w:proofErr w:type="spellEnd"/>
      <w:r>
        <w:t xml:space="preserve"> </w:t>
      </w:r>
      <w:proofErr w:type="gramStart"/>
      <w:r>
        <w:t>a</w:t>
      </w:r>
      <w:proofErr w:type="gramEnd"/>
      <w:r>
        <w:t xml:space="preserve"> </w:t>
      </w:r>
      <w:proofErr w:type="spellStart"/>
      <w:r>
        <w:t>eagraíonn</w:t>
      </w:r>
      <w:proofErr w:type="spellEnd"/>
      <w:r>
        <w:t xml:space="preserve"> </w:t>
      </w:r>
      <w:proofErr w:type="spellStart"/>
      <w:r>
        <w:t>foirne</w:t>
      </w:r>
      <w:proofErr w:type="spellEnd"/>
      <w:r>
        <w:t xml:space="preserve"> </w:t>
      </w:r>
      <w:proofErr w:type="spellStart"/>
      <w:r>
        <w:t>dearaidh</w:t>
      </w:r>
      <w:proofErr w:type="spellEnd"/>
      <w:r>
        <w:t xml:space="preserve"> </w:t>
      </w:r>
      <w:proofErr w:type="spellStart"/>
      <w:r>
        <w:t>i</w:t>
      </w:r>
      <w:proofErr w:type="spellEnd"/>
      <w:r>
        <w:t xml:space="preserve"> </w:t>
      </w:r>
      <w:proofErr w:type="spellStart"/>
      <w:r>
        <w:t>bpróiseas</w:t>
      </w:r>
      <w:proofErr w:type="spellEnd"/>
      <w:r>
        <w:t xml:space="preserve"> </w:t>
      </w:r>
      <w:proofErr w:type="spellStart"/>
      <w:r>
        <w:t>dearaidh</w:t>
      </w:r>
      <w:proofErr w:type="spellEnd"/>
      <w:r>
        <w:t xml:space="preserve"> </w:t>
      </w:r>
      <w:proofErr w:type="spellStart"/>
      <w:r>
        <w:t>atá</w:t>
      </w:r>
      <w:proofErr w:type="spellEnd"/>
      <w:r>
        <w:t xml:space="preserve"> </w:t>
      </w:r>
      <w:proofErr w:type="spellStart"/>
      <w:r>
        <w:t>dírithe</w:t>
      </w:r>
      <w:proofErr w:type="spellEnd"/>
      <w:r>
        <w:t xml:space="preserve"> </w:t>
      </w:r>
      <w:proofErr w:type="spellStart"/>
      <w:r>
        <w:t>ar</w:t>
      </w:r>
      <w:proofErr w:type="spellEnd"/>
      <w:r>
        <w:t xml:space="preserve"> </w:t>
      </w:r>
      <w:proofErr w:type="spellStart"/>
      <w:r>
        <w:t>úsáideoirí</w:t>
      </w:r>
      <w:proofErr w:type="spellEnd"/>
      <w:r>
        <w:t xml:space="preserve">. </w:t>
      </w:r>
      <w:proofErr w:type="spellStart"/>
      <w:r>
        <w:t>Léiríonn</w:t>
      </w:r>
      <w:proofErr w:type="spellEnd"/>
      <w:r>
        <w:t xml:space="preserve"> </w:t>
      </w:r>
      <w:proofErr w:type="spellStart"/>
      <w:r>
        <w:t>na</w:t>
      </w:r>
      <w:proofErr w:type="spellEnd"/>
      <w:r>
        <w:t xml:space="preserve"> </w:t>
      </w:r>
      <w:proofErr w:type="spellStart"/>
      <w:r>
        <w:t>foirne</w:t>
      </w:r>
      <w:proofErr w:type="spellEnd"/>
      <w:r>
        <w:t xml:space="preserve"> </w:t>
      </w:r>
      <w:proofErr w:type="spellStart"/>
      <w:r>
        <w:t>dearaidh</w:t>
      </w:r>
      <w:proofErr w:type="spellEnd"/>
      <w:r>
        <w:t xml:space="preserve"> </w:t>
      </w:r>
      <w:proofErr w:type="spellStart"/>
      <w:r>
        <w:t>coincheapa</w:t>
      </w:r>
      <w:proofErr w:type="spellEnd"/>
      <w:r>
        <w:t xml:space="preserve"> </w:t>
      </w:r>
      <w:proofErr w:type="spellStart"/>
      <w:r>
        <w:t>nua</w:t>
      </w:r>
      <w:proofErr w:type="spellEnd"/>
      <w:r>
        <w:t xml:space="preserve"> </w:t>
      </w:r>
      <w:proofErr w:type="spellStart"/>
      <w:r>
        <w:t>dearaidh</w:t>
      </w:r>
      <w:proofErr w:type="spellEnd"/>
      <w:r>
        <w:t xml:space="preserve"> a </w:t>
      </w:r>
      <w:proofErr w:type="spellStart"/>
      <w:r>
        <w:t>ndéantar</w:t>
      </w:r>
      <w:proofErr w:type="spellEnd"/>
      <w:r>
        <w:t xml:space="preserve"> </w:t>
      </w:r>
      <w:proofErr w:type="spellStart"/>
      <w:r>
        <w:t>breithiúnas</w:t>
      </w:r>
      <w:proofErr w:type="spellEnd"/>
      <w:r>
        <w:t xml:space="preserve"> </w:t>
      </w:r>
      <w:proofErr w:type="spellStart"/>
      <w:r>
        <w:t>orthu</w:t>
      </w:r>
      <w:proofErr w:type="spellEnd"/>
      <w:r>
        <w:t xml:space="preserve"> as </w:t>
      </w:r>
      <w:proofErr w:type="spellStart"/>
      <w:r>
        <w:t>inrochtaineacht</w:t>
      </w:r>
      <w:proofErr w:type="spellEnd"/>
      <w:r>
        <w:t xml:space="preserve"> </w:t>
      </w:r>
      <w:proofErr w:type="spellStart"/>
      <w:r>
        <w:t>agus</w:t>
      </w:r>
      <w:proofErr w:type="spellEnd"/>
      <w:r>
        <w:t xml:space="preserve"> </w:t>
      </w:r>
      <w:proofErr w:type="spellStart"/>
      <w:r>
        <w:t>inúsáidteacht</w:t>
      </w:r>
      <w:proofErr w:type="spellEnd"/>
      <w:r>
        <w:t xml:space="preserve"> de </w:t>
      </w:r>
      <w:proofErr w:type="spellStart"/>
      <w:r>
        <w:t>réir</w:t>
      </w:r>
      <w:proofErr w:type="spellEnd"/>
      <w:r>
        <w:t xml:space="preserve"> </w:t>
      </w:r>
      <w:proofErr w:type="spellStart"/>
      <w:r>
        <w:t>prionsabail</w:t>
      </w:r>
      <w:proofErr w:type="spellEnd"/>
      <w:r>
        <w:t xml:space="preserve"> </w:t>
      </w:r>
      <w:proofErr w:type="spellStart"/>
      <w:r>
        <w:t>dearaidh</w:t>
      </w:r>
      <w:proofErr w:type="spellEnd"/>
      <w:r>
        <w:t xml:space="preserve"> </w:t>
      </w:r>
      <w:proofErr w:type="spellStart"/>
      <w:r>
        <w:t>uilíoch</w:t>
      </w:r>
      <w:proofErr w:type="spellEnd"/>
      <w:r>
        <w:t xml:space="preserve">. Ba é </w:t>
      </w:r>
      <w:proofErr w:type="spellStart"/>
      <w:r>
        <w:t>téama</w:t>
      </w:r>
      <w:proofErr w:type="spellEnd"/>
      <w:r>
        <w:t xml:space="preserve"> 2011 </w:t>
      </w:r>
      <w:proofErr w:type="spellStart"/>
      <w:r>
        <w:t>ná</w:t>
      </w:r>
      <w:proofErr w:type="spellEnd"/>
      <w:r>
        <w:t xml:space="preserve"> </w:t>
      </w:r>
      <w:proofErr w:type="spellStart"/>
      <w:r>
        <w:rPr>
          <w:b/>
        </w:rPr>
        <w:t>Gnáth-tháirgí</w:t>
      </w:r>
      <w:proofErr w:type="spellEnd"/>
      <w:r>
        <w:rPr>
          <w:b/>
        </w:rPr>
        <w:t xml:space="preserve"> </w:t>
      </w:r>
      <w:proofErr w:type="spellStart"/>
      <w:r>
        <w:rPr>
          <w:b/>
        </w:rPr>
        <w:t>Tomhaltais</w:t>
      </w:r>
      <w:proofErr w:type="spellEnd"/>
      <w:r>
        <w:t xml:space="preserve">. </w:t>
      </w:r>
      <w:proofErr w:type="spellStart"/>
      <w:r>
        <w:t>D’aithin</w:t>
      </w:r>
      <w:proofErr w:type="spellEnd"/>
      <w:r>
        <w:t xml:space="preserve"> an </w:t>
      </w:r>
      <w:proofErr w:type="spellStart"/>
      <w:r>
        <w:t>dearadh</w:t>
      </w:r>
      <w:proofErr w:type="spellEnd"/>
      <w:r>
        <w:t xml:space="preserve"> </w:t>
      </w:r>
      <w:proofErr w:type="spellStart"/>
      <w:r>
        <w:t>buach</w:t>
      </w:r>
      <w:proofErr w:type="spellEnd"/>
      <w:r>
        <w:t xml:space="preserve"> an </w:t>
      </w:r>
      <w:proofErr w:type="spellStart"/>
      <w:r>
        <w:t>deacracht</w:t>
      </w:r>
      <w:proofErr w:type="spellEnd"/>
      <w:r>
        <w:t xml:space="preserve"> </w:t>
      </w:r>
      <w:proofErr w:type="spellStart"/>
      <w:r>
        <w:t>uilíoch</w:t>
      </w:r>
      <w:proofErr w:type="spellEnd"/>
      <w:r>
        <w:t xml:space="preserve"> a </w:t>
      </w:r>
      <w:proofErr w:type="spellStart"/>
      <w:r>
        <w:t>bhíonn</w:t>
      </w:r>
      <w:proofErr w:type="spellEnd"/>
      <w:r>
        <w:t xml:space="preserve"> ag </w:t>
      </w:r>
      <w:proofErr w:type="spellStart"/>
      <w:r>
        <w:t>gach</w:t>
      </w:r>
      <w:proofErr w:type="spellEnd"/>
      <w:r>
        <w:t xml:space="preserve"> </w:t>
      </w:r>
      <w:proofErr w:type="spellStart"/>
      <w:r>
        <w:t>duine</w:t>
      </w:r>
      <w:proofErr w:type="spellEnd"/>
      <w:r>
        <w:t xml:space="preserve"> </w:t>
      </w:r>
      <w:proofErr w:type="spellStart"/>
      <w:r>
        <w:t>nuair</w:t>
      </w:r>
      <w:proofErr w:type="spellEnd"/>
      <w:r>
        <w:t xml:space="preserve"> a </w:t>
      </w:r>
      <w:proofErr w:type="spellStart"/>
      <w:r>
        <w:t>bhíonn</w:t>
      </w:r>
      <w:proofErr w:type="spellEnd"/>
      <w:r>
        <w:t xml:space="preserve"> </w:t>
      </w:r>
      <w:proofErr w:type="spellStart"/>
      <w:r>
        <w:t>siad</w:t>
      </w:r>
      <w:proofErr w:type="spellEnd"/>
      <w:r>
        <w:t xml:space="preserve"> ag </w:t>
      </w:r>
      <w:proofErr w:type="spellStart"/>
      <w:r>
        <w:t>iarraidh</w:t>
      </w:r>
      <w:proofErr w:type="spellEnd"/>
      <w:r>
        <w:t xml:space="preserve"> </w:t>
      </w:r>
      <w:proofErr w:type="spellStart"/>
      <w:r>
        <w:t>teacht</w:t>
      </w:r>
      <w:proofErr w:type="spellEnd"/>
      <w:r>
        <w:t xml:space="preserve"> </w:t>
      </w:r>
      <w:proofErr w:type="spellStart"/>
      <w:r>
        <w:t>ar</w:t>
      </w:r>
      <w:proofErr w:type="spellEnd"/>
      <w:r>
        <w:t xml:space="preserve"> </w:t>
      </w:r>
      <w:proofErr w:type="spellStart"/>
      <w:r>
        <w:t>fheistí</w:t>
      </w:r>
      <w:proofErr w:type="spellEnd"/>
      <w:r>
        <w:t xml:space="preserve"> </w:t>
      </w:r>
      <w:proofErr w:type="spellStart"/>
      <w:r>
        <w:t>lampaí</w:t>
      </w:r>
      <w:proofErr w:type="spellEnd"/>
      <w:r>
        <w:t xml:space="preserve"> </w:t>
      </w:r>
      <w:proofErr w:type="spellStart"/>
      <w:r>
        <w:t>nó</w:t>
      </w:r>
      <w:proofErr w:type="spellEnd"/>
      <w:r>
        <w:t xml:space="preserve"> </w:t>
      </w:r>
      <w:proofErr w:type="spellStart"/>
      <w:r>
        <w:t>braiteoirí</w:t>
      </w:r>
      <w:proofErr w:type="spellEnd"/>
      <w:r>
        <w:t xml:space="preserve"> </w:t>
      </w:r>
      <w:proofErr w:type="spellStart"/>
      <w:r>
        <w:t>deataigh</w:t>
      </w:r>
      <w:proofErr w:type="spellEnd"/>
      <w:r>
        <w:t xml:space="preserve"> </w:t>
      </w:r>
      <w:proofErr w:type="spellStart"/>
      <w:r>
        <w:t>atá</w:t>
      </w:r>
      <w:proofErr w:type="spellEnd"/>
      <w:r>
        <w:t xml:space="preserve"> </w:t>
      </w:r>
      <w:proofErr w:type="spellStart"/>
      <w:r>
        <w:t>crochta</w:t>
      </w:r>
      <w:proofErr w:type="spellEnd"/>
      <w:r>
        <w:t xml:space="preserve"> go hard </w:t>
      </w:r>
      <w:proofErr w:type="spellStart"/>
      <w:r>
        <w:t>ar</w:t>
      </w:r>
      <w:proofErr w:type="spellEnd"/>
      <w:r>
        <w:t xml:space="preserve"> </w:t>
      </w:r>
      <w:proofErr w:type="spellStart"/>
      <w:r>
        <w:t>bhallaí</w:t>
      </w:r>
      <w:proofErr w:type="spellEnd"/>
      <w:r>
        <w:t xml:space="preserve"> </w:t>
      </w:r>
      <w:proofErr w:type="spellStart"/>
      <w:r>
        <w:t>nó</w:t>
      </w:r>
      <w:proofErr w:type="spellEnd"/>
      <w:r>
        <w:t xml:space="preserve"> </w:t>
      </w:r>
      <w:proofErr w:type="spellStart"/>
      <w:r>
        <w:t>ar</w:t>
      </w:r>
      <w:proofErr w:type="spellEnd"/>
      <w:r>
        <w:t xml:space="preserve"> </w:t>
      </w:r>
      <w:proofErr w:type="spellStart"/>
      <w:r>
        <w:t>shíleálacha</w:t>
      </w:r>
      <w:proofErr w:type="spellEnd"/>
      <w:r>
        <w:t xml:space="preserve">. </w:t>
      </w:r>
      <w:proofErr w:type="spellStart"/>
      <w:r>
        <w:t>B’fhochéimithe</w:t>
      </w:r>
      <w:proofErr w:type="spellEnd"/>
      <w:r>
        <w:t xml:space="preserve"> </w:t>
      </w:r>
      <w:proofErr w:type="spellStart"/>
      <w:r>
        <w:t>na</w:t>
      </w:r>
      <w:proofErr w:type="spellEnd"/>
      <w:r>
        <w:t xml:space="preserve"> </w:t>
      </w:r>
      <w:proofErr w:type="spellStart"/>
      <w:r>
        <w:t>bliana</w:t>
      </w:r>
      <w:proofErr w:type="spellEnd"/>
      <w:r>
        <w:t xml:space="preserve"> </w:t>
      </w:r>
      <w:proofErr w:type="spellStart"/>
      <w:r>
        <w:t>deireanaí</w:t>
      </w:r>
      <w:proofErr w:type="spellEnd"/>
      <w:r>
        <w:t xml:space="preserve"> </w:t>
      </w:r>
      <w:proofErr w:type="spellStart"/>
      <w:r>
        <w:t>agus</w:t>
      </w:r>
      <w:proofErr w:type="spellEnd"/>
      <w:r>
        <w:t xml:space="preserve"> mic léinn </w:t>
      </w:r>
      <w:proofErr w:type="spellStart"/>
      <w:r>
        <w:t>iarchéime</w:t>
      </w:r>
      <w:proofErr w:type="spellEnd"/>
      <w:r>
        <w:t xml:space="preserve"> </w:t>
      </w:r>
      <w:proofErr w:type="spellStart"/>
      <w:r>
        <w:t>dearaidh</w:t>
      </w:r>
      <w:proofErr w:type="spellEnd"/>
      <w:r>
        <w:t xml:space="preserve"> den chéad bhliain iad na </w:t>
      </w:r>
      <w:proofErr w:type="spellStart"/>
      <w:r>
        <w:t>rannpháirtithe</w:t>
      </w:r>
      <w:proofErr w:type="spellEnd"/>
      <w:r>
        <w:t xml:space="preserve"> </w:t>
      </w:r>
      <w:proofErr w:type="spellStart"/>
      <w:r>
        <w:t>i</w:t>
      </w:r>
      <w:proofErr w:type="spellEnd"/>
      <w:r>
        <w:t xml:space="preserve"> </w:t>
      </w:r>
      <w:proofErr w:type="spellStart"/>
      <w:r>
        <w:t>ndúshlán</w:t>
      </w:r>
      <w:proofErr w:type="spellEnd"/>
      <w:r>
        <w:t xml:space="preserve"> 2011.</w:t>
      </w:r>
    </w:p>
    <w:p w14:paraId="692246DA" w14:textId="77777777" w:rsidR="006C148C" w:rsidRDefault="006C148C">
      <w:pPr>
        <w:pStyle w:val="Heading2"/>
      </w:pPr>
      <w:bookmarkStart w:id="402" w:name="_Toc335836503"/>
      <w:proofErr w:type="spellStart"/>
      <w:r>
        <w:t>Feasacht</w:t>
      </w:r>
      <w:bookmarkEnd w:id="402"/>
      <w:proofErr w:type="spellEnd"/>
    </w:p>
    <w:p w14:paraId="63050AA3" w14:textId="77777777" w:rsidR="006C148C" w:rsidRDefault="006C148C">
      <w:pPr>
        <w:spacing w:after="120"/>
      </w:pPr>
      <w:r>
        <w:t xml:space="preserve">Chuir Ionad an Údaráis Náisiúnta </w:t>
      </w:r>
      <w:proofErr w:type="spellStart"/>
      <w:r>
        <w:t>Míchumais</w:t>
      </w:r>
      <w:proofErr w:type="spellEnd"/>
      <w:r>
        <w:t xml:space="preserve"> um Fheabhas </w:t>
      </w:r>
      <w:proofErr w:type="spellStart"/>
      <w:r>
        <w:t>Dearaidh</w:t>
      </w:r>
      <w:proofErr w:type="spellEnd"/>
      <w:r>
        <w:t xml:space="preserve"> </w:t>
      </w:r>
      <w:proofErr w:type="spellStart"/>
      <w:r>
        <w:t>Uilíoch</w:t>
      </w:r>
      <w:proofErr w:type="spellEnd"/>
      <w:r>
        <w:t xml:space="preserve"> </w:t>
      </w:r>
      <w:proofErr w:type="spellStart"/>
      <w:r>
        <w:t>sraith</w:t>
      </w:r>
      <w:proofErr w:type="spellEnd"/>
      <w:r>
        <w:t xml:space="preserve"> </w:t>
      </w:r>
      <w:proofErr w:type="spellStart"/>
      <w:r>
        <w:t>seimineár</w:t>
      </w:r>
      <w:proofErr w:type="spellEnd"/>
      <w:r>
        <w:t xml:space="preserve"> </w:t>
      </w:r>
      <w:proofErr w:type="spellStart"/>
      <w:r>
        <w:t>i</w:t>
      </w:r>
      <w:proofErr w:type="spellEnd"/>
      <w:r>
        <w:t xml:space="preserve"> </w:t>
      </w:r>
      <w:proofErr w:type="spellStart"/>
      <w:r>
        <w:t>láthair</w:t>
      </w:r>
      <w:proofErr w:type="spellEnd"/>
      <w:r>
        <w:t xml:space="preserve"> </w:t>
      </w:r>
      <w:proofErr w:type="spellStart"/>
      <w:r>
        <w:t>ar</w:t>
      </w:r>
      <w:proofErr w:type="spellEnd"/>
      <w:r>
        <w:t xml:space="preserve"> </w:t>
      </w:r>
      <w:proofErr w:type="spellStart"/>
      <w:r>
        <w:t>mhaithe</w:t>
      </w:r>
      <w:proofErr w:type="spellEnd"/>
      <w:r>
        <w:t xml:space="preserve"> le </w:t>
      </w:r>
      <w:proofErr w:type="spellStart"/>
      <w:r>
        <w:t>feasacht</w:t>
      </w:r>
      <w:proofErr w:type="spellEnd"/>
      <w:r>
        <w:t xml:space="preserve"> </w:t>
      </w:r>
      <w:proofErr w:type="spellStart"/>
      <w:r>
        <w:t>agus</w:t>
      </w:r>
      <w:proofErr w:type="spellEnd"/>
      <w:r>
        <w:t xml:space="preserve"> </w:t>
      </w:r>
      <w:proofErr w:type="spellStart"/>
      <w:r>
        <w:t>tuiscint</w:t>
      </w:r>
      <w:proofErr w:type="spellEnd"/>
      <w:r>
        <w:t xml:space="preserve"> a </w:t>
      </w:r>
      <w:proofErr w:type="spellStart"/>
      <w:r>
        <w:t>chruthú</w:t>
      </w:r>
      <w:proofErr w:type="spellEnd"/>
      <w:r>
        <w:t xml:space="preserve"> </w:t>
      </w:r>
      <w:proofErr w:type="spellStart"/>
      <w:r>
        <w:t>ar</w:t>
      </w:r>
      <w:proofErr w:type="spellEnd"/>
      <w:r>
        <w:t xml:space="preserve"> </w:t>
      </w:r>
      <w:proofErr w:type="spellStart"/>
      <w:r>
        <w:t>dhearadh</w:t>
      </w:r>
      <w:proofErr w:type="spellEnd"/>
      <w:r>
        <w:t xml:space="preserve"> </w:t>
      </w:r>
      <w:proofErr w:type="spellStart"/>
      <w:r>
        <w:t>uilíoch</w:t>
      </w:r>
      <w:proofErr w:type="spellEnd"/>
      <w:r>
        <w:t xml:space="preserve"> </w:t>
      </w:r>
      <w:proofErr w:type="spellStart"/>
      <w:r>
        <w:t>agus</w:t>
      </w:r>
      <w:proofErr w:type="spellEnd"/>
      <w:r>
        <w:t xml:space="preserve"> a </w:t>
      </w:r>
      <w:proofErr w:type="spellStart"/>
      <w:r>
        <w:t>ghlacadh</w:t>
      </w:r>
      <w:proofErr w:type="spellEnd"/>
      <w:r>
        <w:t xml:space="preserve"> ag </w:t>
      </w:r>
      <w:proofErr w:type="spellStart"/>
      <w:r>
        <w:t>páirtithe</w:t>
      </w:r>
      <w:proofErr w:type="spellEnd"/>
      <w:r>
        <w:t xml:space="preserve"> </w:t>
      </w:r>
      <w:proofErr w:type="spellStart"/>
      <w:r>
        <w:t>leasmhara</w:t>
      </w:r>
      <w:proofErr w:type="spellEnd"/>
      <w:r>
        <w:t xml:space="preserve"> a chur </w:t>
      </w:r>
      <w:proofErr w:type="spellStart"/>
      <w:r>
        <w:t>chun</w:t>
      </w:r>
      <w:proofErr w:type="spellEnd"/>
      <w:r>
        <w:t xml:space="preserve"> </w:t>
      </w:r>
      <w:proofErr w:type="spellStart"/>
      <w:r>
        <w:t>cinn</w:t>
      </w:r>
      <w:proofErr w:type="spellEnd"/>
      <w:r>
        <w:t xml:space="preserve">, </w:t>
      </w:r>
      <w:proofErr w:type="spellStart"/>
      <w:r>
        <w:t>lena</w:t>
      </w:r>
      <w:proofErr w:type="spellEnd"/>
      <w:r>
        <w:t xml:space="preserve"> n-</w:t>
      </w:r>
      <w:proofErr w:type="spellStart"/>
      <w:r>
        <w:t>áirítear</w:t>
      </w:r>
      <w:proofErr w:type="spellEnd"/>
      <w:r>
        <w:t xml:space="preserve">: </w:t>
      </w:r>
    </w:p>
    <w:p w14:paraId="5375E934" w14:textId="77777777" w:rsidR="006C148C" w:rsidRDefault="006C148C">
      <w:pPr>
        <w:pStyle w:val="ListBullet"/>
        <w:suppressAutoHyphens w:val="0"/>
      </w:pPr>
      <w:proofErr w:type="spellStart"/>
      <w:r>
        <w:t>Dearadh</w:t>
      </w:r>
      <w:proofErr w:type="spellEnd"/>
      <w:r>
        <w:t xml:space="preserve"> </w:t>
      </w:r>
      <w:proofErr w:type="spellStart"/>
      <w:r>
        <w:t>uilíoch</w:t>
      </w:r>
      <w:proofErr w:type="spellEnd"/>
      <w:r>
        <w:t xml:space="preserve"> agus teicneolaíocht </w:t>
      </w:r>
      <w:proofErr w:type="spellStart"/>
      <w:r>
        <w:t>chúntach</w:t>
      </w:r>
      <w:proofErr w:type="spellEnd"/>
      <w:r>
        <w:t xml:space="preserve"> a </w:t>
      </w:r>
      <w:proofErr w:type="spellStart"/>
      <w:r>
        <w:t>chomhtháthú</w:t>
      </w:r>
      <w:proofErr w:type="spellEnd"/>
      <w:r>
        <w:t xml:space="preserve"> – </w:t>
      </w:r>
      <w:proofErr w:type="spellStart"/>
      <w:r>
        <w:t>seimineár</w:t>
      </w:r>
      <w:proofErr w:type="spellEnd"/>
      <w:r>
        <w:t xml:space="preserve"> </w:t>
      </w:r>
      <w:proofErr w:type="spellStart"/>
      <w:r>
        <w:t>leathlae</w:t>
      </w:r>
      <w:proofErr w:type="spellEnd"/>
      <w:r>
        <w:t xml:space="preserve"> </w:t>
      </w:r>
      <w:proofErr w:type="spellStart"/>
      <w:r>
        <w:t>d’oifigigh</w:t>
      </w:r>
      <w:proofErr w:type="spellEnd"/>
      <w:r>
        <w:t xml:space="preserve"> </w:t>
      </w:r>
      <w:proofErr w:type="spellStart"/>
      <w:r>
        <w:t>rialtais</w:t>
      </w:r>
      <w:proofErr w:type="spellEnd"/>
      <w:r>
        <w:t xml:space="preserve">, </w:t>
      </w:r>
      <w:proofErr w:type="spellStart"/>
      <w:r>
        <w:t>cleachtóirí</w:t>
      </w:r>
      <w:proofErr w:type="spellEnd"/>
      <w:r>
        <w:t xml:space="preserve"> </w:t>
      </w:r>
      <w:proofErr w:type="spellStart"/>
      <w:r>
        <w:t>seirbhísí</w:t>
      </w:r>
      <w:proofErr w:type="spellEnd"/>
      <w:r>
        <w:t xml:space="preserve"> </w:t>
      </w:r>
      <w:proofErr w:type="spellStart"/>
      <w:r>
        <w:t>leighis</w:t>
      </w:r>
      <w:proofErr w:type="spellEnd"/>
      <w:r>
        <w:t xml:space="preserve"> </w:t>
      </w:r>
      <w:proofErr w:type="spellStart"/>
      <w:r>
        <w:t>agus</w:t>
      </w:r>
      <w:proofErr w:type="spellEnd"/>
      <w:r>
        <w:t xml:space="preserve"> </w:t>
      </w:r>
      <w:proofErr w:type="spellStart"/>
      <w:r>
        <w:t>lucht</w:t>
      </w:r>
      <w:proofErr w:type="spellEnd"/>
      <w:r>
        <w:t xml:space="preserve"> </w:t>
      </w:r>
      <w:proofErr w:type="spellStart"/>
      <w:r>
        <w:t>acadúil</w:t>
      </w:r>
      <w:proofErr w:type="spellEnd"/>
      <w:r>
        <w:t xml:space="preserve"> le </w:t>
      </w:r>
      <w:proofErr w:type="spellStart"/>
      <w:r>
        <w:t>héisteacht</w:t>
      </w:r>
      <w:proofErr w:type="spellEnd"/>
      <w:r>
        <w:t xml:space="preserve"> </w:t>
      </w:r>
      <w:proofErr w:type="spellStart"/>
      <w:r>
        <w:t>faoi</w:t>
      </w:r>
      <w:proofErr w:type="spellEnd"/>
      <w:r>
        <w:t xml:space="preserve"> </w:t>
      </w:r>
      <w:proofErr w:type="spellStart"/>
      <w:r>
        <w:t>thaighde</w:t>
      </w:r>
      <w:proofErr w:type="spellEnd"/>
      <w:r>
        <w:t xml:space="preserve"> </w:t>
      </w:r>
      <w:proofErr w:type="spellStart"/>
      <w:r>
        <w:t>dearaidh</w:t>
      </w:r>
      <w:proofErr w:type="spellEnd"/>
      <w:r>
        <w:t xml:space="preserve"> </w:t>
      </w:r>
      <w:proofErr w:type="spellStart"/>
      <w:r>
        <w:t>uilíoch</w:t>
      </w:r>
      <w:proofErr w:type="spellEnd"/>
      <w:r>
        <w:t xml:space="preserve"> ó SAM. Rinne cur </w:t>
      </w:r>
      <w:proofErr w:type="spellStart"/>
      <w:r>
        <w:t>i</w:t>
      </w:r>
      <w:proofErr w:type="spellEnd"/>
      <w:r>
        <w:t xml:space="preserve"> </w:t>
      </w:r>
      <w:proofErr w:type="spellStart"/>
      <w:r>
        <w:t>láthair</w:t>
      </w:r>
      <w:proofErr w:type="spellEnd"/>
      <w:r>
        <w:t xml:space="preserve"> </w:t>
      </w:r>
      <w:proofErr w:type="spellStart"/>
      <w:r>
        <w:t>ar</w:t>
      </w:r>
      <w:proofErr w:type="spellEnd"/>
      <w:r>
        <w:t xml:space="preserve"> </w:t>
      </w:r>
      <w:proofErr w:type="spellStart"/>
      <w:r>
        <w:t>dhearadh</w:t>
      </w:r>
      <w:proofErr w:type="spellEnd"/>
      <w:r>
        <w:t xml:space="preserve"> </w:t>
      </w:r>
      <w:proofErr w:type="spellStart"/>
      <w:r>
        <w:t>uilíoch</w:t>
      </w:r>
      <w:proofErr w:type="spellEnd"/>
      <w:r>
        <w:t xml:space="preserve"> a </w:t>
      </w:r>
      <w:proofErr w:type="spellStart"/>
      <w:r>
        <w:t>chomhtháthú</w:t>
      </w:r>
      <w:proofErr w:type="spellEnd"/>
      <w:r>
        <w:t xml:space="preserve"> le </w:t>
      </w:r>
      <w:proofErr w:type="spellStart"/>
      <w:r>
        <w:t>teicneolaíocht</w:t>
      </w:r>
      <w:proofErr w:type="spellEnd"/>
      <w:r>
        <w:t xml:space="preserve"> </w:t>
      </w:r>
      <w:proofErr w:type="spellStart"/>
      <w:r>
        <w:t>chúntach</w:t>
      </w:r>
      <w:proofErr w:type="spellEnd"/>
      <w:r>
        <w:t xml:space="preserve">. </w:t>
      </w:r>
    </w:p>
    <w:p w14:paraId="6D804F7F" w14:textId="77777777" w:rsidR="006C148C" w:rsidRDefault="006C148C">
      <w:pPr>
        <w:pStyle w:val="ListBullet"/>
        <w:suppressAutoHyphens w:val="0"/>
      </w:pPr>
      <w:r>
        <w:t xml:space="preserve">An </w:t>
      </w:r>
      <w:proofErr w:type="spellStart"/>
      <w:r>
        <w:t>tsamhail</w:t>
      </w:r>
      <w:proofErr w:type="spellEnd"/>
      <w:r>
        <w:t xml:space="preserve"> forbartha </w:t>
      </w:r>
      <w:proofErr w:type="spellStart"/>
      <w:r>
        <w:t>táirge</w:t>
      </w:r>
      <w:proofErr w:type="spellEnd"/>
      <w:r>
        <w:t xml:space="preserve"> “Need to Knowledge” – seimineár </w:t>
      </w:r>
      <w:proofErr w:type="spellStart"/>
      <w:r>
        <w:t>d’oifigigh</w:t>
      </w:r>
      <w:proofErr w:type="spellEnd"/>
      <w:r>
        <w:t xml:space="preserve"> rialtais, </w:t>
      </w:r>
      <w:proofErr w:type="spellStart"/>
      <w:r>
        <w:t>cleachtóirí</w:t>
      </w:r>
      <w:proofErr w:type="spellEnd"/>
      <w:r>
        <w:t xml:space="preserve"> </w:t>
      </w:r>
      <w:proofErr w:type="spellStart"/>
      <w:r>
        <w:t>seirbhísí</w:t>
      </w:r>
      <w:proofErr w:type="spellEnd"/>
      <w:r>
        <w:t xml:space="preserve"> </w:t>
      </w:r>
      <w:proofErr w:type="spellStart"/>
      <w:r>
        <w:t>sláinte</w:t>
      </w:r>
      <w:proofErr w:type="spellEnd"/>
      <w:r>
        <w:t xml:space="preserve"> </w:t>
      </w:r>
      <w:proofErr w:type="spellStart"/>
      <w:r>
        <w:t>agus</w:t>
      </w:r>
      <w:proofErr w:type="spellEnd"/>
      <w:r>
        <w:t xml:space="preserve"> </w:t>
      </w:r>
      <w:proofErr w:type="spellStart"/>
      <w:r>
        <w:t>daoine</w:t>
      </w:r>
      <w:proofErr w:type="spellEnd"/>
      <w:r>
        <w:t xml:space="preserve"> </w:t>
      </w:r>
      <w:proofErr w:type="spellStart"/>
      <w:proofErr w:type="gramStart"/>
      <w:r>
        <w:t>acadúla</w:t>
      </w:r>
      <w:proofErr w:type="spellEnd"/>
      <w:r>
        <w:t xml:space="preserve">  </w:t>
      </w:r>
      <w:proofErr w:type="spellStart"/>
      <w:r>
        <w:t>ar</w:t>
      </w:r>
      <w:proofErr w:type="spellEnd"/>
      <w:proofErr w:type="gramEnd"/>
      <w:r>
        <w:t xml:space="preserve"> an </w:t>
      </w:r>
      <w:proofErr w:type="spellStart"/>
      <w:r>
        <w:t>tsamhail</w:t>
      </w:r>
      <w:proofErr w:type="spellEnd"/>
      <w:r>
        <w:t xml:space="preserve"> “Need to Knowledge”. </w:t>
      </w:r>
      <w:proofErr w:type="spellStart"/>
      <w:r>
        <w:t>Seo</w:t>
      </w:r>
      <w:proofErr w:type="spellEnd"/>
      <w:r>
        <w:t xml:space="preserve"> </w:t>
      </w:r>
      <w:proofErr w:type="spellStart"/>
      <w:r>
        <w:t>samhail</w:t>
      </w:r>
      <w:proofErr w:type="spellEnd"/>
      <w:r>
        <w:t xml:space="preserve"> </w:t>
      </w:r>
      <w:proofErr w:type="spellStart"/>
      <w:r>
        <w:t>d’fhorbairt</w:t>
      </w:r>
      <w:proofErr w:type="spellEnd"/>
      <w:r>
        <w:t xml:space="preserve"> </w:t>
      </w:r>
      <w:proofErr w:type="spellStart"/>
      <w:r>
        <w:t>táirgí</w:t>
      </w:r>
      <w:proofErr w:type="spellEnd"/>
      <w:r>
        <w:t xml:space="preserve"> </w:t>
      </w:r>
      <w:proofErr w:type="spellStart"/>
      <w:r>
        <w:t>agus</w:t>
      </w:r>
      <w:proofErr w:type="spellEnd"/>
      <w:r>
        <w:t xml:space="preserve"> </w:t>
      </w:r>
      <w:proofErr w:type="spellStart"/>
      <w:r>
        <w:t>seirbhíse</w:t>
      </w:r>
      <w:proofErr w:type="spellEnd"/>
      <w:r>
        <w:t xml:space="preserve"> arb é an </w:t>
      </w:r>
      <w:proofErr w:type="spellStart"/>
      <w:r>
        <w:t>modh</w:t>
      </w:r>
      <w:proofErr w:type="spellEnd"/>
      <w:r>
        <w:t xml:space="preserve"> </w:t>
      </w:r>
      <w:proofErr w:type="spellStart"/>
      <w:r>
        <w:t>cleachtais</w:t>
      </w:r>
      <w:proofErr w:type="spellEnd"/>
      <w:r>
        <w:t xml:space="preserve"> is </w:t>
      </w:r>
      <w:proofErr w:type="spellStart"/>
      <w:r>
        <w:t>fearr</w:t>
      </w:r>
      <w:proofErr w:type="spellEnd"/>
      <w:r>
        <w:t xml:space="preserve"> </w:t>
      </w:r>
      <w:proofErr w:type="spellStart"/>
      <w:r>
        <w:t>atá</w:t>
      </w:r>
      <w:proofErr w:type="spellEnd"/>
      <w:r>
        <w:t xml:space="preserve"> </w:t>
      </w:r>
      <w:proofErr w:type="spellStart"/>
      <w:r>
        <w:t>éigeantach</w:t>
      </w:r>
      <w:proofErr w:type="spellEnd"/>
      <w:r>
        <w:t xml:space="preserve"> </w:t>
      </w:r>
      <w:proofErr w:type="spellStart"/>
      <w:r>
        <w:t>i</w:t>
      </w:r>
      <w:proofErr w:type="spellEnd"/>
      <w:r>
        <w:t xml:space="preserve"> SAM</w:t>
      </w:r>
    </w:p>
    <w:p w14:paraId="6E76B2A5" w14:textId="77777777" w:rsidR="006C148C" w:rsidRDefault="006C148C">
      <w:pPr>
        <w:pStyle w:val="ListBullet"/>
        <w:suppressAutoHyphens w:val="0"/>
        <w:spacing w:after="240"/>
      </w:pPr>
      <w:r>
        <w:t xml:space="preserve">Seimineár in éineacht le Fiontraíocht </w:t>
      </w:r>
      <w:proofErr w:type="spellStart"/>
      <w:r>
        <w:t>Éireann</w:t>
      </w:r>
      <w:proofErr w:type="spellEnd"/>
      <w:r>
        <w:t xml:space="preserve"> do </w:t>
      </w:r>
      <w:proofErr w:type="spellStart"/>
      <w:r>
        <w:t>shaineolaithe</w:t>
      </w:r>
      <w:proofErr w:type="spellEnd"/>
      <w:r>
        <w:t xml:space="preserve"> </w:t>
      </w:r>
      <w:proofErr w:type="spellStart"/>
      <w:r>
        <w:t>aistrithe</w:t>
      </w:r>
      <w:proofErr w:type="spellEnd"/>
      <w:r>
        <w:t xml:space="preserve"> </w:t>
      </w:r>
      <w:proofErr w:type="spellStart"/>
      <w:r>
        <w:t>teicneolaíochta</w:t>
      </w:r>
      <w:proofErr w:type="spellEnd"/>
      <w:r>
        <w:t xml:space="preserve"> </w:t>
      </w:r>
      <w:proofErr w:type="spellStart"/>
      <w:r>
        <w:t>ar</w:t>
      </w:r>
      <w:proofErr w:type="spellEnd"/>
      <w:r>
        <w:t xml:space="preserve"> an </w:t>
      </w:r>
      <w:proofErr w:type="spellStart"/>
      <w:r>
        <w:t>gcaoi</w:t>
      </w:r>
      <w:proofErr w:type="spellEnd"/>
      <w:r>
        <w:t xml:space="preserve"> </w:t>
      </w:r>
      <w:proofErr w:type="spellStart"/>
      <w:r>
        <w:t>ar</w:t>
      </w:r>
      <w:proofErr w:type="spellEnd"/>
      <w:r>
        <w:t xml:space="preserve"> </w:t>
      </w:r>
      <w:proofErr w:type="spellStart"/>
      <w:r>
        <w:t>fachtóirí</w:t>
      </w:r>
      <w:proofErr w:type="spellEnd"/>
      <w:r>
        <w:t xml:space="preserve"> </w:t>
      </w:r>
      <w:proofErr w:type="spellStart"/>
      <w:r>
        <w:t>tábhachtach</w:t>
      </w:r>
      <w:proofErr w:type="spellEnd"/>
      <w:r>
        <w:t xml:space="preserve"> é </w:t>
      </w:r>
      <w:proofErr w:type="spellStart"/>
      <w:r>
        <w:t>dearadh</w:t>
      </w:r>
      <w:proofErr w:type="spellEnd"/>
      <w:r>
        <w:t xml:space="preserve"> </w:t>
      </w:r>
      <w:proofErr w:type="spellStart"/>
      <w:r>
        <w:t>uilíoch</w:t>
      </w:r>
      <w:proofErr w:type="spellEnd"/>
      <w:r>
        <w:t xml:space="preserve"> </w:t>
      </w:r>
      <w:proofErr w:type="spellStart"/>
      <w:r>
        <w:t>chun</w:t>
      </w:r>
      <w:proofErr w:type="spellEnd"/>
      <w:r>
        <w:t xml:space="preserve"> </w:t>
      </w:r>
      <w:proofErr w:type="spellStart"/>
      <w:r>
        <w:t>costéifeachtacht</w:t>
      </w:r>
      <w:proofErr w:type="spellEnd"/>
      <w:r>
        <w:t xml:space="preserve"> a </w:t>
      </w:r>
      <w:proofErr w:type="spellStart"/>
      <w:r>
        <w:t>chinntiú</w:t>
      </w:r>
      <w:proofErr w:type="spellEnd"/>
      <w:r>
        <w:t xml:space="preserve"> sa mhúnla “Need to Knowledge”</w:t>
      </w:r>
    </w:p>
    <w:p w14:paraId="5AB0595A" w14:textId="77777777" w:rsidR="006C148C" w:rsidRDefault="006C148C">
      <w:pPr>
        <w:pStyle w:val="Heading2"/>
      </w:pPr>
      <w:bookmarkStart w:id="403" w:name="_Toc335836504"/>
      <w:proofErr w:type="spellStart"/>
      <w:r>
        <w:t>Taighde</w:t>
      </w:r>
      <w:proofErr w:type="spellEnd"/>
      <w:r>
        <w:t xml:space="preserve"> </w:t>
      </w:r>
      <w:proofErr w:type="spellStart"/>
      <w:r>
        <w:t>agus</w:t>
      </w:r>
      <w:proofErr w:type="spellEnd"/>
      <w:r>
        <w:t xml:space="preserve"> </w:t>
      </w:r>
      <w:proofErr w:type="spellStart"/>
      <w:r>
        <w:t>eolas</w:t>
      </w:r>
      <w:bookmarkEnd w:id="403"/>
      <w:proofErr w:type="spellEnd"/>
    </w:p>
    <w:p w14:paraId="3A60C3D0" w14:textId="77777777" w:rsidR="006C148C" w:rsidRDefault="006C148C">
      <w:pPr>
        <w:pStyle w:val="Heading3"/>
      </w:pPr>
      <w:bookmarkStart w:id="404" w:name="_Toc335836505"/>
      <w:proofErr w:type="spellStart"/>
      <w:r>
        <w:t>Méid</w:t>
      </w:r>
      <w:proofErr w:type="spellEnd"/>
      <w:r>
        <w:t xml:space="preserve"> do </w:t>
      </w:r>
      <w:proofErr w:type="spellStart"/>
      <w:r>
        <w:t>dhearadh</w:t>
      </w:r>
      <w:proofErr w:type="spellEnd"/>
      <w:r>
        <w:t xml:space="preserve"> </w:t>
      </w:r>
      <w:proofErr w:type="spellStart"/>
      <w:r>
        <w:t>uilíoch</w:t>
      </w:r>
      <w:bookmarkEnd w:id="404"/>
      <w:proofErr w:type="spellEnd"/>
    </w:p>
    <w:p w14:paraId="2D44CE8B" w14:textId="77777777" w:rsidR="006C148C" w:rsidRDefault="006C148C">
      <w:proofErr w:type="spellStart"/>
      <w:r>
        <w:t>Choimisiúnaigh</w:t>
      </w:r>
      <w:proofErr w:type="spellEnd"/>
      <w:r>
        <w:t xml:space="preserve"> an </w:t>
      </w:r>
      <w:proofErr w:type="spellStart"/>
      <w:r>
        <w:t>tÚdarás</w:t>
      </w:r>
      <w:proofErr w:type="spellEnd"/>
      <w:r>
        <w:t xml:space="preserve"> Náisiúnta </w:t>
      </w:r>
      <w:proofErr w:type="spellStart"/>
      <w:r>
        <w:t>Míchumais</w:t>
      </w:r>
      <w:proofErr w:type="spellEnd"/>
      <w:r>
        <w:t xml:space="preserve"> taighde le cinneadh cén chaoi a dtéann méid chorp an duine i bhfeidhm ar fhorbairt </w:t>
      </w:r>
      <w:proofErr w:type="spellStart"/>
      <w:r>
        <w:t>dearaidh</w:t>
      </w:r>
      <w:proofErr w:type="spellEnd"/>
      <w:r>
        <w:t xml:space="preserve"> </w:t>
      </w:r>
      <w:proofErr w:type="spellStart"/>
      <w:r>
        <w:t>uilíoch</w:t>
      </w:r>
      <w:proofErr w:type="spellEnd"/>
      <w:r>
        <w:t xml:space="preserve">, </w:t>
      </w:r>
      <w:proofErr w:type="spellStart"/>
      <w:r>
        <w:t>ós</w:t>
      </w:r>
      <w:proofErr w:type="spellEnd"/>
      <w:r>
        <w:t xml:space="preserve"> </w:t>
      </w:r>
      <w:proofErr w:type="spellStart"/>
      <w:r>
        <w:t>rud</w:t>
      </w:r>
      <w:proofErr w:type="spellEnd"/>
      <w:r>
        <w:t xml:space="preserve"> é </w:t>
      </w:r>
      <w:proofErr w:type="spellStart"/>
      <w:r>
        <w:t>gur</w:t>
      </w:r>
      <w:proofErr w:type="spellEnd"/>
      <w:r>
        <w:t xml:space="preserve"> </w:t>
      </w:r>
      <w:proofErr w:type="spellStart"/>
      <w:r>
        <w:t>príomheilimint</w:t>
      </w:r>
      <w:proofErr w:type="spellEnd"/>
      <w:r>
        <w:t xml:space="preserve"> é </w:t>
      </w:r>
      <w:proofErr w:type="spellStart"/>
      <w:r>
        <w:t>seo</w:t>
      </w:r>
      <w:proofErr w:type="spellEnd"/>
      <w:r>
        <w:t xml:space="preserve"> de </w:t>
      </w:r>
      <w:proofErr w:type="spellStart"/>
      <w:r>
        <w:t>dhearadh</w:t>
      </w:r>
      <w:proofErr w:type="spellEnd"/>
      <w:r>
        <w:t xml:space="preserve"> </w:t>
      </w:r>
      <w:proofErr w:type="spellStart"/>
      <w:r>
        <w:t>uilíoch</w:t>
      </w:r>
      <w:proofErr w:type="spellEnd"/>
      <w:r>
        <w:t xml:space="preserve"> mar </w:t>
      </w:r>
      <w:proofErr w:type="spellStart"/>
      <w:r>
        <w:t>atá</w:t>
      </w:r>
      <w:proofErr w:type="spellEnd"/>
      <w:r>
        <w:t xml:space="preserve"> </w:t>
      </w:r>
      <w:proofErr w:type="spellStart"/>
      <w:r>
        <w:t>sainmhínithe</w:t>
      </w:r>
      <w:proofErr w:type="spellEnd"/>
      <w:r>
        <w:t xml:space="preserve"> </w:t>
      </w:r>
      <w:proofErr w:type="spellStart"/>
      <w:r>
        <w:t>san</w:t>
      </w:r>
      <w:proofErr w:type="spellEnd"/>
      <w:r>
        <w:t xml:space="preserve"> </w:t>
      </w:r>
      <w:proofErr w:type="spellStart"/>
      <w:r>
        <w:t>Acht</w:t>
      </w:r>
      <w:proofErr w:type="spellEnd"/>
      <w:r>
        <w:t xml:space="preserve"> </w:t>
      </w:r>
      <w:proofErr w:type="spellStart"/>
      <w:r>
        <w:t>Míchumais</w:t>
      </w:r>
      <w:proofErr w:type="spellEnd"/>
      <w:r>
        <w:t xml:space="preserve">, 2005. </w:t>
      </w:r>
      <w:proofErr w:type="spellStart"/>
      <w:r>
        <w:t>Cuimsíonn</w:t>
      </w:r>
      <w:proofErr w:type="spellEnd"/>
      <w:r>
        <w:t xml:space="preserve"> an </w:t>
      </w:r>
      <w:proofErr w:type="spellStart"/>
      <w:r>
        <w:t>tionscadal</w:t>
      </w:r>
      <w:proofErr w:type="spellEnd"/>
      <w:r>
        <w:t xml:space="preserve"> </w:t>
      </w:r>
      <w:proofErr w:type="spellStart"/>
      <w:r>
        <w:t>trí</w:t>
      </w:r>
      <w:proofErr w:type="spellEnd"/>
      <w:r>
        <w:t xml:space="preserve"> </w:t>
      </w:r>
      <w:proofErr w:type="spellStart"/>
      <w:r>
        <w:t>pháirt</w:t>
      </w:r>
      <w:proofErr w:type="spellEnd"/>
      <w:r>
        <w:t xml:space="preserve"> </w:t>
      </w:r>
      <w:proofErr w:type="spellStart"/>
      <w:r>
        <w:t>athbhreithniú</w:t>
      </w:r>
      <w:proofErr w:type="spellEnd"/>
      <w:r>
        <w:t xml:space="preserve"> </w:t>
      </w:r>
      <w:proofErr w:type="spellStart"/>
      <w:r>
        <w:t>idirnáisiúnta</w:t>
      </w:r>
      <w:proofErr w:type="spellEnd"/>
      <w:r>
        <w:t xml:space="preserve"> </w:t>
      </w:r>
      <w:proofErr w:type="spellStart"/>
      <w:r>
        <w:t>ar</w:t>
      </w:r>
      <w:proofErr w:type="spellEnd"/>
      <w:r>
        <w:t xml:space="preserve"> an </w:t>
      </w:r>
      <w:proofErr w:type="spellStart"/>
      <w:r>
        <w:t>litríocht</w:t>
      </w:r>
      <w:proofErr w:type="spellEnd"/>
      <w:r>
        <w:t xml:space="preserve">, </w:t>
      </w:r>
      <w:proofErr w:type="spellStart"/>
      <w:r>
        <w:t>suirbhé</w:t>
      </w:r>
      <w:proofErr w:type="spellEnd"/>
      <w:r>
        <w:t xml:space="preserve"> </w:t>
      </w:r>
      <w:proofErr w:type="spellStart"/>
      <w:r>
        <w:t>náisiúnta</w:t>
      </w:r>
      <w:proofErr w:type="spellEnd"/>
      <w:r>
        <w:t xml:space="preserve"> </w:t>
      </w:r>
      <w:proofErr w:type="spellStart"/>
      <w:r>
        <w:t>ar</w:t>
      </w:r>
      <w:proofErr w:type="spellEnd"/>
      <w:r>
        <w:t xml:space="preserve"> </w:t>
      </w:r>
      <w:proofErr w:type="spellStart"/>
      <w:r>
        <w:t>dhearthóirí</w:t>
      </w:r>
      <w:proofErr w:type="spellEnd"/>
      <w:r>
        <w:t xml:space="preserve">, mic </w:t>
      </w:r>
      <w:proofErr w:type="spellStart"/>
      <w:r>
        <w:t>léinn</w:t>
      </w:r>
      <w:proofErr w:type="spellEnd"/>
      <w:r>
        <w:t xml:space="preserve"> </w:t>
      </w:r>
      <w:proofErr w:type="spellStart"/>
      <w:r>
        <w:t>dearaidh</w:t>
      </w:r>
      <w:proofErr w:type="spellEnd"/>
      <w:r>
        <w:t xml:space="preserve"> </w:t>
      </w:r>
      <w:proofErr w:type="spellStart"/>
      <w:r>
        <w:t>agus</w:t>
      </w:r>
      <w:proofErr w:type="spellEnd"/>
      <w:r>
        <w:t xml:space="preserve"> </w:t>
      </w:r>
      <w:proofErr w:type="spellStart"/>
      <w:r>
        <w:t>speisialtóirí</w:t>
      </w:r>
      <w:proofErr w:type="spellEnd"/>
      <w:r>
        <w:t xml:space="preserve"> </w:t>
      </w:r>
      <w:proofErr w:type="spellStart"/>
      <w:r>
        <w:t>soláthair</w:t>
      </w:r>
      <w:proofErr w:type="spellEnd"/>
      <w:r>
        <w:t xml:space="preserve">, </w:t>
      </w:r>
      <w:proofErr w:type="spellStart"/>
      <w:r>
        <w:t>chomh</w:t>
      </w:r>
      <w:proofErr w:type="spellEnd"/>
      <w:r>
        <w:t xml:space="preserve"> </w:t>
      </w:r>
      <w:proofErr w:type="spellStart"/>
      <w:r>
        <w:t>maith</w:t>
      </w:r>
      <w:proofErr w:type="spellEnd"/>
      <w:r>
        <w:t xml:space="preserve"> le </w:t>
      </w:r>
      <w:proofErr w:type="spellStart"/>
      <w:r>
        <w:t>tuairiscí</w:t>
      </w:r>
      <w:proofErr w:type="spellEnd"/>
      <w:r>
        <w:t xml:space="preserve"> do </w:t>
      </w:r>
      <w:proofErr w:type="spellStart"/>
      <w:r>
        <w:t>threoir</w:t>
      </w:r>
      <w:proofErr w:type="spellEnd"/>
      <w:r>
        <w:t xml:space="preserve"> </w:t>
      </w:r>
      <w:proofErr w:type="spellStart"/>
      <w:r>
        <w:t>ar</w:t>
      </w:r>
      <w:proofErr w:type="spellEnd"/>
      <w:r>
        <w:t xml:space="preserve"> an </w:t>
      </w:r>
      <w:proofErr w:type="spellStart"/>
      <w:r>
        <w:t>gcleachtas</w:t>
      </w:r>
      <w:proofErr w:type="spellEnd"/>
      <w:r>
        <w:t xml:space="preserve"> is </w:t>
      </w:r>
      <w:proofErr w:type="spellStart"/>
      <w:r>
        <w:t>fearr</w:t>
      </w:r>
      <w:proofErr w:type="spellEnd"/>
      <w:r>
        <w:t xml:space="preserve"> </w:t>
      </w:r>
      <w:proofErr w:type="spellStart"/>
      <w:r>
        <w:t>amach</w:t>
      </w:r>
      <w:proofErr w:type="spellEnd"/>
      <w:r>
        <w:t xml:space="preserve"> </w:t>
      </w:r>
      <w:proofErr w:type="spellStart"/>
      <w:r>
        <w:t>anseo</w:t>
      </w:r>
      <w:proofErr w:type="spellEnd"/>
      <w:r>
        <w:t xml:space="preserve">. </w:t>
      </w:r>
      <w:proofErr w:type="spellStart"/>
      <w:r>
        <w:t>Cuirfidh</w:t>
      </w:r>
      <w:proofErr w:type="spellEnd"/>
      <w:r>
        <w:t xml:space="preserve"> </w:t>
      </w:r>
      <w:proofErr w:type="spellStart"/>
      <w:r>
        <w:t>na</w:t>
      </w:r>
      <w:proofErr w:type="spellEnd"/>
      <w:r>
        <w:t xml:space="preserve"> </w:t>
      </w:r>
      <w:proofErr w:type="spellStart"/>
      <w:r>
        <w:t>torthaí</w:t>
      </w:r>
      <w:proofErr w:type="spellEnd"/>
      <w:r>
        <w:t xml:space="preserve"> le </w:t>
      </w:r>
      <w:proofErr w:type="spellStart"/>
      <w:r>
        <w:t>treoir</w:t>
      </w:r>
      <w:proofErr w:type="spellEnd"/>
      <w:r>
        <w:t xml:space="preserve"> do </w:t>
      </w:r>
      <w:proofErr w:type="spellStart"/>
      <w:r>
        <w:t>dhearthóirí</w:t>
      </w:r>
      <w:proofErr w:type="spellEnd"/>
      <w:r>
        <w:t xml:space="preserve">, </w:t>
      </w:r>
      <w:proofErr w:type="spellStart"/>
      <w:r>
        <w:t>oiliúnaithe</w:t>
      </w:r>
      <w:proofErr w:type="spellEnd"/>
      <w:r>
        <w:t xml:space="preserve"> </w:t>
      </w:r>
      <w:proofErr w:type="spellStart"/>
      <w:r>
        <w:t>agus</w:t>
      </w:r>
      <w:proofErr w:type="spellEnd"/>
      <w:r>
        <w:t xml:space="preserve"> </w:t>
      </w:r>
      <w:proofErr w:type="spellStart"/>
      <w:r>
        <w:t>speisialtóirí</w:t>
      </w:r>
      <w:proofErr w:type="spellEnd"/>
      <w:r>
        <w:t xml:space="preserve"> </w:t>
      </w:r>
      <w:proofErr w:type="spellStart"/>
      <w:r>
        <w:t>soláthair</w:t>
      </w:r>
      <w:proofErr w:type="spellEnd"/>
      <w:r>
        <w:t xml:space="preserve"> </w:t>
      </w:r>
      <w:proofErr w:type="spellStart"/>
      <w:r>
        <w:t>agus</w:t>
      </w:r>
      <w:proofErr w:type="spellEnd"/>
      <w:r>
        <w:t xml:space="preserve"> </w:t>
      </w:r>
      <w:proofErr w:type="spellStart"/>
      <w:r>
        <w:t>foilseofar</w:t>
      </w:r>
      <w:proofErr w:type="spellEnd"/>
      <w:r>
        <w:t xml:space="preserve"> é </w:t>
      </w:r>
      <w:proofErr w:type="spellStart"/>
      <w:r>
        <w:t>i</w:t>
      </w:r>
      <w:proofErr w:type="spellEnd"/>
      <w:r>
        <w:t xml:space="preserve"> 2012.</w:t>
      </w:r>
    </w:p>
    <w:p w14:paraId="43B46504" w14:textId="77777777" w:rsidR="006C148C" w:rsidRDefault="006C148C">
      <w:pPr>
        <w:pStyle w:val="Heading3"/>
      </w:pPr>
      <w:bookmarkStart w:id="405" w:name="_Toc335836506"/>
      <w:proofErr w:type="spellStart"/>
      <w:r>
        <w:t>Láithreáin</w:t>
      </w:r>
      <w:proofErr w:type="spellEnd"/>
      <w:r>
        <w:t xml:space="preserve"> </w:t>
      </w:r>
      <w:proofErr w:type="spellStart"/>
      <w:r>
        <w:t>ghréasáin</w:t>
      </w:r>
      <w:proofErr w:type="spellEnd"/>
      <w:r>
        <w:t xml:space="preserve"> </w:t>
      </w:r>
      <w:proofErr w:type="spellStart"/>
      <w:r>
        <w:t>earnála</w:t>
      </w:r>
      <w:proofErr w:type="spellEnd"/>
      <w:r>
        <w:t xml:space="preserve"> </w:t>
      </w:r>
      <w:proofErr w:type="spellStart"/>
      <w:r>
        <w:t>poiblí</w:t>
      </w:r>
      <w:bookmarkEnd w:id="405"/>
      <w:proofErr w:type="spellEnd"/>
    </w:p>
    <w:p w14:paraId="7A941EF8" w14:textId="77777777" w:rsidR="006C148C" w:rsidRDefault="006C148C">
      <w:r>
        <w:t xml:space="preserve">Tá taighde á dhéanamh ag an Údarás Náisiúnta </w:t>
      </w:r>
      <w:proofErr w:type="spellStart"/>
      <w:r>
        <w:t>Míchumais</w:t>
      </w:r>
      <w:proofErr w:type="spellEnd"/>
      <w:r>
        <w:t xml:space="preserve"> ar an </w:t>
      </w:r>
      <w:proofErr w:type="spellStart"/>
      <w:r>
        <w:t>gcaoi</w:t>
      </w:r>
      <w:proofErr w:type="spellEnd"/>
      <w:r>
        <w:t xml:space="preserve"> is </w:t>
      </w:r>
      <w:proofErr w:type="spellStart"/>
      <w:r>
        <w:t>féidir</w:t>
      </w:r>
      <w:proofErr w:type="spellEnd"/>
      <w:r>
        <w:t xml:space="preserve"> </w:t>
      </w:r>
      <w:proofErr w:type="spellStart"/>
      <w:r>
        <w:t>dearadh</w:t>
      </w:r>
      <w:proofErr w:type="spellEnd"/>
      <w:r>
        <w:t xml:space="preserve"> </w:t>
      </w:r>
      <w:proofErr w:type="spellStart"/>
      <w:r>
        <w:t>eolais</w:t>
      </w:r>
      <w:proofErr w:type="spellEnd"/>
      <w:r>
        <w:t xml:space="preserve"> </w:t>
      </w:r>
      <w:proofErr w:type="spellStart"/>
      <w:r>
        <w:t>phoiblí</w:t>
      </w:r>
      <w:proofErr w:type="spellEnd"/>
      <w:r>
        <w:t xml:space="preserve"> </w:t>
      </w:r>
      <w:proofErr w:type="spellStart"/>
      <w:r>
        <w:t>agus</w:t>
      </w:r>
      <w:proofErr w:type="spellEnd"/>
      <w:r>
        <w:t xml:space="preserve"> </w:t>
      </w:r>
      <w:proofErr w:type="spellStart"/>
      <w:r>
        <w:t>seirbhísí</w:t>
      </w:r>
      <w:proofErr w:type="spellEnd"/>
      <w:r>
        <w:t xml:space="preserve"> </w:t>
      </w:r>
      <w:proofErr w:type="spellStart"/>
      <w:r>
        <w:t>ar</w:t>
      </w:r>
      <w:proofErr w:type="spellEnd"/>
      <w:r>
        <w:t xml:space="preserve"> </w:t>
      </w:r>
      <w:proofErr w:type="spellStart"/>
      <w:r>
        <w:t>líne</w:t>
      </w:r>
      <w:proofErr w:type="spellEnd"/>
      <w:r>
        <w:t xml:space="preserve"> a </w:t>
      </w:r>
      <w:proofErr w:type="spellStart"/>
      <w:r>
        <w:t>fheabhsú</w:t>
      </w:r>
      <w:proofErr w:type="spellEnd"/>
      <w:r>
        <w:t xml:space="preserve">, </w:t>
      </w:r>
      <w:proofErr w:type="spellStart"/>
      <w:r>
        <w:t>ar</w:t>
      </w:r>
      <w:proofErr w:type="spellEnd"/>
      <w:r>
        <w:t xml:space="preserve"> </w:t>
      </w:r>
      <w:proofErr w:type="spellStart"/>
      <w:r>
        <w:t>mhaithe</w:t>
      </w:r>
      <w:proofErr w:type="spellEnd"/>
      <w:r>
        <w:t xml:space="preserve"> le </w:t>
      </w:r>
      <w:proofErr w:type="spellStart"/>
      <w:r>
        <w:t>heispéireas</w:t>
      </w:r>
      <w:proofErr w:type="spellEnd"/>
      <w:r>
        <w:t xml:space="preserve"> </w:t>
      </w:r>
      <w:proofErr w:type="spellStart"/>
      <w:r>
        <w:t>ar</w:t>
      </w:r>
      <w:proofErr w:type="spellEnd"/>
      <w:r>
        <w:t xml:space="preserve"> </w:t>
      </w:r>
      <w:proofErr w:type="spellStart"/>
      <w:r>
        <w:t>líne</w:t>
      </w:r>
      <w:proofErr w:type="spellEnd"/>
      <w:r>
        <w:t xml:space="preserve"> </w:t>
      </w:r>
      <w:proofErr w:type="spellStart"/>
      <w:r>
        <w:t>níos</w:t>
      </w:r>
      <w:proofErr w:type="spellEnd"/>
      <w:r>
        <w:t xml:space="preserve"> </w:t>
      </w:r>
      <w:proofErr w:type="spellStart"/>
      <w:r>
        <w:t>fearr</w:t>
      </w:r>
      <w:proofErr w:type="spellEnd"/>
      <w:r>
        <w:t xml:space="preserve"> </w:t>
      </w:r>
      <w:proofErr w:type="spellStart"/>
      <w:r>
        <w:t>d’úsáideoirí</w:t>
      </w:r>
      <w:proofErr w:type="spellEnd"/>
      <w:r>
        <w:t xml:space="preserve"> a </w:t>
      </w:r>
      <w:proofErr w:type="spellStart"/>
      <w:r>
        <w:t>chumasú</w:t>
      </w:r>
      <w:proofErr w:type="spellEnd"/>
      <w:r>
        <w:t xml:space="preserve"> </w:t>
      </w:r>
      <w:proofErr w:type="spellStart"/>
      <w:r>
        <w:t>agus</w:t>
      </w:r>
      <w:proofErr w:type="spellEnd"/>
      <w:r>
        <w:t xml:space="preserve"> </w:t>
      </w:r>
      <w:proofErr w:type="spellStart"/>
      <w:r>
        <w:t>chun</w:t>
      </w:r>
      <w:proofErr w:type="spellEnd"/>
      <w:r>
        <w:t xml:space="preserve"> </w:t>
      </w:r>
      <w:proofErr w:type="spellStart"/>
      <w:r>
        <w:t>éifeachtúlacht</w:t>
      </w:r>
      <w:proofErr w:type="spellEnd"/>
      <w:r>
        <w:t xml:space="preserve"> a </w:t>
      </w:r>
      <w:proofErr w:type="spellStart"/>
      <w:r>
        <w:t>fheabhsú</w:t>
      </w:r>
      <w:proofErr w:type="spellEnd"/>
      <w:r>
        <w:t xml:space="preserve"> don </w:t>
      </w:r>
      <w:proofErr w:type="spellStart"/>
      <w:r>
        <w:t>rialtas</w:t>
      </w:r>
      <w:proofErr w:type="spellEnd"/>
      <w:r>
        <w:t xml:space="preserve"> </w:t>
      </w:r>
      <w:proofErr w:type="spellStart"/>
      <w:r>
        <w:t>agus</w:t>
      </w:r>
      <w:proofErr w:type="spellEnd"/>
      <w:r>
        <w:t xml:space="preserve"> </w:t>
      </w:r>
      <w:proofErr w:type="spellStart"/>
      <w:r>
        <w:t>comhlachtaí</w:t>
      </w:r>
      <w:proofErr w:type="spellEnd"/>
      <w:r>
        <w:t xml:space="preserve"> </w:t>
      </w:r>
      <w:proofErr w:type="spellStart"/>
      <w:r>
        <w:t>poiblí</w:t>
      </w:r>
      <w:proofErr w:type="spellEnd"/>
      <w:r>
        <w:t xml:space="preserve">. </w:t>
      </w:r>
      <w:proofErr w:type="spellStart"/>
      <w:r>
        <w:t>Cuirfidh</w:t>
      </w:r>
      <w:proofErr w:type="spellEnd"/>
      <w:r>
        <w:t xml:space="preserve"> </w:t>
      </w:r>
      <w:proofErr w:type="spellStart"/>
      <w:r>
        <w:t>agallaimh</w:t>
      </w:r>
      <w:proofErr w:type="spellEnd"/>
      <w:r>
        <w:t xml:space="preserve"> </w:t>
      </w:r>
      <w:proofErr w:type="spellStart"/>
      <w:r>
        <w:t>agus</w:t>
      </w:r>
      <w:proofErr w:type="spellEnd"/>
      <w:r>
        <w:t xml:space="preserve"> </w:t>
      </w:r>
      <w:proofErr w:type="spellStart"/>
      <w:r>
        <w:t>suirbhéanna</w:t>
      </w:r>
      <w:proofErr w:type="spellEnd"/>
      <w:r>
        <w:t xml:space="preserve"> le </w:t>
      </w:r>
      <w:proofErr w:type="spellStart"/>
      <w:r>
        <w:t>réimse</w:t>
      </w:r>
      <w:proofErr w:type="spellEnd"/>
      <w:r>
        <w:t xml:space="preserve"> </w:t>
      </w:r>
      <w:r>
        <w:lastRenderedPageBreak/>
        <w:t xml:space="preserve">leathan páirtithe </w:t>
      </w:r>
      <w:proofErr w:type="spellStart"/>
      <w:r>
        <w:t>leasmhara</w:t>
      </w:r>
      <w:proofErr w:type="spellEnd"/>
      <w:r>
        <w:t xml:space="preserve">, chomh maith le </w:t>
      </w:r>
      <w:proofErr w:type="spellStart"/>
      <w:r>
        <w:t>hanailís</w:t>
      </w:r>
      <w:proofErr w:type="spellEnd"/>
      <w:r>
        <w:t xml:space="preserve"> ar shuíomhanna </w:t>
      </w:r>
      <w:proofErr w:type="spellStart"/>
      <w:r>
        <w:t>gréasáin</w:t>
      </w:r>
      <w:proofErr w:type="spellEnd"/>
      <w:r>
        <w:t xml:space="preserve"> </w:t>
      </w:r>
      <w:proofErr w:type="spellStart"/>
      <w:r>
        <w:t>poiblí</w:t>
      </w:r>
      <w:proofErr w:type="spellEnd"/>
      <w:r>
        <w:t xml:space="preserve">, </w:t>
      </w:r>
      <w:proofErr w:type="spellStart"/>
      <w:r>
        <w:t>cuirfidh</w:t>
      </w:r>
      <w:proofErr w:type="spellEnd"/>
      <w:r>
        <w:t xml:space="preserve"> </w:t>
      </w:r>
      <w:proofErr w:type="spellStart"/>
      <w:r>
        <w:t>siad</w:t>
      </w:r>
      <w:proofErr w:type="spellEnd"/>
      <w:r>
        <w:t xml:space="preserve"> le </w:t>
      </w:r>
      <w:proofErr w:type="spellStart"/>
      <w:r>
        <w:t>forbairt</w:t>
      </w:r>
      <w:proofErr w:type="spellEnd"/>
      <w:r>
        <w:t xml:space="preserve"> </w:t>
      </w:r>
      <w:proofErr w:type="spellStart"/>
      <w:r>
        <w:t>treoirlínte</w:t>
      </w:r>
      <w:proofErr w:type="spellEnd"/>
      <w:r>
        <w:t xml:space="preserve"> </w:t>
      </w:r>
      <w:proofErr w:type="spellStart"/>
      <w:r>
        <w:t>dearaidh</w:t>
      </w:r>
      <w:proofErr w:type="spellEnd"/>
      <w:r>
        <w:t xml:space="preserve"> </w:t>
      </w:r>
      <w:proofErr w:type="spellStart"/>
      <w:r>
        <w:t>atá</w:t>
      </w:r>
      <w:proofErr w:type="spellEnd"/>
      <w:r>
        <w:t xml:space="preserve"> le </w:t>
      </w:r>
      <w:proofErr w:type="spellStart"/>
      <w:r>
        <w:t>foilsiú</w:t>
      </w:r>
      <w:proofErr w:type="spellEnd"/>
      <w:r>
        <w:t xml:space="preserve"> </w:t>
      </w:r>
      <w:proofErr w:type="spellStart"/>
      <w:r>
        <w:t>i</w:t>
      </w:r>
      <w:proofErr w:type="spellEnd"/>
      <w:r>
        <w:t xml:space="preserve"> </w:t>
      </w:r>
      <w:proofErr w:type="spellStart"/>
      <w:r>
        <w:t>rith</w:t>
      </w:r>
      <w:proofErr w:type="spellEnd"/>
      <w:r>
        <w:t xml:space="preserve"> 2012.</w:t>
      </w:r>
    </w:p>
    <w:p w14:paraId="1F750C1A" w14:textId="77777777" w:rsidR="006C148C" w:rsidRDefault="006C148C">
      <w:pPr>
        <w:pStyle w:val="Heading3"/>
      </w:pPr>
      <w:bookmarkStart w:id="406" w:name="_Toc335836507"/>
      <w:proofErr w:type="spellStart"/>
      <w:r>
        <w:t>Taighde</w:t>
      </w:r>
      <w:proofErr w:type="spellEnd"/>
      <w:r>
        <w:t xml:space="preserve"> </w:t>
      </w:r>
      <w:proofErr w:type="spellStart"/>
      <w:r>
        <w:t>ar</w:t>
      </w:r>
      <w:proofErr w:type="spellEnd"/>
      <w:r>
        <w:t xml:space="preserve"> </w:t>
      </w:r>
      <w:proofErr w:type="spellStart"/>
      <w:r>
        <w:t>spásanna</w:t>
      </w:r>
      <w:proofErr w:type="spellEnd"/>
      <w:r>
        <w:t xml:space="preserve"> </w:t>
      </w:r>
      <w:proofErr w:type="spellStart"/>
      <w:r>
        <w:t>agus</w:t>
      </w:r>
      <w:proofErr w:type="spellEnd"/>
      <w:r>
        <w:t xml:space="preserve"> </w:t>
      </w:r>
      <w:proofErr w:type="spellStart"/>
      <w:r>
        <w:t>dromchlaí</w:t>
      </w:r>
      <w:proofErr w:type="spellEnd"/>
      <w:r>
        <w:t xml:space="preserve"> </w:t>
      </w:r>
      <w:proofErr w:type="spellStart"/>
      <w:r>
        <w:t>coiteanna</w:t>
      </w:r>
      <w:bookmarkEnd w:id="406"/>
      <w:proofErr w:type="spellEnd"/>
    </w:p>
    <w:p w14:paraId="685E0C99" w14:textId="77777777" w:rsidR="006C148C" w:rsidRDefault="006C148C">
      <w:pPr>
        <w:rPr>
          <w:rFonts w:cs="Helv"/>
        </w:rPr>
      </w:pPr>
      <w:r>
        <w:rPr>
          <w:rFonts w:cs="Helv"/>
        </w:rPr>
        <w:t xml:space="preserve">Ba é cuspóir an </w:t>
      </w:r>
      <w:proofErr w:type="spellStart"/>
      <w:r>
        <w:rPr>
          <w:rFonts w:cs="Helv"/>
        </w:rPr>
        <w:t>tionscadail</w:t>
      </w:r>
      <w:proofErr w:type="spellEnd"/>
      <w:r>
        <w:rPr>
          <w:rFonts w:cs="Helv"/>
        </w:rPr>
        <w:t xml:space="preserve"> seo ná taighde a dhéanamh </w:t>
      </w:r>
      <w:proofErr w:type="spellStart"/>
      <w:r>
        <w:rPr>
          <w:rFonts w:cs="Helv"/>
        </w:rPr>
        <w:t>ar</w:t>
      </w:r>
      <w:proofErr w:type="spellEnd"/>
      <w:r>
        <w:rPr>
          <w:rFonts w:cs="Helv"/>
        </w:rPr>
        <w:t xml:space="preserve"> </w:t>
      </w:r>
      <w:proofErr w:type="spellStart"/>
      <w:r>
        <w:rPr>
          <w:rFonts w:cs="Helv"/>
        </w:rPr>
        <w:t>chleachtais</w:t>
      </w:r>
      <w:proofErr w:type="spellEnd"/>
      <w:r>
        <w:rPr>
          <w:rFonts w:cs="Helv"/>
        </w:rPr>
        <w:t xml:space="preserve"> </w:t>
      </w:r>
      <w:proofErr w:type="spellStart"/>
      <w:r>
        <w:rPr>
          <w:rFonts w:cs="Helv"/>
        </w:rPr>
        <w:t>agus</w:t>
      </w:r>
      <w:proofErr w:type="spellEnd"/>
      <w:r>
        <w:rPr>
          <w:rFonts w:cs="Helv"/>
        </w:rPr>
        <w:t xml:space="preserve"> </w:t>
      </w:r>
      <w:proofErr w:type="spellStart"/>
      <w:r>
        <w:rPr>
          <w:rFonts w:cs="Helv"/>
        </w:rPr>
        <w:t>smaointeoireacht</w:t>
      </w:r>
      <w:proofErr w:type="spellEnd"/>
      <w:r>
        <w:rPr>
          <w:rFonts w:cs="Helv"/>
        </w:rPr>
        <w:t xml:space="preserve"> </w:t>
      </w:r>
      <w:proofErr w:type="spellStart"/>
      <w:r>
        <w:rPr>
          <w:rFonts w:cs="Helv"/>
        </w:rPr>
        <w:t>chomhaimseartha</w:t>
      </w:r>
      <w:proofErr w:type="spellEnd"/>
      <w:r>
        <w:rPr>
          <w:rFonts w:cs="Helv"/>
        </w:rPr>
        <w:t xml:space="preserve"> </w:t>
      </w:r>
      <w:proofErr w:type="spellStart"/>
      <w:r>
        <w:rPr>
          <w:rFonts w:cs="Helv"/>
        </w:rPr>
        <w:t>náisiúnta</w:t>
      </w:r>
      <w:proofErr w:type="spellEnd"/>
      <w:r>
        <w:rPr>
          <w:rFonts w:cs="Helv"/>
        </w:rPr>
        <w:t xml:space="preserve"> </w:t>
      </w:r>
      <w:proofErr w:type="spellStart"/>
      <w:r>
        <w:rPr>
          <w:rFonts w:cs="Helv"/>
        </w:rPr>
        <w:t>agus</w:t>
      </w:r>
      <w:proofErr w:type="spellEnd"/>
      <w:r>
        <w:rPr>
          <w:rFonts w:cs="Helv"/>
        </w:rPr>
        <w:t xml:space="preserve"> </w:t>
      </w:r>
      <w:proofErr w:type="spellStart"/>
      <w:r>
        <w:rPr>
          <w:rFonts w:cs="Helv"/>
        </w:rPr>
        <w:t>idirnáisiúnta</w:t>
      </w:r>
      <w:proofErr w:type="spellEnd"/>
      <w:r>
        <w:rPr>
          <w:rFonts w:cs="Helv"/>
        </w:rPr>
        <w:t xml:space="preserve"> </w:t>
      </w:r>
      <w:proofErr w:type="spellStart"/>
      <w:r>
        <w:rPr>
          <w:rFonts w:cs="Helv"/>
        </w:rPr>
        <w:t>ar</w:t>
      </w:r>
      <w:proofErr w:type="spellEnd"/>
      <w:r>
        <w:rPr>
          <w:rFonts w:cs="Helv"/>
        </w:rPr>
        <w:t xml:space="preserve"> </w:t>
      </w:r>
      <w:proofErr w:type="spellStart"/>
      <w:r>
        <w:rPr>
          <w:rFonts w:cs="Helv"/>
        </w:rPr>
        <w:t>spásanna</w:t>
      </w:r>
      <w:proofErr w:type="spellEnd"/>
      <w:r>
        <w:rPr>
          <w:rFonts w:cs="Helv"/>
        </w:rPr>
        <w:t xml:space="preserve"> </w:t>
      </w:r>
      <w:proofErr w:type="spellStart"/>
      <w:r>
        <w:rPr>
          <w:rFonts w:cs="Helv"/>
        </w:rPr>
        <w:t>coiteanna</w:t>
      </w:r>
      <w:proofErr w:type="spellEnd"/>
      <w:r>
        <w:rPr>
          <w:rFonts w:cs="Helv"/>
        </w:rPr>
        <w:t xml:space="preserve">, </w:t>
      </w:r>
      <w:proofErr w:type="spellStart"/>
      <w:r>
        <w:rPr>
          <w:rFonts w:cs="Helv"/>
        </w:rPr>
        <w:t>dromchlaí</w:t>
      </w:r>
      <w:proofErr w:type="spellEnd"/>
      <w:r>
        <w:rPr>
          <w:rFonts w:cs="Helv"/>
        </w:rPr>
        <w:t xml:space="preserve"> </w:t>
      </w:r>
      <w:proofErr w:type="spellStart"/>
      <w:r>
        <w:rPr>
          <w:rFonts w:cs="Helv"/>
        </w:rPr>
        <w:t>coiteanna</w:t>
      </w:r>
      <w:proofErr w:type="spellEnd"/>
      <w:r>
        <w:rPr>
          <w:rFonts w:cs="Helv"/>
        </w:rPr>
        <w:t xml:space="preserve"> </w:t>
      </w:r>
      <w:proofErr w:type="spellStart"/>
      <w:r>
        <w:rPr>
          <w:rFonts w:cs="Helv"/>
        </w:rPr>
        <w:t>agus</w:t>
      </w:r>
      <w:proofErr w:type="spellEnd"/>
      <w:r>
        <w:rPr>
          <w:rFonts w:cs="Helv"/>
        </w:rPr>
        <w:t xml:space="preserve"> “</w:t>
      </w:r>
      <w:proofErr w:type="spellStart"/>
      <w:r>
        <w:rPr>
          <w:rFonts w:cs="Helv"/>
        </w:rPr>
        <w:t>criosanna</w:t>
      </w:r>
      <w:proofErr w:type="spellEnd"/>
      <w:r>
        <w:rPr>
          <w:rFonts w:cs="Helv"/>
        </w:rPr>
        <w:t xml:space="preserve"> </w:t>
      </w:r>
      <w:proofErr w:type="spellStart"/>
      <w:r>
        <w:rPr>
          <w:rFonts w:cs="Helv"/>
        </w:rPr>
        <w:t>baile</w:t>
      </w:r>
      <w:proofErr w:type="spellEnd"/>
      <w:r>
        <w:rPr>
          <w:rFonts w:cs="Helv"/>
        </w:rPr>
        <w:t xml:space="preserve">”, in </w:t>
      </w:r>
      <w:proofErr w:type="spellStart"/>
      <w:r>
        <w:rPr>
          <w:rFonts w:cs="Helv"/>
        </w:rPr>
        <w:t>éineacht</w:t>
      </w:r>
      <w:proofErr w:type="spellEnd"/>
      <w:r>
        <w:rPr>
          <w:rFonts w:cs="Helv"/>
        </w:rPr>
        <w:t xml:space="preserve"> le </w:t>
      </w:r>
      <w:proofErr w:type="spellStart"/>
      <w:r>
        <w:rPr>
          <w:rFonts w:cs="Helv"/>
        </w:rPr>
        <w:t>príomh-mholtaí</w:t>
      </w:r>
      <w:proofErr w:type="spellEnd"/>
      <w:r>
        <w:rPr>
          <w:rFonts w:cs="Helv"/>
        </w:rPr>
        <w:t xml:space="preserve"> </w:t>
      </w:r>
      <w:proofErr w:type="spellStart"/>
      <w:r>
        <w:rPr>
          <w:rFonts w:cs="Helv"/>
        </w:rPr>
        <w:t>ar</w:t>
      </w:r>
      <w:proofErr w:type="spellEnd"/>
      <w:r>
        <w:rPr>
          <w:rFonts w:cs="Helv"/>
        </w:rPr>
        <w:t xml:space="preserve"> an </w:t>
      </w:r>
      <w:proofErr w:type="spellStart"/>
      <w:r>
        <w:rPr>
          <w:rFonts w:cs="Helv"/>
        </w:rPr>
        <w:t>gcaoi</w:t>
      </w:r>
      <w:proofErr w:type="spellEnd"/>
      <w:r>
        <w:rPr>
          <w:rFonts w:cs="Helv"/>
        </w:rPr>
        <w:t xml:space="preserve"> </w:t>
      </w:r>
      <w:proofErr w:type="spellStart"/>
      <w:r>
        <w:rPr>
          <w:rFonts w:cs="Helv"/>
        </w:rPr>
        <w:t>ar</w:t>
      </w:r>
      <w:proofErr w:type="spellEnd"/>
      <w:r>
        <w:rPr>
          <w:rFonts w:cs="Helv"/>
        </w:rPr>
        <w:t xml:space="preserve"> </w:t>
      </w:r>
      <w:proofErr w:type="spellStart"/>
      <w:r>
        <w:rPr>
          <w:rFonts w:cs="Helv"/>
        </w:rPr>
        <w:t>chóir</w:t>
      </w:r>
      <w:proofErr w:type="spellEnd"/>
      <w:r>
        <w:rPr>
          <w:rFonts w:cs="Helv"/>
        </w:rPr>
        <w:t xml:space="preserve"> don </w:t>
      </w:r>
      <w:proofErr w:type="spellStart"/>
      <w:r>
        <w:rPr>
          <w:rFonts w:cs="Helv"/>
        </w:rPr>
        <w:t>Údarás</w:t>
      </w:r>
      <w:proofErr w:type="spellEnd"/>
      <w:r>
        <w:rPr>
          <w:rFonts w:cs="Helv"/>
        </w:rPr>
        <w:t xml:space="preserve"> </w:t>
      </w:r>
      <w:proofErr w:type="spellStart"/>
      <w:r>
        <w:rPr>
          <w:rFonts w:cs="Helv"/>
        </w:rPr>
        <w:t>Náisiúnta</w:t>
      </w:r>
      <w:proofErr w:type="spellEnd"/>
      <w:r>
        <w:rPr>
          <w:rFonts w:cs="Helv"/>
        </w:rPr>
        <w:t xml:space="preserve"> </w:t>
      </w:r>
      <w:proofErr w:type="spellStart"/>
      <w:r>
        <w:rPr>
          <w:rFonts w:cs="Helv"/>
        </w:rPr>
        <w:t>Míchumais</w:t>
      </w:r>
      <w:proofErr w:type="spellEnd"/>
      <w:r>
        <w:rPr>
          <w:rFonts w:cs="Helv"/>
        </w:rPr>
        <w:t xml:space="preserve"> cur </w:t>
      </w:r>
      <w:proofErr w:type="spellStart"/>
      <w:r>
        <w:rPr>
          <w:rFonts w:cs="Helv"/>
        </w:rPr>
        <w:t>chuig</w:t>
      </w:r>
      <w:proofErr w:type="spellEnd"/>
      <w:r>
        <w:rPr>
          <w:rFonts w:cs="Helv"/>
        </w:rPr>
        <w:t xml:space="preserve"> an </w:t>
      </w:r>
      <w:proofErr w:type="spellStart"/>
      <w:r>
        <w:rPr>
          <w:rFonts w:cs="Helv"/>
        </w:rPr>
        <w:t>gceist</w:t>
      </w:r>
      <w:proofErr w:type="spellEnd"/>
      <w:r>
        <w:rPr>
          <w:rFonts w:cs="Helv"/>
        </w:rPr>
        <w:t xml:space="preserve"> </w:t>
      </w:r>
      <w:proofErr w:type="spellStart"/>
      <w:r>
        <w:rPr>
          <w:rFonts w:cs="Helv"/>
        </w:rPr>
        <w:t>seo</w:t>
      </w:r>
      <w:proofErr w:type="spellEnd"/>
      <w:r>
        <w:rPr>
          <w:rFonts w:cs="Helv"/>
        </w:rPr>
        <w:t xml:space="preserve">. </w:t>
      </w:r>
      <w:proofErr w:type="spellStart"/>
      <w:r>
        <w:rPr>
          <w:rFonts w:cs="Helv"/>
        </w:rPr>
        <w:t>Foilseofar</w:t>
      </w:r>
      <w:proofErr w:type="spellEnd"/>
      <w:r>
        <w:rPr>
          <w:rFonts w:cs="Helv"/>
        </w:rPr>
        <w:t xml:space="preserve"> an </w:t>
      </w:r>
      <w:proofErr w:type="spellStart"/>
      <w:r>
        <w:rPr>
          <w:rFonts w:cs="Helv"/>
        </w:rPr>
        <w:t>taighde</w:t>
      </w:r>
      <w:proofErr w:type="spellEnd"/>
      <w:r>
        <w:rPr>
          <w:rFonts w:cs="Helv"/>
        </w:rPr>
        <w:t xml:space="preserve"> </w:t>
      </w:r>
      <w:proofErr w:type="spellStart"/>
      <w:r>
        <w:rPr>
          <w:rFonts w:cs="Helv"/>
        </w:rPr>
        <w:t>seo</w:t>
      </w:r>
      <w:proofErr w:type="spellEnd"/>
      <w:r>
        <w:rPr>
          <w:rFonts w:cs="Helv"/>
        </w:rPr>
        <w:t xml:space="preserve"> </w:t>
      </w:r>
      <w:proofErr w:type="spellStart"/>
      <w:r>
        <w:rPr>
          <w:rFonts w:cs="Helv"/>
        </w:rPr>
        <w:t>sa</w:t>
      </w:r>
      <w:proofErr w:type="spellEnd"/>
      <w:r>
        <w:rPr>
          <w:rFonts w:cs="Helv"/>
        </w:rPr>
        <w:t xml:space="preserve"> </w:t>
      </w:r>
      <w:proofErr w:type="spellStart"/>
      <w:r>
        <w:rPr>
          <w:rFonts w:cs="Helv"/>
        </w:rPr>
        <w:t>chuid</w:t>
      </w:r>
      <w:proofErr w:type="spellEnd"/>
      <w:r>
        <w:rPr>
          <w:rFonts w:cs="Helv"/>
        </w:rPr>
        <w:t xml:space="preserve"> </w:t>
      </w:r>
      <w:proofErr w:type="spellStart"/>
      <w:r>
        <w:rPr>
          <w:rFonts w:cs="Helv"/>
        </w:rPr>
        <w:t>luath</w:t>
      </w:r>
      <w:proofErr w:type="spellEnd"/>
      <w:r>
        <w:rPr>
          <w:rFonts w:cs="Helv"/>
        </w:rPr>
        <w:t xml:space="preserve"> de 2012.</w:t>
      </w:r>
    </w:p>
    <w:p w14:paraId="7B162A89" w14:textId="77777777" w:rsidR="006C148C" w:rsidRDefault="006C148C">
      <w:pPr>
        <w:pStyle w:val="Heading3"/>
      </w:pPr>
      <w:bookmarkStart w:id="407" w:name="_Toc335836508"/>
      <w:proofErr w:type="spellStart"/>
      <w:r>
        <w:t>Tionscadail</w:t>
      </w:r>
      <w:proofErr w:type="spellEnd"/>
      <w:r>
        <w:t xml:space="preserve"> taighde </w:t>
      </w:r>
      <w:proofErr w:type="spellStart"/>
      <w:r>
        <w:t>dearaidh</w:t>
      </w:r>
      <w:proofErr w:type="spellEnd"/>
      <w:r>
        <w:t xml:space="preserve"> </w:t>
      </w:r>
      <w:proofErr w:type="spellStart"/>
      <w:r>
        <w:t>uilíoch</w:t>
      </w:r>
      <w:bookmarkEnd w:id="407"/>
      <w:proofErr w:type="spellEnd"/>
    </w:p>
    <w:p w14:paraId="1C6ACB9F" w14:textId="77777777" w:rsidR="006C148C" w:rsidRDefault="006C148C">
      <w:pPr>
        <w:spacing w:after="120"/>
      </w:pPr>
      <w:r>
        <w:t xml:space="preserve">Tá an </w:t>
      </w:r>
      <w:proofErr w:type="spellStart"/>
      <w:r>
        <w:t>tÚdarás</w:t>
      </w:r>
      <w:proofErr w:type="spellEnd"/>
      <w:r>
        <w:t xml:space="preserve"> Náisiúnta </w:t>
      </w:r>
      <w:proofErr w:type="spellStart"/>
      <w:r>
        <w:t>Míchumais</w:t>
      </w:r>
      <w:proofErr w:type="spellEnd"/>
      <w:r>
        <w:t xml:space="preserve"> ag </w:t>
      </w:r>
      <w:proofErr w:type="spellStart"/>
      <w:r>
        <w:t>maoirsiú</w:t>
      </w:r>
      <w:proofErr w:type="spellEnd"/>
      <w:r>
        <w:t xml:space="preserve"> </w:t>
      </w:r>
      <w:proofErr w:type="spellStart"/>
      <w:r>
        <w:t>agus</w:t>
      </w:r>
      <w:proofErr w:type="spellEnd"/>
      <w:r>
        <w:t xml:space="preserve"> ag tacú le </w:t>
      </w:r>
      <w:proofErr w:type="spellStart"/>
      <w:r>
        <w:t>tionscadail</w:t>
      </w:r>
      <w:proofErr w:type="spellEnd"/>
      <w:r>
        <w:t xml:space="preserve"> </w:t>
      </w:r>
      <w:proofErr w:type="spellStart"/>
      <w:r>
        <w:t>taighde</w:t>
      </w:r>
      <w:proofErr w:type="spellEnd"/>
      <w:r>
        <w:t xml:space="preserve"> </w:t>
      </w:r>
      <w:proofErr w:type="spellStart"/>
      <w:r>
        <w:t>iar-dhochtúireachta</w:t>
      </w:r>
      <w:proofErr w:type="spellEnd"/>
      <w:r>
        <w:t xml:space="preserve"> a </w:t>
      </w:r>
      <w:proofErr w:type="spellStart"/>
      <w:r>
        <w:t>dhéanann</w:t>
      </w:r>
      <w:proofErr w:type="spellEnd"/>
      <w:r>
        <w:t xml:space="preserve"> </w:t>
      </w:r>
      <w:proofErr w:type="spellStart"/>
      <w:r>
        <w:t>staidéar</w:t>
      </w:r>
      <w:proofErr w:type="spellEnd"/>
      <w:r>
        <w:t xml:space="preserve"> </w:t>
      </w:r>
      <w:proofErr w:type="spellStart"/>
      <w:r>
        <w:t>ar</w:t>
      </w:r>
      <w:proofErr w:type="spellEnd"/>
      <w:r>
        <w:t xml:space="preserve"> an </w:t>
      </w:r>
      <w:proofErr w:type="spellStart"/>
      <w:r>
        <w:t>gcaoi</w:t>
      </w:r>
      <w:proofErr w:type="spellEnd"/>
      <w:r>
        <w:t xml:space="preserve"> a </w:t>
      </w:r>
      <w:proofErr w:type="spellStart"/>
      <w:r>
        <w:t>dtéann</w:t>
      </w:r>
      <w:proofErr w:type="spellEnd"/>
      <w:r>
        <w:t xml:space="preserve"> </w:t>
      </w:r>
      <w:proofErr w:type="spellStart"/>
      <w:r>
        <w:t>dearadh</w:t>
      </w:r>
      <w:proofErr w:type="spellEnd"/>
      <w:r>
        <w:t xml:space="preserve"> </w:t>
      </w:r>
      <w:proofErr w:type="spellStart"/>
      <w:r>
        <w:t>uilíoch</w:t>
      </w:r>
      <w:proofErr w:type="spellEnd"/>
      <w:r>
        <w:t xml:space="preserve"> </w:t>
      </w:r>
      <w:proofErr w:type="spellStart"/>
      <w:r>
        <w:t>i</w:t>
      </w:r>
      <w:proofErr w:type="spellEnd"/>
      <w:r>
        <w:t xml:space="preserve"> </w:t>
      </w:r>
      <w:proofErr w:type="spellStart"/>
      <w:r>
        <w:t>bhfeidhm</w:t>
      </w:r>
      <w:proofErr w:type="spellEnd"/>
      <w:r>
        <w:t xml:space="preserve"> </w:t>
      </w:r>
      <w:proofErr w:type="spellStart"/>
      <w:r>
        <w:t>ar</w:t>
      </w:r>
      <w:proofErr w:type="spellEnd"/>
      <w:r>
        <w:t xml:space="preserve"> </w:t>
      </w:r>
      <w:proofErr w:type="spellStart"/>
      <w:r>
        <w:t>dhearadh</w:t>
      </w:r>
      <w:proofErr w:type="spellEnd"/>
      <w:r>
        <w:t xml:space="preserve"> </w:t>
      </w:r>
      <w:proofErr w:type="spellStart"/>
      <w:r>
        <w:t>agus</w:t>
      </w:r>
      <w:proofErr w:type="spellEnd"/>
      <w:r>
        <w:t xml:space="preserve"> </w:t>
      </w:r>
      <w:proofErr w:type="spellStart"/>
      <w:r>
        <w:t>forbairt</w:t>
      </w:r>
      <w:proofErr w:type="spellEnd"/>
      <w:r>
        <w:t xml:space="preserve"> </w:t>
      </w:r>
      <w:proofErr w:type="spellStart"/>
      <w:r>
        <w:t>táirgí</w:t>
      </w:r>
      <w:proofErr w:type="spellEnd"/>
      <w:r>
        <w:t>.</w:t>
      </w:r>
    </w:p>
    <w:p w14:paraId="4812645C" w14:textId="77777777" w:rsidR="006C148C" w:rsidRDefault="006C148C">
      <w:pPr>
        <w:pStyle w:val="ListBullet"/>
        <w:suppressAutoHyphens w:val="0"/>
      </w:pPr>
      <w:r>
        <w:t xml:space="preserve">Tá </w:t>
      </w:r>
      <w:proofErr w:type="spellStart"/>
      <w:r>
        <w:t>taighdeoir</w:t>
      </w:r>
      <w:proofErr w:type="spellEnd"/>
      <w:r>
        <w:t xml:space="preserve"> </w:t>
      </w:r>
      <w:proofErr w:type="spellStart"/>
      <w:r>
        <w:t>innealtóireachta</w:t>
      </w:r>
      <w:proofErr w:type="spellEnd"/>
      <w:r>
        <w:t xml:space="preserve"> </w:t>
      </w:r>
      <w:proofErr w:type="spellStart"/>
      <w:r>
        <w:t>bithleighis</w:t>
      </w:r>
      <w:proofErr w:type="spellEnd"/>
      <w:r>
        <w:t xml:space="preserve"> i </w:t>
      </w:r>
      <w:proofErr w:type="spellStart"/>
      <w:r>
        <w:t>gColáiste</w:t>
      </w:r>
      <w:proofErr w:type="spellEnd"/>
      <w:r>
        <w:t xml:space="preserve"> </w:t>
      </w:r>
      <w:proofErr w:type="spellStart"/>
      <w:r>
        <w:t>na</w:t>
      </w:r>
      <w:proofErr w:type="spellEnd"/>
      <w:r>
        <w:t xml:space="preserve"> </w:t>
      </w:r>
      <w:proofErr w:type="spellStart"/>
      <w:r>
        <w:t>Tríonóide</w:t>
      </w:r>
      <w:proofErr w:type="spellEnd"/>
      <w:r>
        <w:t xml:space="preserve">, </w:t>
      </w:r>
      <w:proofErr w:type="spellStart"/>
      <w:r>
        <w:t>Baile</w:t>
      </w:r>
      <w:proofErr w:type="spellEnd"/>
      <w:r>
        <w:t xml:space="preserve"> </w:t>
      </w:r>
      <w:proofErr w:type="spellStart"/>
      <w:r>
        <w:t>Átha</w:t>
      </w:r>
      <w:proofErr w:type="spellEnd"/>
      <w:r>
        <w:t xml:space="preserve"> Cliath, ag </w:t>
      </w:r>
      <w:proofErr w:type="spellStart"/>
      <w:r>
        <w:t>comhtháthú</w:t>
      </w:r>
      <w:proofErr w:type="spellEnd"/>
      <w:r>
        <w:t xml:space="preserve"> </w:t>
      </w:r>
      <w:proofErr w:type="spellStart"/>
      <w:r>
        <w:t>dearadh</w:t>
      </w:r>
      <w:proofErr w:type="spellEnd"/>
      <w:r>
        <w:t xml:space="preserve"> </w:t>
      </w:r>
      <w:proofErr w:type="spellStart"/>
      <w:r>
        <w:t>uilíoch</w:t>
      </w:r>
      <w:proofErr w:type="spellEnd"/>
      <w:r>
        <w:t xml:space="preserve"> </w:t>
      </w:r>
      <w:proofErr w:type="spellStart"/>
      <w:r>
        <w:t>ina</w:t>
      </w:r>
      <w:proofErr w:type="spellEnd"/>
      <w:r>
        <w:t xml:space="preserve"> </w:t>
      </w:r>
      <w:proofErr w:type="spellStart"/>
      <w:r>
        <w:t>dhearadh</w:t>
      </w:r>
      <w:proofErr w:type="spellEnd"/>
      <w:r>
        <w:t xml:space="preserve"> </w:t>
      </w:r>
      <w:proofErr w:type="spellStart"/>
      <w:r>
        <w:t>táirgí</w:t>
      </w:r>
      <w:proofErr w:type="spellEnd"/>
      <w:r>
        <w:t xml:space="preserve"> </w:t>
      </w:r>
      <w:proofErr w:type="spellStart"/>
      <w:r>
        <w:t>nua</w:t>
      </w:r>
      <w:proofErr w:type="spellEnd"/>
      <w:r>
        <w:t xml:space="preserve"> </w:t>
      </w:r>
      <w:proofErr w:type="spellStart"/>
      <w:r>
        <w:t>atá</w:t>
      </w:r>
      <w:proofErr w:type="spellEnd"/>
      <w:r>
        <w:t xml:space="preserve"> ag cur le </w:t>
      </w:r>
      <w:proofErr w:type="spellStart"/>
      <w:r>
        <w:t>forbairt</w:t>
      </w:r>
      <w:proofErr w:type="spellEnd"/>
      <w:r>
        <w:t xml:space="preserve"> </w:t>
      </w:r>
      <w:proofErr w:type="spellStart"/>
      <w:r>
        <w:t>gaolmhar</w:t>
      </w:r>
      <w:proofErr w:type="spellEnd"/>
      <w:r>
        <w:t xml:space="preserve"> an </w:t>
      </w:r>
      <w:proofErr w:type="spellStart"/>
      <w:r>
        <w:t>churaclaim</w:t>
      </w:r>
      <w:proofErr w:type="spellEnd"/>
      <w:r>
        <w:t xml:space="preserve"> </w:t>
      </w:r>
      <w:proofErr w:type="spellStart"/>
      <w:r>
        <w:t>innealtóireachta</w:t>
      </w:r>
      <w:proofErr w:type="spellEnd"/>
      <w:r>
        <w:t>.</w:t>
      </w:r>
    </w:p>
    <w:p w14:paraId="04A0EFD9" w14:textId="77777777" w:rsidR="006C148C" w:rsidRDefault="006C148C">
      <w:pPr>
        <w:pStyle w:val="ListBullet"/>
        <w:suppressAutoHyphens w:val="0"/>
      </w:pPr>
      <w:r>
        <w:t xml:space="preserve">Tá </w:t>
      </w:r>
      <w:proofErr w:type="spellStart"/>
      <w:r>
        <w:t>taighdeoir</w:t>
      </w:r>
      <w:proofErr w:type="spellEnd"/>
      <w:r>
        <w:t xml:space="preserve"> in Institiúid Teicneolaíochta Bhaile Átha Cliath ag </w:t>
      </w:r>
      <w:proofErr w:type="spellStart"/>
      <w:r>
        <w:t>comhtháthú</w:t>
      </w:r>
      <w:proofErr w:type="spellEnd"/>
      <w:r>
        <w:t xml:space="preserve"> uirlisí agus </w:t>
      </w:r>
      <w:proofErr w:type="spellStart"/>
      <w:r>
        <w:t>teicnící</w:t>
      </w:r>
      <w:proofErr w:type="spellEnd"/>
      <w:r>
        <w:t xml:space="preserve"> </w:t>
      </w:r>
      <w:proofErr w:type="spellStart"/>
      <w:r>
        <w:t>dearaidh</w:t>
      </w:r>
      <w:proofErr w:type="spellEnd"/>
      <w:r>
        <w:t xml:space="preserve"> </w:t>
      </w:r>
      <w:proofErr w:type="spellStart"/>
      <w:r>
        <w:t>atá</w:t>
      </w:r>
      <w:proofErr w:type="spellEnd"/>
      <w:r>
        <w:t xml:space="preserve"> </w:t>
      </w:r>
      <w:proofErr w:type="spellStart"/>
      <w:r>
        <w:t>dírithe</w:t>
      </w:r>
      <w:proofErr w:type="spellEnd"/>
      <w:r>
        <w:t xml:space="preserve"> </w:t>
      </w:r>
      <w:proofErr w:type="spellStart"/>
      <w:r>
        <w:t>ar</w:t>
      </w:r>
      <w:proofErr w:type="spellEnd"/>
      <w:r>
        <w:t xml:space="preserve"> an </w:t>
      </w:r>
      <w:proofErr w:type="spellStart"/>
      <w:r>
        <w:t>úsáideoir</w:t>
      </w:r>
      <w:proofErr w:type="spellEnd"/>
      <w:r>
        <w:t xml:space="preserve"> </w:t>
      </w:r>
      <w:proofErr w:type="spellStart"/>
      <w:r>
        <w:t>sa</w:t>
      </w:r>
      <w:proofErr w:type="spellEnd"/>
      <w:r>
        <w:t xml:space="preserve"> </w:t>
      </w:r>
      <w:proofErr w:type="spellStart"/>
      <w:r>
        <w:t>mhúnla</w:t>
      </w:r>
      <w:proofErr w:type="spellEnd"/>
      <w:r>
        <w:t xml:space="preserve"> “Need to Knowledge”, </w:t>
      </w:r>
      <w:proofErr w:type="spellStart"/>
      <w:r>
        <w:t>ar</w:t>
      </w:r>
      <w:proofErr w:type="spellEnd"/>
      <w:r>
        <w:t xml:space="preserve"> </w:t>
      </w:r>
      <w:proofErr w:type="spellStart"/>
      <w:r>
        <w:t>mhaithe</w:t>
      </w:r>
      <w:proofErr w:type="spellEnd"/>
      <w:r>
        <w:t xml:space="preserve"> le </w:t>
      </w:r>
      <w:proofErr w:type="spellStart"/>
      <w:r>
        <w:t>hacmhainneacht</w:t>
      </w:r>
      <w:proofErr w:type="spellEnd"/>
      <w:r>
        <w:t xml:space="preserve"> </w:t>
      </w:r>
      <w:proofErr w:type="spellStart"/>
      <w:r>
        <w:t>torthaí</w:t>
      </w:r>
      <w:proofErr w:type="spellEnd"/>
      <w:r>
        <w:t xml:space="preserve"> </w:t>
      </w:r>
      <w:proofErr w:type="spellStart"/>
      <w:r>
        <w:t>dearaidh</w:t>
      </w:r>
      <w:proofErr w:type="spellEnd"/>
      <w:r>
        <w:t xml:space="preserve"> </w:t>
      </w:r>
      <w:proofErr w:type="spellStart"/>
      <w:r>
        <w:t>uilíoch</w:t>
      </w:r>
      <w:proofErr w:type="spellEnd"/>
      <w:r>
        <w:t xml:space="preserve"> a </w:t>
      </w:r>
      <w:proofErr w:type="spellStart"/>
      <w:r>
        <w:t>fheabhsú</w:t>
      </w:r>
      <w:proofErr w:type="spellEnd"/>
      <w:r>
        <w:t>.</w:t>
      </w:r>
    </w:p>
    <w:p w14:paraId="2D1E03D1" w14:textId="77777777" w:rsidR="006C148C" w:rsidRDefault="006C148C">
      <w:pPr>
        <w:pStyle w:val="ListBullet"/>
        <w:suppressAutoHyphens w:val="0"/>
        <w:spacing w:after="240"/>
      </w:pPr>
      <w:r>
        <w:t xml:space="preserve">Taighde </w:t>
      </w:r>
      <w:proofErr w:type="spellStart"/>
      <w:r>
        <w:t>dochtúireachta</w:t>
      </w:r>
      <w:proofErr w:type="spellEnd"/>
      <w:r>
        <w:t xml:space="preserve"> ar chóras </w:t>
      </w:r>
      <w:proofErr w:type="spellStart"/>
      <w:r>
        <w:t>rátála</w:t>
      </w:r>
      <w:proofErr w:type="spellEnd"/>
      <w:r>
        <w:t xml:space="preserve"> </w:t>
      </w:r>
      <w:proofErr w:type="spellStart"/>
      <w:r>
        <w:t>dearaidh</w:t>
      </w:r>
      <w:proofErr w:type="spellEnd"/>
      <w:r>
        <w:t xml:space="preserve"> </w:t>
      </w:r>
      <w:proofErr w:type="spellStart"/>
      <w:r>
        <w:t>uilíoch</w:t>
      </w:r>
      <w:proofErr w:type="spellEnd"/>
      <w:r>
        <w:t xml:space="preserve"> a </w:t>
      </w:r>
      <w:proofErr w:type="spellStart"/>
      <w:r>
        <w:t>shainmhíniú</w:t>
      </w:r>
      <w:proofErr w:type="spellEnd"/>
      <w:r>
        <w:t xml:space="preserve"> </w:t>
      </w:r>
      <w:proofErr w:type="spellStart"/>
      <w:r>
        <w:t>d’fhoirgnimh</w:t>
      </w:r>
      <w:proofErr w:type="spellEnd"/>
      <w:r>
        <w:t xml:space="preserve">. </w:t>
      </w:r>
      <w:proofErr w:type="spellStart"/>
      <w:r>
        <w:t>Tá</w:t>
      </w:r>
      <w:proofErr w:type="spellEnd"/>
      <w:r>
        <w:t xml:space="preserve"> </w:t>
      </w:r>
      <w:proofErr w:type="spellStart"/>
      <w:r>
        <w:t>taighdeoir</w:t>
      </w:r>
      <w:proofErr w:type="spellEnd"/>
      <w:r>
        <w:t xml:space="preserve"> </w:t>
      </w:r>
      <w:proofErr w:type="spellStart"/>
      <w:r>
        <w:t>ailtireachta</w:t>
      </w:r>
      <w:proofErr w:type="spellEnd"/>
      <w:r>
        <w:t xml:space="preserve"> </w:t>
      </w:r>
      <w:proofErr w:type="spellStart"/>
      <w:r>
        <w:t>i</w:t>
      </w:r>
      <w:proofErr w:type="spellEnd"/>
      <w:r>
        <w:t xml:space="preserve"> </w:t>
      </w:r>
      <w:proofErr w:type="spellStart"/>
      <w:r>
        <w:t>gColáiste</w:t>
      </w:r>
      <w:proofErr w:type="spellEnd"/>
      <w:r>
        <w:t xml:space="preserve"> </w:t>
      </w:r>
      <w:proofErr w:type="spellStart"/>
      <w:r>
        <w:t>na</w:t>
      </w:r>
      <w:proofErr w:type="spellEnd"/>
      <w:r>
        <w:t xml:space="preserve"> </w:t>
      </w:r>
      <w:proofErr w:type="spellStart"/>
      <w:r>
        <w:t>Tríonóide</w:t>
      </w:r>
      <w:proofErr w:type="spellEnd"/>
      <w:r>
        <w:t xml:space="preserve">, </w:t>
      </w:r>
      <w:proofErr w:type="spellStart"/>
      <w:r>
        <w:t>Baile</w:t>
      </w:r>
      <w:proofErr w:type="spellEnd"/>
      <w:r>
        <w:t xml:space="preserve"> </w:t>
      </w:r>
      <w:proofErr w:type="spellStart"/>
      <w:r>
        <w:t>Átha</w:t>
      </w:r>
      <w:proofErr w:type="spellEnd"/>
      <w:r>
        <w:t xml:space="preserve"> Cliath, ag </w:t>
      </w:r>
      <w:proofErr w:type="spellStart"/>
      <w:r>
        <w:t>fiosrú</w:t>
      </w:r>
      <w:proofErr w:type="spellEnd"/>
      <w:r>
        <w:t xml:space="preserve"> an </w:t>
      </w:r>
      <w:proofErr w:type="spellStart"/>
      <w:r>
        <w:t>réimse</w:t>
      </w:r>
      <w:proofErr w:type="spellEnd"/>
      <w:r>
        <w:t xml:space="preserve"> </w:t>
      </w:r>
      <w:proofErr w:type="spellStart"/>
      <w:r>
        <w:t>seo</w:t>
      </w:r>
      <w:proofErr w:type="spellEnd"/>
      <w:r>
        <w:t xml:space="preserve"> </w:t>
      </w:r>
      <w:proofErr w:type="spellStart"/>
      <w:r>
        <w:t>agus</w:t>
      </w:r>
      <w:proofErr w:type="spellEnd"/>
      <w:r>
        <w:t xml:space="preserve"> </w:t>
      </w:r>
      <w:proofErr w:type="spellStart"/>
      <w:r>
        <w:t>cén</w:t>
      </w:r>
      <w:proofErr w:type="spellEnd"/>
      <w:r>
        <w:t xml:space="preserve"> </w:t>
      </w:r>
      <w:proofErr w:type="spellStart"/>
      <w:r>
        <w:t>chaoi</w:t>
      </w:r>
      <w:proofErr w:type="spellEnd"/>
      <w:r>
        <w:t xml:space="preserve"> a </w:t>
      </w:r>
      <w:proofErr w:type="spellStart"/>
      <w:r>
        <w:t>bhféadfadh</w:t>
      </w:r>
      <w:proofErr w:type="spellEnd"/>
      <w:r>
        <w:t xml:space="preserve"> </w:t>
      </w:r>
      <w:proofErr w:type="spellStart"/>
      <w:r>
        <w:t>sé</w:t>
      </w:r>
      <w:proofErr w:type="spellEnd"/>
      <w:r>
        <w:t xml:space="preserve"> </w:t>
      </w:r>
      <w:proofErr w:type="spellStart"/>
      <w:r>
        <w:t>oibriú</w:t>
      </w:r>
      <w:proofErr w:type="spellEnd"/>
      <w:r>
        <w:t xml:space="preserve"> leis </w:t>
      </w:r>
      <w:proofErr w:type="gramStart"/>
      <w:r>
        <w:t>an</w:t>
      </w:r>
      <w:proofErr w:type="gramEnd"/>
      <w:r>
        <w:t xml:space="preserve"> </w:t>
      </w:r>
      <w:proofErr w:type="spellStart"/>
      <w:r>
        <w:t>gcóras</w:t>
      </w:r>
      <w:proofErr w:type="spellEnd"/>
      <w:r>
        <w:t xml:space="preserve"> </w:t>
      </w:r>
      <w:proofErr w:type="spellStart"/>
      <w:r>
        <w:t>Rátála</w:t>
      </w:r>
      <w:proofErr w:type="spellEnd"/>
      <w:r>
        <w:t xml:space="preserve"> </w:t>
      </w:r>
      <w:proofErr w:type="spellStart"/>
      <w:r>
        <w:t>Fuinnimh</w:t>
      </w:r>
      <w:proofErr w:type="spellEnd"/>
      <w:r>
        <w:t xml:space="preserve"> </w:t>
      </w:r>
      <w:proofErr w:type="spellStart"/>
      <w:r>
        <w:t>d’Fhoirgnimh</w:t>
      </w:r>
      <w:proofErr w:type="spellEnd"/>
      <w:r>
        <w:t xml:space="preserve"> </w:t>
      </w:r>
      <w:proofErr w:type="spellStart"/>
      <w:r>
        <w:t>atá</w:t>
      </w:r>
      <w:proofErr w:type="spellEnd"/>
      <w:r>
        <w:t xml:space="preserve"> </w:t>
      </w:r>
      <w:proofErr w:type="spellStart"/>
      <w:r>
        <w:t>i</w:t>
      </w:r>
      <w:proofErr w:type="spellEnd"/>
      <w:r>
        <w:t xml:space="preserve"> </w:t>
      </w:r>
      <w:proofErr w:type="spellStart"/>
      <w:r>
        <w:t>bhfeidhm</w:t>
      </w:r>
      <w:proofErr w:type="spellEnd"/>
      <w:r>
        <w:t xml:space="preserve"> in </w:t>
      </w:r>
      <w:proofErr w:type="spellStart"/>
      <w:r>
        <w:t>Éirinn</w:t>
      </w:r>
      <w:proofErr w:type="spellEnd"/>
      <w:r>
        <w:t xml:space="preserve"> </w:t>
      </w:r>
      <w:proofErr w:type="spellStart"/>
      <w:r>
        <w:t>cheana</w:t>
      </w:r>
      <w:proofErr w:type="spellEnd"/>
      <w:r>
        <w:t xml:space="preserve"> go </w:t>
      </w:r>
      <w:proofErr w:type="spellStart"/>
      <w:r>
        <w:t>háirithe</w:t>
      </w:r>
      <w:proofErr w:type="spellEnd"/>
      <w:r>
        <w:t>.</w:t>
      </w:r>
    </w:p>
    <w:p w14:paraId="7385344D" w14:textId="77777777" w:rsidR="006C148C" w:rsidRDefault="006C148C">
      <w:r>
        <w:t xml:space="preserve">Tá </w:t>
      </w:r>
      <w:proofErr w:type="spellStart"/>
      <w:r>
        <w:t>dearadh</w:t>
      </w:r>
      <w:proofErr w:type="spellEnd"/>
      <w:r>
        <w:t xml:space="preserve"> </w:t>
      </w:r>
      <w:proofErr w:type="spellStart"/>
      <w:r>
        <w:t>uilíoch</w:t>
      </w:r>
      <w:proofErr w:type="spellEnd"/>
      <w:r>
        <w:t xml:space="preserve"> ag teacht ar an bhfód mar ábhar acadúil sna </w:t>
      </w:r>
      <w:proofErr w:type="spellStart"/>
      <w:r>
        <w:t>hóstollscoileanna</w:t>
      </w:r>
      <w:proofErr w:type="spellEnd"/>
      <w:r>
        <w:t xml:space="preserve"> mar gheall ar na </w:t>
      </w:r>
      <w:proofErr w:type="spellStart"/>
      <w:r>
        <w:t>tionscadail</w:t>
      </w:r>
      <w:proofErr w:type="spellEnd"/>
      <w:r>
        <w:t xml:space="preserve"> taighde seo.</w:t>
      </w:r>
    </w:p>
    <w:p w14:paraId="583463D5" w14:textId="77777777" w:rsidR="006C148C" w:rsidRDefault="006C148C">
      <w:pPr>
        <w:pStyle w:val="Heading2"/>
      </w:pPr>
      <w:bookmarkStart w:id="408" w:name="_Toc335836509"/>
      <w:r>
        <w:t>Oideachas</w:t>
      </w:r>
      <w:bookmarkEnd w:id="408"/>
    </w:p>
    <w:p w14:paraId="6CE6D7F0" w14:textId="77777777" w:rsidR="006C148C" w:rsidRDefault="006C148C">
      <w:pPr>
        <w:pStyle w:val="Heading3"/>
      </w:pPr>
      <w:bookmarkStart w:id="409" w:name="_Toc335836510"/>
      <w:proofErr w:type="spellStart"/>
      <w:r>
        <w:t>Modúl</w:t>
      </w:r>
      <w:proofErr w:type="spellEnd"/>
      <w:r>
        <w:t xml:space="preserve"> </w:t>
      </w:r>
      <w:proofErr w:type="spellStart"/>
      <w:r>
        <w:t>uilíoch</w:t>
      </w:r>
      <w:proofErr w:type="spellEnd"/>
      <w:r>
        <w:t xml:space="preserve"> </w:t>
      </w:r>
      <w:proofErr w:type="spellStart"/>
      <w:r>
        <w:t>dearaidh</w:t>
      </w:r>
      <w:proofErr w:type="spellEnd"/>
      <w:r>
        <w:t xml:space="preserve"> tríú leibhéal</w:t>
      </w:r>
      <w:bookmarkEnd w:id="409"/>
    </w:p>
    <w:p w14:paraId="6EF7122A" w14:textId="77777777" w:rsidR="006C148C" w:rsidRDefault="006C148C">
      <w:r>
        <w:t xml:space="preserve">Chuir Ionad an Údaráis Náisiúnta </w:t>
      </w:r>
      <w:proofErr w:type="spellStart"/>
      <w:r>
        <w:t>Míchumais</w:t>
      </w:r>
      <w:proofErr w:type="spellEnd"/>
      <w:r>
        <w:t xml:space="preserve"> um Fheabhas </w:t>
      </w:r>
      <w:proofErr w:type="spellStart"/>
      <w:r>
        <w:t>Dearaidh</w:t>
      </w:r>
      <w:proofErr w:type="spellEnd"/>
      <w:r>
        <w:t xml:space="preserve"> </w:t>
      </w:r>
      <w:proofErr w:type="spellStart"/>
      <w:r>
        <w:t>Uilíoch</w:t>
      </w:r>
      <w:proofErr w:type="spellEnd"/>
      <w:r>
        <w:t xml:space="preserve"> tús le </w:t>
      </w:r>
      <w:proofErr w:type="spellStart"/>
      <w:r>
        <w:t>tionscadal</w:t>
      </w:r>
      <w:proofErr w:type="spellEnd"/>
      <w:r>
        <w:t xml:space="preserve"> chun </w:t>
      </w:r>
      <w:proofErr w:type="spellStart"/>
      <w:r>
        <w:t>modúl</w:t>
      </w:r>
      <w:proofErr w:type="spellEnd"/>
      <w:r>
        <w:t xml:space="preserve"> a fhorbairt ar dhearadh </w:t>
      </w:r>
      <w:proofErr w:type="spellStart"/>
      <w:r>
        <w:t>uilíoch</w:t>
      </w:r>
      <w:proofErr w:type="spellEnd"/>
      <w:r>
        <w:t xml:space="preserve"> atá oiriúnach le bheith </w:t>
      </w:r>
      <w:proofErr w:type="spellStart"/>
      <w:r>
        <w:t>úsáidte</w:t>
      </w:r>
      <w:proofErr w:type="spellEnd"/>
      <w:r>
        <w:t xml:space="preserve"> sna cúrsaí </w:t>
      </w:r>
      <w:proofErr w:type="spellStart"/>
      <w:r>
        <w:t>innealtóireachta</w:t>
      </w:r>
      <w:proofErr w:type="spellEnd"/>
      <w:r>
        <w:t xml:space="preserve">, </w:t>
      </w:r>
      <w:proofErr w:type="spellStart"/>
      <w:r>
        <w:t>ailtireachta</w:t>
      </w:r>
      <w:proofErr w:type="spellEnd"/>
      <w:r>
        <w:t xml:space="preserve">, teicneolaíochta agus </w:t>
      </w:r>
      <w:proofErr w:type="spellStart"/>
      <w:r>
        <w:t>dearaidh</w:t>
      </w:r>
      <w:proofErr w:type="spellEnd"/>
      <w:r>
        <w:t xml:space="preserve"> go léir den chéad bhliain. Bhí </w:t>
      </w:r>
      <w:proofErr w:type="spellStart"/>
      <w:r>
        <w:t>cuibhreannas</w:t>
      </w:r>
      <w:proofErr w:type="spellEnd"/>
      <w:r>
        <w:t xml:space="preserve"> </w:t>
      </w:r>
      <w:proofErr w:type="spellStart"/>
      <w:r>
        <w:t>institiúidí</w:t>
      </w:r>
      <w:proofErr w:type="spellEnd"/>
      <w:r>
        <w:t xml:space="preserve"> </w:t>
      </w:r>
      <w:proofErr w:type="spellStart"/>
      <w:r>
        <w:t>oideachais</w:t>
      </w:r>
      <w:proofErr w:type="spellEnd"/>
      <w:r>
        <w:t xml:space="preserve"> </w:t>
      </w:r>
      <w:proofErr w:type="spellStart"/>
      <w:r>
        <w:t>tríú</w:t>
      </w:r>
      <w:proofErr w:type="spellEnd"/>
      <w:r>
        <w:t xml:space="preserve"> </w:t>
      </w:r>
      <w:proofErr w:type="spellStart"/>
      <w:r>
        <w:t>leibhéal</w:t>
      </w:r>
      <w:proofErr w:type="spellEnd"/>
      <w:r>
        <w:t xml:space="preserve"> </w:t>
      </w:r>
      <w:proofErr w:type="spellStart"/>
      <w:r>
        <w:t>páirteach</w:t>
      </w:r>
      <w:proofErr w:type="spellEnd"/>
      <w:r>
        <w:t xml:space="preserve"> </w:t>
      </w:r>
      <w:proofErr w:type="spellStart"/>
      <w:r>
        <w:t>i</w:t>
      </w:r>
      <w:proofErr w:type="spellEnd"/>
      <w:r>
        <w:t xml:space="preserve"> </w:t>
      </w:r>
      <w:proofErr w:type="spellStart"/>
      <w:r>
        <w:t>bhforbairt</w:t>
      </w:r>
      <w:proofErr w:type="spellEnd"/>
      <w:r>
        <w:t xml:space="preserve"> an </w:t>
      </w:r>
      <w:proofErr w:type="spellStart"/>
      <w:r>
        <w:t>churaclaim</w:t>
      </w:r>
      <w:proofErr w:type="spellEnd"/>
      <w:r>
        <w:t xml:space="preserve"> </w:t>
      </w:r>
      <w:proofErr w:type="spellStart"/>
      <w:r>
        <w:t>agus</w:t>
      </w:r>
      <w:proofErr w:type="spellEnd"/>
      <w:r>
        <w:t xml:space="preserve"> </w:t>
      </w:r>
      <w:proofErr w:type="spellStart"/>
      <w:r>
        <w:t>na</w:t>
      </w:r>
      <w:proofErr w:type="spellEnd"/>
      <w:r>
        <w:t xml:space="preserve"> n-</w:t>
      </w:r>
      <w:proofErr w:type="spellStart"/>
      <w:r>
        <w:t>ábhar</w:t>
      </w:r>
      <w:proofErr w:type="spellEnd"/>
      <w:r>
        <w:t xml:space="preserve"> </w:t>
      </w:r>
      <w:proofErr w:type="spellStart"/>
      <w:r>
        <w:t>atá</w:t>
      </w:r>
      <w:proofErr w:type="spellEnd"/>
      <w:r>
        <w:t xml:space="preserve"> </w:t>
      </w:r>
      <w:proofErr w:type="spellStart"/>
      <w:r>
        <w:t>ann</w:t>
      </w:r>
      <w:proofErr w:type="spellEnd"/>
      <w:r>
        <w:t xml:space="preserve"> </w:t>
      </w:r>
      <w:proofErr w:type="spellStart"/>
      <w:r>
        <w:t>i</w:t>
      </w:r>
      <w:proofErr w:type="spellEnd"/>
      <w:r>
        <w:t xml:space="preserve"> </w:t>
      </w:r>
      <w:proofErr w:type="spellStart"/>
      <w:r>
        <w:t>rith</w:t>
      </w:r>
      <w:proofErr w:type="spellEnd"/>
      <w:r>
        <w:t xml:space="preserve"> 2011, </w:t>
      </w:r>
      <w:proofErr w:type="spellStart"/>
      <w:r>
        <w:t>rud</w:t>
      </w:r>
      <w:proofErr w:type="spellEnd"/>
      <w:r>
        <w:t xml:space="preserve"> a </w:t>
      </w:r>
      <w:proofErr w:type="spellStart"/>
      <w:r>
        <w:t>thástálfar</w:t>
      </w:r>
      <w:proofErr w:type="spellEnd"/>
      <w:r>
        <w:t xml:space="preserve"> </w:t>
      </w:r>
      <w:proofErr w:type="spellStart"/>
      <w:r>
        <w:t>i</w:t>
      </w:r>
      <w:proofErr w:type="spellEnd"/>
      <w:r>
        <w:t xml:space="preserve"> </w:t>
      </w:r>
      <w:proofErr w:type="spellStart"/>
      <w:r>
        <w:t>rith</w:t>
      </w:r>
      <w:proofErr w:type="spellEnd"/>
      <w:r>
        <w:t xml:space="preserve"> 2012 </w:t>
      </w:r>
      <w:proofErr w:type="spellStart"/>
      <w:r>
        <w:t>i</w:t>
      </w:r>
      <w:proofErr w:type="spellEnd"/>
      <w:r>
        <w:t xml:space="preserve"> </w:t>
      </w:r>
      <w:proofErr w:type="spellStart"/>
      <w:r>
        <w:t>gcoláistí</w:t>
      </w:r>
      <w:proofErr w:type="spellEnd"/>
      <w:r>
        <w:t xml:space="preserve"> </w:t>
      </w:r>
      <w:proofErr w:type="spellStart"/>
      <w:r>
        <w:t>éagsúla</w:t>
      </w:r>
      <w:proofErr w:type="spellEnd"/>
      <w:r>
        <w:t xml:space="preserve"> </w:t>
      </w:r>
      <w:proofErr w:type="spellStart"/>
      <w:r>
        <w:t>tríú</w:t>
      </w:r>
      <w:proofErr w:type="spellEnd"/>
      <w:r>
        <w:t xml:space="preserve"> </w:t>
      </w:r>
      <w:proofErr w:type="spellStart"/>
      <w:r>
        <w:t>leibhéal</w:t>
      </w:r>
      <w:proofErr w:type="spellEnd"/>
      <w:r>
        <w:t xml:space="preserve"> </w:t>
      </w:r>
      <w:proofErr w:type="spellStart"/>
      <w:r>
        <w:t>agus</w:t>
      </w:r>
      <w:proofErr w:type="spellEnd"/>
      <w:r>
        <w:t xml:space="preserve"> </w:t>
      </w:r>
      <w:proofErr w:type="spellStart"/>
      <w:r>
        <w:t>críochnófar</w:t>
      </w:r>
      <w:proofErr w:type="spellEnd"/>
      <w:r>
        <w:t xml:space="preserve"> é </w:t>
      </w:r>
      <w:proofErr w:type="spellStart"/>
      <w:r>
        <w:t>sa</w:t>
      </w:r>
      <w:proofErr w:type="spellEnd"/>
      <w:r>
        <w:t xml:space="preserve"> </w:t>
      </w:r>
      <w:proofErr w:type="spellStart"/>
      <w:r>
        <w:t>chuid</w:t>
      </w:r>
      <w:proofErr w:type="spellEnd"/>
      <w:r>
        <w:t xml:space="preserve"> </w:t>
      </w:r>
      <w:proofErr w:type="spellStart"/>
      <w:r>
        <w:t>dheireanach</w:t>
      </w:r>
      <w:proofErr w:type="spellEnd"/>
      <w:r>
        <w:t xml:space="preserve"> de 2012.</w:t>
      </w:r>
    </w:p>
    <w:p w14:paraId="1780B864" w14:textId="77777777" w:rsidR="006C148C" w:rsidRDefault="006C148C">
      <w:pPr>
        <w:pStyle w:val="Heading3"/>
      </w:pPr>
      <w:bookmarkStart w:id="410" w:name="_Toc335836511"/>
      <w:proofErr w:type="spellStart"/>
      <w:r>
        <w:lastRenderedPageBreak/>
        <w:t>Clár</w:t>
      </w:r>
      <w:proofErr w:type="spellEnd"/>
      <w:r>
        <w:t xml:space="preserve"> </w:t>
      </w:r>
      <w:proofErr w:type="spellStart"/>
      <w:r>
        <w:t>píolótach</w:t>
      </w:r>
      <w:proofErr w:type="spellEnd"/>
      <w:r>
        <w:t xml:space="preserve"> </w:t>
      </w:r>
      <w:proofErr w:type="spellStart"/>
      <w:r>
        <w:t>dearaidh</w:t>
      </w:r>
      <w:proofErr w:type="spellEnd"/>
      <w:r>
        <w:t xml:space="preserve"> </w:t>
      </w:r>
      <w:proofErr w:type="spellStart"/>
      <w:r>
        <w:t>uilíoch</w:t>
      </w:r>
      <w:proofErr w:type="spellEnd"/>
      <w:r>
        <w:t xml:space="preserve"> </w:t>
      </w:r>
      <w:proofErr w:type="spellStart"/>
      <w:r>
        <w:t>dara</w:t>
      </w:r>
      <w:proofErr w:type="spellEnd"/>
      <w:r>
        <w:t xml:space="preserve"> </w:t>
      </w:r>
      <w:proofErr w:type="spellStart"/>
      <w:r>
        <w:t>leibhéal</w:t>
      </w:r>
      <w:bookmarkEnd w:id="410"/>
      <w:proofErr w:type="spellEnd"/>
    </w:p>
    <w:p w14:paraId="402E93CB" w14:textId="77777777" w:rsidR="006C148C" w:rsidRDefault="006C148C">
      <w:r>
        <w:t xml:space="preserve">Chuir Ionad an Údaráis Náisiúnta </w:t>
      </w:r>
      <w:proofErr w:type="spellStart"/>
      <w:r>
        <w:t>Míchumais</w:t>
      </w:r>
      <w:proofErr w:type="spellEnd"/>
      <w:r>
        <w:t xml:space="preserve"> um Fheabhas </w:t>
      </w:r>
      <w:proofErr w:type="spellStart"/>
      <w:r>
        <w:t>Dearaidh</w:t>
      </w:r>
      <w:proofErr w:type="spellEnd"/>
      <w:r>
        <w:t xml:space="preserve"> </w:t>
      </w:r>
      <w:proofErr w:type="spellStart"/>
      <w:r>
        <w:t>Uilíoch</w:t>
      </w:r>
      <w:proofErr w:type="spellEnd"/>
      <w:r>
        <w:t xml:space="preserve"> tús le </w:t>
      </w:r>
      <w:proofErr w:type="spellStart"/>
      <w:r>
        <w:t>tionscadal</w:t>
      </w:r>
      <w:proofErr w:type="spellEnd"/>
      <w:r>
        <w:t xml:space="preserve"> i gcomhar le </w:t>
      </w:r>
      <w:proofErr w:type="spellStart"/>
      <w:r>
        <w:t>hOllscoil</w:t>
      </w:r>
      <w:proofErr w:type="spellEnd"/>
      <w:r>
        <w:t xml:space="preserve"> Cambridge ina n-</w:t>
      </w:r>
      <w:proofErr w:type="spellStart"/>
      <w:r>
        <w:t>oibrítear</w:t>
      </w:r>
      <w:proofErr w:type="spellEnd"/>
      <w:r>
        <w:t xml:space="preserve"> </w:t>
      </w:r>
      <w:proofErr w:type="spellStart"/>
      <w:r>
        <w:t>trialacha</w:t>
      </w:r>
      <w:proofErr w:type="spellEnd"/>
      <w:r>
        <w:t xml:space="preserve"> </w:t>
      </w:r>
      <w:proofErr w:type="spellStart"/>
      <w:r>
        <w:t>píolótacha</w:t>
      </w:r>
      <w:proofErr w:type="spellEnd"/>
      <w:r>
        <w:t xml:space="preserve"> </w:t>
      </w:r>
      <w:proofErr w:type="spellStart"/>
      <w:r>
        <w:t>modúl</w:t>
      </w:r>
      <w:proofErr w:type="spellEnd"/>
      <w:r>
        <w:t xml:space="preserve"> curaclaim </w:t>
      </w:r>
      <w:proofErr w:type="spellStart"/>
      <w:r>
        <w:t>dearaidh</w:t>
      </w:r>
      <w:proofErr w:type="spellEnd"/>
      <w:r>
        <w:t xml:space="preserve"> </w:t>
      </w:r>
      <w:proofErr w:type="spellStart"/>
      <w:r>
        <w:t>uilíoch</w:t>
      </w:r>
      <w:proofErr w:type="spellEnd"/>
      <w:r>
        <w:t xml:space="preserve"> ar an dara leibhéal i gclár </w:t>
      </w:r>
      <w:proofErr w:type="spellStart"/>
      <w:r>
        <w:t>idirbhliana</w:t>
      </w:r>
      <w:proofErr w:type="spellEnd"/>
      <w:r>
        <w:t xml:space="preserve"> atá dírithe ar theicneolaíocht. Tugann an curaclam isteach réiteach fadhbanna </w:t>
      </w:r>
      <w:proofErr w:type="spellStart"/>
      <w:r>
        <w:t>dearaidh</w:t>
      </w:r>
      <w:proofErr w:type="spellEnd"/>
      <w:r>
        <w:t xml:space="preserve"> atá bunaithe ar </w:t>
      </w:r>
      <w:proofErr w:type="spellStart"/>
      <w:r>
        <w:t>chleachtais</w:t>
      </w:r>
      <w:proofErr w:type="spellEnd"/>
      <w:r>
        <w:t xml:space="preserve"> </w:t>
      </w:r>
      <w:proofErr w:type="spellStart"/>
      <w:r>
        <w:t>dearaidh</w:t>
      </w:r>
      <w:proofErr w:type="spellEnd"/>
      <w:r>
        <w:t xml:space="preserve"> atá dírithe ar </w:t>
      </w:r>
      <w:proofErr w:type="spellStart"/>
      <w:r>
        <w:t>úsáideoirí</w:t>
      </w:r>
      <w:proofErr w:type="spellEnd"/>
      <w:r>
        <w:t xml:space="preserve"> agus a </w:t>
      </w:r>
      <w:proofErr w:type="spellStart"/>
      <w:r>
        <w:t>chruthaíonn</w:t>
      </w:r>
      <w:proofErr w:type="spellEnd"/>
      <w:r>
        <w:t xml:space="preserve"> </w:t>
      </w:r>
      <w:proofErr w:type="spellStart"/>
      <w:r>
        <w:t>réitigh</w:t>
      </w:r>
      <w:proofErr w:type="spellEnd"/>
      <w:r>
        <w:t xml:space="preserve"> </w:t>
      </w:r>
      <w:proofErr w:type="spellStart"/>
      <w:r>
        <w:t>dearaidh</w:t>
      </w:r>
      <w:proofErr w:type="spellEnd"/>
      <w:r>
        <w:t xml:space="preserve"> </w:t>
      </w:r>
      <w:proofErr w:type="spellStart"/>
      <w:r>
        <w:t>uilíoch</w:t>
      </w:r>
      <w:proofErr w:type="spellEnd"/>
      <w:r>
        <w:t xml:space="preserve">. </w:t>
      </w:r>
      <w:proofErr w:type="spellStart"/>
      <w:r>
        <w:t>Foilseofar</w:t>
      </w:r>
      <w:proofErr w:type="spellEnd"/>
      <w:r>
        <w:t xml:space="preserve"> </w:t>
      </w:r>
      <w:proofErr w:type="spellStart"/>
      <w:r>
        <w:t>na</w:t>
      </w:r>
      <w:proofErr w:type="spellEnd"/>
      <w:r>
        <w:t xml:space="preserve"> </w:t>
      </w:r>
      <w:proofErr w:type="spellStart"/>
      <w:r>
        <w:t>torthaí</w:t>
      </w:r>
      <w:proofErr w:type="spellEnd"/>
      <w:r>
        <w:t xml:space="preserve"> </w:t>
      </w:r>
      <w:proofErr w:type="spellStart"/>
      <w:r>
        <w:t>agus</w:t>
      </w:r>
      <w:proofErr w:type="spellEnd"/>
      <w:r>
        <w:t xml:space="preserve"> an </w:t>
      </w:r>
      <w:proofErr w:type="spellStart"/>
      <w:r>
        <w:t>modúl</w:t>
      </w:r>
      <w:proofErr w:type="spellEnd"/>
      <w:r>
        <w:t xml:space="preserve"> </w:t>
      </w:r>
      <w:proofErr w:type="spellStart"/>
      <w:r>
        <w:t>curaclaim</w:t>
      </w:r>
      <w:proofErr w:type="spellEnd"/>
      <w:r>
        <w:t xml:space="preserve"> </w:t>
      </w:r>
      <w:proofErr w:type="spellStart"/>
      <w:r>
        <w:t>agus</w:t>
      </w:r>
      <w:proofErr w:type="spellEnd"/>
      <w:r>
        <w:t xml:space="preserve"> </w:t>
      </w:r>
      <w:proofErr w:type="spellStart"/>
      <w:r>
        <w:t>seolfar</w:t>
      </w:r>
      <w:proofErr w:type="spellEnd"/>
      <w:r>
        <w:t xml:space="preserve"> </w:t>
      </w:r>
      <w:proofErr w:type="spellStart"/>
      <w:r>
        <w:t>iad</w:t>
      </w:r>
      <w:proofErr w:type="spellEnd"/>
      <w:r>
        <w:t xml:space="preserve"> </w:t>
      </w:r>
      <w:proofErr w:type="spellStart"/>
      <w:r>
        <w:t>i</w:t>
      </w:r>
      <w:proofErr w:type="spellEnd"/>
      <w:r>
        <w:t xml:space="preserve"> </w:t>
      </w:r>
      <w:proofErr w:type="spellStart"/>
      <w:r>
        <w:t>rith</w:t>
      </w:r>
      <w:proofErr w:type="spellEnd"/>
      <w:r>
        <w:t xml:space="preserve"> 2012.</w:t>
      </w:r>
    </w:p>
    <w:p w14:paraId="55E8A6D1" w14:textId="77777777" w:rsidR="006C148C" w:rsidRDefault="006C148C">
      <w:pPr>
        <w:pStyle w:val="Heading3"/>
        <w:suppressAutoHyphens w:val="0"/>
      </w:pPr>
      <w:bookmarkStart w:id="411" w:name="_Toc335836512"/>
      <w:r>
        <w:t xml:space="preserve">Curaclam chun daoine gairmiúla teicneolaíochta </w:t>
      </w:r>
      <w:proofErr w:type="spellStart"/>
      <w:r>
        <w:t>faisnéise</w:t>
      </w:r>
      <w:proofErr w:type="spellEnd"/>
      <w:r>
        <w:t xml:space="preserve"> </w:t>
      </w:r>
      <w:proofErr w:type="spellStart"/>
      <w:r>
        <w:t>agus</w:t>
      </w:r>
      <w:proofErr w:type="spellEnd"/>
      <w:r>
        <w:t xml:space="preserve"> </w:t>
      </w:r>
      <w:proofErr w:type="spellStart"/>
      <w:r>
        <w:t>cumarsáide</w:t>
      </w:r>
      <w:proofErr w:type="spellEnd"/>
      <w:r>
        <w:t xml:space="preserve"> </w:t>
      </w:r>
      <w:proofErr w:type="gramStart"/>
      <w:r>
        <w:t>a</w:t>
      </w:r>
      <w:proofErr w:type="gramEnd"/>
      <w:r>
        <w:t xml:space="preserve"> </w:t>
      </w:r>
      <w:proofErr w:type="spellStart"/>
      <w:r>
        <w:t>oiliúint</w:t>
      </w:r>
      <w:proofErr w:type="spellEnd"/>
      <w:r>
        <w:t xml:space="preserve"> </w:t>
      </w:r>
      <w:proofErr w:type="spellStart"/>
      <w:r>
        <w:t>i</w:t>
      </w:r>
      <w:proofErr w:type="spellEnd"/>
      <w:r>
        <w:t xml:space="preserve"> </w:t>
      </w:r>
      <w:proofErr w:type="spellStart"/>
      <w:r>
        <w:t>ndearadh</w:t>
      </w:r>
      <w:proofErr w:type="spellEnd"/>
      <w:r>
        <w:t xml:space="preserve"> </w:t>
      </w:r>
      <w:proofErr w:type="spellStart"/>
      <w:r>
        <w:t>uilíoch</w:t>
      </w:r>
      <w:bookmarkEnd w:id="411"/>
      <w:proofErr w:type="spellEnd"/>
    </w:p>
    <w:p w14:paraId="5954721F" w14:textId="77777777" w:rsidR="006C148C" w:rsidRDefault="006C148C">
      <w:r>
        <w:t xml:space="preserve">Bhí Comhairleoir Sinsearach an Údaráis Náisiúnta </w:t>
      </w:r>
      <w:proofErr w:type="spellStart"/>
      <w:r>
        <w:t>Míchumais</w:t>
      </w:r>
      <w:proofErr w:type="spellEnd"/>
      <w:r>
        <w:t xml:space="preserve"> ar Dhearadh </w:t>
      </w:r>
      <w:proofErr w:type="spellStart"/>
      <w:r>
        <w:t>Uilíoch</w:t>
      </w:r>
      <w:proofErr w:type="spellEnd"/>
      <w:r>
        <w:t xml:space="preserve"> sa teicneolaíocht faisnéise agus cumarsáide mar chathaoirleach ar fhorbairt Comhaontú </w:t>
      </w:r>
      <w:proofErr w:type="spellStart"/>
      <w:r>
        <w:t>Ceardlainne</w:t>
      </w:r>
      <w:proofErr w:type="spellEnd"/>
      <w:r>
        <w:t xml:space="preserve"> </w:t>
      </w:r>
      <w:proofErr w:type="spellStart"/>
      <w:r>
        <w:t>Eorpach</w:t>
      </w:r>
      <w:proofErr w:type="spellEnd"/>
      <w:r>
        <w:t xml:space="preserve"> CEN, a </w:t>
      </w:r>
      <w:proofErr w:type="spellStart"/>
      <w:r>
        <w:t>chuireann</w:t>
      </w:r>
      <w:proofErr w:type="spellEnd"/>
      <w:r>
        <w:t xml:space="preserve"> </w:t>
      </w:r>
      <w:proofErr w:type="spellStart"/>
      <w:r>
        <w:t>síos</w:t>
      </w:r>
      <w:proofErr w:type="spellEnd"/>
      <w:r>
        <w:t xml:space="preserve"> </w:t>
      </w:r>
      <w:proofErr w:type="spellStart"/>
      <w:r>
        <w:t>ar</w:t>
      </w:r>
      <w:proofErr w:type="spellEnd"/>
      <w:r>
        <w:t xml:space="preserve"> an </w:t>
      </w:r>
      <w:proofErr w:type="spellStart"/>
      <w:r>
        <w:t>gcuraclam</w:t>
      </w:r>
      <w:proofErr w:type="spellEnd"/>
      <w:r>
        <w:t xml:space="preserve"> a </w:t>
      </w:r>
      <w:proofErr w:type="spellStart"/>
      <w:r>
        <w:t>bhfuil</w:t>
      </w:r>
      <w:proofErr w:type="spellEnd"/>
      <w:r>
        <w:t xml:space="preserve"> </w:t>
      </w:r>
      <w:proofErr w:type="spellStart"/>
      <w:r>
        <w:t>gá</w:t>
      </w:r>
      <w:proofErr w:type="spellEnd"/>
      <w:r>
        <w:t xml:space="preserve"> leis </w:t>
      </w:r>
      <w:proofErr w:type="spellStart"/>
      <w:r>
        <w:t>chun</w:t>
      </w:r>
      <w:proofErr w:type="spellEnd"/>
      <w:r>
        <w:t xml:space="preserve"> </w:t>
      </w:r>
      <w:proofErr w:type="spellStart"/>
      <w:r>
        <w:t>daoine</w:t>
      </w:r>
      <w:proofErr w:type="spellEnd"/>
      <w:r>
        <w:t xml:space="preserve"> </w:t>
      </w:r>
      <w:proofErr w:type="spellStart"/>
      <w:r>
        <w:t>gairmiúla</w:t>
      </w:r>
      <w:proofErr w:type="spellEnd"/>
      <w:r>
        <w:t xml:space="preserve"> </w:t>
      </w:r>
      <w:proofErr w:type="spellStart"/>
      <w:r>
        <w:t>teicneolaíochta</w:t>
      </w:r>
      <w:proofErr w:type="spellEnd"/>
      <w:r>
        <w:t xml:space="preserve"> </w:t>
      </w:r>
      <w:proofErr w:type="spellStart"/>
      <w:r>
        <w:t>faisnéise</w:t>
      </w:r>
      <w:proofErr w:type="spellEnd"/>
      <w:r>
        <w:t xml:space="preserve"> </w:t>
      </w:r>
      <w:proofErr w:type="spellStart"/>
      <w:r>
        <w:t>agus</w:t>
      </w:r>
      <w:proofErr w:type="spellEnd"/>
      <w:r>
        <w:t xml:space="preserve"> </w:t>
      </w:r>
      <w:proofErr w:type="spellStart"/>
      <w:r>
        <w:t>cumarsáide</w:t>
      </w:r>
      <w:proofErr w:type="spellEnd"/>
      <w:r>
        <w:t xml:space="preserve"> a </w:t>
      </w:r>
      <w:proofErr w:type="spellStart"/>
      <w:r>
        <w:t>oiliúint</w:t>
      </w:r>
      <w:proofErr w:type="spellEnd"/>
      <w:r>
        <w:t xml:space="preserve">, le </w:t>
      </w:r>
      <w:proofErr w:type="spellStart"/>
      <w:r>
        <w:t>glacadh</w:t>
      </w:r>
      <w:proofErr w:type="spellEnd"/>
      <w:r>
        <w:t xml:space="preserve"> le cur </w:t>
      </w:r>
      <w:proofErr w:type="spellStart"/>
      <w:r>
        <w:t>chuige</w:t>
      </w:r>
      <w:proofErr w:type="spellEnd"/>
      <w:r>
        <w:t xml:space="preserve"> </w:t>
      </w:r>
      <w:proofErr w:type="spellStart"/>
      <w:r>
        <w:t>dearaidh</w:t>
      </w:r>
      <w:proofErr w:type="spellEnd"/>
      <w:r>
        <w:t xml:space="preserve"> </w:t>
      </w:r>
      <w:proofErr w:type="spellStart"/>
      <w:r>
        <w:t>uilíoch</w:t>
      </w:r>
      <w:proofErr w:type="spellEnd"/>
      <w:r>
        <w:t xml:space="preserve"> </w:t>
      </w:r>
      <w:proofErr w:type="spellStart"/>
      <w:r>
        <w:t>i</w:t>
      </w:r>
      <w:proofErr w:type="spellEnd"/>
      <w:r>
        <w:t xml:space="preserve"> </w:t>
      </w:r>
      <w:proofErr w:type="spellStart"/>
      <w:r>
        <w:t>ndearadh</w:t>
      </w:r>
      <w:proofErr w:type="spellEnd"/>
      <w:r>
        <w:t xml:space="preserve">, </w:t>
      </w:r>
      <w:proofErr w:type="spellStart"/>
      <w:r>
        <w:t>forbairt</w:t>
      </w:r>
      <w:proofErr w:type="spellEnd"/>
      <w:r>
        <w:t xml:space="preserve"> </w:t>
      </w:r>
      <w:proofErr w:type="spellStart"/>
      <w:r>
        <w:t>agus</w:t>
      </w:r>
      <w:proofErr w:type="spellEnd"/>
      <w:r>
        <w:t xml:space="preserve"> </w:t>
      </w:r>
      <w:proofErr w:type="spellStart"/>
      <w:r>
        <w:t>soláthar</w:t>
      </w:r>
      <w:proofErr w:type="spellEnd"/>
      <w:r>
        <w:t xml:space="preserve"> </w:t>
      </w:r>
      <w:proofErr w:type="spellStart"/>
      <w:r>
        <w:t>earraí</w:t>
      </w:r>
      <w:proofErr w:type="spellEnd"/>
      <w:r>
        <w:t xml:space="preserve"> </w:t>
      </w:r>
      <w:proofErr w:type="spellStart"/>
      <w:r>
        <w:t>agus</w:t>
      </w:r>
      <w:proofErr w:type="spellEnd"/>
      <w:r>
        <w:t xml:space="preserve"> </w:t>
      </w:r>
      <w:proofErr w:type="spellStart"/>
      <w:r>
        <w:t>seirbhísí</w:t>
      </w:r>
      <w:proofErr w:type="spellEnd"/>
      <w:r>
        <w:t xml:space="preserve"> </w:t>
      </w:r>
      <w:proofErr w:type="spellStart"/>
      <w:r>
        <w:t>teicneolaíochta</w:t>
      </w:r>
      <w:proofErr w:type="spellEnd"/>
      <w:r>
        <w:t xml:space="preserve"> </w:t>
      </w:r>
      <w:proofErr w:type="spellStart"/>
      <w:r>
        <w:t>cumarsáide</w:t>
      </w:r>
      <w:proofErr w:type="spellEnd"/>
      <w:r>
        <w:t xml:space="preserve"> </w:t>
      </w:r>
      <w:proofErr w:type="spellStart"/>
      <w:r>
        <w:t>agus</w:t>
      </w:r>
      <w:proofErr w:type="spellEnd"/>
      <w:r>
        <w:t xml:space="preserve"> </w:t>
      </w:r>
      <w:proofErr w:type="spellStart"/>
      <w:r>
        <w:t>faisnéise</w:t>
      </w:r>
      <w:proofErr w:type="spellEnd"/>
      <w:r>
        <w:t xml:space="preserve"> </w:t>
      </w:r>
      <w:proofErr w:type="spellStart"/>
      <w:r>
        <w:t>atá</w:t>
      </w:r>
      <w:proofErr w:type="spellEnd"/>
      <w:r>
        <w:t xml:space="preserve"> </w:t>
      </w:r>
      <w:proofErr w:type="spellStart"/>
      <w:r>
        <w:t>inúsáidte</w:t>
      </w:r>
      <w:proofErr w:type="spellEnd"/>
      <w:r>
        <w:t xml:space="preserve"> </w:t>
      </w:r>
      <w:proofErr w:type="spellStart"/>
      <w:r>
        <w:t>agus</w:t>
      </w:r>
      <w:proofErr w:type="spellEnd"/>
      <w:r>
        <w:t xml:space="preserve"> </w:t>
      </w:r>
      <w:proofErr w:type="spellStart"/>
      <w:r>
        <w:t>ar</w:t>
      </w:r>
      <w:proofErr w:type="spellEnd"/>
      <w:r>
        <w:t xml:space="preserve"> </w:t>
      </w:r>
      <w:proofErr w:type="spellStart"/>
      <w:r>
        <w:t>féidir</w:t>
      </w:r>
      <w:proofErr w:type="spellEnd"/>
      <w:r>
        <w:t xml:space="preserve"> leis an </w:t>
      </w:r>
      <w:proofErr w:type="spellStart"/>
      <w:r>
        <w:t>réimsí</w:t>
      </w:r>
      <w:proofErr w:type="spellEnd"/>
      <w:r>
        <w:t xml:space="preserve"> </w:t>
      </w:r>
      <w:proofErr w:type="spellStart"/>
      <w:r>
        <w:t>úsáideoirí</w:t>
      </w:r>
      <w:proofErr w:type="spellEnd"/>
      <w:r>
        <w:t xml:space="preserve"> is </w:t>
      </w:r>
      <w:proofErr w:type="spellStart"/>
      <w:r>
        <w:t>leithne</w:t>
      </w:r>
      <w:proofErr w:type="spellEnd"/>
      <w:r>
        <w:t xml:space="preserve"> is </w:t>
      </w:r>
      <w:proofErr w:type="spellStart"/>
      <w:r>
        <w:t>féidir</w:t>
      </w:r>
      <w:proofErr w:type="spellEnd"/>
      <w:r>
        <w:t xml:space="preserve"> </w:t>
      </w:r>
      <w:proofErr w:type="spellStart"/>
      <w:r>
        <w:t>teacht</w:t>
      </w:r>
      <w:proofErr w:type="spellEnd"/>
      <w:r>
        <w:t xml:space="preserve"> air. </w:t>
      </w:r>
      <w:proofErr w:type="spellStart"/>
      <w:r>
        <w:t>Foilsíodh</w:t>
      </w:r>
      <w:proofErr w:type="spellEnd"/>
      <w:r>
        <w:t xml:space="preserve"> an </w:t>
      </w:r>
      <w:proofErr w:type="spellStart"/>
      <w:r>
        <w:t>caighdeán</w:t>
      </w:r>
      <w:proofErr w:type="spellEnd"/>
      <w:r>
        <w:t xml:space="preserve"> </w:t>
      </w:r>
      <w:proofErr w:type="spellStart"/>
      <w:r>
        <w:t>Eorpach</w:t>
      </w:r>
      <w:proofErr w:type="spellEnd"/>
      <w:r>
        <w:t xml:space="preserve"> </w:t>
      </w:r>
      <w:proofErr w:type="spellStart"/>
      <w:r>
        <w:t>seo</w:t>
      </w:r>
      <w:proofErr w:type="spellEnd"/>
      <w:r>
        <w:t xml:space="preserve"> </w:t>
      </w:r>
      <w:proofErr w:type="spellStart"/>
      <w:r>
        <w:t>sa</w:t>
      </w:r>
      <w:proofErr w:type="spellEnd"/>
      <w:r>
        <w:t xml:space="preserve"> </w:t>
      </w:r>
      <w:proofErr w:type="spellStart"/>
      <w:r>
        <w:t>chuid</w:t>
      </w:r>
      <w:proofErr w:type="spellEnd"/>
      <w:r>
        <w:t xml:space="preserve"> </w:t>
      </w:r>
      <w:proofErr w:type="spellStart"/>
      <w:r>
        <w:t>luath</w:t>
      </w:r>
      <w:proofErr w:type="spellEnd"/>
      <w:r>
        <w:t xml:space="preserve"> de 2012 </w:t>
      </w:r>
      <w:proofErr w:type="spellStart"/>
      <w:r>
        <w:t>agus</w:t>
      </w:r>
      <w:proofErr w:type="spellEnd"/>
      <w:r>
        <w:t xml:space="preserve"> </w:t>
      </w:r>
      <w:proofErr w:type="spellStart"/>
      <w:r>
        <w:t>beidh</w:t>
      </w:r>
      <w:proofErr w:type="spellEnd"/>
      <w:r>
        <w:t xml:space="preserve"> </w:t>
      </w:r>
      <w:proofErr w:type="spellStart"/>
      <w:r>
        <w:t>sé</w:t>
      </w:r>
      <w:proofErr w:type="spellEnd"/>
      <w:r>
        <w:t xml:space="preserve"> </w:t>
      </w:r>
      <w:proofErr w:type="spellStart"/>
      <w:r>
        <w:t>ar</w:t>
      </w:r>
      <w:proofErr w:type="spellEnd"/>
      <w:r>
        <w:t xml:space="preserve"> an </w:t>
      </w:r>
      <w:proofErr w:type="spellStart"/>
      <w:r>
        <w:t>gcéad</w:t>
      </w:r>
      <w:proofErr w:type="spellEnd"/>
      <w:r>
        <w:t xml:space="preserve"> </w:t>
      </w:r>
      <w:proofErr w:type="spellStart"/>
      <w:r>
        <w:t>chaighdeán</w:t>
      </w:r>
      <w:proofErr w:type="spellEnd"/>
      <w:r>
        <w:t xml:space="preserve"> </w:t>
      </w:r>
      <w:proofErr w:type="spellStart"/>
      <w:r>
        <w:t>inrochtana</w:t>
      </w:r>
      <w:proofErr w:type="spellEnd"/>
      <w:r>
        <w:t xml:space="preserve"> </w:t>
      </w:r>
      <w:proofErr w:type="spellStart"/>
      <w:r>
        <w:t>Eorpach</w:t>
      </w:r>
      <w:proofErr w:type="spellEnd"/>
      <w:r>
        <w:t xml:space="preserve"> den </w:t>
      </w:r>
      <w:proofErr w:type="spellStart"/>
      <w:r>
        <w:t>chineál</w:t>
      </w:r>
      <w:proofErr w:type="spellEnd"/>
      <w:r>
        <w:t xml:space="preserve"> </w:t>
      </w:r>
      <w:proofErr w:type="spellStart"/>
      <w:r>
        <w:t>seo</w:t>
      </w:r>
      <w:proofErr w:type="spellEnd"/>
      <w:r>
        <w:t>.</w:t>
      </w:r>
    </w:p>
    <w:p w14:paraId="17AAF312" w14:textId="77777777" w:rsidR="006C148C" w:rsidRDefault="006C148C">
      <w:pPr>
        <w:pStyle w:val="Heading1"/>
        <w:pageBreakBefore/>
      </w:pPr>
      <w:bookmarkStart w:id="412" w:name="_Toc335829662"/>
      <w:bookmarkStart w:id="413" w:name="_Toc335836513"/>
      <w:bookmarkStart w:id="414" w:name="_Toc335983451"/>
      <w:bookmarkStart w:id="415" w:name="_Toc335986621"/>
      <w:r>
        <w:lastRenderedPageBreak/>
        <w:t xml:space="preserve">Tosaíocht </w:t>
      </w:r>
      <w:proofErr w:type="spellStart"/>
      <w:r>
        <w:t>Straitéiseach</w:t>
      </w:r>
      <w:proofErr w:type="spellEnd"/>
      <w:r>
        <w:t xml:space="preserve"> 4:  Cumas an </w:t>
      </w:r>
      <w:proofErr w:type="spellStart"/>
      <w:r>
        <w:t>Údaráis</w:t>
      </w:r>
      <w:proofErr w:type="spellEnd"/>
      <w:r>
        <w:t xml:space="preserve"> </w:t>
      </w:r>
      <w:proofErr w:type="spellStart"/>
      <w:r>
        <w:t>Náisiúnta</w:t>
      </w:r>
      <w:proofErr w:type="spellEnd"/>
      <w:r>
        <w:t xml:space="preserve"> </w:t>
      </w:r>
      <w:proofErr w:type="spellStart"/>
      <w:r>
        <w:t>Míchumais</w:t>
      </w:r>
      <w:proofErr w:type="spellEnd"/>
      <w:r>
        <w:t xml:space="preserve"> a </w:t>
      </w:r>
      <w:proofErr w:type="spellStart"/>
      <w:r>
        <w:t>thógáil</w:t>
      </w:r>
      <w:proofErr w:type="spellEnd"/>
      <w:r>
        <w:t xml:space="preserve"> </w:t>
      </w:r>
      <w:proofErr w:type="spellStart"/>
      <w:r>
        <w:t>lena</w:t>
      </w:r>
      <w:proofErr w:type="spellEnd"/>
      <w:r>
        <w:t xml:space="preserve"> </w:t>
      </w:r>
      <w:proofErr w:type="spellStart"/>
      <w:r>
        <w:t>spriocanna</w:t>
      </w:r>
      <w:proofErr w:type="spellEnd"/>
      <w:r>
        <w:t xml:space="preserve"> </w:t>
      </w:r>
      <w:proofErr w:type="spellStart"/>
      <w:r>
        <w:t>straitéiseacha</w:t>
      </w:r>
      <w:proofErr w:type="spellEnd"/>
      <w:r>
        <w:t xml:space="preserve"> a </w:t>
      </w:r>
      <w:proofErr w:type="spellStart"/>
      <w:r>
        <w:t>sheachadadh</w:t>
      </w:r>
      <w:bookmarkEnd w:id="412"/>
      <w:bookmarkEnd w:id="413"/>
      <w:bookmarkEnd w:id="414"/>
      <w:bookmarkEnd w:id="415"/>
      <w:proofErr w:type="spellEnd"/>
    </w:p>
    <w:p w14:paraId="143BAAEB" w14:textId="77777777" w:rsidR="006C148C" w:rsidRDefault="006C148C">
      <w:pPr>
        <w:pStyle w:val="Heading2"/>
      </w:pPr>
      <w:bookmarkStart w:id="416" w:name="_Toc335836514"/>
      <w:r>
        <w:t>Oiliúint agus forbairt 2011</w:t>
      </w:r>
      <w:bookmarkEnd w:id="416"/>
    </w:p>
    <w:p w14:paraId="5018C7BF" w14:textId="77777777" w:rsidR="006C148C" w:rsidRDefault="006C148C">
      <w:pPr>
        <w:rPr>
          <w:rFonts w:eastAsia="BiauKai"/>
        </w:rPr>
      </w:pPr>
      <w:r>
        <w:rPr>
          <w:rFonts w:eastAsia="BiauKai"/>
        </w:rPr>
        <w:t xml:space="preserve">Le cur i bhfeidhm leanúnach de Chóras éifeachtach </w:t>
      </w:r>
      <w:proofErr w:type="spellStart"/>
      <w:r>
        <w:rPr>
          <w:rFonts w:eastAsia="BiauKai"/>
        </w:rPr>
        <w:t>Feidhmíochta</w:t>
      </w:r>
      <w:proofErr w:type="spellEnd"/>
      <w:r>
        <w:rPr>
          <w:rFonts w:eastAsia="BiauKai"/>
        </w:rPr>
        <w:t xml:space="preserve"> Bainistíochta agus Forbartha san Údarás Náisiúnta </w:t>
      </w:r>
      <w:proofErr w:type="spellStart"/>
      <w:r>
        <w:rPr>
          <w:rFonts w:eastAsia="BiauKai"/>
        </w:rPr>
        <w:t>Míchumais</w:t>
      </w:r>
      <w:proofErr w:type="spellEnd"/>
      <w:r>
        <w:rPr>
          <w:rFonts w:eastAsia="BiauKai"/>
        </w:rPr>
        <w:t xml:space="preserve"> a </w:t>
      </w:r>
      <w:proofErr w:type="spellStart"/>
      <w:r>
        <w:rPr>
          <w:rFonts w:eastAsia="BiauKai"/>
        </w:rPr>
        <w:t>thacú</w:t>
      </w:r>
      <w:proofErr w:type="spellEnd"/>
      <w:r>
        <w:rPr>
          <w:rFonts w:eastAsia="BiauKai"/>
        </w:rPr>
        <w:t xml:space="preserve">, fuair gach ball foirne oiliúint </w:t>
      </w:r>
      <w:proofErr w:type="spellStart"/>
      <w:r>
        <w:rPr>
          <w:rFonts w:eastAsia="BiauKai"/>
        </w:rPr>
        <w:t>athnuachana</w:t>
      </w:r>
      <w:proofErr w:type="spellEnd"/>
      <w:r>
        <w:rPr>
          <w:rFonts w:eastAsia="BiauKai"/>
        </w:rPr>
        <w:t xml:space="preserve"> ar chur i bhfeidhm an chórais seo. Is é an Córas </w:t>
      </w:r>
      <w:proofErr w:type="spellStart"/>
      <w:r>
        <w:rPr>
          <w:rFonts w:eastAsia="BiauKai"/>
        </w:rPr>
        <w:t>Feidhmíochta</w:t>
      </w:r>
      <w:proofErr w:type="spellEnd"/>
      <w:r>
        <w:rPr>
          <w:rFonts w:eastAsia="BiauKai"/>
        </w:rPr>
        <w:t xml:space="preserve"> Bainistíochta agus Forbartha an </w:t>
      </w:r>
      <w:proofErr w:type="spellStart"/>
      <w:r>
        <w:rPr>
          <w:rFonts w:eastAsia="BiauKai"/>
        </w:rPr>
        <w:t>mheicníocht</w:t>
      </w:r>
      <w:proofErr w:type="spellEnd"/>
      <w:r>
        <w:rPr>
          <w:rFonts w:eastAsia="BiauKai"/>
        </w:rPr>
        <w:t xml:space="preserve"> atá in úsáid chun </w:t>
      </w:r>
      <w:proofErr w:type="spellStart"/>
      <w:r>
        <w:rPr>
          <w:rFonts w:eastAsia="BiauKai"/>
        </w:rPr>
        <w:t>feidhmíocht</w:t>
      </w:r>
      <w:proofErr w:type="spellEnd"/>
      <w:r>
        <w:rPr>
          <w:rFonts w:eastAsia="BiauKai"/>
        </w:rPr>
        <w:t xml:space="preserve"> na foirne a </w:t>
      </w:r>
      <w:proofErr w:type="spellStart"/>
      <w:r>
        <w:rPr>
          <w:rFonts w:eastAsia="BiauKai"/>
        </w:rPr>
        <w:t>mheasúnú</w:t>
      </w:r>
      <w:proofErr w:type="spellEnd"/>
      <w:r>
        <w:rPr>
          <w:rFonts w:eastAsia="BiauKai"/>
        </w:rPr>
        <w:t xml:space="preserve">, a </w:t>
      </w:r>
      <w:proofErr w:type="spellStart"/>
      <w:r>
        <w:rPr>
          <w:rFonts w:eastAsia="BiauKai"/>
        </w:rPr>
        <w:t>bhainistiú</w:t>
      </w:r>
      <w:proofErr w:type="spellEnd"/>
      <w:r>
        <w:rPr>
          <w:rFonts w:eastAsia="BiauKai"/>
        </w:rPr>
        <w:t xml:space="preserve"> </w:t>
      </w:r>
      <w:proofErr w:type="spellStart"/>
      <w:r>
        <w:rPr>
          <w:rFonts w:eastAsia="BiauKai"/>
        </w:rPr>
        <w:t>agus</w:t>
      </w:r>
      <w:proofErr w:type="spellEnd"/>
      <w:r>
        <w:rPr>
          <w:rFonts w:eastAsia="BiauKai"/>
        </w:rPr>
        <w:t xml:space="preserve"> a </w:t>
      </w:r>
      <w:proofErr w:type="spellStart"/>
      <w:r>
        <w:rPr>
          <w:rFonts w:eastAsia="BiauKai"/>
        </w:rPr>
        <w:t>thacú</w:t>
      </w:r>
      <w:proofErr w:type="spellEnd"/>
      <w:r>
        <w:rPr>
          <w:rFonts w:eastAsia="BiauKai"/>
        </w:rPr>
        <w:t xml:space="preserve"> de </w:t>
      </w:r>
      <w:proofErr w:type="spellStart"/>
      <w:r>
        <w:rPr>
          <w:rFonts w:eastAsia="BiauKai"/>
        </w:rPr>
        <w:t>réir</w:t>
      </w:r>
      <w:proofErr w:type="spellEnd"/>
      <w:r>
        <w:rPr>
          <w:rFonts w:eastAsia="BiauKai"/>
        </w:rPr>
        <w:t xml:space="preserve"> </w:t>
      </w:r>
      <w:proofErr w:type="spellStart"/>
      <w:r>
        <w:rPr>
          <w:rFonts w:eastAsia="BiauKai"/>
        </w:rPr>
        <w:t>cleachtais</w:t>
      </w:r>
      <w:proofErr w:type="spellEnd"/>
      <w:r>
        <w:rPr>
          <w:rFonts w:eastAsia="BiauKai"/>
        </w:rPr>
        <w:t xml:space="preserve"> </w:t>
      </w:r>
      <w:proofErr w:type="spellStart"/>
      <w:r>
        <w:rPr>
          <w:rFonts w:eastAsia="BiauKai"/>
        </w:rPr>
        <w:t>reatha</w:t>
      </w:r>
      <w:proofErr w:type="spellEnd"/>
      <w:r>
        <w:rPr>
          <w:rFonts w:eastAsia="BiauKai"/>
        </w:rPr>
        <w:t xml:space="preserve"> </w:t>
      </w:r>
      <w:proofErr w:type="spellStart"/>
      <w:r>
        <w:rPr>
          <w:rFonts w:eastAsia="BiauKai"/>
        </w:rPr>
        <w:t>sa</w:t>
      </w:r>
      <w:proofErr w:type="spellEnd"/>
      <w:r>
        <w:rPr>
          <w:rFonts w:eastAsia="BiauKai"/>
        </w:rPr>
        <w:t xml:space="preserve"> </w:t>
      </w:r>
      <w:proofErr w:type="spellStart"/>
      <w:r>
        <w:rPr>
          <w:rFonts w:eastAsia="BiauKai"/>
        </w:rPr>
        <w:t>tseirbhís</w:t>
      </w:r>
      <w:proofErr w:type="spellEnd"/>
      <w:r>
        <w:rPr>
          <w:rFonts w:eastAsia="BiauKai"/>
        </w:rPr>
        <w:t xml:space="preserve"> </w:t>
      </w:r>
      <w:proofErr w:type="spellStart"/>
      <w:r>
        <w:rPr>
          <w:rFonts w:eastAsia="BiauKai"/>
        </w:rPr>
        <w:t>phoiblí</w:t>
      </w:r>
      <w:proofErr w:type="spellEnd"/>
      <w:r>
        <w:rPr>
          <w:rFonts w:eastAsia="BiauKai"/>
        </w:rPr>
        <w:t>.</w:t>
      </w:r>
    </w:p>
    <w:p w14:paraId="61B3C413" w14:textId="77777777" w:rsidR="006C148C" w:rsidRDefault="006C148C">
      <w:r>
        <w:t xml:space="preserve">De réir </w:t>
      </w:r>
      <w:proofErr w:type="spellStart"/>
      <w:r>
        <w:rPr>
          <w:b/>
        </w:rPr>
        <w:t>Straitéise</w:t>
      </w:r>
      <w:proofErr w:type="spellEnd"/>
      <w:r>
        <w:rPr>
          <w:b/>
        </w:rPr>
        <w:t xml:space="preserve"> Cumarsáide an </w:t>
      </w:r>
      <w:proofErr w:type="spellStart"/>
      <w:r>
        <w:rPr>
          <w:b/>
        </w:rPr>
        <w:t>Údaráis</w:t>
      </w:r>
      <w:proofErr w:type="spellEnd"/>
      <w:r>
        <w:rPr>
          <w:b/>
        </w:rPr>
        <w:t xml:space="preserve"> </w:t>
      </w:r>
      <w:proofErr w:type="spellStart"/>
      <w:r>
        <w:rPr>
          <w:b/>
        </w:rPr>
        <w:t>Náisiúnta</w:t>
      </w:r>
      <w:proofErr w:type="spellEnd"/>
      <w:r>
        <w:rPr>
          <w:b/>
        </w:rPr>
        <w:t xml:space="preserve"> </w:t>
      </w:r>
      <w:proofErr w:type="spellStart"/>
      <w:r>
        <w:rPr>
          <w:b/>
        </w:rPr>
        <w:t>Míchumais</w:t>
      </w:r>
      <w:proofErr w:type="spellEnd"/>
      <w:r>
        <w:rPr>
          <w:b/>
        </w:rPr>
        <w:t xml:space="preserve"> 2010-2012</w:t>
      </w:r>
      <w:r>
        <w:t xml:space="preserve">, </w:t>
      </w:r>
      <w:proofErr w:type="spellStart"/>
      <w:r>
        <w:t>reáchtáladh</w:t>
      </w:r>
      <w:proofErr w:type="spellEnd"/>
      <w:r>
        <w:t xml:space="preserve"> </w:t>
      </w:r>
      <w:proofErr w:type="spellStart"/>
      <w:r>
        <w:t>ceardlanna</w:t>
      </w:r>
      <w:proofErr w:type="spellEnd"/>
      <w:r>
        <w:t xml:space="preserve"> </w:t>
      </w:r>
      <w:proofErr w:type="spellStart"/>
      <w:r>
        <w:t>scríbhneoireachta</w:t>
      </w:r>
      <w:proofErr w:type="spellEnd"/>
      <w:r>
        <w:t xml:space="preserve"> </w:t>
      </w:r>
      <w:proofErr w:type="spellStart"/>
      <w:r>
        <w:t>éifeachtaí</w:t>
      </w:r>
      <w:proofErr w:type="spellEnd"/>
      <w:r>
        <w:t xml:space="preserve"> don </w:t>
      </w:r>
      <w:proofErr w:type="spellStart"/>
      <w:r>
        <w:t>fhoireann</w:t>
      </w:r>
      <w:proofErr w:type="spellEnd"/>
      <w:r>
        <w:t xml:space="preserve"> </w:t>
      </w:r>
      <w:proofErr w:type="spellStart"/>
      <w:r>
        <w:t>i</w:t>
      </w:r>
      <w:proofErr w:type="spellEnd"/>
      <w:r>
        <w:t xml:space="preserve"> </w:t>
      </w:r>
      <w:proofErr w:type="spellStart"/>
      <w:r>
        <w:t>Lúnasa</w:t>
      </w:r>
      <w:proofErr w:type="spellEnd"/>
      <w:r>
        <w:t xml:space="preserve"> </w:t>
      </w:r>
      <w:proofErr w:type="spellStart"/>
      <w:r>
        <w:t>agus</w:t>
      </w:r>
      <w:proofErr w:type="spellEnd"/>
      <w:r>
        <w:t xml:space="preserve"> </w:t>
      </w:r>
      <w:proofErr w:type="spellStart"/>
      <w:r>
        <w:t>i</w:t>
      </w:r>
      <w:proofErr w:type="spellEnd"/>
      <w:r>
        <w:t xml:space="preserve"> </w:t>
      </w:r>
      <w:proofErr w:type="spellStart"/>
      <w:r>
        <w:t>Meán</w:t>
      </w:r>
      <w:proofErr w:type="spellEnd"/>
      <w:r>
        <w:t xml:space="preserve"> </w:t>
      </w:r>
      <w:proofErr w:type="spellStart"/>
      <w:r>
        <w:t>Fómhair</w:t>
      </w:r>
      <w:proofErr w:type="spellEnd"/>
      <w:r>
        <w:t xml:space="preserve"> 2011, </w:t>
      </w:r>
      <w:proofErr w:type="spellStart"/>
      <w:r>
        <w:t>agus</w:t>
      </w:r>
      <w:proofErr w:type="spellEnd"/>
      <w:r>
        <w:t xml:space="preserve"> </w:t>
      </w:r>
      <w:proofErr w:type="spellStart"/>
      <w:r>
        <w:t>ina</w:t>
      </w:r>
      <w:proofErr w:type="spellEnd"/>
      <w:r>
        <w:t xml:space="preserve"> </w:t>
      </w:r>
      <w:proofErr w:type="spellStart"/>
      <w:r>
        <w:t>dhiaidh</w:t>
      </w:r>
      <w:proofErr w:type="spellEnd"/>
      <w:r>
        <w:t xml:space="preserve"> sin </w:t>
      </w:r>
      <w:proofErr w:type="spellStart"/>
      <w:r>
        <w:t>cóitseáil</w:t>
      </w:r>
      <w:proofErr w:type="spellEnd"/>
      <w:r>
        <w:t xml:space="preserve"> in </w:t>
      </w:r>
      <w:proofErr w:type="spellStart"/>
      <w:r>
        <w:t>ardscríbhneoireacht</w:t>
      </w:r>
      <w:proofErr w:type="spellEnd"/>
      <w:r>
        <w:t xml:space="preserve"> do </w:t>
      </w:r>
      <w:proofErr w:type="spellStart"/>
      <w:r>
        <w:t>bhaill</w:t>
      </w:r>
      <w:proofErr w:type="spellEnd"/>
      <w:r>
        <w:t xml:space="preserve"> </w:t>
      </w:r>
      <w:proofErr w:type="spellStart"/>
      <w:r>
        <w:t>fhoirne</w:t>
      </w:r>
      <w:proofErr w:type="spellEnd"/>
      <w:r>
        <w:t xml:space="preserve"> </w:t>
      </w:r>
      <w:proofErr w:type="spellStart"/>
      <w:r>
        <w:t>roghnaithe</w:t>
      </w:r>
      <w:proofErr w:type="spellEnd"/>
      <w:r>
        <w:t xml:space="preserve">. </w:t>
      </w:r>
    </w:p>
    <w:p w14:paraId="4875F700" w14:textId="77777777" w:rsidR="006C148C" w:rsidRDefault="006C148C">
      <w:r>
        <w:t xml:space="preserve">Seachadadh réimse de </w:t>
      </w:r>
      <w:proofErr w:type="spellStart"/>
      <w:r>
        <w:t>dheiseanna</w:t>
      </w:r>
      <w:proofErr w:type="spellEnd"/>
      <w:r>
        <w:t xml:space="preserve"> </w:t>
      </w:r>
      <w:proofErr w:type="spellStart"/>
      <w:r>
        <w:t>oiliúna</w:t>
      </w:r>
      <w:proofErr w:type="spellEnd"/>
      <w:r>
        <w:t xml:space="preserve"> </w:t>
      </w:r>
      <w:proofErr w:type="spellStart"/>
      <w:r>
        <w:t>agus</w:t>
      </w:r>
      <w:proofErr w:type="spellEnd"/>
      <w:r>
        <w:t xml:space="preserve"> forbartha aonair, de réir </w:t>
      </w:r>
      <w:r>
        <w:rPr>
          <w:rFonts w:eastAsia="BiauKai"/>
        </w:rPr>
        <w:t xml:space="preserve">an Chórais </w:t>
      </w:r>
      <w:proofErr w:type="spellStart"/>
      <w:r>
        <w:rPr>
          <w:rFonts w:eastAsia="BiauKai"/>
        </w:rPr>
        <w:t>Fheidhmíochta</w:t>
      </w:r>
      <w:proofErr w:type="spellEnd"/>
      <w:r>
        <w:rPr>
          <w:rFonts w:eastAsia="BiauKai"/>
        </w:rPr>
        <w:t xml:space="preserve"> </w:t>
      </w:r>
      <w:proofErr w:type="spellStart"/>
      <w:r>
        <w:rPr>
          <w:rFonts w:eastAsia="BiauKai"/>
        </w:rPr>
        <w:t>Bainistíochta</w:t>
      </w:r>
      <w:proofErr w:type="spellEnd"/>
      <w:r>
        <w:rPr>
          <w:rFonts w:eastAsia="BiauKai"/>
        </w:rPr>
        <w:t xml:space="preserve"> </w:t>
      </w:r>
      <w:proofErr w:type="spellStart"/>
      <w:r>
        <w:rPr>
          <w:rFonts w:eastAsia="BiauKai"/>
        </w:rPr>
        <w:t>agus</w:t>
      </w:r>
      <w:proofErr w:type="spellEnd"/>
      <w:r>
        <w:rPr>
          <w:rFonts w:eastAsia="BiauKai"/>
        </w:rPr>
        <w:t xml:space="preserve"> </w:t>
      </w:r>
      <w:proofErr w:type="spellStart"/>
      <w:r>
        <w:rPr>
          <w:rFonts w:eastAsia="BiauKai"/>
        </w:rPr>
        <w:t>Forbartha</w:t>
      </w:r>
      <w:proofErr w:type="spellEnd"/>
      <w:r>
        <w:rPr>
          <w:rFonts w:eastAsia="BiauKai"/>
        </w:rPr>
        <w:t xml:space="preserve">, </w:t>
      </w:r>
      <w:proofErr w:type="spellStart"/>
      <w:r>
        <w:rPr>
          <w:rFonts w:eastAsia="BiauKai"/>
        </w:rPr>
        <w:t>agus</w:t>
      </w:r>
      <w:proofErr w:type="spellEnd"/>
      <w:r>
        <w:rPr>
          <w:rFonts w:eastAsia="BiauKai"/>
        </w:rPr>
        <w:t xml:space="preserve"> </w:t>
      </w:r>
      <w:proofErr w:type="spellStart"/>
      <w:r>
        <w:rPr>
          <w:rFonts w:eastAsia="BiauKai"/>
        </w:rPr>
        <w:t>foirmithe</w:t>
      </w:r>
      <w:proofErr w:type="spellEnd"/>
      <w:r>
        <w:rPr>
          <w:rFonts w:eastAsia="BiauKai"/>
        </w:rPr>
        <w:t xml:space="preserve"> </w:t>
      </w:r>
      <w:proofErr w:type="spellStart"/>
      <w:r>
        <w:rPr>
          <w:rFonts w:eastAsia="BiauKai"/>
        </w:rPr>
        <w:t>aige</w:t>
      </w:r>
      <w:proofErr w:type="spellEnd"/>
      <w:r>
        <w:rPr>
          <w:rFonts w:eastAsia="BiauKai"/>
        </w:rPr>
        <w:t xml:space="preserve"> </w:t>
      </w:r>
      <w:proofErr w:type="spellStart"/>
      <w:r>
        <w:rPr>
          <w:rFonts w:eastAsia="BiauKai"/>
        </w:rPr>
        <w:t>freisin</w:t>
      </w:r>
      <w:proofErr w:type="spellEnd"/>
      <w:r>
        <w:t xml:space="preserve">.   </w:t>
      </w:r>
    </w:p>
    <w:p w14:paraId="70919CA1" w14:textId="77777777" w:rsidR="006C148C" w:rsidRDefault="006C148C">
      <w:pPr>
        <w:pStyle w:val="Heading2"/>
      </w:pPr>
      <w:bookmarkStart w:id="417" w:name="_Toc335836515"/>
      <w:r>
        <w:t xml:space="preserve">Airgeadais agus </w:t>
      </w:r>
      <w:proofErr w:type="spellStart"/>
      <w:r>
        <w:t>rialachas</w:t>
      </w:r>
      <w:bookmarkEnd w:id="417"/>
      <w:proofErr w:type="spellEnd"/>
    </w:p>
    <w:p w14:paraId="1D32C054" w14:textId="77777777" w:rsidR="006C148C" w:rsidRDefault="006C148C">
      <w:r>
        <w:t xml:space="preserve">I mí Aibreáin 2011, d’fhill an </w:t>
      </w:r>
      <w:proofErr w:type="spellStart"/>
      <w:r>
        <w:t>tÚdarás</w:t>
      </w:r>
      <w:proofErr w:type="spellEnd"/>
      <w:r>
        <w:t xml:space="preserve"> Náisiúnta </w:t>
      </w:r>
      <w:proofErr w:type="spellStart"/>
      <w:r>
        <w:t>Míchumais</w:t>
      </w:r>
      <w:proofErr w:type="spellEnd"/>
      <w:r>
        <w:t xml:space="preserve"> ar ais chuig an Roinn Dlí agus Cirt agus </w:t>
      </w:r>
      <w:proofErr w:type="spellStart"/>
      <w:r>
        <w:t>Comhionannais</w:t>
      </w:r>
      <w:proofErr w:type="spellEnd"/>
      <w:r>
        <w:t xml:space="preserve"> </w:t>
      </w:r>
      <w:proofErr w:type="spellStart"/>
      <w:r>
        <w:t>athshocraithe</w:t>
      </w:r>
      <w:proofErr w:type="spellEnd"/>
      <w:r>
        <w:t xml:space="preserve"> ón iar-Roinn Gnóthaí Pobail, </w:t>
      </w:r>
      <w:proofErr w:type="spellStart"/>
      <w:r>
        <w:t>Comhionannais</w:t>
      </w:r>
      <w:proofErr w:type="spellEnd"/>
      <w:r>
        <w:t xml:space="preserve"> </w:t>
      </w:r>
      <w:proofErr w:type="spellStart"/>
      <w:r>
        <w:t>agus</w:t>
      </w:r>
      <w:proofErr w:type="spellEnd"/>
      <w:r>
        <w:t xml:space="preserve"> </w:t>
      </w:r>
      <w:proofErr w:type="spellStart"/>
      <w:r>
        <w:t>Gaeltachta</w:t>
      </w:r>
      <w:proofErr w:type="spellEnd"/>
      <w:r>
        <w:t xml:space="preserve">. Mar </w:t>
      </w:r>
      <w:proofErr w:type="spellStart"/>
      <w:r>
        <w:t>thoradh</w:t>
      </w:r>
      <w:proofErr w:type="spellEnd"/>
      <w:r>
        <w:t xml:space="preserve"> air sin, </w:t>
      </w:r>
      <w:proofErr w:type="spellStart"/>
      <w:r>
        <w:t>aistríodh</w:t>
      </w:r>
      <w:proofErr w:type="spellEnd"/>
      <w:r>
        <w:t xml:space="preserve"> </w:t>
      </w:r>
      <w:proofErr w:type="spellStart"/>
      <w:r>
        <w:t>próiseáil</w:t>
      </w:r>
      <w:proofErr w:type="spellEnd"/>
      <w:r>
        <w:t xml:space="preserve"> </w:t>
      </w:r>
      <w:proofErr w:type="spellStart"/>
      <w:r>
        <w:t>íocaíochtaí</w:t>
      </w:r>
      <w:proofErr w:type="spellEnd"/>
      <w:r>
        <w:t xml:space="preserve"> an </w:t>
      </w:r>
      <w:proofErr w:type="spellStart"/>
      <w:r>
        <w:t>Údaráis</w:t>
      </w:r>
      <w:proofErr w:type="spellEnd"/>
      <w:r>
        <w:t xml:space="preserve"> </w:t>
      </w:r>
      <w:proofErr w:type="spellStart"/>
      <w:r>
        <w:t>Náisiúnta</w:t>
      </w:r>
      <w:proofErr w:type="spellEnd"/>
      <w:r>
        <w:t xml:space="preserve"> </w:t>
      </w:r>
      <w:proofErr w:type="spellStart"/>
      <w:r>
        <w:t>Míchumais</w:t>
      </w:r>
      <w:proofErr w:type="spellEnd"/>
      <w:r>
        <w:t xml:space="preserve">, </w:t>
      </w:r>
      <w:proofErr w:type="spellStart"/>
      <w:r>
        <w:t>i</w:t>
      </w:r>
      <w:proofErr w:type="spellEnd"/>
      <w:r>
        <w:t xml:space="preserve"> </w:t>
      </w:r>
      <w:proofErr w:type="spellStart"/>
      <w:r>
        <w:t>mBealtaine</w:t>
      </w:r>
      <w:proofErr w:type="spellEnd"/>
      <w:r>
        <w:t xml:space="preserve"> 2011, chuig Seirbhísí </w:t>
      </w:r>
      <w:proofErr w:type="spellStart"/>
      <w:r>
        <w:t>Comhroinnte</w:t>
      </w:r>
      <w:proofErr w:type="spellEnd"/>
      <w:r>
        <w:t xml:space="preserve"> </w:t>
      </w:r>
      <w:proofErr w:type="spellStart"/>
      <w:r>
        <w:t>na</w:t>
      </w:r>
      <w:proofErr w:type="spellEnd"/>
      <w:r>
        <w:t xml:space="preserve"> </w:t>
      </w:r>
      <w:proofErr w:type="spellStart"/>
      <w:r>
        <w:t>Roinne</w:t>
      </w:r>
      <w:proofErr w:type="spellEnd"/>
      <w:r>
        <w:t xml:space="preserve"> </w:t>
      </w:r>
      <w:proofErr w:type="spellStart"/>
      <w:r>
        <w:t>Dlí</w:t>
      </w:r>
      <w:proofErr w:type="spellEnd"/>
      <w:r>
        <w:t xml:space="preserve"> </w:t>
      </w:r>
      <w:proofErr w:type="spellStart"/>
      <w:r>
        <w:t>agus</w:t>
      </w:r>
      <w:proofErr w:type="spellEnd"/>
      <w:r>
        <w:t xml:space="preserve"> </w:t>
      </w:r>
      <w:proofErr w:type="spellStart"/>
      <w:r>
        <w:t>Cirt</w:t>
      </w:r>
      <w:proofErr w:type="spellEnd"/>
      <w:r>
        <w:t xml:space="preserve"> </w:t>
      </w:r>
      <w:proofErr w:type="spellStart"/>
      <w:r>
        <w:t>agus</w:t>
      </w:r>
      <w:proofErr w:type="spellEnd"/>
      <w:r>
        <w:t xml:space="preserve"> </w:t>
      </w:r>
      <w:proofErr w:type="spellStart"/>
      <w:r>
        <w:t>Comhionannais</w:t>
      </w:r>
      <w:proofErr w:type="spellEnd"/>
      <w:r>
        <w:t xml:space="preserve">, ó </w:t>
      </w:r>
      <w:proofErr w:type="spellStart"/>
      <w:r>
        <w:t>shaoráid</w:t>
      </w:r>
      <w:proofErr w:type="spellEnd"/>
      <w:r>
        <w:t xml:space="preserve"> </w:t>
      </w:r>
      <w:proofErr w:type="spellStart"/>
      <w:r>
        <w:t>sheirbhíse</w:t>
      </w:r>
      <w:proofErr w:type="spellEnd"/>
      <w:r>
        <w:t xml:space="preserve"> </w:t>
      </w:r>
      <w:proofErr w:type="spellStart"/>
      <w:r>
        <w:t>comhroinnte</w:t>
      </w:r>
      <w:proofErr w:type="spellEnd"/>
      <w:r>
        <w:t xml:space="preserve"> </w:t>
      </w:r>
      <w:proofErr w:type="spellStart"/>
      <w:r>
        <w:t>na</w:t>
      </w:r>
      <w:proofErr w:type="spellEnd"/>
      <w:r>
        <w:t xml:space="preserve"> </w:t>
      </w:r>
      <w:proofErr w:type="spellStart"/>
      <w:r>
        <w:t>Roinne</w:t>
      </w:r>
      <w:proofErr w:type="spellEnd"/>
      <w:r>
        <w:t xml:space="preserve"> </w:t>
      </w:r>
      <w:proofErr w:type="spellStart"/>
      <w:r>
        <w:t>Airgeadais</w:t>
      </w:r>
      <w:proofErr w:type="spellEnd"/>
      <w:r>
        <w:t xml:space="preserve"> a </w:t>
      </w:r>
      <w:proofErr w:type="spellStart"/>
      <w:r>
        <w:t>bhí</w:t>
      </w:r>
      <w:proofErr w:type="spellEnd"/>
      <w:r>
        <w:t xml:space="preserve"> á </w:t>
      </w:r>
      <w:proofErr w:type="spellStart"/>
      <w:r>
        <w:t>húsáid</w:t>
      </w:r>
      <w:proofErr w:type="spellEnd"/>
      <w:r>
        <w:t xml:space="preserve"> ag an </w:t>
      </w:r>
      <w:proofErr w:type="spellStart"/>
      <w:r>
        <w:t>Roinn</w:t>
      </w:r>
      <w:proofErr w:type="spellEnd"/>
      <w:r>
        <w:t xml:space="preserve"> </w:t>
      </w:r>
      <w:proofErr w:type="spellStart"/>
      <w:r>
        <w:t>Gnóthaí</w:t>
      </w:r>
      <w:proofErr w:type="spellEnd"/>
      <w:r>
        <w:t xml:space="preserve"> </w:t>
      </w:r>
      <w:proofErr w:type="spellStart"/>
      <w:r>
        <w:t>Pobail</w:t>
      </w:r>
      <w:proofErr w:type="spellEnd"/>
      <w:r>
        <w:t xml:space="preserve">, </w:t>
      </w:r>
      <w:proofErr w:type="spellStart"/>
      <w:r>
        <w:t>Comhionannais</w:t>
      </w:r>
      <w:proofErr w:type="spellEnd"/>
      <w:r>
        <w:t xml:space="preserve"> </w:t>
      </w:r>
      <w:proofErr w:type="spellStart"/>
      <w:r>
        <w:t>agus</w:t>
      </w:r>
      <w:proofErr w:type="spellEnd"/>
      <w:r>
        <w:t xml:space="preserve"> </w:t>
      </w:r>
      <w:proofErr w:type="spellStart"/>
      <w:r>
        <w:t>Gaeltachta</w:t>
      </w:r>
      <w:proofErr w:type="spellEnd"/>
      <w:r>
        <w:t xml:space="preserve">. </w:t>
      </w:r>
    </w:p>
    <w:p w14:paraId="3F092976" w14:textId="77777777" w:rsidR="006C148C" w:rsidRDefault="006C148C">
      <w:pPr>
        <w:rPr>
          <w:rFonts w:cs="Arial"/>
        </w:rPr>
      </w:pPr>
      <w:r>
        <w:rPr>
          <w:rFonts w:cs="Arial"/>
        </w:rPr>
        <w:t xml:space="preserve">De réir </w:t>
      </w:r>
      <w:proofErr w:type="spellStart"/>
      <w:r>
        <w:rPr>
          <w:rFonts w:cs="Arial"/>
        </w:rPr>
        <w:t>dea-rialachais</w:t>
      </w:r>
      <w:proofErr w:type="spellEnd"/>
      <w:r>
        <w:rPr>
          <w:rFonts w:cs="Arial"/>
        </w:rPr>
        <w:t xml:space="preserve">, rinne an </w:t>
      </w:r>
      <w:proofErr w:type="spellStart"/>
      <w:r>
        <w:rPr>
          <w:rFonts w:cs="Arial"/>
        </w:rPr>
        <w:t>tÚdarás</w:t>
      </w:r>
      <w:proofErr w:type="spellEnd"/>
      <w:r>
        <w:rPr>
          <w:rFonts w:cs="Arial"/>
        </w:rPr>
        <w:t xml:space="preserve"> </w:t>
      </w:r>
      <w:proofErr w:type="spellStart"/>
      <w:r>
        <w:rPr>
          <w:rFonts w:cs="Arial"/>
        </w:rPr>
        <w:t>Náisiúnta</w:t>
      </w:r>
      <w:proofErr w:type="spellEnd"/>
      <w:r>
        <w:rPr>
          <w:rFonts w:cs="Arial"/>
        </w:rPr>
        <w:t xml:space="preserve"> </w:t>
      </w:r>
      <w:proofErr w:type="spellStart"/>
      <w:r>
        <w:rPr>
          <w:rFonts w:cs="Arial"/>
        </w:rPr>
        <w:t>Míchumais</w:t>
      </w:r>
      <w:proofErr w:type="spellEnd"/>
      <w:r>
        <w:rPr>
          <w:rFonts w:cs="Arial"/>
        </w:rPr>
        <w:t xml:space="preserve"> </w:t>
      </w:r>
      <w:proofErr w:type="spellStart"/>
      <w:r>
        <w:rPr>
          <w:rFonts w:cs="Arial"/>
        </w:rPr>
        <w:t>athbhreithniú</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rialú</w:t>
      </w:r>
      <w:proofErr w:type="spellEnd"/>
      <w:r>
        <w:rPr>
          <w:rFonts w:cs="Arial"/>
        </w:rPr>
        <w:t xml:space="preserve"> </w:t>
      </w:r>
      <w:proofErr w:type="spellStart"/>
      <w:r>
        <w:rPr>
          <w:rFonts w:cs="Arial"/>
        </w:rPr>
        <w:t>inmheánach</w:t>
      </w:r>
      <w:proofErr w:type="spellEnd"/>
      <w:r>
        <w:rPr>
          <w:rFonts w:cs="Arial"/>
        </w:rPr>
        <w:t xml:space="preserve"> </w:t>
      </w:r>
      <w:proofErr w:type="spellStart"/>
      <w:r>
        <w:rPr>
          <w:rFonts w:cs="Arial"/>
        </w:rPr>
        <w:t>airgeadias</w:t>
      </w:r>
      <w:proofErr w:type="spellEnd"/>
      <w:r>
        <w:rPr>
          <w:rFonts w:cs="Arial"/>
        </w:rPr>
        <w:t xml:space="preserve"> in </w:t>
      </w:r>
      <w:proofErr w:type="spellStart"/>
      <w:r>
        <w:rPr>
          <w:rFonts w:cs="Arial"/>
        </w:rPr>
        <w:t>Aibreán</w:t>
      </w:r>
      <w:proofErr w:type="spellEnd"/>
      <w:r>
        <w:rPr>
          <w:rFonts w:cs="Arial"/>
        </w:rPr>
        <w:t xml:space="preserve"> 2011. Tar </w:t>
      </w:r>
      <w:proofErr w:type="spellStart"/>
      <w:r>
        <w:rPr>
          <w:rFonts w:cs="Arial"/>
        </w:rPr>
        <w:t>éis</w:t>
      </w:r>
      <w:proofErr w:type="spellEnd"/>
      <w:r>
        <w:rPr>
          <w:rFonts w:cs="Arial"/>
        </w:rPr>
        <w:t xml:space="preserve"> </w:t>
      </w:r>
      <w:proofErr w:type="spellStart"/>
      <w:r>
        <w:rPr>
          <w:rFonts w:cs="Arial"/>
        </w:rPr>
        <w:t>obair</w:t>
      </w:r>
      <w:proofErr w:type="spellEnd"/>
      <w:r>
        <w:rPr>
          <w:rFonts w:cs="Arial"/>
        </w:rPr>
        <w:t xml:space="preserve"> </w:t>
      </w:r>
      <w:proofErr w:type="spellStart"/>
      <w:r>
        <w:rPr>
          <w:rFonts w:cs="Arial"/>
        </w:rPr>
        <w:t>chuimsitheach</w:t>
      </w:r>
      <w:proofErr w:type="spellEnd"/>
      <w:r>
        <w:rPr>
          <w:rFonts w:cs="Arial"/>
        </w:rPr>
        <w:t xml:space="preserve"> a </w:t>
      </w:r>
      <w:proofErr w:type="spellStart"/>
      <w:r>
        <w:rPr>
          <w:rFonts w:cs="Arial"/>
        </w:rPr>
        <w:t>dhéanamh</w:t>
      </w:r>
      <w:proofErr w:type="spellEnd"/>
      <w:r>
        <w:rPr>
          <w:rFonts w:cs="Arial"/>
        </w:rPr>
        <w:t xml:space="preserve">, </w:t>
      </w:r>
      <w:proofErr w:type="spellStart"/>
      <w:r>
        <w:rPr>
          <w:rFonts w:cs="Arial"/>
        </w:rPr>
        <w:t>i</w:t>
      </w:r>
      <w:proofErr w:type="spellEnd"/>
      <w:r>
        <w:rPr>
          <w:rFonts w:cs="Arial"/>
        </w:rPr>
        <w:t xml:space="preserve"> Samhain </w:t>
      </w:r>
      <w:proofErr w:type="spellStart"/>
      <w:r>
        <w:rPr>
          <w:rFonts w:cs="Arial"/>
        </w:rPr>
        <w:t>d’fhaomh</w:t>
      </w:r>
      <w:proofErr w:type="spellEnd"/>
      <w:r>
        <w:rPr>
          <w:rFonts w:cs="Arial"/>
        </w:rPr>
        <w:t xml:space="preserve"> an </w:t>
      </w:r>
      <w:proofErr w:type="spellStart"/>
      <w:r>
        <w:rPr>
          <w:rFonts w:cs="Arial"/>
        </w:rPr>
        <w:t>tÚdarás</w:t>
      </w:r>
      <w:proofErr w:type="spellEnd"/>
      <w:r>
        <w:rPr>
          <w:rFonts w:cs="Arial"/>
        </w:rPr>
        <w:t xml:space="preserve"> </w:t>
      </w:r>
      <w:proofErr w:type="spellStart"/>
      <w:r>
        <w:rPr>
          <w:rFonts w:cs="Arial"/>
          <w:b/>
        </w:rPr>
        <w:t>Lámhleabhar</w:t>
      </w:r>
      <w:proofErr w:type="spellEnd"/>
      <w:r>
        <w:rPr>
          <w:rFonts w:cs="Arial"/>
          <w:b/>
        </w:rPr>
        <w:t xml:space="preserve"> </w:t>
      </w:r>
      <w:proofErr w:type="spellStart"/>
      <w:r>
        <w:rPr>
          <w:rFonts w:cs="Arial"/>
          <w:b/>
        </w:rPr>
        <w:t>Rialachais</w:t>
      </w:r>
      <w:proofErr w:type="spellEnd"/>
      <w:r>
        <w:rPr>
          <w:rFonts w:cs="Arial"/>
          <w:b/>
        </w:rPr>
        <w:t xml:space="preserve"> </w:t>
      </w:r>
      <w:proofErr w:type="spellStart"/>
      <w:r>
        <w:rPr>
          <w:rFonts w:cs="Arial"/>
          <w:b/>
        </w:rPr>
        <w:t>Chorparáidigh</w:t>
      </w:r>
      <w:proofErr w:type="spellEnd"/>
      <w:r>
        <w:rPr>
          <w:rFonts w:cs="Arial"/>
          <w:b/>
        </w:rPr>
        <w:t xml:space="preserve"> </w:t>
      </w:r>
      <w:r>
        <w:rPr>
          <w:rFonts w:cs="Arial"/>
        </w:rPr>
        <w:t xml:space="preserve">an </w:t>
      </w:r>
      <w:proofErr w:type="spellStart"/>
      <w:r>
        <w:rPr>
          <w:rFonts w:cs="Arial"/>
        </w:rPr>
        <w:t>Údaráis</w:t>
      </w:r>
      <w:proofErr w:type="spellEnd"/>
      <w:r>
        <w:rPr>
          <w:rFonts w:cs="Arial"/>
        </w:rPr>
        <w:t xml:space="preserve"> </w:t>
      </w:r>
      <w:proofErr w:type="spellStart"/>
      <w:r>
        <w:rPr>
          <w:rFonts w:cs="Arial"/>
        </w:rPr>
        <w:t>Náisiúnta</w:t>
      </w:r>
      <w:proofErr w:type="spellEnd"/>
      <w:r>
        <w:rPr>
          <w:rFonts w:cs="Arial"/>
        </w:rPr>
        <w:t xml:space="preserve"> </w:t>
      </w:r>
      <w:proofErr w:type="spellStart"/>
      <w:r>
        <w:rPr>
          <w:rFonts w:cs="Arial"/>
        </w:rPr>
        <w:t>Míchumais</w:t>
      </w:r>
      <w:proofErr w:type="spellEnd"/>
      <w:r>
        <w:rPr>
          <w:rFonts w:cs="Arial"/>
        </w:rPr>
        <w:t xml:space="preserve">. </w:t>
      </w:r>
      <w:proofErr w:type="spellStart"/>
      <w:r>
        <w:rPr>
          <w:rFonts w:cs="Arial"/>
        </w:rPr>
        <w:t>Léiríonn</w:t>
      </w:r>
      <w:proofErr w:type="spellEnd"/>
      <w:r>
        <w:rPr>
          <w:rFonts w:cs="Arial"/>
        </w:rPr>
        <w:t xml:space="preserve"> an </w:t>
      </w:r>
      <w:proofErr w:type="spellStart"/>
      <w:r>
        <w:rPr>
          <w:rFonts w:cs="Arial"/>
        </w:rPr>
        <w:t>lámhleabhar</w:t>
      </w:r>
      <w:proofErr w:type="spellEnd"/>
      <w:r>
        <w:rPr>
          <w:rFonts w:cs="Arial"/>
        </w:rPr>
        <w:t xml:space="preserve"> </w:t>
      </w:r>
      <w:proofErr w:type="spellStart"/>
      <w:r>
        <w:rPr>
          <w:rFonts w:cs="Arial"/>
        </w:rPr>
        <w:t>athbhreithnithe</w:t>
      </w:r>
      <w:proofErr w:type="spellEnd"/>
      <w:r>
        <w:rPr>
          <w:rFonts w:cs="Arial"/>
        </w:rPr>
        <w:t xml:space="preserve"> </w:t>
      </w:r>
      <w:proofErr w:type="spellStart"/>
      <w:r>
        <w:rPr>
          <w:rFonts w:cs="Arial"/>
        </w:rPr>
        <w:t>seo</w:t>
      </w:r>
      <w:proofErr w:type="spellEnd"/>
      <w:r>
        <w:rPr>
          <w:rFonts w:cs="Arial"/>
        </w:rPr>
        <w:t xml:space="preserve"> </w:t>
      </w:r>
      <w:proofErr w:type="spellStart"/>
      <w:r>
        <w:rPr>
          <w:rFonts w:cs="Arial"/>
        </w:rPr>
        <w:t>dea-chleachtas</w:t>
      </w:r>
      <w:proofErr w:type="spellEnd"/>
      <w:r>
        <w:rPr>
          <w:rFonts w:cs="Arial"/>
        </w:rPr>
        <w:t xml:space="preserve"> </w:t>
      </w:r>
      <w:proofErr w:type="spellStart"/>
      <w:r>
        <w:rPr>
          <w:rFonts w:cs="Arial"/>
        </w:rPr>
        <w:t>reatha</w:t>
      </w:r>
      <w:proofErr w:type="spellEnd"/>
      <w:r>
        <w:rPr>
          <w:rFonts w:cs="Arial"/>
        </w:rPr>
        <w:t xml:space="preserve">; </w:t>
      </w:r>
      <w:proofErr w:type="spellStart"/>
      <w:r>
        <w:rPr>
          <w:rFonts w:cs="Arial"/>
        </w:rPr>
        <w:t>struchtúr</w:t>
      </w:r>
      <w:proofErr w:type="spellEnd"/>
      <w:r>
        <w:rPr>
          <w:rFonts w:cs="Arial"/>
        </w:rPr>
        <w:t xml:space="preserve"> </w:t>
      </w:r>
      <w:proofErr w:type="spellStart"/>
      <w:r>
        <w:rPr>
          <w:rFonts w:cs="Arial"/>
        </w:rPr>
        <w:t>dlí</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rialachais</w:t>
      </w:r>
      <w:proofErr w:type="spellEnd"/>
      <w:r>
        <w:rPr>
          <w:rFonts w:cs="Arial"/>
        </w:rPr>
        <w:t xml:space="preserve"> an </w:t>
      </w:r>
      <w:proofErr w:type="spellStart"/>
      <w:r>
        <w:rPr>
          <w:rFonts w:cs="Arial"/>
        </w:rPr>
        <w:t>Údaráis</w:t>
      </w:r>
      <w:proofErr w:type="spellEnd"/>
      <w:r>
        <w:rPr>
          <w:rFonts w:cs="Arial"/>
        </w:rPr>
        <w:t xml:space="preserve"> </w:t>
      </w:r>
      <w:proofErr w:type="spellStart"/>
      <w:r>
        <w:rPr>
          <w:rFonts w:cs="Arial"/>
        </w:rPr>
        <w:t>Náisiúnta</w:t>
      </w:r>
      <w:proofErr w:type="spellEnd"/>
      <w:r>
        <w:rPr>
          <w:rFonts w:cs="Arial"/>
        </w:rPr>
        <w:t xml:space="preserve"> </w:t>
      </w:r>
      <w:proofErr w:type="spellStart"/>
      <w:r>
        <w:rPr>
          <w:rFonts w:cs="Arial"/>
        </w:rPr>
        <w:t>Míchumais</w:t>
      </w:r>
      <w:proofErr w:type="spellEnd"/>
      <w:r>
        <w:rPr>
          <w:rFonts w:cs="Arial"/>
        </w:rPr>
        <w:t xml:space="preserve">; </w:t>
      </w:r>
      <w:proofErr w:type="spellStart"/>
      <w:r>
        <w:rPr>
          <w:rFonts w:cs="Arial"/>
        </w:rPr>
        <w:t>agus</w:t>
      </w:r>
      <w:proofErr w:type="spellEnd"/>
      <w:r>
        <w:rPr>
          <w:rFonts w:cs="Arial"/>
        </w:rPr>
        <w:t xml:space="preserve"> go </w:t>
      </w:r>
      <w:proofErr w:type="spellStart"/>
      <w:r>
        <w:rPr>
          <w:rFonts w:cs="Arial"/>
        </w:rPr>
        <w:t>háirithe</w:t>
      </w:r>
      <w:proofErr w:type="spellEnd"/>
      <w:r>
        <w:rPr>
          <w:rFonts w:cs="Arial"/>
        </w:rPr>
        <w:t xml:space="preserve"> </w:t>
      </w:r>
      <w:proofErr w:type="spellStart"/>
      <w:r>
        <w:rPr>
          <w:rFonts w:cs="Arial"/>
        </w:rPr>
        <w:t>ionchorpraíonn</w:t>
      </w:r>
      <w:proofErr w:type="spellEnd"/>
      <w:r>
        <w:rPr>
          <w:rFonts w:cs="Arial"/>
        </w:rPr>
        <w:t xml:space="preserve"> </w:t>
      </w:r>
      <w:proofErr w:type="spellStart"/>
      <w:r>
        <w:rPr>
          <w:rFonts w:cs="Arial"/>
        </w:rPr>
        <w:t>sé</w:t>
      </w:r>
      <w:proofErr w:type="spellEnd"/>
      <w:r>
        <w:rPr>
          <w:rFonts w:cs="Arial"/>
        </w:rPr>
        <w:t xml:space="preserve"> </w:t>
      </w:r>
      <w:proofErr w:type="spellStart"/>
      <w:r>
        <w:rPr>
          <w:rFonts w:cs="Arial"/>
        </w:rPr>
        <w:t>riachtanais</w:t>
      </w:r>
      <w:proofErr w:type="spellEnd"/>
      <w:r>
        <w:rPr>
          <w:rFonts w:cs="Arial"/>
        </w:rPr>
        <w:t xml:space="preserve"> an </w:t>
      </w:r>
      <w:proofErr w:type="spellStart"/>
      <w:r>
        <w:rPr>
          <w:rFonts w:cs="Arial"/>
          <w:b/>
        </w:rPr>
        <w:t>Chóid</w:t>
      </w:r>
      <w:proofErr w:type="spellEnd"/>
      <w:r>
        <w:rPr>
          <w:rFonts w:cs="Arial"/>
          <w:b/>
        </w:rPr>
        <w:t xml:space="preserve"> </w:t>
      </w:r>
      <w:proofErr w:type="spellStart"/>
      <w:r>
        <w:rPr>
          <w:rFonts w:cs="Arial"/>
          <w:b/>
        </w:rPr>
        <w:t>Chleachtais</w:t>
      </w:r>
      <w:proofErr w:type="spellEnd"/>
      <w:r>
        <w:rPr>
          <w:rFonts w:cs="Arial"/>
          <w:b/>
        </w:rPr>
        <w:t xml:space="preserve"> um </w:t>
      </w:r>
      <w:proofErr w:type="spellStart"/>
      <w:r>
        <w:rPr>
          <w:rFonts w:cs="Arial"/>
          <w:b/>
        </w:rPr>
        <w:t>Rialachas</w:t>
      </w:r>
      <w:proofErr w:type="spellEnd"/>
      <w:r>
        <w:rPr>
          <w:rFonts w:cs="Arial"/>
          <w:b/>
        </w:rPr>
        <w:t xml:space="preserve"> </w:t>
      </w:r>
      <w:proofErr w:type="spellStart"/>
      <w:r>
        <w:rPr>
          <w:rFonts w:cs="Arial"/>
          <w:b/>
        </w:rPr>
        <w:t>Chomhlachtaí</w:t>
      </w:r>
      <w:proofErr w:type="spellEnd"/>
      <w:r>
        <w:rPr>
          <w:rFonts w:cs="Arial"/>
          <w:b/>
        </w:rPr>
        <w:t xml:space="preserve"> an </w:t>
      </w:r>
      <w:proofErr w:type="spellStart"/>
      <w:r>
        <w:rPr>
          <w:rFonts w:cs="Arial"/>
          <w:b/>
        </w:rPr>
        <w:t>Stáit</w:t>
      </w:r>
      <w:proofErr w:type="spellEnd"/>
      <w:r>
        <w:rPr>
          <w:rFonts w:cs="Arial"/>
          <w:b/>
        </w:rPr>
        <w:t xml:space="preserve"> 2009</w:t>
      </w:r>
      <w:r>
        <w:rPr>
          <w:rFonts w:cs="Arial"/>
        </w:rPr>
        <w:t xml:space="preserve">. </w:t>
      </w:r>
    </w:p>
    <w:p w14:paraId="5D8870A0" w14:textId="77777777" w:rsidR="006C148C" w:rsidRDefault="006C148C">
      <w:pPr>
        <w:rPr>
          <w:rFonts w:cs="Arial"/>
        </w:rPr>
      </w:pPr>
      <w:proofErr w:type="spellStart"/>
      <w:r>
        <w:rPr>
          <w:rFonts w:cs="Arial"/>
        </w:rPr>
        <w:t>D’fhorbair</w:t>
      </w:r>
      <w:proofErr w:type="spellEnd"/>
      <w:r>
        <w:rPr>
          <w:rFonts w:cs="Arial"/>
        </w:rPr>
        <w:t xml:space="preserve"> an </w:t>
      </w:r>
      <w:proofErr w:type="spellStart"/>
      <w:r>
        <w:rPr>
          <w:rFonts w:cs="Arial"/>
        </w:rPr>
        <w:t>tÚdarás</w:t>
      </w:r>
      <w:proofErr w:type="spellEnd"/>
      <w:r>
        <w:rPr>
          <w:rFonts w:cs="Arial"/>
        </w:rPr>
        <w:t xml:space="preserve"> Náisiúnta </w:t>
      </w:r>
      <w:proofErr w:type="spellStart"/>
      <w:r>
        <w:rPr>
          <w:rFonts w:cs="Arial"/>
        </w:rPr>
        <w:t>Míchumais</w:t>
      </w:r>
      <w:proofErr w:type="spellEnd"/>
      <w:r>
        <w:rPr>
          <w:rFonts w:cs="Arial"/>
        </w:rPr>
        <w:t xml:space="preserve"> sraith de </w:t>
      </w:r>
      <w:proofErr w:type="spellStart"/>
      <w:r>
        <w:rPr>
          <w:rFonts w:cs="Arial"/>
        </w:rPr>
        <w:t>Chritéir</w:t>
      </w:r>
      <w:proofErr w:type="spellEnd"/>
      <w:r>
        <w:rPr>
          <w:rFonts w:cs="Arial"/>
        </w:rPr>
        <w:t xml:space="preserve"> </w:t>
      </w:r>
      <w:proofErr w:type="spellStart"/>
      <w:r>
        <w:rPr>
          <w:rFonts w:cs="Arial"/>
        </w:rPr>
        <w:t>Cháilíochta</w:t>
      </w:r>
      <w:proofErr w:type="spellEnd"/>
      <w:r>
        <w:rPr>
          <w:rFonts w:cs="Arial"/>
        </w:rPr>
        <w:t xml:space="preserve"> le cur </w:t>
      </w:r>
      <w:proofErr w:type="spellStart"/>
      <w:r>
        <w:rPr>
          <w:rFonts w:cs="Arial"/>
        </w:rPr>
        <w:t>i</w:t>
      </w:r>
      <w:proofErr w:type="spellEnd"/>
      <w:r>
        <w:rPr>
          <w:rFonts w:cs="Arial"/>
        </w:rPr>
        <w:t xml:space="preserve"> </w:t>
      </w:r>
      <w:proofErr w:type="spellStart"/>
      <w:r>
        <w:rPr>
          <w:rFonts w:cs="Arial"/>
        </w:rPr>
        <w:t>bhfeidhm</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obair</w:t>
      </w:r>
      <w:proofErr w:type="spellEnd"/>
      <w:r>
        <w:rPr>
          <w:rFonts w:cs="Arial"/>
        </w:rPr>
        <w:t xml:space="preserve"> </w:t>
      </w:r>
      <w:proofErr w:type="spellStart"/>
      <w:r>
        <w:rPr>
          <w:rFonts w:cs="Arial"/>
        </w:rPr>
        <w:t>choimisúnaithe</w:t>
      </w:r>
      <w:proofErr w:type="spellEnd"/>
      <w:r>
        <w:rPr>
          <w:rFonts w:cs="Arial"/>
        </w:rPr>
        <w:t xml:space="preserve"> go </w:t>
      </w:r>
      <w:proofErr w:type="spellStart"/>
      <w:r>
        <w:rPr>
          <w:rFonts w:cs="Arial"/>
        </w:rPr>
        <w:t>hinmheánach</w:t>
      </w:r>
      <w:proofErr w:type="spellEnd"/>
      <w:r>
        <w:rPr>
          <w:rFonts w:cs="Arial"/>
        </w:rPr>
        <w:t xml:space="preserve"> </w:t>
      </w:r>
      <w:proofErr w:type="spellStart"/>
      <w:r>
        <w:rPr>
          <w:rFonts w:cs="Arial"/>
        </w:rPr>
        <w:t>agus</w:t>
      </w:r>
      <w:proofErr w:type="spellEnd"/>
      <w:r>
        <w:rPr>
          <w:rFonts w:cs="Arial"/>
        </w:rPr>
        <w:t xml:space="preserve"> go </w:t>
      </w:r>
      <w:proofErr w:type="spellStart"/>
      <w:r>
        <w:rPr>
          <w:rFonts w:cs="Arial"/>
        </w:rPr>
        <w:t>seachtrach</w:t>
      </w:r>
      <w:proofErr w:type="spellEnd"/>
      <w:r>
        <w:rPr>
          <w:rFonts w:cs="Arial"/>
        </w:rPr>
        <w:t xml:space="preserve">. </w:t>
      </w:r>
      <w:proofErr w:type="spellStart"/>
      <w:r>
        <w:rPr>
          <w:rFonts w:cs="Arial"/>
        </w:rPr>
        <w:t>Cumhdaíonn</w:t>
      </w:r>
      <w:proofErr w:type="spellEnd"/>
      <w:r>
        <w:rPr>
          <w:rFonts w:cs="Arial"/>
        </w:rPr>
        <w:t xml:space="preserve"> </w:t>
      </w:r>
      <w:proofErr w:type="spellStart"/>
      <w:r>
        <w:rPr>
          <w:rFonts w:cs="Arial"/>
        </w:rPr>
        <w:t>na</w:t>
      </w:r>
      <w:proofErr w:type="spellEnd"/>
      <w:r>
        <w:rPr>
          <w:rFonts w:cs="Arial"/>
        </w:rPr>
        <w:t xml:space="preserve"> </w:t>
      </w:r>
      <w:proofErr w:type="spellStart"/>
      <w:r>
        <w:rPr>
          <w:rFonts w:cs="Arial"/>
        </w:rPr>
        <w:t>critéir</w:t>
      </w:r>
      <w:proofErr w:type="spellEnd"/>
      <w:r>
        <w:rPr>
          <w:rFonts w:cs="Arial"/>
        </w:rPr>
        <w:t xml:space="preserve"> </w:t>
      </w:r>
      <w:proofErr w:type="spellStart"/>
      <w:r>
        <w:rPr>
          <w:rFonts w:cs="Arial"/>
        </w:rPr>
        <w:t>cháilíochta</w:t>
      </w:r>
      <w:proofErr w:type="spellEnd"/>
      <w:r>
        <w:rPr>
          <w:rFonts w:cs="Arial"/>
        </w:rPr>
        <w:t xml:space="preserve"> </w:t>
      </w:r>
      <w:proofErr w:type="spellStart"/>
      <w:r>
        <w:rPr>
          <w:rFonts w:cs="Arial"/>
        </w:rPr>
        <w:t>seo</w:t>
      </w:r>
      <w:proofErr w:type="spellEnd"/>
      <w:r>
        <w:rPr>
          <w:rFonts w:cs="Arial"/>
        </w:rPr>
        <w:t xml:space="preserve"> </w:t>
      </w:r>
      <w:proofErr w:type="spellStart"/>
      <w:r>
        <w:rPr>
          <w:rFonts w:cs="Arial"/>
        </w:rPr>
        <w:t>comhairle</w:t>
      </w:r>
      <w:proofErr w:type="spellEnd"/>
      <w:r>
        <w:rPr>
          <w:rFonts w:cs="Arial"/>
        </w:rPr>
        <w:t xml:space="preserve"> </w:t>
      </w:r>
      <w:proofErr w:type="spellStart"/>
      <w:r>
        <w:rPr>
          <w:rFonts w:cs="Arial"/>
        </w:rPr>
        <w:t>bheartais</w:t>
      </w:r>
      <w:proofErr w:type="spellEnd"/>
      <w:r>
        <w:rPr>
          <w:rFonts w:cs="Arial"/>
        </w:rPr>
        <w:t xml:space="preserve">; </w:t>
      </w:r>
      <w:proofErr w:type="spellStart"/>
      <w:r>
        <w:rPr>
          <w:rFonts w:cs="Arial"/>
        </w:rPr>
        <w:t>caighdeáin</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treoirlínte</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taighde</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tógann</w:t>
      </w:r>
      <w:proofErr w:type="spellEnd"/>
      <w:r>
        <w:rPr>
          <w:rFonts w:cs="Arial"/>
        </w:rPr>
        <w:t xml:space="preserve"> </w:t>
      </w:r>
      <w:proofErr w:type="spellStart"/>
      <w:r>
        <w:rPr>
          <w:rFonts w:cs="Arial"/>
        </w:rPr>
        <w:t>agus</w:t>
      </w:r>
      <w:proofErr w:type="spellEnd"/>
      <w:r>
        <w:rPr>
          <w:rFonts w:cs="Arial"/>
        </w:rPr>
        <w:t xml:space="preserve"> cuireann siad leis na </w:t>
      </w:r>
      <w:proofErr w:type="spellStart"/>
      <w:r>
        <w:rPr>
          <w:rFonts w:cs="Arial"/>
        </w:rPr>
        <w:t>caighdeáin</w:t>
      </w:r>
      <w:proofErr w:type="spellEnd"/>
      <w:r>
        <w:rPr>
          <w:rFonts w:cs="Arial"/>
        </w:rPr>
        <w:t xml:space="preserve"> </w:t>
      </w:r>
      <w:proofErr w:type="spellStart"/>
      <w:r>
        <w:rPr>
          <w:rFonts w:cs="Arial"/>
        </w:rPr>
        <w:t>cháilíochta</w:t>
      </w:r>
      <w:proofErr w:type="spellEnd"/>
      <w:r>
        <w:rPr>
          <w:rFonts w:cs="Arial"/>
        </w:rPr>
        <w:t xml:space="preserve"> a </w:t>
      </w:r>
      <w:proofErr w:type="spellStart"/>
      <w:r>
        <w:rPr>
          <w:rFonts w:cs="Arial"/>
        </w:rPr>
        <w:t>forbraíodh</w:t>
      </w:r>
      <w:proofErr w:type="spellEnd"/>
      <w:r>
        <w:rPr>
          <w:rFonts w:cs="Arial"/>
        </w:rPr>
        <w:t xml:space="preserve"> </w:t>
      </w:r>
      <w:proofErr w:type="spellStart"/>
      <w:r>
        <w:rPr>
          <w:rFonts w:cs="Arial"/>
        </w:rPr>
        <w:t>roimhe</w:t>
      </w:r>
      <w:proofErr w:type="spellEnd"/>
      <w:r>
        <w:rPr>
          <w:rFonts w:cs="Arial"/>
        </w:rPr>
        <w:t xml:space="preserve"> do </w:t>
      </w:r>
      <w:proofErr w:type="spellStart"/>
      <w:r>
        <w:rPr>
          <w:rFonts w:cs="Arial"/>
        </w:rPr>
        <w:t>thaighde</w:t>
      </w:r>
      <w:proofErr w:type="spellEnd"/>
      <w:r>
        <w:rPr>
          <w:rFonts w:cs="Arial"/>
        </w:rPr>
        <w:t xml:space="preserve"> </w:t>
      </w:r>
      <w:proofErr w:type="spellStart"/>
      <w:r>
        <w:rPr>
          <w:rFonts w:cs="Arial"/>
        </w:rPr>
        <w:t>coimisiúnaithe</w:t>
      </w:r>
      <w:proofErr w:type="spellEnd"/>
      <w:r>
        <w:rPr>
          <w:rFonts w:cs="Arial"/>
        </w:rPr>
        <w:t xml:space="preserve"> go </w:t>
      </w:r>
      <w:proofErr w:type="spellStart"/>
      <w:r>
        <w:rPr>
          <w:rFonts w:cs="Arial"/>
        </w:rPr>
        <w:t>seachtrach</w:t>
      </w:r>
      <w:proofErr w:type="spellEnd"/>
      <w:r>
        <w:rPr>
          <w:rFonts w:cs="Arial"/>
        </w:rPr>
        <w:t>.</w:t>
      </w:r>
    </w:p>
    <w:p w14:paraId="5655A562" w14:textId="77777777" w:rsidR="006C148C" w:rsidRDefault="006C148C">
      <w:pPr>
        <w:pStyle w:val="Heading2"/>
      </w:pPr>
      <w:bookmarkStart w:id="418" w:name="_Toc335836516"/>
      <w:proofErr w:type="spellStart"/>
      <w:r>
        <w:lastRenderedPageBreak/>
        <w:t>Córais</w:t>
      </w:r>
      <w:proofErr w:type="spellEnd"/>
      <w:r>
        <w:t xml:space="preserve"> </w:t>
      </w:r>
      <w:proofErr w:type="spellStart"/>
      <w:r>
        <w:t>fhaisnéis</w:t>
      </w:r>
      <w:proofErr w:type="spellEnd"/>
      <w:r>
        <w:t xml:space="preserve"> </w:t>
      </w:r>
      <w:proofErr w:type="spellStart"/>
      <w:r>
        <w:t>agus</w:t>
      </w:r>
      <w:proofErr w:type="spellEnd"/>
      <w:r>
        <w:t xml:space="preserve"> </w:t>
      </w:r>
      <w:proofErr w:type="spellStart"/>
      <w:r>
        <w:t>thaifead</w:t>
      </w:r>
      <w:bookmarkEnd w:id="418"/>
      <w:proofErr w:type="spellEnd"/>
    </w:p>
    <w:p w14:paraId="2EB672B9" w14:textId="77777777" w:rsidR="006C148C" w:rsidRDefault="006C148C">
      <w:pPr>
        <w:rPr>
          <w:rFonts w:cs="Arial"/>
          <w:szCs w:val="26"/>
          <w:lang w:val="es-ES"/>
        </w:rPr>
      </w:pPr>
      <w:r>
        <w:rPr>
          <w:rFonts w:cs="Arial"/>
          <w:szCs w:val="26"/>
        </w:rPr>
        <w:t xml:space="preserve">Tugadh obair ar </w:t>
      </w:r>
      <w:proofErr w:type="spellStart"/>
      <w:r>
        <w:rPr>
          <w:rFonts w:cs="Arial"/>
          <w:szCs w:val="26"/>
        </w:rPr>
        <w:t>fheabhsúchán</w:t>
      </w:r>
      <w:proofErr w:type="spellEnd"/>
      <w:r>
        <w:rPr>
          <w:rFonts w:cs="Arial"/>
          <w:szCs w:val="26"/>
        </w:rPr>
        <w:t xml:space="preserve"> chuid TF an Chláir </w:t>
      </w:r>
      <w:proofErr w:type="spellStart"/>
      <w:r>
        <w:rPr>
          <w:rFonts w:cs="Arial"/>
          <w:szCs w:val="26"/>
        </w:rPr>
        <w:t>Shócmhainne</w:t>
      </w:r>
      <w:proofErr w:type="spellEnd"/>
      <w:r>
        <w:rPr>
          <w:rFonts w:cs="Arial"/>
          <w:szCs w:val="26"/>
        </w:rPr>
        <w:t xml:space="preserve"> </w:t>
      </w:r>
      <w:proofErr w:type="spellStart"/>
      <w:r>
        <w:rPr>
          <w:rFonts w:cs="Arial"/>
          <w:szCs w:val="26"/>
        </w:rPr>
        <w:t>Sheasta</w:t>
      </w:r>
      <w:proofErr w:type="spellEnd"/>
      <w:r>
        <w:rPr>
          <w:rFonts w:cs="Arial"/>
          <w:szCs w:val="26"/>
        </w:rPr>
        <w:t xml:space="preserve"> de chuid an Údaráis Náisiúnta </w:t>
      </w:r>
      <w:proofErr w:type="spellStart"/>
      <w:r>
        <w:rPr>
          <w:rFonts w:cs="Arial"/>
          <w:szCs w:val="26"/>
        </w:rPr>
        <w:t>Míchumais</w:t>
      </w:r>
      <w:proofErr w:type="spellEnd"/>
      <w:r>
        <w:rPr>
          <w:rFonts w:cs="Arial"/>
          <w:szCs w:val="26"/>
        </w:rPr>
        <w:t xml:space="preserve"> chun deiridh. </w:t>
      </w:r>
      <w:r>
        <w:rPr>
          <w:rFonts w:cs="Arial"/>
          <w:szCs w:val="26"/>
          <w:lang w:val="es-ES"/>
        </w:rPr>
        <w:t xml:space="preserve">Beidh sé sin mar chuid de chlár iomlán sócmhainne cuimsitheach aonair. Cuireadh tús freisin le hobair ar mhionchoigeartú de na sócmhainní eile atá fágtha go dtí clár cuimsitheach aonair. </w:t>
      </w:r>
    </w:p>
    <w:p w14:paraId="285C000C" w14:textId="77777777" w:rsidR="006C148C" w:rsidRPr="000230E8" w:rsidRDefault="006C148C">
      <w:pPr>
        <w:pStyle w:val="Heading2"/>
        <w:rPr>
          <w:lang w:val="es-ES"/>
        </w:rPr>
      </w:pPr>
      <w:bookmarkStart w:id="419" w:name="_Toc335836517"/>
      <w:r w:rsidRPr="000230E8">
        <w:rPr>
          <w:lang w:val="es-ES"/>
        </w:rPr>
        <w:t>Comhpháirtíocht</w:t>
      </w:r>
      <w:bookmarkEnd w:id="419"/>
    </w:p>
    <w:p w14:paraId="6C7A81DB" w14:textId="77777777" w:rsidR="006C148C" w:rsidRPr="000230E8" w:rsidRDefault="006C148C">
      <w:pPr>
        <w:rPr>
          <w:rFonts w:cs="Arial"/>
          <w:szCs w:val="26"/>
          <w:lang w:val="es-ES"/>
        </w:rPr>
      </w:pPr>
      <w:r w:rsidRPr="000230E8">
        <w:rPr>
          <w:rFonts w:cs="Arial"/>
          <w:szCs w:val="26"/>
          <w:lang w:val="es-ES"/>
        </w:rPr>
        <w:t xml:space="preserve">Bhuail Coiste Comhpháirtíochta an Údaráis Náisiúnta Míchumais le chéile naoi n-uaire. Rinne an Coiste clár fadréimseach oibre, lena n-áirítear ionchur isteach i bhforbairt de cheaintín foirne nua, ainm a chur le tuarascáil Chomhaontaithe Pháirc an Chrócaigh, agus ionchur isteach i bhforbairt de bheartais agus de phrótacail nua, lena n-áirítear: bainistíocht freastail; tacaíochtaí do bhaill fhoirne faoi mhíchumas; agus prótacal ríomhphoist. Thug an Coiste tacaíocht freisin d’fhorbairt den straitéis nua Acmhainní Daonna agus rinne athbhreithniú ar thogra le Scéim Mholta Fhoirne a chur i bhfeidhm. </w:t>
      </w:r>
    </w:p>
    <w:p w14:paraId="32D4A2EC" w14:textId="77777777" w:rsidR="006C148C" w:rsidRPr="000230E8" w:rsidRDefault="006C148C">
      <w:pPr>
        <w:pStyle w:val="Heading2"/>
        <w:rPr>
          <w:lang w:val="es-ES"/>
        </w:rPr>
      </w:pPr>
      <w:bookmarkStart w:id="420" w:name="_Toc335836518"/>
      <w:r w:rsidRPr="000230E8">
        <w:rPr>
          <w:lang w:val="es-ES"/>
        </w:rPr>
        <w:t>Oifigeach Rochtana</w:t>
      </w:r>
      <w:bookmarkEnd w:id="420"/>
    </w:p>
    <w:p w14:paraId="227B1506" w14:textId="77777777" w:rsidR="006C148C" w:rsidRPr="000230E8" w:rsidRDefault="006C148C">
      <w:pPr>
        <w:rPr>
          <w:szCs w:val="26"/>
          <w:lang w:val="es-ES"/>
        </w:rPr>
      </w:pPr>
      <w:r w:rsidRPr="000230E8">
        <w:rPr>
          <w:szCs w:val="26"/>
          <w:lang w:val="es-ES"/>
        </w:rPr>
        <w:t>Éilítear leis an Acht um Míchumas 2005 go bhfuil Oifigeach Rochtana amháin ar a laghad ag gach comhlacht poiblí. Shocraigh Oifigeach Rochtana an Údaráis Náisiúnta Míchumais cúnamh cuí do dhaoine faoi mhíchumas a bhain úsáid as faisnéis agus seirbhísí an Údaráis Náisiúnta Míchumais. Tá sonraí teagmhála an Oifigigh Rochtana ar fáil ar leathanach baile an láithreáin ghréasáin.</w:t>
      </w:r>
    </w:p>
    <w:p w14:paraId="66E24020" w14:textId="77777777" w:rsidR="006C148C" w:rsidRPr="000230E8" w:rsidRDefault="006C148C">
      <w:pPr>
        <w:pStyle w:val="Heading2"/>
        <w:rPr>
          <w:lang w:val="es-ES"/>
        </w:rPr>
      </w:pPr>
      <w:bookmarkStart w:id="421" w:name="_Toc335836519"/>
      <w:r w:rsidRPr="000230E8">
        <w:rPr>
          <w:lang w:val="es-ES"/>
        </w:rPr>
        <w:t>Straitéis chumarsáide</w:t>
      </w:r>
      <w:bookmarkEnd w:id="421"/>
    </w:p>
    <w:p w14:paraId="10C2E744" w14:textId="77777777" w:rsidR="006C148C" w:rsidRPr="000230E8" w:rsidRDefault="006C148C">
      <w:pPr>
        <w:rPr>
          <w:rFonts w:cs="Arial"/>
          <w:lang w:val="es-ES"/>
        </w:rPr>
      </w:pPr>
      <w:r w:rsidRPr="000230E8">
        <w:rPr>
          <w:lang w:val="es-ES"/>
        </w:rPr>
        <w:t xml:space="preserve">Tar éis comhairliúcháin le geallshealbhóirí eachtracha an Údaráis Náisiúnta Míchumais, agus go hinmheánach leis an bhfoireann, forbraíodh </w:t>
      </w:r>
      <w:r w:rsidRPr="000230E8">
        <w:rPr>
          <w:b/>
          <w:lang w:val="es-ES"/>
        </w:rPr>
        <w:t>Straitéis Chumarsáide 2010-2012</w:t>
      </w:r>
      <w:r w:rsidRPr="000230E8">
        <w:rPr>
          <w:lang w:val="es-ES"/>
        </w:rPr>
        <w:t xml:space="preserve"> agus plean bainteach gníomhaíochta chun seachadadh den </w:t>
      </w:r>
      <w:r w:rsidRPr="000230E8">
        <w:rPr>
          <w:b/>
          <w:lang w:val="es-ES"/>
        </w:rPr>
        <w:t>Phlean Straitéiseach</w:t>
      </w:r>
      <w:r w:rsidRPr="000230E8">
        <w:rPr>
          <w:rFonts w:cs="Arial"/>
          <w:b/>
          <w:lang w:val="es-ES"/>
        </w:rPr>
        <w:t xml:space="preserve"> 2010-2012 </w:t>
      </w:r>
      <w:r w:rsidRPr="000230E8">
        <w:rPr>
          <w:rFonts w:cs="Arial"/>
          <w:lang w:val="es-ES"/>
        </w:rPr>
        <w:t>a thacú</w:t>
      </w:r>
      <w:r w:rsidRPr="000230E8">
        <w:rPr>
          <w:rFonts w:cs="Arial"/>
          <w:b/>
          <w:lang w:val="es-ES"/>
        </w:rPr>
        <w:t xml:space="preserve">. </w:t>
      </w:r>
      <w:r w:rsidRPr="000230E8">
        <w:rPr>
          <w:rFonts w:cs="Arial"/>
          <w:lang w:val="es-ES"/>
        </w:rPr>
        <w:t>Cuireadh cur i bhfeidhm den phlean gníomhaíochta chun cinn, lena n-áirítear forbairt de chumais le haghaidh Skype agus comhdhála gréasáin.</w:t>
      </w:r>
    </w:p>
    <w:p w14:paraId="202ED4CD" w14:textId="77777777" w:rsidR="006C148C" w:rsidRPr="000230E8" w:rsidRDefault="006C148C">
      <w:pPr>
        <w:pStyle w:val="Heading2"/>
        <w:rPr>
          <w:lang w:val="es-ES"/>
        </w:rPr>
      </w:pPr>
      <w:bookmarkStart w:id="422" w:name="_Toc335836520"/>
      <w:r w:rsidRPr="000230E8">
        <w:rPr>
          <w:lang w:val="es-ES"/>
        </w:rPr>
        <w:t>Seirbhís leabharlainne</w:t>
      </w:r>
      <w:bookmarkEnd w:id="422"/>
    </w:p>
    <w:p w14:paraId="3FA67FAF" w14:textId="77777777" w:rsidR="006C148C" w:rsidRPr="000230E8" w:rsidRDefault="006C148C">
      <w:pPr>
        <w:rPr>
          <w:szCs w:val="26"/>
          <w:lang w:val="es-ES"/>
        </w:rPr>
      </w:pPr>
      <w:r w:rsidRPr="000230E8">
        <w:rPr>
          <w:lang w:val="es-ES"/>
        </w:rPr>
        <w:t>Tá breis agus 55,000 mír ar mhíchumas agus ar ábhair bhainteacha ag an Údarás Náisiúnta Míchumais, a sholáthraíonn acmhainn chun faisnéis, comhairle agus treoir bunaithe ar fhianaise a thacú. Tá an bailiúchán fairsing seo comhdhéanta de leabhair, irisleabhair, nuachtlitreacha, ailt nuachtáin, DVDanna, físeáin agus CD-ROManna. Mar aon le catalóg ar líne a thairiscint, soláthraíonn an Leabharlann leabhair agus ailt irisleabhair tríd an bpost. Tugann daoine cuairt ar an Leabharlann le haghaidh oibre atá níos doimhne. Foinsíonn an Leabharlann leabhair agus ailt, don fhoireann, ó acmhainní leabharlainne níos mó. Feidhmíonn an Leabharlann ar bhonn páirtaimseartha, soláthraíonn rochtain ghutháin gach maidin i rith na seachtaine, agus glacann coinní lá amháin gach seachtain.</w:t>
      </w:r>
      <w:r w:rsidRPr="000230E8">
        <w:rPr>
          <w:szCs w:val="26"/>
          <w:lang w:val="es-ES"/>
        </w:rPr>
        <w:t xml:space="preserve"> </w:t>
      </w:r>
    </w:p>
    <w:p w14:paraId="717D33CA" w14:textId="77777777" w:rsidR="006C148C" w:rsidRPr="000230E8" w:rsidRDefault="006C148C">
      <w:pPr>
        <w:rPr>
          <w:szCs w:val="26"/>
          <w:lang w:val="es-ES"/>
        </w:rPr>
      </w:pPr>
      <w:r w:rsidRPr="000230E8">
        <w:rPr>
          <w:lang w:val="es-ES"/>
        </w:rPr>
        <w:lastRenderedPageBreak/>
        <w:t>Le linn 2011, d’fhreagair an Leabharlann 684 iarratas (190 acu siúd ón bhfoireann), agus chláraigh 15 ball nua le linn na bliana. Sholáthair an Leabharlann 167 leabhar ar iasacht freisin, chomh maith le 144 alt irisleabhair.</w:t>
      </w:r>
      <w:r w:rsidRPr="000230E8">
        <w:rPr>
          <w:szCs w:val="26"/>
          <w:lang w:val="es-ES"/>
        </w:rPr>
        <w:t xml:space="preserve"> </w:t>
      </w:r>
    </w:p>
    <w:p w14:paraId="6B38B6B4" w14:textId="77777777" w:rsidR="006C148C" w:rsidRPr="000230E8" w:rsidRDefault="006C148C">
      <w:pPr>
        <w:pStyle w:val="Heading2"/>
        <w:rPr>
          <w:lang w:val="es-ES"/>
        </w:rPr>
      </w:pPr>
      <w:bookmarkStart w:id="423" w:name="_Toc335836521"/>
      <w:r w:rsidRPr="000230E8">
        <w:rPr>
          <w:lang w:val="es-ES"/>
        </w:rPr>
        <w:t>Straitéis acmhainní daonna</w:t>
      </w:r>
      <w:bookmarkEnd w:id="423"/>
    </w:p>
    <w:p w14:paraId="79C60E00" w14:textId="77777777" w:rsidR="006C148C" w:rsidRPr="000230E8" w:rsidRDefault="006C148C">
      <w:pPr>
        <w:rPr>
          <w:lang w:val="es-ES"/>
        </w:rPr>
      </w:pPr>
      <w:r w:rsidRPr="000230E8">
        <w:rPr>
          <w:lang w:val="es-ES"/>
        </w:rPr>
        <w:t xml:space="preserve">Forbraíodh agus cuireadh faoi bhráid na foirne </w:t>
      </w:r>
      <w:r w:rsidRPr="000230E8">
        <w:rPr>
          <w:b/>
          <w:lang w:val="es-ES"/>
        </w:rPr>
        <w:t>Straitéis Acmhainní Daonna 2011-2013</w:t>
      </w:r>
      <w:r w:rsidRPr="000230E8">
        <w:rPr>
          <w:lang w:val="es-ES"/>
        </w:rPr>
        <w:t>. Sa straitéis, cuirtear san áireamh toscaí amhail moratóir na seirbhíse poiblí ar earcaíocht, an Creat Rialaithe Fostaíochta agus cleachtais nua oibre rialaithe ag Comhaontú Pháirc an Chrócaigh.</w:t>
      </w:r>
      <w:r w:rsidRPr="000230E8">
        <w:rPr>
          <w:rFonts w:eastAsia="MS PGothic"/>
          <w:lang w:val="es-ES"/>
        </w:rPr>
        <w:t xml:space="preserve"> Cinnteoidh an beartas go gcomhlíontar riachtanais láithreacha agus iad atá ag teacht aníos, agus beidh sé ina chuidiú le spriocanna agus cuspóirí eagraíochtúla a bhaint amach</w:t>
      </w:r>
      <w:r w:rsidRPr="000230E8">
        <w:rPr>
          <w:lang w:val="es-ES"/>
        </w:rPr>
        <w:t>. Tabharfaidh sé tacú d’fhorbairt leanúnach na foirne, forbróidh sé eagraíocht ardfheidhmíochta agus cuirfidh sé timpeallacht spreagtha agus dearfach oibre chun cinn.</w:t>
      </w:r>
    </w:p>
    <w:p w14:paraId="3E140485" w14:textId="77777777" w:rsidR="006C148C" w:rsidRPr="000230E8" w:rsidRDefault="006C148C">
      <w:pPr>
        <w:pStyle w:val="Heading2"/>
        <w:rPr>
          <w:lang w:val="es-ES"/>
        </w:rPr>
      </w:pPr>
      <w:bookmarkStart w:id="424" w:name="_Toc335836522"/>
      <w:r w:rsidRPr="000230E8">
        <w:rPr>
          <w:lang w:val="es-ES"/>
        </w:rPr>
        <w:t>Beartas bainistíochta freastail</w:t>
      </w:r>
      <w:bookmarkEnd w:id="424"/>
    </w:p>
    <w:p w14:paraId="20FE3929" w14:textId="77777777" w:rsidR="006C148C" w:rsidRPr="000230E8" w:rsidRDefault="006C148C">
      <w:pPr>
        <w:spacing w:after="0"/>
        <w:rPr>
          <w:lang w:val="es-ES"/>
        </w:rPr>
      </w:pPr>
      <w:r w:rsidRPr="000230E8">
        <w:rPr>
          <w:lang w:val="es-ES"/>
        </w:rPr>
        <w:t>De réir alt 4.10 de Chomhaontú Pháirc an Chrócaigh, atá tiomanta do chur i bhfeidhm de nósanna imeachta athbhreithnithe i dtaca le saoire bhreoiteachta a bhainistiú, d’fhorbair an tÚdarás Náisiúnta Míchumais beartas nua bainistíochta freastail.</w:t>
      </w:r>
      <w:r w:rsidRPr="000230E8">
        <w:rPr>
          <w:bCs/>
          <w:lang w:val="es-ES"/>
        </w:rPr>
        <w:t xml:space="preserve"> Tá sé beartaithe go gcinnteoidh an beartas nua seo go bhfuil tacaíochtaí éifeachtacha don fhoireann i bhfeidhm, agus go dtabharfar cuidiú don Údarás Náisiúnta Míchumis laghdú10% i leibhéil neamhláithrí a bhaint amach, de réir mar atá éilithe ag Plean Gníomhaíochta Státseirbhíse agus Earnála Gníomhaireachta Stáit Neamh-Thráchtála an Rialtais</w:t>
      </w:r>
      <w:r w:rsidRPr="000230E8">
        <w:rPr>
          <w:lang w:val="es-ES"/>
        </w:rPr>
        <w:t>. Rinne an coiste Comhpháirtíochta athbhreithniú ar an mbeartas, agus cuireadh chuig an gceardchumann é freisin le haghaidh nótaí tráchta.</w:t>
      </w:r>
      <w:r w:rsidR="00C63F26">
        <w:rPr>
          <w:lang w:val="es-ES"/>
        </w:rPr>
        <w:br/>
      </w:r>
    </w:p>
    <w:p w14:paraId="53E3A160" w14:textId="77777777" w:rsidR="006C148C" w:rsidRPr="000230E8" w:rsidRDefault="006C148C">
      <w:pPr>
        <w:pStyle w:val="Heading2"/>
        <w:rPr>
          <w:lang w:val="es-ES"/>
        </w:rPr>
      </w:pPr>
      <w:bookmarkStart w:id="425" w:name="_Toc335836523"/>
      <w:r w:rsidRPr="000230E8">
        <w:rPr>
          <w:lang w:val="es-ES"/>
        </w:rPr>
        <w:t>Foireann a thacú</w:t>
      </w:r>
      <w:bookmarkEnd w:id="425"/>
      <w:r w:rsidRPr="000230E8">
        <w:rPr>
          <w:lang w:val="es-ES"/>
        </w:rPr>
        <w:t xml:space="preserve"> </w:t>
      </w:r>
    </w:p>
    <w:p w14:paraId="5EB2C4A7" w14:textId="77777777" w:rsidR="006C148C" w:rsidRPr="000230E8" w:rsidRDefault="006C148C">
      <w:pPr>
        <w:rPr>
          <w:lang w:val="es-ES"/>
        </w:rPr>
      </w:pPr>
      <w:r w:rsidRPr="000230E8">
        <w:rPr>
          <w:lang w:val="es-ES"/>
        </w:rPr>
        <w:t xml:space="preserve">Déanann an tÚdarás Náisiúnta Míchumais iarracht a bheith mar shamhail de dhea-chleachtas i dtaca le foireann a fhostú atá faoi mhíchumas lena dhualgais faoi Chuid 5 den Acht um Míchumas 2005 agus den reachtaíocht ábhartha comhionannais a chomhlíonadh. Tá an tÚdarás Náisiúnta Míchumais tiomanta timpeallacht uileghabhálach oibre a bheith aige, ina bhfuil beartais éifeachtacha le foireann a thacú, lena n-áirítear iad siúd faoi mhíchumas. Is é cuspóir an bheartais an fhoireann a threorú i dtaca leis na tacaíochtaí éagsúla atá ar fáil agus na codanna ábartha i lámhleabhar an phearsanra. </w:t>
      </w:r>
    </w:p>
    <w:p w14:paraId="0B2F2046" w14:textId="77777777" w:rsidR="006C148C" w:rsidRPr="000230E8" w:rsidRDefault="006C148C">
      <w:pPr>
        <w:pStyle w:val="Heading2"/>
        <w:rPr>
          <w:lang w:val="es-ES"/>
        </w:rPr>
      </w:pPr>
      <w:bookmarkStart w:id="426" w:name="_Toc335836524"/>
      <w:r w:rsidRPr="000230E8">
        <w:rPr>
          <w:lang w:val="es-ES"/>
        </w:rPr>
        <w:t>Ráitis airgeadais</w:t>
      </w:r>
      <w:bookmarkEnd w:id="426"/>
    </w:p>
    <w:p w14:paraId="29F5DC99" w14:textId="77777777" w:rsidR="006C148C" w:rsidRPr="000230E8" w:rsidRDefault="006C148C">
      <w:pPr>
        <w:rPr>
          <w:lang w:val="es-ES"/>
        </w:rPr>
      </w:pPr>
      <w:r w:rsidRPr="000230E8">
        <w:rPr>
          <w:lang w:val="es-ES"/>
        </w:rPr>
        <w:t>De réir an Achta um Údarás Náisiúnta Míchumais 1999, d’ullmhaigh agus chuir isteach an tÚdarás Náisiúnta Míchumais cuntais airgeadais, do 2010, le haghaidh iniúchta ag an Ard-Reachtaire Cuntas agus Ciste. Faomhadh na ráitis i Meitheamh 2011 agus cuireadh iad le Tuarascáil Bhliantúil 2010, a cuireadh faoi bhráid an Aire i Meán Fómhair 2011.</w:t>
      </w:r>
    </w:p>
    <w:p w14:paraId="581C91C7" w14:textId="77777777" w:rsidR="000230E8" w:rsidRPr="00C2318B" w:rsidRDefault="00C63F26" w:rsidP="000230E8">
      <w:pPr>
        <w:pStyle w:val="Heading1"/>
        <w:rPr>
          <w:lang/>
        </w:rPr>
      </w:pPr>
      <w:bookmarkStart w:id="427" w:name="_Toc335746613"/>
      <w:bookmarkStart w:id="428" w:name="_Toc335829663"/>
      <w:bookmarkStart w:id="429" w:name="_Toc335836525"/>
      <w:bookmarkStart w:id="430" w:name="_Toc335983452"/>
      <w:r>
        <w:rPr>
          <w:lang/>
        </w:rPr>
        <w:br w:type="page"/>
      </w:r>
      <w:bookmarkStart w:id="431" w:name="_Toc335986622"/>
      <w:r w:rsidR="000230E8" w:rsidRPr="00C2318B">
        <w:rPr>
          <w:lang/>
        </w:rPr>
        <w:lastRenderedPageBreak/>
        <w:t>Ráitis Airgeadais</w:t>
      </w:r>
      <w:bookmarkEnd w:id="431"/>
      <w:r w:rsidR="000230E8" w:rsidRPr="00C2318B">
        <w:rPr>
          <w:lang/>
        </w:rPr>
        <w:t xml:space="preserve"> </w:t>
      </w:r>
      <w:bookmarkEnd w:id="427"/>
      <w:bookmarkEnd w:id="428"/>
      <w:bookmarkEnd w:id="429"/>
      <w:bookmarkEnd w:id="430"/>
    </w:p>
    <w:p w14:paraId="5B1161F9" w14:textId="77777777" w:rsidR="001B072E" w:rsidRPr="005A0642" w:rsidRDefault="000230E8" w:rsidP="001B072E">
      <w:pPr>
        <w:pStyle w:val="Heading1"/>
        <w:rPr>
          <w:rFonts w:ascii="Times New Roman" w:hAnsi="Times New Roman"/>
          <w:b w:val="0"/>
          <w:noProof/>
          <w:sz w:val="24"/>
          <w:lang w:val="en-GB" w:eastAsia="en-GB"/>
        </w:rPr>
      </w:pPr>
      <w:r w:rsidRPr="00C2318B">
        <w:rPr>
          <w:lang/>
        </w:rPr>
        <w:br w:type="page"/>
      </w:r>
      <w:bookmarkStart w:id="432" w:name="_Toc335746614"/>
      <w:bookmarkStart w:id="433" w:name="_Toc335829664"/>
      <w:bookmarkStart w:id="434" w:name="_Toc335836526"/>
      <w:bookmarkStart w:id="435" w:name="_Toc335983453"/>
      <w:bookmarkStart w:id="436" w:name="_Toc335986623"/>
      <w:r w:rsidRPr="00C2318B">
        <w:rPr>
          <w:lang/>
        </w:rPr>
        <w:lastRenderedPageBreak/>
        <w:t>Clár Ábhar</w:t>
      </w:r>
      <w:bookmarkEnd w:id="432"/>
      <w:bookmarkEnd w:id="433"/>
      <w:bookmarkEnd w:id="434"/>
      <w:bookmarkEnd w:id="435"/>
      <w:bookmarkEnd w:id="436"/>
      <w:r w:rsidRPr="005A0642">
        <w:rPr>
          <w:b w:val="0"/>
          <w:lang/>
        </w:rPr>
        <w:fldChar w:fldCharType="begin"/>
      </w:r>
      <w:r w:rsidRPr="005A0642">
        <w:rPr>
          <w:b w:val="0"/>
          <w:lang/>
        </w:rPr>
        <w:instrText xml:space="preserve"> TOC \o "1-1" \h \z \u </w:instrText>
      </w:r>
      <w:r w:rsidRPr="005A0642">
        <w:rPr>
          <w:b w:val="0"/>
          <w:lang/>
        </w:rPr>
        <w:fldChar w:fldCharType="separate"/>
      </w:r>
    </w:p>
    <w:p w14:paraId="44E86FC3" w14:textId="77777777" w:rsidR="001B072E" w:rsidRPr="005A0642" w:rsidRDefault="001B072E">
      <w:pPr>
        <w:pStyle w:val="TOC1"/>
        <w:tabs>
          <w:tab w:val="right" w:leader="dot" w:pos="8630"/>
        </w:tabs>
        <w:rPr>
          <w:rFonts w:ascii="Times New Roman" w:hAnsi="Times New Roman"/>
          <w:b w:val="0"/>
          <w:noProof/>
          <w:sz w:val="24"/>
          <w:lang w:val="en-GB" w:eastAsia="en-GB"/>
        </w:rPr>
      </w:pPr>
      <w:hyperlink w:anchor="_Toc335986624" w:history="1">
        <w:r w:rsidRPr="005A0642">
          <w:rPr>
            <w:rStyle w:val="Hyperlink"/>
            <w:b w:val="0"/>
            <w:noProof/>
            <w:lang/>
          </w:rPr>
          <w:t>Comhaltaí an Údaráis agus Faisnéis Eile</w:t>
        </w:r>
        <w:r w:rsidRPr="005A0642">
          <w:rPr>
            <w:b w:val="0"/>
            <w:noProof/>
            <w:webHidden/>
          </w:rPr>
          <w:tab/>
        </w:r>
        <w:r w:rsidRPr="005A0642">
          <w:rPr>
            <w:b w:val="0"/>
            <w:noProof/>
            <w:webHidden/>
          </w:rPr>
          <w:fldChar w:fldCharType="begin"/>
        </w:r>
        <w:r w:rsidRPr="005A0642">
          <w:rPr>
            <w:b w:val="0"/>
            <w:noProof/>
            <w:webHidden/>
          </w:rPr>
          <w:instrText xml:space="preserve"> PAGEREF _Toc335986624 \h </w:instrText>
        </w:r>
        <w:r w:rsidR="00B90652" w:rsidRPr="005A0642">
          <w:rPr>
            <w:b w:val="0"/>
            <w:noProof/>
          </w:rPr>
        </w:r>
        <w:r w:rsidRPr="005A0642">
          <w:rPr>
            <w:b w:val="0"/>
            <w:noProof/>
            <w:webHidden/>
          </w:rPr>
          <w:fldChar w:fldCharType="separate"/>
        </w:r>
        <w:r w:rsidR="005A0642" w:rsidRPr="005A0642">
          <w:rPr>
            <w:b w:val="0"/>
            <w:noProof/>
            <w:webHidden/>
          </w:rPr>
          <w:t>104</w:t>
        </w:r>
        <w:r w:rsidRPr="005A0642">
          <w:rPr>
            <w:b w:val="0"/>
            <w:noProof/>
            <w:webHidden/>
          </w:rPr>
          <w:fldChar w:fldCharType="end"/>
        </w:r>
      </w:hyperlink>
    </w:p>
    <w:p w14:paraId="241471AB" w14:textId="77777777" w:rsidR="001B072E" w:rsidRPr="005A0642" w:rsidRDefault="001B072E">
      <w:pPr>
        <w:pStyle w:val="TOC1"/>
        <w:tabs>
          <w:tab w:val="right" w:leader="dot" w:pos="8630"/>
        </w:tabs>
        <w:rPr>
          <w:rFonts w:ascii="Times New Roman" w:hAnsi="Times New Roman"/>
          <w:b w:val="0"/>
          <w:noProof/>
          <w:sz w:val="24"/>
          <w:lang w:val="en-GB" w:eastAsia="en-GB"/>
        </w:rPr>
      </w:pPr>
      <w:hyperlink w:anchor="_Toc335986625" w:history="1">
        <w:r w:rsidRPr="005A0642">
          <w:rPr>
            <w:rStyle w:val="Hyperlink"/>
            <w:b w:val="0"/>
            <w:noProof/>
            <w:lang/>
          </w:rPr>
          <w:t>An tÚdarás Náisiúnta Míchumais</w:t>
        </w:r>
        <w:r w:rsidRPr="005A0642">
          <w:rPr>
            <w:b w:val="0"/>
            <w:noProof/>
            <w:webHidden/>
          </w:rPr>
          <w:tab/>
        </w:r>
        <w:r w:rsidRPr="005A0642">
          <w:rPr>
            <w:b w:val="0"/>
            <w:noProof/>
            <w:webHidden/>
          </w:rPr>
          <w:fldChar w:fldCharType="begin"/>
        </w:r>
        <w:r w:rsidRPr="005A0642">
          <w:rPr>
            <w:b w:val="0"/>
            <w:noProof/>
            <w:webHidden/>
          </w:rPr>
          <w:instrText xml:space="preserve"> PAGEREF _Toc335986625 \h </w:instrText>
        </w:r>
        <w:r w:rsidR="00B90652" w:rsidRPr="005A0642">
          <w:rPr>
            <w:b w:val="0"/>
            <w:noProof/>
          </w:rPr>
        </w:r>
        <w:r w:rsidRPr="005A0642">
          <w:rPr>
            <w:b w:val="0"/>
            <w:noProof/>
            <w:webHidden/>
          </w:rPr>
          <w:fldChar w:fldCharType="separate"/>
        </w:r>
        <w:r w:rsidR="005A0642" w:rsidRPr="005A0642">
          <w:rPr>
            <w:b w:val="0"/>
            <w:noProof/>
            <w:webHidden/>
          </w:rPr>
          <w:t>105</w:t>
        </w:r>
        <w:r w:rsidRPr="005A0642">
          <w:rPr>
            <w:b w:val="0"/>
            <w:noProof/>
            <w:webHidden/>
          </w:rPr>
          <w:fldChar w:fldCharType="end"/>
        </w:r>
      </w:hyperlink>
    </w:p>
    <w:p w14:paraId="3F598131" w14:textId="77777777" w:rsidR="001B072E" w:rsidRPr="005A0642" w:rsidRDefault="001B072E">
      <w:pPr>
        <w:pStyle w:val="TOC1"/>
        <w:tabs>
          <w:tab w:val="right" w:leader="dot" w:pos="8630"/>
        </w:tabs>
        <w:rPr>
          <w:rFonts w:ascii="Times New Roman" w:hAnsi="Times New Roman"/>
          <w:b w:val="0"/>
          <w:noProof/>
          <w:sz w:val="24"/>
          <w:lang w:val="en-GB" w:eastAsia="en-GB"/>
        </w:rPr>
      </w:pPr>
      <w:hyperlink w:anchor="_Toc335986626" w:history="1">
        <w:r w:rsidRPr="005A0642">
          <w:rPr>
            <w:rStyle w:val="Hyperlink"/>
            <w:b w:val="0"/>
            <w:noProof/>
            <w:lang/>
          </w:rPr>
          <w:t>Ráiteas faoi Fhreagrachtaí Chomhaltaí an Údaráis</w:t>
        </w:r>
        <w:r w:rsidRPr="005A0642">
          <w:rPr>
            <w:b w:val="0"/>
            <w:noProof/>
            <w:webHidden/>
          </w:rPr>
          <w:tab/>
        </w:r>
        <w:r w:rsidRPr="005A0642">
          <w:rPr>
            <w:b w:val="0"/>
            <w:noProof/>
            <w:webHidden/>
          </w:rPr>
          <w:fldChar w:fldCharType="begin"/>
        </w:r>
        <w:r w:rsidRPr="005A0642">
          <w:rPr>
            <w:b w:val="0"/>
            <w:noProof/>
            <w:webHidden/>
          </w:rPr>
          <w:instrText xml:space="preserve"> PAGEREF _Toc335986626 \h </w:instrText>
        </w:r>
        <w:r w:rsidR="00B90652" w:rsidRPr="005A0642">
          <w:rPr>
            <w:b w:val="0"/>
            <w:noProof/>
          </w:rPr>
        </w:r>
        <w:r w:rsidRPr="005A0642">
          <w:rPr>
            <w:b w:val="0"/>
            <w:noProof/>
            <w:webHidden/>
          </w:rPr>
          <w:fldChar w:fldCharType="separate"/>
        </w:r>
        <w:r w:rsidR="005A0642" w:rsidRPr="005A0642">
          <w:rPr>
            <w:b w:val="0"/>
            <w:noProof/>
            <w:webHidden/>
          </w:rPr>
          <w:t>107</w:t>
        </w:r>
        <w:r w:rsidRPr="005A0642">
          <w:rPr>
            <w:b w:val="0"/>
            <w:noProof/>
            <w:webHidden/>
          </w:rPr>
          <w:fldChar w:fldCharType="end"/>
        </w:r>
      </w:hyperlink>
    </w:p>
    <w:p w14:paraId="67BE06FF" w14:textId="77777777" w:rsidR="001B072E" w:rsidRPr="005A0642" w:rsidRDefault="001B072E">
      <w:pPr>
        <w:pStyle w:val="TOC1"/>
        <w:tabs>
          <w:tab w:val="right" w:leader="dot" w:pos="8630"/>
        </w:tabs>
        <w:rPr>
          <w:rFonts w:ascii="Times New Roman" w:hAnsi="Times New Roman"/>
          <w:b w:val="0"/>
          <w:noProof/>
          <w:sz w:val="24"/>
          <w:lang w:val="en-GB" w:eastAsia="en-GB"/>
        </w:rPr>
      </w:pPr>
      <w:hyperlink w:anchor="_Toc335986627" w:history="1">
        <w:r w:rsidRPr="005A0642">
          <w:rPr>
            <w:rStyle w:val="Hyperlink"/>
            <w:b w:val="0"/>
            <w:noProof/>
            <w:lang/>
          </w:rPr>
          <w:t>Ráiteas faoi Rialú Inmheánach Airgeadais don bhliain dar chríoch 31 Nollaig 2011</w:t>
        </w:r>
        <w:r w:rsidRPr="005A0642">
          <w:rPr>
            <w:b w:val="0"/>
            <w:noProof/>
            <w:webHidden/>
          </w:rPr>
          <w:tab/>
        </w:r>
        <w:r w:rsidRPr="005A0642">
          <w:rPr>
            <w:b w:val="0"/>
            <w:noProof/>
            <w:webHidden/>
          </w:rPr>
          <w:fldChar w:fldCharType="begin"/>
        </w:r>
        <w:r w:rsidRPr="005A0642">
          <w:rPr>
            <w:b w:val="0"/>
            <w:noProof/>
            <w:webHidden/>
          </w:rPr>
          <w:instrText xml:space="preserve"> PAGEREF _Toc335986627 \h </w:instrText>
        </w:r>
        <w:r w:rsidR="00B90652" w:rsidRPr="005A0642">
          <w:rPr>
            <w:b w:val="0"/>
            <w:noProof/>
          </w:rPr>
        </w:r>
        <w:r w:rsidRPr="005A0642">
          <w:rPr>
            <w:b w:val="0"/>
            <w:noProof/>
            <w:webHidden/>
          </w:rPr>
          <w:fldChar w:fldCharType="separate"/>
        </w:r>
        <w:r w:rsidR="005A0642" w:rsidRPr="005A0642">
          <w:rPr>
            <w:b w:val="0"/>
            <w:noProof/>
            <w:webHidden/>
          </w:rPr>
          <w:t>107</w:t>
        </w:r>
        <w:r w:rsidRPr="005A0642">
          <w:rPr>
            <w:b w:val="0"/>
            <w:noProof/>
            <w:webHidden/>
          </w:rPr>
          <w:fldChar w:fldCharType="end"/>
        </w:r>
      </w:hyperlink>
    </w:p>
    <w:p w14:paraId="001F4872" w14:textId="77777777" w:rsidR="001B072E" w:rsidRPr="005A0642" w:rsidRDefault="001B072E">
      <w:pPr>
        <w:pStyle w:val="TOC1"/>
        <w:tabs>
          <w:tab w:val="right" w:leader="dot" w:pos="8630"/>
        </w:tabs>
        <w:rPr>
          <w:rFonts w:ascii="Times New Roman" w:hAnsi="Times New Roman"/>
          <w:b w:val="0"/>
          <w:noProof/>
          <w:sz w:val="24"/>
          <w:lang w:val="en-GB" w:eastAsia="en-GB"/>
        </w:rPr>
      </w:pPr>
      <w:hyperlink w:anchor="_Toc335986628" w:history="1">
        <w:r w:rsidRPr="005A0642">
          <w:rPr>
            <w:rStyle w:val="Hyperlink"/>
            <w:b w:val="0"/>
            <w:noProof/>
            <w:lang/>
          </w:rPr>
          <w:t>Tuarascáil an Ard-Reachtaire Cuntas agus Ciste le cur i láthair Thithe an Oireachtais</w:t>
        </w:r>
        <w:r w:rsidRPr="005A0642">
          <w:rPr>
            <w:b w:val="0"/>
            <w:noProof/>
            <w:webHidden/>
          </w:rPr>
          <w:tab/>
        </w:r>
        <w:r w:rsidRPr="005A0642">
          <w:rPr>
            <w:b w:val="0"/>
            <w:noProof/>
            <w:webHidden/>
          </w:rPr>
          <w:fldChar w:fldCharType="begin"/>
        </w:r>
        <w:r w:rsidRPr="005A0642">
          <w:rPr>
            <w:b w:val="0"/>
            <w:noProof/>
            <w:webHidden/>
          </w:rPr>
          <w:instrText xml:space="preserve"> PAGEREF _Toc335986628 \h </w:instrText>
        </w:r>
        <w:r w:rsidR="00B90652" w:rsidRPr="005A0642">
          <w:rPr>
            <w:b w:val="0"/>
            <w:noProof/>
          </w:rPr>
        </w:r>
        <w:r w:rsidRPr="005A0642">
          <w:rPr>
            <w:b w:val="0"/>
            <w:noProof/>
            <w:webHidden/>
          </w:rPr>
          <w:fldChar w:fldCharType="separate"/>
        </w:r>
        <w:r w:rsidR="005A0642" w:rsidRPr="005A0642">
          <w:rPr>
            <w:b w:val="0"/>
            <w:noProof/>
            <w:webHidden/>
          </w:rPr>
          <w:t>111</w:t>
        </w:r>
        <w:r w:rsidRPr="005A0642">
          <w:rPr>
            <w:b w:val="0"/>
            <w:noProof/>
            <w:webHidden/>
          </w:rPr>
          <w:fldChar w:fldCharType="end"/>
        </w:r>
      </w:hyperlink>
    </w:p>
    <w:p w14:paraId="4B2AEECB" w14:textId="77777777" w:rsidR="001B072E" w:rsidRPr="005A0642" w:rsidRDefault="001B072E">
      <w:pPr>
        <w:pStyle w:val="TOC1"/>
        <w:tabs>
          <w:tab w:val="right" w:leader="dot" w:pos="8630"/>
        </w:tabs>
        <w:rPr>
          <w:rFonts w:ascii="Times New Roman" w:hAnsi="Times New Roman"/>
          <w:b w:val="0"/>
          <w:noProof/>
          <w:sz w:val="24"/>
          <w:lang w:val="en-GB" w:eastAsia="en-GB"/>
        </w:rPr>
      </w:pPr>
      <w:hyperlink w:anchor="_Toc335986629" w:history="1">
        <w:r w:rsidRPr="005A0642">
          <w:rPr>
            <w:rStyle w:val="Hyperlink"/>
            <w:b w:val="0"/>
            <w:noProof/>
            <w:lang/>
          </w:rPr>
          <w:t>Ráiteas faoi Pholasaithe Airgeadais</w:t>
        </w:r>
        <w:r w:rsidRPr="005A0642">
          <w:rPr>
            <w:b w:val="0"/>
            <w:noProof/>
            <w:webHidden/>
          </w:rPr>
          <w:tab/>
        </w:r>
        <w:r w:rsidRPr="005A0642">
          <w:rPr>
            <w:b w:val="0"/>
            <w:noProof/>
            <w:webHidden/>
          </w:rPr>
          <w:fldChar w:fldCharType="begin"/>
        </w:r>
        <w:r w:rsidRPr="005A0642">
          <w:rPr>
            <w:b w:val="0"/>
            <w:noProof/>
            <w:webHidden/>
          </w:rPr>
          <w:instrText xml:space="preserve"> PAGEREF _Toc335986629 \h </w:instrText>
        </w:r>
        <w:r w:rsidR="00B90652" w:rsidRPr="005A0642">
          <w:rPr>
            <w:b w:val="0"/>
            <w:noProof/>
          </w:rPr>
        </w:r>
        <w:r w:rsidRPr="005A0642">
          <w:rPr>
            <w:b w:val="0"/>
            <w:noProof/>
            <w:webHidden/>
          </w:rPr>
          <w:fldChar w:fldCharType="separate"/>
        </w:r>
        <w:r w:rsidR="005A0642" w:rsidRPr="005A0642">
          <w:rPr>
            <w:b w:val="0"/>
            <w:noProof/>
            <w:webHidden/>
          </w:rPr>
          <w:t>113</w:t>
        </w:r>
        <w:r w:rsidRPr="005A0642">
          <w:rPr>
            <w:b w:val="0"/>
            <w:noProof/>
            <w:webHidden/>
          </w:rPr>
          <w:fldChar w:fldCharType="end"/>
        </w:r>
      </w:hyperlink>
    </w:p>
    <w:p w14:paraId="4917B01F" w14:textId="77777777" w:rsidR="001B072E" w:rsidRPr="005A0642" w:rsidRDefault="001B072E">
      <w:pPr>
        <w:pStyle w:val="TOC1"/>
        <w:tabs>
          <w:tab w:val="right" w:leader="dot" w:pos="8630"/>
        </w:tabs>
        <w:rPr>
          <w:rFonts w:ascii="Times New Roman" w:hAnsi="Times New Roman"/>
          <w:b w:val="0"/>
          <w:noProof/>
          <w:sz w:val="24"/>
          <w:lang w:val="en-GB" w:eastAsia="en-GB"/>
        </w:rPr>
      </w:pPr>
      <w:hyperlink w:anchor="_Toc335986630" w:history="1">
        <w:r w:rsidRPr="005A0642">
          <w:rPr>
            <w:rStyle w:val="Hyperlink"/>
            <w:b w:val="0"/>
            <w:noProof/>
            <w:lang/>
          </w:rPr>
          <w:t xml:space="preserve">Cuntas Ioncaim agus Caiteachais don bhliain dar chríoch an 31 Nollaig </w:t>
        </w:r>
        <w:r w:rsidRPr="005A0642">
          <w:rPr>
            <w:rStyle w:val="Hyperlink"/>
            <w:b w:val="0"/>
            <w:noProof/>
            <w:lang w:eastAsia="en-GB"/>
          </w:rPr>
          <w:t>2011</w:t>
        </w:r>
        <w:r w:rsidRPr="005A0642">
          <w:rPr>
            <w:b w:val="0"/>
            <w:noProof/>
            <w:webHidden/>
          </w:rPr>
          <w:tab/>
        </w:r>
        <w:r w:rsidRPr="005A0642">
          <w:rPr>
            <w:b w:val="0"/>
            <w:noProof/>
            <w:webHidden/>
          </w:rPr>
          <w:fldChar w:fldCharType="begin"/>
        </w:r>
        <w:r w:rsidRPr="005A0642">
          <w:rPr>
            <w:b w:val="0"/>
            <w:noProof/>
            <w:webHidden/>
          </w:rPr>
          <w:instrText xml:space="preserve"> PAGEREF _Toc335986630 \h </w:instrText>
        </w:r>
        <w:r w:rsidR="00B90652" w:rsidRPr="005A0642">
          <w:rPr>
            <w:b w:val="0"/>
            <w:noProof/>
          </w:rPr>
        </w:r>
        <w:r w:rsidRPr="005A0642">
          <w:rPr>
            <w:b w:val="0"/>
            <w:noProof/>
            <w:webHidden/>
          </w:rPr>
          <w:fldChar w:fldCharType="separate"/>
        </w:r>
        <w:r w:rsidR="005A0642" w:rsidRPr="005A0642">
          <w:rPr>
            <w:b w:val="0"/>
            <w:noProof/>
            <w:webHidden/>
          </w:rPr>
          <w:t>115</w:t>
        </w:r>
        <w:r w:rsidRPr="005A0642">
          <w:rPr>
            <w:b w:val="0"/>
            <w:noProof/>
            <w:webHidden/>
          </w:rPr>
          <w:fldChar w:fldCharType="end"/>
        </w:r>
      </w:hyperlink>
    </w:p>
    <w:p w14:paraId="2CCC7D57" w14:textId="77777777" w:rsidR="001B072E" w:rsidRPr="005A0642" w:rsidRDefault="001B072E">
      <w:pPr>
        <w:pStyle w:val="TOC1"/>
        <w:tabs>
          <w:tab w:val="right" w:leader="dot" w:pos="8630"/>
        </w:tabs>
        <w:rPr>
          <w:rFonts w:ascii="Times New Roman" w:hAnsi="Times New Roman"/>
          <w:b w:val="0"/>
          <w:noProof/>
          <w:sz w:val="24"/>
          <w:lang w:val="en-GB" w:eastAsia="en-GB"/>
        </w:rPr>
      </w:pPr>
      <w:hyperlink w:anchor="_Toc335986631" w:history="1">
        <w:r w:rsidRPr="005A0642">
          <w:rPr>
            <w:rStyle w:val="Hyperlink"/>
            <w:b w:val="0"/>
            <w:noProof/>
            <w:lang w:eastAsia="en-GB"/>
          </w:rPr>
          <w:t>Clár Comhardaithe amhail an 31 Nollaig 2011</w:t>
        </w:r>
        <w:r w:rsidRPr="005A0642">
          <w:rPr>
            <w:b w:val="0"/>
            <w:noProof/>
            <w:webHidden/>
          </w:rPr>
          <w:tab/>
        </w:r>
        <w:r w:rsidRPr="005A0642">
          <w:rPr>
            <w:b w:val="0"/>
            <w:noProof/>
            <w:webHidden/>
          </w:rPr>
          <w:fldChar w:fldCharType="begin"/>
        </w:r>
        <w:r w:rsidRPr="005A0642">
          <w:rPr>
            <w:b w:val="0"/>
            <w:noProof/>
            <w:webHidden/>
          </w:rPr>
          <w:instrText xml:space="preserve"> PAGEREF _Toc335986631 \h </w:instrText>
        </w:r>
        <w:r w:rsidR="00B90652" w:rsidRPr="005A0642">
          <w:rPr>
            <w:b w:val="0"/>
            <w:noProof/>
          </w:rPr>
        </w:r>
        <w:r w:rsidRPr="005A0642">
          <w:rPr>
            <w:b w:val="0"/>
            <w:noProof/>
            <w:webHidden/>
          </w:rPr>
          <w:fldChar w:fldCharType="separate"/>
        </w:r>
        <w:r w:rsidR="005A0642" w:rsidRPr="005A0642">
          <w:rPr>
            <w:b w:val="0"/>
            <w:noProof/>
            <w:webHidden/>
          </w:rPr>
          <w:t>117</w:t>
        </w:r>
        <w:r w:rsidRPr="005A0642">
          <w:rPr>
            <w:b w:val="0"/>
            <w:noProof/>
            <w:webHidden/>
          </w:rPr>
          <w:fldChar w:fldCharType="end"/>
        </w:r>
      </w:hyperlink>
    </w:p>
    <w:p w14:paraId="3BF1318C" w14:textId="77777777" w:rsidR="001B072E" w:rsidRPr="005A0642" w:rsidRDefault="001B072E">
      <w:pPr>
        <w:pStyle w:val="TOC1"/>
        <w:tabs>
          <w:tab w:val="right" w:leader="dot" w:pos="8630"/>
        </w:tabs>
        <w:rPr>
          <w:rFonts w:ascii="Times New Roman" w:hAnsi="Times New Roman"/>
          <w:b w:val="0"/>
          <w:noProof/>
          <w:sz w:val="24"/>
          <w:lang w:val="en-GB" w:eastAsia="en-GB"/>
        </w:rPr>
      </w:pPr>
      <w:hyperlink w:anchor="_Toc335986632" w:history="1">
        <w:r w:rsidRPr="005A0642">
          <w:rPr>
            <w:rStyle w:val="Hyperlink"/>
            <w:b w:val="0"/>
            <w:noProof/>
            <w:lang w:eastAsia="en-GB"/>
          </w:rPr>
          <w:t>Ráiteas faoi Shreabhadh Airgid don bhliain dar chríoch an 31 Nollaig 2011</w:t>
        </w:r>
        <w:r w:rsidRPr="005A0642">
          <w:rPr>
            <w:b w:val="0"/>
            <w:noProof/>
            <w:webHidden/>
          </w:rPr>
          <w:tab/>
        </w:r>
        <w:r w:rsidRPr="005A0642">
          <w:rPr>
            <w:b w:val="0"/>
            <w:noProof/>
            <w:webHidden/>
          </w:rPr>
          <w:fldChar w:fldCharType="begin"/>
        </w:r>
        <w:r w:rsidRPr="005A0642">
          <w:rPr>
            <w:b w:val="0"/>
            <w:noProof/>
            <w:webHidden/>
          </w:rPr>
          <w:instrText xml:space="preserve"> PAGEREF _Toc335986632 \h </w:instrText>
        </w:r>
        <w:r w:rsidR="00B90652" w:rsidRPr="005A0642">
          <w:rPr>
            <w:b w:val="0"/>
            <w:noProof/>
          </w:rPr>
        </w:r>
        <w:r w:rsidRPr="005A0642">
          <w:rPr>
            <w:b w:val="0"/>
            <w:noProof/>
            <w:webHidden/>
          </w:rPr>
          <w:fldChar w:fldCharType="separate"/>
        </w:r>
        <w:r w:rsidR="005A0642" w:rsidRPr="005A0642">
          <w:rPr>
            <w:b w:val="0"/>
            <w:noProof/>
            <w:webHidden/>
          </w:rPr>
          <w:t>118</w:t>
        </w:r>
        <w:r w:rsidRPr="005A0642">
          <w:rPr>
            <w:b w:val="0"/>
            <w:noProof/>
            <w:webHidden/>
          </w:rPr>
          <w:fldChar w:fldCharType="end"/>
        </w:r>
      </w:hyperlink>
    </w:p>
    <w:p w14:paraId="2F069184" w14:textId="77777777" w:rsidR="00E576E2" w:rsidRPr="005A0642" w:rsidRDefault="001B072E" w:rsidP="00E576E2">
      <w:pPr>
        <w:pStyle w:val="TOC1"/>
        <w:tabs>
          <w:tab w:val="right" w:leader="dot" w:pos="8630"/>
        </w:tabs>
        <w:rPr>
          <w:b w:val="0"/>
          <w:lang/>
        </w:rPr>
      </w:pPr>
      <w:hyperlink w:anchor="_Toc335986633" w:history="1">
        <w:r w:rsidRPr="005A0642">
          <w:rPr>
            <w:rStyle w:val="Hyperlink"/>
            <w:b w:val="0"/>
            <w:noProof/>
            <w:lang w:eastAsia="en-GB"/>
          </w:rPr>
          <w:t>Nótaí leis na Ráitis Airgeadais don bhliain dar chríoch an 31 Nollaig, 2011</w:t>
        </w:r>
        <w:r w:rsidRPr="005A0642">
          <w:rPr>
            <w:b w:val="0"/>
            <w:noProof/>
            <w:webHidden/>
          </w:rPr>
          <w:tab/>
        </w:r>
        <w:r w:rsidRPr="005A0642">
          <w:rPr>
            <w:b w:val="0"/>
            <w:noProof/>
            <w:webHidden/>
          </w:rPr>
          <w:fldChar w:fldCharType="begin"/>
        </w:r>
        <w:r w:rsidRPr="005A0642">
          <w:rPr>
            <w:b w:val="0"/>
            <w:noProof/>
            <w:webHidden/>
          </w:rPr>
          <w:instrText xml:space="preserve"> PAGEREF _Toc335986633 \h </w:instrText>
        </w:r>
        <w:r w:rsidR="00B90652" w:rsidRPr="005A0642">
          <w:rPr>
            <w:b w:val="0"/>
            <w:noProof/>
          </w:rPr>
        </w:r>
        <w:r w:rsidRPr="005A0642">
          <w:rPr>
            <w:b w:val="0"/>
            <w:noProof/>
            <w:webHidden/>
          </w:rPr>
          <w:fldChar w:fldCharType="separate"/>
        </w:r>
        <w:r w:rsidR="005A0642" w:rsidRPr="005A0642">
          <w:rPr>
            <w:b w:val="0"/>
            <w:noProof/>
            <w:webHidden/>
          </w:rPr>
          <w:t>119</w:t>
        </w:r>
        <w:r w:rsidRPr="005A0642">
          <w:rPr>
            <w:b w:val="0"/>
            <w:noProof/>
            <w:webHidden/>
          </w:rPr>
          <w:fldChar w:fldCharType="end"/>
        </w:r>
      </w:hyperlink>
      <w:r w:rsidR="000230E8" w:rsidRPr="005A0642">
        <w:rPr>
          <w:b w:val="0"/>
          <w:lang/>
        </w:rPr>
        <w:fldChar w:fldCharType="end"/>
      </w:r>
      <w:bookmarkStart w:id="437" w:name="_Toc335829665"/>
      <w:bookmarkStart w:id="438" w:name="_Toc335836527"/>
      <w:bookmarkStart w:id="439" w:name="_Toc335983454"/>
      <w:bookmarkStart w:id="440" w:name="_Toc335986624"/>
    </w:p>
    <w:p w14:paraId="2A093DA3" w14:textId="77777777" w:rsidR="000230E8" w:rsidRPr="00C2318B" w:rsidRDefault="00E576E2" w:rsidP="00E576E2">
      <w:pPr>
        <w:pStyle w:val="Heading1"/>
        <w:numPr>
          <w:ilvl w:val="0"/>
          <w:numId w:val="0"/>
        </w:numPr>
        <w:rPr>
          <w:lang/>
        </w:rPr>
      </w:pPr>
      <w:r>
        <w:rPr>
          <w:lang/>
        </w:rPr>
        <w:br w:type="page"/>
      </w:r>
      <w:r w:rsidR="000230E8" w:rsidRPr="00C2318B">
        <w:rPr>
          <w:lang/>
        </w:rPr>
        <w:lastRenderedPageBreak/>
        <w:t>Comhaltaí an Údaráis agus Faisnéis Eile</w:t>
      </w:r>
      <w:bookmarkEnd w:id="437"/>
      <w:bookmarkEnd w:id="438"/>
      <w:bookmarkEnd w:id="439"/>
      <w:bookmarkEnd w:id="440"/>
      <w:r w:rsidR="000230E8" w:rsidRPr="00C2318B">
        <w:rPr>
          <w:lang/>
        </w:rPr>
        <w:t xml:space="preserve"> </w:t>
      </w:r>
    </w:p>
    <w:p w14:paraId="3F8E5109" w14:textId="77777777" w:rsidR="000230E8" w:rsidRPr="00C2318B" w:rsidRDefault="000230E8" w:rsidP="000230E8">
      <w:pPr>
        <w:pStyle w:val="Heading2"/>
        <w:rPr>
          <w:lang/>
        </w:rPr>
      </w:pPr>
      <w:bookmarkStart w:id="441" w:name="_Toc335836528"/>
      <w:r w:rsidRPr="00C2318B">
        <w:rPr>
          <w:lang/>
        </w:rPr>
        <w:t>Ón 1 Eanáir–31 Nollaig, 2011</w:t>
      </w:r>
      <w:bookmarkEnd w:id="44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2897"/>
        <w:gridCol w:w="1921"/>
        <w:gridCol w:w="1903"/>
        <w:gridCol w:w="1903"/>
      </w:tblGrid>
      <w:tr w:rsidR="000230E8" w:rsidRPr="00C2318B" w14:paraId="70AD8670" w14:textId="77777777" w:rsidTr="000230E8">
        <w:trPr>
          <w:tblHeader/>
        </w:trPr>
        <w:tc>
          <w:tcPr>
            <w:tcW w:w="2988" w:type="dxa"/>
            <w:shd w:val="clear" w:color="auto" w:fill="auto"/>
          </w:tcPr>
          <w:p w14:paraId="51C7904C" w14:textId="77777777" w:rsidR="000230E8" w:rsidRPr="001B072E" w:rsidRDefault="000230E8" w:rsidP="000230E8">
            <w:pPr>
              <w:pStyle w:val="TableHead"/>
              <w:spacing w:line="294" w:lineRule="exact"/>
              <w:rPr>
                <w:b w:val="0"/>
                <w:sz w:val="24"/>
                <w:lang/>
              </w:rPr>
            </w:pPr>
          </w:p>
        </w:tc>
        <w:tc>
          <w:tcPr>
            <w:tcW w:w="1956" w:type="dxa"/>
            <w:shd w:val="clear" w:color="auto" w:fill="auto"/>
            <w:vAlign w:val="center"/>
          </w:tcPr>
          <w:p w14:paraId="6FF79F21" w14:textId="77777777" w:rsidR="000230E8" w:rsidRPr="001B072E" w:rsidRDefault="000230E8" w:rsidP="000230E8">
            <w:pPr>
              <w:pStyle w:val="TableHead"/>
              <w:spacing w:line="294" w:lineRule="exact"/>
              <w:rPr>
                <w:b w:val="0"/>
                <w:sz w:val="24"/>
                <w:lang/>
              </w:rPr>
            </w:pPr>
            <w:r w:rsidRPr="001B072E">
              <w:rPr>
                <w:b w:val="0"/>
                <w:sz w:val="24"/>
                <w:lang/>
              </w:rPr>
              <w:t>Líon na gcruinnithe ar freastalaíodh orthu le linn na tréimhse sin</w:t>
            </w:r>
          </w:p>
        </w:tc>
        <w:tc>
          <w:tcPr>
            <w:tcW w:w="1956" w:type="dxa"/>
            <w:shd w:val="clear" w:color="auto" w:fill="auto"/>
            <w:vAlign w:val="center"/>
          </w:tcPr>
          <w:p w14:paraId="09A0A7EF" w14:textId="77777777" w:rsidR="000230E8" w:rsidRPr="001B072E" w:rsidRDefault="000230E8" w:rsidP="000230E8">
            <w:pPr>
              <w:pStyle w:val="TableHead"/>
              <w:spacing w:line="294" w:lineRule="exact"/>
              <w:rPr>
                <w:b w:val="0"/>
                <w:sz w:val="24"/>
                <w:lang/>
              </w:rPr>
            </w:pPr>
            <w:r w:rsidRPr="001B072E">
              <w:rPr>
                <w:b w:val="0"/>
                <w:sz w:val="24"/>
                <w:lang/>
              </w:rPr>
              <w:t>Táillí</w:t>
            </w:r>
          </w:p>
        </w:tc>
        <w:tc>
          <w:tcPr>
            <w:tcW w:w="1956" w:type="dxa"/>
            <w:shd w:val="clear" w:color="auto" w:fill="auto"/>
            <w:vAlign w:val="center"/>
          </w:tcPr>
          <w:p w14:paraId="73572183" w14:textId="77777777" w:rsidR="000230E8" w:rsidRPr="001B072E" w:rsidRDefault="000230E8" w:rsidP="000230E8">
            <w:pPr>
              <w:pStyle w:val="TableHead"/>
              <w:spacing w:line="294" w:lineRule="exact"/>
              <w:rPr>
                <w:b w:val="0"/>
                <w:sz w:val="24"/>
                <w:lang/>
              </w:rPr>
            </w:pPr>
            <w:r w:rsidRPr="001B072E">
              <w:rPr>
                <w:b w:val="0"/>
                <w:sz w:val="24"/>
                <w:lang/>
              </w:rPr>
              <w:t>Speansais</w:t>
            </w:r>
          </w:p>
        </w:tc>
      </w:tr>
      <w:tr w:rsidR="000230E8" w:rsidRPr="00C2318B" w14:paraId="4E6FD907" w14:textId="77777777" w:rsidTr="000230E8">
        <w:tc>
          <w:tcPr>
            <w:tcW w:w="2988" w:type="dxa"/>
            <w:shd w:val="clear" w:color="auto" w:fill="auto"/>
          </w:tcPr>
          <w:p w14:paraId="4C0B6D99"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 xml:space="preserve">An tUas. Peter McKevitt, Cathaoirleach </w:t>
            </w:r>
          </w:p>
        </w:tc>
        <w:tc>
          <w:tcPr>
            <w:tcW w:w="1956" w:type="dxa"/>
            <w:shd w:val="clear" w:color="auto" w:fill="auto"/>
          </w:tcPr>
          <w:p w14:paraId="6D786A9C" w14:textId="77777777" w:rsidR="000230E8" w:rsidRPr="001B072E" w:rsidRDefault="000230E8" w:rsidP="000230E8">
            <w:pPr>
              <w:pStyle w:val="TableCell"/>
              <w:rPr>
                <w:sz w:val="24"/>
                <w:lang/>
              </w:rPr>
            </w:pPr>
            <w:r w:rsidRPr="001B072E">
              <w:rPr>
                <w:sz w:val="24"/>
                <w:lang/>
              </w:rPr>
              <w:t>10/10</w:t>
            </w:r>
          </w:p>
        </w:tc>
        <w:tc>
          <w:tcPr>
            <w:tcW w:w="1956" w:type="dxa"/>
            <w:shd w:val="clear" w:color="auto" w:fill="auto"/>
          </w:tcPr>
          <w:p w14:paraId="3F9ECF51"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8,978.00</w:t>
            </w:r>
          </w:p>
        </w:tc>
        <w:tc>
          <w:tcPr>
            <w:tcW w:w="1956" w:type="dxa"/>
            <w:shd w:val="clear" w:color="auto" w:fill="auto"/>
          </w:tcPr>
          <w:p w14:paraId="4A843EF3" w14:textId="77777777" w:rsidR="000230E8" w:rsidRPr="001B072E" w:rsidRDefault="000230E8" w:rsidP="000230E8">
            <w:pPr>
              <w:pStyle w:val="TableCell"/>
              <w:rPr>
                <w:sz w:val="24"/>
                <w:lang/>
              </w:rPr>
            </w:pPr>
            <w:r w:rsidRPr="001B072E">
              <w:rPr>
                <w:rFonts w:ascii="Arial" w:hAnsi="Arial"/>
                <w:sz w:val="24"/>
                <w:lang/>
              </w:rPr>
              <w:t>€</w:t>
            </w:r>
            <w:r w:rsidRPr="001B072E">
              <w:rPr>
                <w:sz w:val="24"/>
                <w:lang/>
              </w:rPr>
              <w:t>761.80</w:t>
            </w:r>
          </w:p>
        </w:tc>
      </w:tr>
      <w:tr w:rsidR="000230E8" w:rsidRPr="00C2318B" w14:paraId="592A1D29" w14:textId="77777777" w:rsidTr="000230E8">
        <w:tc>
          <w:tcPr>
            <w:tcW w:w="2988" w:type="dxa"/>
            <w:shd w:val="clear" w:color="auto" w:fill="auto"/>
          </w:tcPr>
          <w:p w14:paraId="33E5B8D6"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 xml:space="preserve">An Dr. Tony Bates </w:t>
            </w:r>
          </w:p>
        </w:tc>
        <w:tc>
          <w:tcPr>
            <w:tcW w:w="1956" w:type="dxa"/>
            <w:shd w:val="clear" w:color="auto" w:fill="auto"/>
          </w:tcPr>
          <w:p w14:paraId="0EF0B4AC" w14:textId="77777777" w:rsidR="000230E8" w:rsidRPr="001B072E" w:rsidRDefault="000230E8" w:rsidP="000230E8">
            <w:pPr>
              <w:pStyle w:val="TableCell"/>
              <w:rPr>
                <w:sz w:val="24"/>
                <w:lang/>
              </w:rPr>
            </w:pPr>
            <w:r w:rsidRPr="001B072E">
              <w:rPr>
                <w:sz w:val="24"/>
                <w:lang/>
              </w:rPr>
              <w:t>4/10</w:t>
            </w:r>
          </w:p>
        </w:tc>
        <w:tc>
          <w:tcPr>
            <w:tcW w:w="1956" w:type="dxa"/>
            <w:shd w:val="clear" w:color="auto" w:fill="auto"/>
          </w:tcPr>
          <w:p w14:paraId="434FF689"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6DB1CD9E" w14:textId="77777777" w:rsidR="000230E8" w:rsidRPr="001B072E" w:rsidRDefault="000230E8" w:rsidP="000230E8">
            <w:pPr>
              <w:pStyle w:val="TableCell"/>
              <w:rPr>
                <w:sz w:val="24"/>
                <w:lang/>
              </w:rPr>
            </w:pPr>
          </w:p>
        </w:tc>
      </w:tr>
      <w:tr w:rsidR="000230E8" w:rsidRPr="00C2318B" w14:paraId="18B5929B" w14:textId="77777777" w:rsidTr="000230E8">
        <w:tc>
          <w:tcPr>
            <w:tcW w:w="2988" w:type="dxa"/>
            <w:shd w:val="clear" w:color="auto" w:fill="auto"/>
          </w:tcPr>
          <w:p w14:paraId="3FAD83FD"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Caroline Burrell, Uas.</w:t>
            </w:r>
          </w:p>
        </w:tc>
        <w:tc>
          <w:tcPr>
            <w:tcW w:w="1956" w:type="dxa"/>
            <w:shd w:val="clear" w:color="auto" w:fill="auto"/>
          </w:tcPr>
          <w:p w14:paraId="7EAD4F6E" w14:textId="77777777" w:rsidR="000230E8" w:rsidRPr="001B072E" w:rsidRDefault="000230E8" w:rsidP="000230E8">
            <w:pPr>
              <w:pStyle w:val="TableCell"/>
              <w:rPr>
                <w:sz w:val="24"/>
                <w:lang/>
              </w:rPr>
            </w:pPr>
            <w:r w:rsidRPr="001B072E">
              <w:rPr>
                <w:sz w:val="24"/>
                <w:lang/>
              </w:rPr>
              <w:t>8/10</w:t>
            </w:r>
          </w:p>
        </w:tc>
        <w:tc>
          <w:tcPr>
            <w:tcW w:w="1956" w:type="dxa"/>
            <w:shd w:val="clear" w:color="auto" w:fill="auto"/>
          </w:tcPr>
          <w:p w14:paraId="59CD3CF3"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31A81836"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312.28</w:t>
            </w:r>
          </w:p>
        </w:tc>
      </w:tr>
      <w:tr w:rsidR="000230E8" w:rsidRPr="00C2318B" w14:paraId="46AC0C02" w14:textId="77777777" w:rsidTr="000230E8">
        <w:tc>
          <w:tcPr>
            <w:tcW w:w="2988" w:type="dxa"/>
            <w:shd w:val="clear" w:color="auto" w:fill="auto"/>
          </w:tcPr>
          <w:p w14:paraId="08C606A0"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Frank Cunneen, Uas.</w:t>
            </w:r>
          </w:p>
        </w:tc>
        <w:tc>
          <w:tcPr>
            <w:tcW w:w="1956" w:type="dxa"/>
            <w:shd w:val="clear" w:color="auto" w:fill="auto"/>
          </w:tcPr>
          <w:p w14:paraId="2FF8D216" w14:textId="77777777" w:rsidR="000230E8" w:rsidRPr="001B072E" w:rsidRDefault="000230E8" w:rsidP="000230E8">
            <w:pPr>
              <w:pStyle w:val="TableCell"/>
              <w:rPr>
                <w:sz w:val="24"/>
                <w:lang/>
              </w:rPr>
            </w:pPr>
            <w:r w:rsidRPr="001B072E">
              <w:rPr>
                <w:sz w:val="24"/>
                <w:lang/>
              </w:rPr>
              <w:t>8/10</w:t>
            </w:r>
          </w:p>
        </w:tc>
        <w:tc>
          <w:tcPr>
            <w:tcW w:w="1956" w:type="dxa"/>
            <w:shd w:val="clear" w:color="auto" w:fill="auto"/>
          </w:tcPr>
          <w:p w14:paraId="77A0650A"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5F5122AC" w14:textId="77777777" w:rsidR="000230E8" w:rsidRPr="001B072E" w:rsidRDefault="000230E8" w:rsidP="000230E8">
            <w:pPr>
              <w:pStyle w:val="TableCell"/>
              <w:rPr>
                <w:sz w:val="24"/>
                <w:lang/>
              </w:rPr>
            </w:pPr>
          </w:p>
        </w:tc>
      </w:tr>
      <w:tr w:rsidR="000230E8" w:rsidRPr="00C2318B" w14:paraId="0C1755C5" w14:textId="77777777" w:rsidTr="000230E8">
        <w:tc>
          <w:tcPr>
            <w:tcW w:w="2988" w:type="dxa"/>
            <w:shd w:val="clear" w:color="auto" w:fill="auto"/>
          </w:tcPr>
          <w:p w14:paraId="5155754D"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Tara Cunningham, Uas.</w:t>
            </w:r>
          </w:p>
        </w:tc>
        <w:tc>
          <w:tcPr>
            <w:tcW w:w="1956" w:type="dxa"/>
            <w:shd w:val="clear" w:color="auto" w:fill="auto"/>
          </w:tcPr>
          <w:p w14:paraId="5681FD3D" w14:textId="77777777" w:rsidR="000230E8" w:rsidRPr="001B072E" w:rsidRDefault="000230E8" w:rsidP="000230E8">
            <w:pPr>
              <w:pStyle w:val="TableCell"/>
              <w:rPr>
                <w:sz w:val="24"/>
                <w:lang/>
              </w:rPr>
            </w:pPr>
            <w:r w:rsidRPr="001B072E">
              <w:rPr>
                <w:sz w:val="24"/>
                <w:lang/>
              </w:rPr>
              <w:t>4/10*</w:t>
            </w:r>
          </w:p>
        </w:tc>
        <w:tc>
          <w:tcPr>
            <w:tcW w:w="1956" w:type="dxa"/>
            <w:shd w:val="clear" w:color="auto" w:fill="auto"/>
          </w:tcPr>
          <w:p w14:paraId="53DCE713"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5C999C8B"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1,489.79</w:t>
            </w:r>
          </w:p>
        </w:tc>
      </w:tr>
      <w:tr w:rsidR="000230E8" w:rsidRPr="00C2318B" w14:paraId="3167CD55" w14:textId="77777777" w:rsidTr="000230E8">
        <w:tc>
          <w:tcPr>
            <w:tcW w:w="2988" w:type="dxa"/>
            <w:shd w:val="clear" w:color="auto" w:fill="auto"/>
          </w:tcPr>
          <w:p w14:paraId="76420ECD"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Fiona Duignan, Uas.</w:t>
            </w:r>
          </w:p>
        </w:tc>
        <w:tc>
          <w:tcPr>
            <w:tcW w:w="1956" w:type="dxa"/>
            <w:shd w:val="clear" w:color="auto" w:fill="auto"/>
          </w:tcPr>
          <w:p w14:paraId="5F3EBD11" w14:textId="77777777" w:rsidR="000230E8" w:rsidRPr="001B072E" w:rsidRDefault="000230E8" w:rsidP="000230E8">
            <w:pPr>
              <w:pStyle w:val="TableCell"/>
              <w:rPr>
                <w:sz w:val="24"/>
                <w:lang/>
              </w:rPr>
            </w:pPr>
            <w:r w:rsidRPr="001B072E">
              <w:rPr>
                <w:sz w:val="24"/>
                <w:lang/>
              </w:rPr>
              <w:t>2/10*</w:t>
            </w:r>
          </w:p>
        </w:tc>
        <w:tc>
          <w:tcPr>
            <w:tcW w:w="1956" w:type="dxa"/>
            <w:shd w:val="clear" w:color="auto" w:fill="auto"/>
          </w:tcPr>
          <w:p w14:paraId="04E812EA"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562A5766" w14:textId="77777777" w:rsidR="000230E8" w:rsidRPr="001B072E" w:rsidRDefault="000230E8" w:rsidP="000230E8">
            <w:pPr>
              <w:pStyle w:val="TableCell"/>
              <w:rPr>
                <w:sz w:val="24"/>
                <w:lang/>
              </w:rPr>
            </w:pPr>
          </w:p>
        </w:tc>
      </w:tr>
      <w:tr w:rsidR="000230E8" w:rsidRPr="00C2318B" w14:paraId="31112EA1" w14:textId="77777777" w:rsidTr="000230E8">
        <w:tc>
          <w:tcPr>
            <w:tcW w:w="2988" w:type="dxa"/>
            <w:shd w:val="clear" w:color="auto" w:fill="auto"/>
          </w:tcPr>
          <w:p w14:paraId="763CF138"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Linda Grealy, Uas.</w:t>
            </w:r>
          </w:p>
        </w:tc>
        <w:tc>
          <w:tcPr>
            <w:tcW w:w="1956" w:type="dxa"/>
            <w:shd w:val="clear" w:color="auto" w:fill="auto"/>
          </w:tcPr>
          <w:p w14:paraId="1AFEEC27" w14:textId="77777777" w:rsidR="000230E8" w:rsidRPr="001B072E" w:rsidRDefault="000230E8" w:rsidP="000230E8">
            <w:pPr>
              <w:pStyle w:val="TableCell"/>
              <w:rPr>
                <w:sz w:val="24"/>
                <w:lang/>
              </w:rPr>
            </w:pPr>
            <w:r w:rsidRPr="001B072E">
              <w:rPr>
                <w:sz w:val="24"/>
                <w:lang/>
              </w:rPr>
              <w:t>4/10</w:t>
            </w:r>
          </w:p>
        </w:tc>
        <w:tc>
          <w:tcPr>
            <w:tcW w:w="1956" w:type="dxa"/>
            <w:shd w:val="clear" w:color="auto" w:fill="auto"/>
          </w:tcPr>
          <w:p w14:paraId="40B662EB" w14:textId="77777777" w:rsidR="000230E8" w:rsidRPr="001B072E" w:rsidRDefault="000230E8" w:rsidP="000230E8">
            <w:pPr>
              <w:pStyle w:val="TableCell"/>
              <w:rPr>
                <w:sz w:val="24"/>
                <w:lang/>
              </w:rPr>
            </w:pPr>
          </w:p>
        </w:tc>
        <w:tc>
          <w:tcPr>
            <w:tcW w:w="1956" w:type="dxa"/>
            <w:shd w:val="clear" w:color="auto" w:fill="auto"/>
          </w:tcPr>
          <w:p w14:paraId="2FFDA78A" w14:textId="77777777" w:rsidR="000230E8" w:rsidRPr="001B072E" w:rsidRDefault="000230E8" w:rsidP="000230E8">
            <w:pPr>
              <w:pStyle w:val="TableCell"/>
              <w:rPr>
                <w:sz w:val="24"/>
                <w:lang/>
              </w:rPr>
            </w:pPr>
          </w:p>
        </w:tc>
      </w:tr>
      <w:tr w:rsidR="000230E8" w:rsidRPr="00C2318B" w14:paraId="511322B6" w14:textId="77777777" w:rsidTr="000230E8">
        <w:tc>
          <w:tcPr>
            <w:tcW w:w="2988" w:type="dxa"/>
            <w:shd w:val="clear" w:color="auto" w:fill="auto"/>
          </w:tcPr>
          <w:p w14:paraId="7B3693A0"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 xml:space="preserve">An tUas. Shane Hogan </w:t>
            </w:r>
          </w:p>
        </w:tc>
        <w:tc>
          <w:tcPr>
            <w:tcW w:w="1956" w:type="dxa"/>
            <w:shd w:val="clear" w:color="auto" w:fill="auto"/>
          </w:tcPr>
          <w:p w14:paraId="77CA69B7" w14:textId="77777777" w:rsidR="000230E8" w:rsidRPr="001B072E" w:rsidRDefault="000230E8" w:rsidP="000230E8">
            <w:pPr>
              <w:pStyle w:val="TableCell"/>
              <w:rPr>
                <w:sz w:val="24"/>
                <w:lang/>
              </w:rPr>
            </w:pPr>
            <w:r w:rsidRPr="001B072E">
              <w:rPr>
                <w:sz w:val="24"/>
                <w:lang/>
              </w:rPr>
              <w:t>10/10</w:t>
            </w:r>
          </w:p>
        </w:tc>
        <w:tc>
          <w:tcPr>
            <w:tcW w:w="1956" w:type="dxa"/>
            <w:shd w:val="clear" w:color="auto" w:fill="auto"/>
          </w:tcPr>
          <w:p w14:paraId="2B4696C8" w14:textId="77777777" w:rsidR="000230E8" w:rsidRPr="001B072E" w:rsidRDefault="000230E8" w:rsidP="000230E8">
            <w:pPr>
              <w:pStyle w:val="TableCell"/>
              <w:rPr>
                <w:sz w:val="24"/>
                <w:lang/>
              </w:rPr>
            </w:pPr>
          </w:p>
        </w:tc>
        <w:tc>
          <w:tcPr>
            <w:tcW w:w="1956" w:type="dxa"/>
            <w:shd w:val="clear" w:color="auto" w:fill="auto"/>
          </w:tcPr>
          <w:p w14:paraId="4E132F87" w14:textId="77777777" w:rsidR="000230E8" w:rsidRPr="001B072E" w:rsidRDefault="000230E8" w:rsidP="000230E8">
            <w:pPr>
              <w:pStyle w:val="TableCell"/>
              <w:rPr>
                <w:sz w:val="24"/>
                <w:lang/>
              </w:rPr>
            </w:pPr>
          </w:p>
        </w:tc>
      </w:tr>
      <w:tr w:rsidR="000230E8" w:rsidRPr="00C2318B" w14:paraId="776DD0D5" w14:textId="77777777" w:rsidTr="000230E8">
        <w:tc>
          <w:tcPr>
            <w:tcW w:w="2988" w:type="dxa"/>
            <w:shd w:val="clear" w:color="auto" w:fill="auto"/>
          </w:tcPr>
          <w:p w14:paraId="662783B2"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 xml:space="preserve">An tUas. David Joyce </w:t>
            </w:r>
          </w:p>
        </w:tc>
        <w:tc>
          <w:tcPr>
            <w:tcW w:w="1956" w:type="dxa"/>
            <w:shd w:val="clear" w:color="auto" w:fill="auto"/>
          </w:tcPr>
          <w:p w14:paraId="14F42CDE" w14:textId="77777777" w:rsidR="000230E8" w:rsidRPr="001B072E" w:rsidRDefault="000230E8" w:rsidP="000230E8">
            <w:pPr>
              <w:pStyle w:val="TableCell"/>
              <w:rPr>
                <w:sz w:val="24"/>
                <w:lang/>
              </w:rPr>
            </w:pPr>
            <w:r w:rsidRPr="001B072E">
              <w:rPr>
                <w:sz w:val="24"/>
                <w:lang/>
              </w:rPr>
              <w:t>6/10</w:t>
            </w:r>
          </w:p>
        </w:tc>
        <w:tc>
          <w:tcPr>
            <w:tcW w:w="1956" w:type="dxa"/>
            <w:shd w:val="clear" w:color="auto" w:fill="auto"/>
          </w:tcPr>
          <w:p w14:paraId="7669F505"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59E9BFBE" w14:textId="77777777" w:rsidR="000230E8" w:rsidRPr="001B072E" w:rsidRDefault="000230E8" w:rsidP="000230E8">
            <w:pPr>
              <w:pStyle w:val="TableCell"/>
              <w:rPr>
                <w:sz w:val="24"/>
                <w:lang/>
              </w:rPr>
            </w:pPr>
          </w:p>
        </w:tc>
      </w:tr>
      <w:tr w:rsidR="000230E8" w:rsidRPr="00C2318B" w14:paraId="0F185554" w14:textId="77777777" w:rsidTr="000230E8">
        <w:tc>
          <w:tcPr>
            <w:tcW w:w="2988" w:type="dxa"/>
            <w:shd w:val="clear" w:color="auto" w:fill="auto"/>
          </w:tcPr>
          <w:p w14:paraId="4AF18266"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 xml:space="preserve">An tUas. Des Kenny </w:t>
            </w:r>
          </w:p>
        </w:tc>
        <w:tc>
          <w:tcPr>
            <w:tcW w:w="1956" w:type="dxa"/>
            <w:shd w:val="clear" w:color="auto" w:fill="auto"/>
          </w:tcPr>
          <w:p w14:paraId="2E24692F" w14:textId="77777777" w:rsidR="000230E8" w:rsidRPr="001B072E" w:rsidRDefault="000230E8" w:rsidP="000230E8">
            <w:pPr>
              <w:pStyle w:val="TableCell"/>
              <w:rPr>
                <w:sz w:val="24"/>
                <w:lang/>
              </w:rPr>
            </w:pPr>
            <w:r w:rsidRPr="001B072E">
              <w:rPr>
                <w:sz w:val="24"/>
                <w:lang/>
              </w:rPr>
              <w:t>9/10</w:t>
            </w:r>
          </w:p>
        </w:tc>
        <w:tc>
          <w:tcPr>
            <w:tcW w:w="1956" w:type="dxa"/>
            <w:shd w:val="clear" w:color="auto" w:fill="auto"/>
          </w:tcPr>
          <w:p w14:paraId="45E3F9A7"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55ED63BE" w14:textId="77777777" w:rsidR="000230E8" w:rsidRPr="001B072E" w:rsidRDefault="000230E8" w:rsidP="000230E8">
            <w:pPr>
              <w:pStyle w:val="TableCell"/>
              <w:rPr>
                <w:sz w:val="24"/>
                <w:lang/>
              </w:rPr>
            </w:pPr>
          </w:p>
        </w:tc>
      </w:tr>
      <w:tr w:rsidR="000230E8" w:rsidRPr="00C2318B" w14:paraId="436D7F29" w14:textId="77777777" w:rsidTr="000230E8">
        <w:tc>
          <w:tcPr>
            <w:tcW w:w="2988" w:type="dxa"/>
            <w:shd w:val="clear" w:color="auto" w:fill="auto"/>
          </w:tcPr>
          <w:p w14:paraId="338E412C"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Mary Lavelle, Uas.</w:t>
            </w:r>
          </w:p>
        </w:tc>
        <w:tc>
          <w:tcPr>
            <w:tcW w:w="1956" w:type="dxa"/>
            <w:shd w:val="clear" w:color="auto" w:fill="auto"/>
          </w:tcPr>
          <w:p w14:paraId="7366FDA9" w14:textId="77777777" w:rsidR="000230E8" w:rsidRPr="001B072E" w:rsidRDefault="000230E8" w:rsidP="000230E8">
            <w:pPr>
              <w:pStyle w:val="TableCell"/>
              <w:rPr>
                <w:sz w:val="24"/>
                <w:lang/>
              </w:rPr>
            </w:pPr>
            <w:r w:rsidRPr="001B072E">
              <w:rPr>
                <w:sz w:val="24"/>
                <w:lang/>
              </w:rPr>
              <w:t>9/10</w:t>
            </w:r>
          </w:p>
        </w:tc>
        <w:tc>
          <w:tcPr>
            <w:tcW w:w="1956" w:type="dxa"/>
            <w:shd w:val="clear" w:color="auto" w:fill="auto"/>
          </w:tcPr>
          <w:p w14:paraId="511E43F0"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11213EA8" w14:textId="77777777" w:rsidR="000230E8" w:rsidRPr="001B072E" w:rsidRDefault="000230E8" w:rsidP="000230E8">
            <w:pPr>
              <w:pStyle w:val="TableCell"/>
              <w:rPr>
                <w:sz w:val="24"/>
                <w:lang/>
              </w:rPr>
            </w:pPr>
          </w:p>
        </w:tc>
      </w:tr>
      <w:tr w:rsidR="000230E8" w:rsidRPr="00C2318B" w14:paraId="5AB34F93" w14:textId="77777777" w:rsidTr="000230E8">
        <w:tc>
          <w:tcPr>
            <w:tcW w:w="2988" w:type="dxa"/>
            <w:shd w:val="clear" w:color="auto" w:fill="auto"/>
          </w:tcPr>
          <w:p w14:paraId="5AB41059"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Joanne McCarthy, Uas.</w:t>
            </w:r>
          </w:p>
        </w:tc>
        <w:tc>
          <w:tcPr>
            <w:tcW w:w="1956" w:type="dxa"/>
            <w:shd w:val="clear" w:color="auto" w:fill="auto"/>
          </w:tcPr>
          <w:p w14:paraId="48E418F9" w14:textId="77777777" w:rsidR="000230E8" w:rsidRPr="001B072E" w:rsidRDefault="000230E8" w:rsidP="000230E8">
            <w:pPr>
              <w:pStyle w:val="TableCell"/>
              <w:rPr>
                <w:sz w:val="24"/>
                <w:lang/>
              </w:rPr>
            </w:pPr>
            <w:r w:rsidRPr="001B072E">
              <w:rPr>
                <w:sz w:val="24"/>
                <w:lang/>
              </w:rPr>
              <w:t>6/10*</w:t>
            </w:r>
          </w:p>
        </w:tc>
        <w:tc>
          <w:tcPr>
            <w:tcW w:w="1956" w:type="dxa"/>
            <w:shd w:val="clear" w:color="auto" w:fill="auto"/>
          </w:tcPr>
          <w:p w14:paraId="719EDED9"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76D8153A" w14:textId="77777777" w:rsidR="000230E8" w:rsidRPr="001B072E" w:rsidRDefault="000230E8" w:rsidP="000230E8">
            <w:pPr>
              <w:pStyle w:val="TableCell"/>
              <w:rPr>
                <w:sz w:val="24"/>
                <w:lang/>
              </w:rPr>
            </w:pPr>
          </w:p>
        </w:tc>
      </w:tr>
      <w:tr w:rsidR="000230E8" w:rsidRPr="00C2318B" w14:paraId="0F9DF68D" w14:textId="77777777" w:rsidTr="000230E8">
        <w:tc>
          <w:tcPr>
            <w:tcW w:w="2988" w:type="dxa"/>
            <w:shd w:val="clear" w:color="auto" w:fill="auto"/>
          </w:tcPr>
          <w:p w14:paraId="2C009DD5"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An tUas. James O’Grady</w:t>
            </w:r>
          </w:p>
        </w:tc>
        <w:tc>
          <w:tcPr>
            <w:tcW w:w="1956" w:type="dxa"/>
            <w:shd w:val="clear" w:color="auto" w:fill="auto"/>
          </w:tcPr>
          <w:p w14:paraId="2EB3CFA5" w14:textId="77777777" w:rsidR="000230E8" w:rsidRPr="001B072E" w:rsidRDefault="000230E8" w:rsidP="000230E8">
            <w:pPr>
              <w:pStyle w:val="TableCell"/>
              <w:rPr>
                <w:sz w:val="24"/>
                <w:lang/>
              </w:rPr>
            </w:pPr>
            <w:r w:rsidRPr="001B072E">
              <w:rPr>
                <w:sz w:val="24"/>
                <w:lang/>
              </w:rPr>
              <w:t>10/10</w:t>
            </w:r>
          </w:p>
        </w:tc>
        <w:tc>
          <w:tcPr>
            <w:tcW w:w="1956" w:type="dxa"/>
            <w:shd w:val="clear" w:color="auto" w:fill="auto"/>
          </w:tcPr>
          <w:p w14:paraId="4331A98F" w14:textId="77777777" w:rsidR="000230E8" w:rsidRPr="001B072E" w:rsidRDefault="000230E8" w:rsidP="000230E8">
            <w:pPr>
              <w:pStyle w:val="TableCell"/>
              <w:rPr>
                <w:rFonts w:cs="Gill Sans"/>
                <w:sz w:val="24"/>
                <w:lang/>
              </w:rPr>
            </w:pPr>
            <w:r w:rsidRPr="001B072E">
              <w:rPr>
                <w:rFonts w:ascii="Arial" w:hAnsi="Arial"/>
                <w:sz w:val="24"/>
                <w:lang/>
              </w:rPr>
              <w:t>€</w:t>
            </w:r>
            <w:r w:rsidRPr="001B072E">
              <w:rPr>
                <w:rFonts w:cs="Gill Sans"/>
                <w:sz w:val="24"/>
                <w:lang/>
              </w:rPr>
              <w:t>5,985.00</w:t>
            </w:r>
          </w:p>
        </w:tc>
        <w:tc>
          <w:tcPr>
            <w:tcW w:w="1956" w:type="dxa"/>
            <w:shd w:val="clear" w:color="auto" w:fill="auto"/>
          </w:tcPr>
          <w:p w14:paraId="6342AAC3"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1,933.82</w:t>
            </w:r>
          </w:p>
        </w:tc>
      </w:tr>
      <w:tr w:rsidR="000230E8" w:rsidRPr="00C2318B" w14:paraId="4B7BC3CD" w14:textId="77777777" w:rsidTr="000230E8">
        <w:tc>
          <w:tcPr>
            <w:tcW w:w="2988" w:type="dxa"/>
            <w:shd w:val="clear" w:color="auto" w:fill="auto"/>
          </w:tcPr>
          <w:p w14:paraId="3A082E6E" w14:textId="77777777" w:rsidR="000230E8" w:rsidRPr="001B072E" w:rsidRDefault="000230E8" w:rsidP="000230E8">
            <w:pPr>
              <w:pStyle w:val="TableRowHead"/>
              <w:rPr>
                <w:rFonts w:ascii="Gill Sans" w:hAnsi="Gill Sans"/>
                <w:b w:val="0"/>
                <w:sz w:val="24"/>
                <w:lang/>
              </w:rPr>
            </w:pPr>
            <w:r w:rsidRPr="001B072E">
              <w:rPr>
                <w:rFonts w:ascii="Gill Sans" w:hAnsi="Gill Sans"/>
                <w:b w:val="0"/>
                <w:sz w:val="24"/>
                <w:lang/>
              </w:rPr>
              <w:t>An tUas. Donal Lawlor (Cathaoirleach Iniúchta)</w:t>
            </w:r>
          </w:p>
        </w:tc>
        <w:tc>
          <w:tcPr>
            <w:tcW w:w="1956" w:type="dxa"/>
            <w:shd w:val="clear" w:color="auto" w:fill="auto"/>
          </w:tcPr>
          <w:p w14:paraId="66E9F612" w14:textId="77777777" w:rsidR="000230E8" w:rsidRPr="001B072E" w:rsidRDefault="000230E8" w:rsidP="000230E8">
            <w:pPr>
              <w:pStyle w:val="TableCell"/>
              <w:rPr>
                <w:sz w:val="24"/>
                <w:lang/>
              </w:rPr>
            </w:pPr>
            <w:r w:rsidRPr="001B072E">
              <w:rPr>
                <w:sz w:val="24"/>
                <w:lang/>
              </w:rPr>
              <w:t>3/4</w:t>
            </w:r>
          </w:p>
        </w:tc>
        <w:tc>
          <w:tcPr>
            <w:tcW w:w="1956" w:type="dxa"/>
            <w:shd w:val="clear" w:color="auto" w:fill="auto"/>
          </w:tcPr>
          <w:p w14:paraId="3891EEA6" w14:textId="77777777" w:rsidR="000230E8" w:rsidRPr="001B072E" w:rsidRDefault="000230E8" w:rsidP="000230E8">
            <w:pPr>
              <w:pStyle w:val="TableCell"/>
              <w:rPr>
                <w:sz w:val="24"/>
                <w:lang/>
              </w:rPr>
            </w:pPr>
            <w:r w:rsidRPr="001B072E">
              <w:rPr>
                <w:rFonts w:ascii="Arial" w:hAnsi="Arial"/>
                <w:sz w:val="24"/>
                <w:lang/>
              </w:rPr>
              <w:t>€</w:t>
            </w:r>
            <w:r w:rsidRPr="001B072E">
              <w:rPr>
                <w:rFonts w:cs="Gill Sans"/>
                <w:sz w:val="24"/>
                <w:lang/>
              </w:rPr>
              <w:t>4,488.75</w:t>
            </w:r>
          </w:p>
        </w:tc>
        <w:tc>
          <w:tcPr>
            <w:tcW w:w="1956" w:type="dxa"/>
            <w:shd w:val="clear" w:color="auto" w:fill="auto"/>
          </w:tcPr>
          <w:p w14:paraId="517D358A" w14:textId="77777777" w:rsidR="000230E8" w:rsidRPr="001B072E" w:rsidRDefault="000230E8" w:rsidP="000230E8">
            <w:pPr>
              <w:pStyle w:val="TableCell"/>
              <w:rPr>
                <w:sz w:val="24"/>
                <w:lang/>
              </w:rPr>
            </w:pPr>
          </w:p>
        </w:tc>
      </w:tr>
    </w:tbl>
    <w:p w14:paraId="6613730D" w14:textId="77777777" w:rsidR="000230E8" w:rsidRPr="00C2318B" w:rsidRDefault="000230E8" w:rsidP="000230E8">
      <w:pPr>
        <w:pStyle w:val="TableNote"/>
        <w:rPr>
          <w:lang/>
        </w:rPr>
      </w:pPr>
      <w:r w:rsidRPr="00C2318B">
        <w:rPr>
          <w:lang/>
        </w:rPr>
        <w:t>* Ar saoire máithreachais</w:t>
      </w:r>
    </w:p>
    <w:p w14:paraId="1331A2ED" w14:textId="77777777" w:rsidR="000230E8" w:rsidRPr="00C2318B" w:rsidRDefault="000230E8" w:rsidP="000230E8">
      <w:pPr>
        <w:rPr>
          <w:lang/>
        </w:rPr>
      </w:pPr>
      <w:r w:rsidRPr="00C2318B">
        <w:rPr>
          <w:b/>
          <w:lang/>
        </w:rPr>
        <w:t>Stiúrthóir:</w:t>
      </w:r>
      <w:r w:rsidRPr="00C2318B">
        <w:rPr>
          <w:lang/>
        </w:rPr>
        <w:t xml:space="preserve">   Siobhan Barron</w:t>
      </w:r>
      <w:r w:rsidRPr="00C2318B">
        <w:rPr>
          <w:lang/>
        </w:rPr>
        <w:tab/>
      </w:r>
      <w:r w:rsidRPr="00C2318B">
        <w:rPr>
          <w:lang/>
        </w:rPr>
        <w:tab/>
      </w:r>
      <w:r w:rsidRPr="00C2318B">
        <w:rPr>
          <w:lang/>
        </w:rPr>
        <w:tab/>
      </w:r>
    </w:p>
    <w:p w14:paraId="72441278" w14:textId="77777777" w:rsidR="000230E8" w:rsidRPr="00C2318B" w:rsidRDefault="000230E8" w:rsidP="000230E8">
      <w:pPr>
        <w:spacing w:after="0"/>
        <w:ind w:left="1440" w:hanging="1440"/>
        <w:rPr>
          <w:lang/>
        </w:rPr>
      </w:pPr>
      <w:r w:rsidRPr="00C2318B">
        <w:rPr>
          <w:b/>
          <w:lang/>
        </w:rPr>
        <w:t>Aturnaetha:</w:t>
      </w:r>
      <w:r w:rsidRPr="00C2318B">
        <w:rPr>
          <w:lang/>
        </w:rPr>
        <w:t xml:space="preserve"> </w:t>
      </w:r>
      <w:r w:rsidR="001B072E">
        <w:rPr>
          <w:lang/>
        </w:rPr>
        <w:tab/>
      </w:r>
      <w:r w:rsidRPr="00C2318B">
        <w:rPr>
          <w:lang/>
        </w:rPr>
        <w:t>Mason, Hayes and Curran</w:t>
      </w:r>
    </w:p>
    <w:p w14:paraId="38858486" w14:textId="77777777" w:rsidR="000230E8" w:rsidRPr="00C2318B" w:rsidRDefault="000230E8" w:rsidP="001B072E">
      <w:pPr>
        <w:spacing w:after="0"/>
        <w:ind w:left="1440" w:firstLine="720"/>
        <w:rPr>
          <w:lang/>
        </w:rPr>
      </w:pPr>
      <w:r w:rsidRPr="00C2318B">
        <w:rPr>
          <w:lang/>
        </w:rPr>
        <w:t>Teach an Bhruacha Theas</w:t>
      </w:r>
      <w:r w:rsidRPr="00C2318B">
        <w:rPr>
          <w:lang/>
        </w:rPr>
        <w:tab/>
      </w:r>
      <w:r w:rsidRPr="00C2318B">
        <w:rPr>
          <w:lang/>
        </w:rPr>
        <w:tab/>
      </w:r>
      <w:r w:rsidRPr="00C2318B">
        <w:rPr>
          <w:lang/>
        </w:rPr>
        <w:tab/>
      </w:r>
    </w:p>
    <w:p w14:paraId="7539D720" w14:textId="77777777" w:rsidR="000230E8" w:rsidRPr="00C2318B" w:rsidRDefault="000230E8" w:rsidP="000230E8">
      <w:pPr>
        <w:spacing w:after="0"/>
        <w:ind w:left="1440" w:hanging="1440"/>
        <w:rPr>
          <w:lang/>
        </w:rPr>
      </w:pPr>
      <w:r w:rsidRPr="00C2318B">
        <w:rPr>
          <w:lang/>
        </w:rPr>
        <w:tab/>
        <w:t xml:space="preserve"> </w:t>
      </w:r>
      <w:r w:rsidR="001B072E">
        <w:rPr>
          <w:lang/>
        </w:rPr>
        <w:tab/>
      </w:r>
      <w:r w:rsidRPr="00C2318B">
        <w:rPr>
          <w:lang/>
        </w:rPr>
        <w:t>Sráid na Bearú</w:t>
      </w:r>
    </w:p>
    <w:p w14:paraId="46FEEDA5" w14:textId="77777777" w:rsidR="000230E8" w:rsidRDefault="001B072E" w:rsidP="000230E8">
      <w:pPr>
        <w:spacing w:after="0"/>
        <w:ind w:left="1440" w:hanging="1440"/>
        <w:rPr>
          <w:lang/>
        </w:rPr>
      </w:pPr>
      <w:r>
        <w:rPr>
          <w:lang/>
        </w:rPr>
        <w:tab/>
      </w:r>
      <w:r>
        <w:rPr>
          <w:lang/>
        </w:rPr>
        <w:tab/>
      </w:r>
      <w:r w:rsidR="000230E8" w:rsidRPr="00C2318B">
        <w:rPr>
          <w:lang/>
        </w:rPr>
        <w:t>Baile Átha Cliath 4</w:t>
      </w:r>
    </w:p>
    <w:p w14:paraId="3CEFB912" w14:textId="77777777" w:rsidR="001B072E" w:rsidRPr="00C2318B" w:rsidRDefault="001B072E" w:rsidP="000230E8">
      <w:pPr>
        <w:spacing w:after="0"/>
        <w:ind w:left="1440" w:hanging="1440"/>
        <w:rPr>
          <w:lang/>
        </w:rPr>
      </w:pPr>
    </w:p>
    <w:p w14:paraId="539BB11E" w14:textId="77777777" w:rsidR="000230E8" w:rsidRPr="00C2318B" w:rsidRDefault="000230E8" w:rsidP="001B072E">
      <w:pPr>
        <w:ind w:left="2160" w:hanging="2160"/>
        <w:rPr>
          <w:lang/>
        </w:rPr>
      </w:pPr>
      <w:r w:rsidRPr="00C2318B">
        <w:rPr>
          <w:b/>
          <w:lang/>
        </w:rPr>
        <w:t>Baincéirí:</w:t>
      </w:r>
      <w:r w:rsidRPr="00C2318B">
        <w:rPr>
          <w:lang/>
        </w:rPr>
        <w:tab/>
        <w:t>Banc na hÉireann</w:t>
      </w:r>
      <w:r w:rsidRPr="00C2318B">
        <w:rPr>
          <w:lang/>
        </w:rPr>
        <w:br/>
        <w:t>104 Raghnallach</w:t>
      </w:r>
      <w:r w:rsidRPr="00C2318B">
        <w:rPr>
          <w:lang/>
        </w:rPr>
        <w:br/>
        <w:t>Baile Átha Cliath 6.</w:t>
      </w:r>
    </w:p>
    <w:p w14:paraId="16E6B3FA" w14:textId="77777777" w:rsidR="000230E8" w:rsidRPr="00C2318B" w:rsidRDefault="000230E8" w:rsidP="000230E8">
      <w:pPr>
        <w:rPr>
          <w:lang/>
        </w:rPr>
      </w:pPr>
      <w:r w:rsidRPr="00C2318B">
        <w:rPr>
          <w:b/>
          <w:lang/>
        </w:rPr>
        <w:t>Iniúchóirí:</w:t>
      </w:r>
      <w:r w:rsidRPr="00C2318B">
        <w:rPr>
          <w:lang/>
        </w:rPr>
        <w:tab/>
      </w:r>
      <w:r w:rsidR="001B072E">
        <w:rPr>
          <w:lang/>
        </w:rPr>
        <w:tab/>
      </w:r>
      <w:r w:rsidRPr="00C2318B">
        <w:rPr>
          <w:lang/>
        </w:rPr>
        <w:t xml:space="preserve">An tArd-Reachtaire Cuntas &amp; Ciste </w:t>
      </w:r>
      <w:r w:rsidRPr="00C2318B">
        <w:rPr>
          <w:lang/>
        </w:rPr>
        <w:br/>
        <w:t xml:space="preserve">                    </w:t>
      </w:r>
      <w:r w:rsidR="001B072E">
        <w:rPr>
          <w:lang/>
        </w:rPr>
        <w:tab/>
      </w:r>
      <w:r w:rsidRPr="00C2318B">
        <w:rPr>
          <w:lang/>
        </w:rPr>
        <w:t>Caisleán Bhaile Átha Cliath</w:t>
      </w:r>
      <w:r w:rsidRPr="00C2318B">
        <w:rPr>
          <w:lang/>
        </w:rPr>
        <w:br/>
        <w:t xml:space="preserve">                    </w:t>
      </w:r>
      <w:r w:rsidR="001B072E">
        <w:rPr>
          <w:lang/>
        </w:rPr>
        <w:tab/>
      </w:r>
      <w:r w:rsidRPr="00C2318B">
        <w:rPr>
          <w:lang/>
        </w:rPr>
        <w:t>Baile Átha Cliath 2.</w:t>
      </w:r>
    </w:p>
    <w:p w14:paraId="2B933CC3" w14:textId="77777777" w:rsidR="000230E8" w:rsidRPr="00C2318B" w:rsidRDefault="000230E8" w:rsidP="000230E8">
      <w:pPr>
        <w:pStyle w:val="Heading1"/>
        <w:rPr>
          <w:lang/>
        </w:rPr>
      </w:pPr>
      <w:r w:rsidRPr="00C2318B">
        <w:rPr>
          <w:lang/>
        </w:rPr>
        <w:br w:type="page"/>
      </w:r>
      <w:bookmarkStart w:id="442" w:name="_Toc335829666"/>
      <w:bookmarkStart w:id="443" w:name="_Toc335836529"/>
      <w:bookmarkStart w:id="444" w:name="_Toc335983455"/>
      <w:bookmarkStart w:id="445" w:name="_Toc335986625"/>
      <w:r w:rsidRPr="00C2318B">
        <w:rPr>
          <w:lang/>
        </w:rPr>
        <w:lastRenderedPageBreak/>
        <w:t>An tÚdarás Náisiúnta Míchumais</w:t>
      </w:r>
      <w:bookmarkEnd w:id="442"/>
      <w:bookmarkEnd w:id="443"/>
      <w:bookmarkEnd w:id="444"/>
      <w:bookmarkEnd w:id="445"/>
      <w:r w:rsidRPr="00C2318B">
        <w:rPr>
          <w:lang/>
        </w:rPr>
        <w:t xml:space="preserve"> </w:t>
      </w:r>
    </w:p>
    <w:p w14:paraId="4A8ECE7E" w14:textId="77777777" w:rsidR="000230E8" w:rsidRPr="00C2318B" w:rsidRDefault="000230E8" w:rsidP="000230E8">
      <w:pPr>
        <w:rPr>
          <w:lang/>
        </w:rPr>
      </w:pPr>
      <w:r w:rsidRPr="00C2318B">
        <w:rPr>
          <w:lang/>
        </w:rPr>
        <w:t>Bunaíodh an tÚdarás Náisiúnta Míchumais ar an 12 Meitheamh, 2000 faoi Alt 6 den Acht um Údarás Náisiúnta Míchumais 1999.</w:t>
      </w:r>
    </w:p>
    <w:p w14:paraId="6394A6D1" w14:textId="77777777" w:rsidR="000230E8" w:rsidRPr="00C2318B" w:rsidRDefault="000230E8" w:rsidP="001B072E">
      <w:pPr>
        <w:pStyle w:val="Heading2"/>
        <w:rPr>
          <w:lang/>
        </w:rPr>
      </w:pPr>
      <w:r w:rsidRPr="00C2318B">
        <w:rPr>
          <w:lang/>
        </w:rPr>
        <w:t xml:space="preserve">Feidhmeanna agus Cumhachtaí an NDA </w:t>
      </w:r>
    </w:p>
    <w:p w14:paraId="58D0811B" w14:textId="77777777" w:rsidR="000230E8" w:rsidRPr="00C2318B" w:rsidRDefault="000230E8" w:rsidP="000230E8">
      <w:pPr>
        <w:rPr>
          <w:lang/>
        </w:rPr>
      </w:pPr>
      <w:r w:rsidRPr="00C2318B">
        <w:rPr>
          <w:lang/>
        </w:rPr>
        <w:t xml:space="preserve">Is í príomhfheidhm an NDA ná comhairle ar a chur ar an Aire Dlí agus Cirt agus Comhionannais maidir le saincheisteanna beartais agus cleachtais i ndáil le míchumas. </w:t>
      </w:r>
    </w:p>
    <w:p w14:paraId="51F5D933" w14:textId="77777777" w:rsidR="000230E8" w:rsidRPr="00C2318B" w:rsidRDefault="000230E8" w:rsidP="000230E8">
      <w:pPr>
        <w:rPr>
          <w:lang/>
        </w:rPr>
      </w:pPr>
      <w:r w:rsidRPr="00C2318B">
        <w:rPr>
          <w:lang/>
        </w:rPr>
        <w:t>I measc fheidhmeanna áirithe an Údaráis faoi Alt 8 den Acht um Údarás Náisiúnta Míchumais, 1999 tá:</w:t>
      </w:r>
    </w:p>
    <w:p w14:paraId="5F9A650C" w14:textId="77777777" w:rsidR="000230E8" w:rsidRPr="00C2318B" w:rsidRDefault="000230E8" w:rsidP="000230E8">
      <w:pPr>
        <w:pStyle w:val="ListBullet"/>
        <w:suppressAutoHyphens w:val="0"/>
        <w:ind w:left="360" w:hanging="360"/>
        <w:rPr>
          <w:lang/>
        </w:rPr>
      </w:pPr>
      <w:r w:rsidRPr="00C2318B">
        <w:rPr>
          <w:lang/>
        </w:rPr>
        <w:t xml:space="preserve">Gníomhú mar chomhlacht lárnach, náisiúnta a chabhróidh leis an Aire le beartas a chomhordú agus a fhorbairt maidir le daoine faoi mhíchumas </w:t>
      </w:r>
    </w:p>
    <w:p w14:paraId="4123704D" w14:textId="77777777" w:rsidR="000230E8" w:rsidRPr="00C2318B" w:rsidRDefault="000230E8" w:rsidP="000230E8">
      <w:pPr>
        <w:pStyle w:val="ListBullet"/>
        <w:suppressAutoHyphens w:val="0"/>
        <w:ind w:left="360" w:hanging="360"/>
        <w:rPr>
          <w:lang/>
        </w:rPr>
      </w:pPr>
      <w:r w:rsidRPr="00C2318B">
        <w:rPr>
          <w:lang/>
        </w:rPr>
        <w:t xml:space="preserve">Tabhairt faoi thionscadail agus ghníomhaíochtaí taighde ar shaincheisteanna a bhaineann le míchumas, iad a choimisiúnú nó comhoibriú orthu agus cabhrú le faisnéis staitistiúil a fhorbairt ata oiriúnach chun cláir agus seirbhísí a phleanáil, a sheachadadh agus a mhaoirsiú le haghaidh daoine faoi mhíchumas </w:t>
      </w:r>
    </w:p>
    <w:p w14:paraId="079805E1" w14:textId="77777777" w:rsidR="000230E8" w:rsidRPr="00C2318B" w:rsidRDefault="000230E8" w:rsidP="000230E8">
      <w:pPr>
        <w:pStyle w:val="ListBullet"/>
        <w:suppressAutoHyphens w:val="0"/>
        <w:ind w:left="360" w:hanging="360"/>
        <w:rPr>
          <w:lang/>
        </w:rPr>
      </w:pPr>
      <w:r w:rsidRPr="00C2318B">
        <w:rPr>
          <w:lang/>
        </w:rPr>
        <w:t xml:space="preserve">Comhairle a chur ar an Aire faoi na caighdeáin oiriúnacha le haghaidh clár agus seirbhísí atá á gcur ar fáil nó le cur ar fáil do dhaoine faoi mhíchumas agus gníomhú mar chomhlacht comhairleach maidir le caighdeáin ghinearálta agus shonracha a fhorbairt i ndáil le cláir agus seirbhísí den sórt sin </w:t>
      </w:r>
    </w:p>
    <w:p w14:paraId="6E263C49" w14:textId="77777777" w:rsidR="000230E8" w:rsidRPr="00C2318B" w:rsidRDefault="000230E8" w:rsidP="000230E8">
      <w:pPr>
        <w:pStyle w:val="ListBullet"/>
        <w:suppressAutoHyphens w:val="0"/>
        <w:ind w:left="360" w:hanging="360"/>
        <w:rPr>
          <w:lang/>
        </w:rPr>
      </w:pPr>
      <w:r w:rsidRPr="00C2318B">
        <w:rPr>
          <w:lang/>
        </w:rPr>
        <w:t xml:space="preserve">Maoirsiú a dhéanamh ar chur i bhfeidhm caighdeán agus cód cleachtais i gcláir agus i seirbhísí arna gcur ar fáil do dhaoine faoi mhíchumas agus tuairisc a thabhairt don Aire orthu siúd </w:t>
      </w:r>
    </w:p>
    <w:p w14:paraId="4BE3BB86" w14:textId="77777777" w:rsidR="000230E8" w:rsidRPr="00C2318B" w:rsidRDefault="000230E8" w:rsidP="000230E8">
      <w:pPr>
        <w:pStyle w:val="ListBullet"/>
        <w:suppressAutoHyphens w:val="0"/>
        <w:ind w:left="360" w:hanging="360"/>
        <w:rPr>
          <w:lang/>
        </w:rPr>
      </w:pPr>
      <w:r w:rsidRPr="00C2318B">
        <w:rPr>
          <w:lang/>
        </w:rPr>
        <w:t xml:space="preserve">Idirchaidreamh a dhéanamh le comhlachtaí eile, idir comhlachtaí corparáideacha agus neamhchorpraithe, cur i bhfeidhm caighdeán oiriúnach le haghaidh clár agus seirbhísí do dhaoine faoi mhíchumas a éascú agus tacú leis  </w:t>
      </w:r>
    </w:p>
    <w:p w14:paraId="7A9DD905" w14:textId="77777777" w:rsidR="000230E8" w:rsidRPr="00C2318B" w:rsidRDefault="000230E8" w:rsidP="000230E8">
      <w:pPr>
        <w:pStyle w:val="ListBullet"/>
        <w:suppressAutoHyphens w:val="0"/>
        <w:ind w:left="360" w:hanging="360"/>
        <w:rPr>
          <w:lang/>
        </w:rPr>
      </w:pPr>
      <w:r w:rsidRPr="00C2318B">
        <w:rPr>
          <w:lang/>
        </w:rPr>
        <w:t>Cóid chleachtais a ullmhú chun críocha dea-chaighdeán agus cáilíocht a bhaint amach maidir le soláthar clár agus seirbhísí atá á gcur ar fáil nó le cur ar fáil do dhaoine faoi mhíchumas.</w:t>
      </w:r>
    </w:p>
    <w:p w14:paraId="149B90C0" w14:textId="77777777" w:rsidR="000230E8" w:rsidRPr="00C2318B" w:rsidRDefault="000230E8" w:rsidP="000230E8">
      <w:pPr>
        <w:pStyle w:val="ListBullet"/>
        <w:suppressAutoHyphens w:val="0"/>
        <w:ind w:left="360" w:hanging="360"/>
        <w:rPr>
          <w:lang/>
        </w:rPr>
      </w:pPr>
      <w:r w:rsidRPr="00C2318B">
        <w:rPr>
          <w:lang/>
        </w:rPr>
        <w:t xml:space="preserve">Aitheantas a thabhairt do bhaint amach dea-chaighdeán agus cáilíochta maidir le soláthar clár agus seirbhísí do dhaoine faoi mhíchumas, lena n-áirítear trí chóras dámhachtainí um chomhionannas do dhaoine faoi mhíchumas  </w:t>
      </w:r>
    </w:p>
    <w:p w14:paraId="2F0CDA03" w14:textId="77777777" w:rsidR="000230E8" w:rsidRPr="00C2318B" w:rsidRDefault="000230E8" w:rsidP="000230E8">
      <w:pPr>
        <w:pStyle w:val="ListBullet"/>
        <w:suppressAutoHyphens w:val="0"/>
        <w:ind w:left="360" w:hanging="360"/>
        <w:rPr>
          <w:lang/>
        </w:rPr>
      </w:pPr>
      <w:r w:rsidRPr="00C2318B">
        <w:rPr>
          <w:lang/>
        </w:rPr>
        <w:t xml:space="preserve">Pleananna straitéiseacha a ullmhú </w:t>
      </w:r>
    </w:p>
    <w:p w14:paraId="1B146AC7" w14:textId="77777777" w:rsidR="000230E8" w:rsidRPr="00C2318B" w:rsidRDefault="000230E8" w:rsidP="000230E8">
      <w:pPr>
        <w:rPr>
          <w:lang/>
        </w:rPr>
      </w:pPr>
      <w:r w:rsidRPr="00C2318B">
        <w:rPr>
          <w:lang/>
        </w:rPr>
        <w:t>I measc fheidhmeanna breise an Údaráis faoin Acht um Míchumas 2005 tá:</w:t>
      </w:r>
    </w:p>
    <w:p w14:paraId="795104EB" w14:textId="77777777" w:rsidR="000230E8" w:rsidRPr="00C2318B" w:rsidRDefault="000230E8" w:rsidP="000230E8">
      <w:pPr>
        <w:pStyle w:val="ListBullet"/>
        <w:suppressAutoHyphens w:val="0"/>
        <w:ind w:left="360" w:hanging="360"/>
        <w:rPr>
          <w:lang/>
        </w:rPr>
      </w:pPr>
      <w:r w:rsidRPr="00C2318B">
        <w:rPr>
          <w:lang/>
        </w:rPr>
        <w:lastRenderedPageBreak/>
        <w:t>Cóid chleachtais a ullmhú maidir le hinrochtaineacht foirgneamh poiblí, seirbhísí, faisnéise agus suíomhanna oidhreachta agus fostú daoine faoi mhíchumas san earnáil phoiblí ar iarratas an Aire (Cuid 3)</w:t>
      </w:r>
    </w:p>
    <w:p w14:paraId="3436A727" w14:textId="77777777" w:rsidR="000230E8" w:rsidRPr="00C2318B" w:rsidRDefault="000230E8" w:rsidP="000230E8">
      <w:pPr>
        <w:pStyle w:val="ListBullet"/>
        <w:suppressAutoHyphens w:val="0"/>
        <w:ind w:left="360" w:hanging="360"/>
        <w:rPr>
          <w:lang/>
        </w:rPr>
      </w:pPr>
      <w:r w:rsidRPr="00C2318B">
        <w:rPr>
          <w:lang/>
        </w:rPr>
        <w:t>Chun maoirseacht a dhéanamh ar chomhlíonadh spriocanna reachtúla le haghaidh earcú agus fhostú daoine faoi mhíchumas san earnáil phoiblí, gníomhartha a mholadh le glacadh áit nach bhfuil na spriocanna sin á gcomhlíonadh, agus cóid chleachtais a fhorbairt áit a n-iarrtar (Cuid 5)</w:t>
      </w:r>
    </w:p>
    <w:p w14:paraId="2FB75FB5" w14:textId="77777777" w:rsidR="000230E8" w:rsidRPr="00C2318B" w:rsidRDefault="000230E8" w:rsidP="000230E8">
      <w:pPr>
        <w:pStyle w:val="ListBullet"/>
        <w:suppressAutoHyphens w:val="0"/>
        <w:ind w:left="360" w:hanging="360"/>
        <w:rPr>
          <w:lang/>
        </w:rPr>
      </w:pPr>
      <w:r w:rsidRPr="00C2318B">
        <w:rPr>
          <w:lang/>
        </w:rPr>
        <w:t>Lárionad Foirfeachta i nDearadh Uilíoch a bhunú sa timpeallacht thógtha agus teicneolaíocht na faisnéise a chuirfidh prionsabail an deartha uilíoch chun cinn ar féidir le daoine faoi mhíchumas rochtain a fháil uirthi, í a thuiscint agus a úsáid sa mhéid gur féidir é:</w:t>
      </w:r>
    </w:p>
    <w:p w14:paraId="28DF62BF" w14:textId="77777777" w:rsidR="000230E8" w:rsidRPr="00C2318B" w:rsidRDefault="000230E8" w:rsidP="001B072E">
      <w:pPr>
        <w:pStyle w:val="ListBullet2"/>
        <w:rPr>
          <w:lang/>
        </w:rPr>
      </w:pPr>
      <w:r w:rsidRPr="00C2318B">
        <w:rPr>
          <w:lang/>
        </w:rPr>
        <w:t xml:space="preserve">sa bhealach is neamhspleáiche agus is nádúrtha </w:t>
      </w:r>
    </w:p>
    <w:p w14:paraId="1CDBF183" w14:textId="77777777" w:rsidR="000230E8" w:rsidRPr="00C2318B" w:rsidRDefault="000230E8" w:rsidP="001B072E">
      <w:pPr>
        <w:pStyle w:val="ListBullet2"/>
        <w:rPr>
          <w:lang/>
        </w:rPr>
      </w:pPr>
      <w:r w:rsidRPr="00C2318B">
        <w:rPr>
          <w:lang/>
        </w:rPr>
        <w:t xml:space="preserve">sa réimse is leithne de chásanna </w:t>
      </w:r>
    </w:p>
    <w:p w14:paraId="3CCCE3F0" w14:textId="77777777" w:rsidR="000230E8" w:rsidRPr="00C2318B" w:rsidRDefault="000230E8" w:rsidP="001B072E">
      <w:pPr>
        <w:pStyle w:val="ListBullet2"/>
        <w:rPr>
          <w:lang/>
        </w:rPr>
      </w:pPr>
      <w:r w:rsidRPr="00C2318B">
        <w:rPr>
          <w:lang/>
        </w:rPr>
        <w:t>gan ghá le hoiriúnú, le hathrú, le fearais chuiditheacha ná rogha speisialaithe (Cuid 6)</w:t>
      </w:r>
    </w:p>
    <w:p w14:paraId="1B51549E" w14:textId="77777777" w:rsidR="000230E8" w:rsidRPr="00C2318B" w:rsidRDefault="000230E8" w:rsidP="000230E8">
      <w:pPr>
        <w:pStyle w:val="Heading2"/>
        <w:rPr>
          <w:lang/>
        </w:rPr>
      </w:pPr>
      <w:bookmarkStart w:id="446" w:name="_Toc335836530"/>
      <w:r w:rsidRPr="00C2318B">
        <w:rPr>
          <w:lang/>
        </w:rPr>
        <w:t>Cumhachtaí reachtúla</w:t>
      </w:r>
      <w:bookmarkEnd w:id="446"/>
      <w:r w:rsidRPr="00C2318B">
        <w:rPr>
          <w:lang/>
        </w:rPr>
        <w:t xml:space="preserve"> </w:t>
      </w:r>
    </w:p>
    <w:p w14:paraId="1A27F07E" w14:textId="77777777" w:rsidR="000230E8" w:rsidRPr="00C2318B" w:rsidRDefault="000230E8" w:rsidP="000230E8">
      <w:pPr>
        <w:tabs>
          <w:tab w:val="left" w:pos="1440"/>
        </w:tabs>
        <w:rPr>
          <w:lang/>
        </w:rPr>
      </w:pPr>
      <w:r w:rsidRPr="00C2318B">
        <w:rPr>
          <w:lang/>
        </w:rPr>
        <w:t>Chun a chuid feidhmeanna reachtúla a chomhlíonadh tá cumhachtaí reachtúla áirithe ag an Údarás Náisiúnta Míchumais faoin Acht um Údarás Náisiúnta Míchumais 1999:</w:t>
      </w:r>
    </w:p>
    <w:p w14:paraId="0941C301" w14:textId="77777777" w:rsidR="000230E8" w:rsidRPr="00C2318B" w:rsidRDefault="000230E8" w:rsidP="001B072E">
      <w:pPr>
        <w:pStyle w:val="ListBullet"/>
        <w:rPr>
          <w:lang/>
        </w:rPr>
      </w:pPr>
      <w:r w:rsidRPr="00C2318B">
        <w:rPr>
          <w:lang/>
        </w:rPr>
        <w:t>Tá an ceart ag an Údarás chun rochtana ar fhaisnéis (lena n-áirítear sonraí) atá ábhartha dá chuid feidhmeanna agus atá i seilbh comhlachtaí poiblí (Alt 13)</w:t>
      </w:r>
    </w:p>
    <w:p w14:paraId="3AE2BDCD" w14:textId="77777777" w:rsidR="000230E8" w:rsidRPr="00C2318B" w:rsidRDefault="000230E8" w:rsidP="001B072E">
      <w:pPr>
        <w:pStyle w:val="ListBullet"/>
        <w:rPr>
          <w:lang/>
        </w:rPr>
      </w:pPr>
      <w:r w:rsidRPr="00C2318B">
        <w:rPr>
          <w:lang/>
        </w:rPr>
        <w:t>Féadfaidh an t-Údarás faisnéis a lorg faoi hábhar ar bith a bhaineann le soláthar clár nó seirbhísí do dhaoine faoi mhíchumas a chuirtear ar fáil de réir an dualgais reachtúil agus a gcuirtear cistiú poiblí ar fáil go hiomlán nó i bpáirt di  (Alt 14)</w:t>
      </w:r>
    </w:p>
    <w:p w14:paraId="27984368" w14:textId="77777777" w:rsidR="000230E8" w:rsidRPr="00C2318B" w:rsidRDefault="000230E8" w:rsidP="001B072E">
      <w:pPr>
        <w:pStyle w:val="ListBullet"/>
        <w:rPr>
          <w:lang/>
        </w:rPr>
      </w:pPr>
      <w:r w:rsidRPr="00C2318B">
        <w:rPr>
          <w:lang/>
        </w:rPr>
        <w:t>Déanann an tÚdarás moltaí maidir le hathbhreithniú nó laghdú a dhéanamh ar airgead arna chur ar fáil ag an Oireachtas le haghaidh aon chláir nó seirbhíse nó maidir leis an airgead a tharraingt siar áit a gcreideann sé go bhfuil sé á chur ar fáil ar bhealach neamhdhóthanach nó míshásúil nó nach bhfuil sé á chur ar fáil do dhaoine faoi mhíchumas (Alt 15(4))</w:t>
      </w:r>
    </w:p>
    <w:p w14:paraId="175EAFC5" w14:textId="77777777" w:rsidR="000230E8" w:rsidRPr="00C2318B" w:rsidRDefault="000230E8" w:rsidP="000230E8">
      <w:pPr>
        <w:rPr>
          <w:lang/>
        </w:rPr>
      </w:pPr>
      <w:r w:rsidRPr="00C2318B">
        <w:rPr>
          <w:lang/>
        </w:rPr>
        <w:t>Tugann an tÚdarás tuarascálacha bliantúla agus tuarascálacha eile don Aire maidir lena chuid feidhmeanna (Alt 15)</w:t>
      </w:r>
    </w:p>
    <w:p w14:paraId="2689DAE1" w14:textId="77777777" w:rsidR="000230E8" w:rsidRPr="00C2318B" w:rsidRDefault="005A0642" w:rsidP="000230E8">
      <w:pPr>
        <w:pStyle w:val="Heading1"/>
        <w:rPr>
          <w:lang/>
        </w:rPr>
      </w:pPr>
      <w:bookmarkStart w:id="447" w:name="_Toc335829667"/>
      <w:bookmarkStart w:id="448" w:name="_Toc335836531"/>
      <w:bookmarkStart w:id="449" w:name="_Toc335983456"/>
      <w:bookmarkStart w:id="450" w:name="_Toc335986626"/>
      <w:r>
        <w:rPr>
          <w:lang/>
        </w:rPr>
        <w:br w:type="page"/>
      </w:r>
      <w:r w:rsidR="000230E8" w:rsidRPr="00C2318B">
        <w:rPr>
          <w:lang/>
        </w:rPr>
        <w:lastRenderedPageBreak/>
        <w:t>Ráiteas faoi Fhreagrachtaí Chomhaltaí an Údaráis</w:t>
      </w:r>
      <w:bookmarkEnd w:id="447"/>
      <w:bookmarkEnd w:id="448"/>
      <w:bookmarkEnd w:id="449"/>
      <w:bookmarkEnd w:id="450"/>
      <w:r w:rsidR="000230E8" w:rsidRPr="00C2318B">
        <w:rPr>
          <w:lang/>
        </w:rPr>
        <w:t xml:space="preserve"> </w:t>
      </w:r>
    </w:p>
    <w:p w14:paraId="119EBA11" w14:textId="77777777" w:rsidR="000230E8" w:rsidRPr="00C2318B" w:rsidRDefault="000230E8" w:rsidP="000230E8">
      <w:pPr>
        <w:rPr>
          <w:lang/>
        </w:rPr>
      </w:pPr>
      <w:r w:rsidRPr="00C2318B">
        <w:rPr>
          <w:lang/>
        </w:rPr>
        <w:t>De réir Alt 17 den Acht um Údarás Náisiúnta Míchumais 1999 ceanglaítear ar an Údarás  ráitis airgeadais a ullmhú le haghaidh bliana airgeadais a thugann léargas fírinneach cóir ar ghnóthaí an Údaráis agus ar a chuid ioncaim agus caiteachais don tréimhse sin.</w:t>
      </w:r>
    </w:p>
    <w:p w14:paraId="1154C6DD" w14:textId="77777777" w:rsidR="000230E8" w:rsidRPr="00C2318B" w:rsidRDefault="000230E8" w:rsidP="000230E8">
      <w:pPr>
        <w:rPr>
          <w:lang/>
        </w:rPr>
      </w:pPr>
      <w:r w:rsidRPr="00C2318B">
        <w:rPr>
          <w:lang/>
        </w:rPr>
        <w:t>Agus na ráitis airgeadais sin á n-ullmhú, ceanglaítear ar an Údarás:</w:t>
      </w:r>
    </w:p>
    <w:p w14:paraId="7C5DD7F6" w14:textId="77777777" w:rsidR="000230E8" w:rsidRPr="00C2318B" w:rsidRDefault="000230E8" w:rsidP="000230E8">
      <w:pPr>
        <w:pStyle w:val="ListBullet"/>
        <w:suppressAutoHyphens w:val="0"/>
        <w:ind w:left="360" w:hanging="360"/>
        <w:rPr>
          <w:lang/>
        </w:rPr>
      </w:pPr>
      <w:r w:rsidRPr="00C2318B">
        <w:rPr>
          <w:lang/>
        </w:rPr>
        <w:t>polasaithe cuntasaíochta oiriúnacha a roghnú agus a chur i bhfeidhm go comhsheasmhach;</w:t>
      </w:r>
    </w:p>
    <w:p w14:paraId="3732E3BE" w14:textId="77777777" w:rsidR="000230E8" w:rsidRPr="00C2318B" w:rsidRDefault="000230E8" w:rsidP="000230E8">
      <w:pPr>
        <w:pStyle w:val="ListBullet"/>
        <w:suppressAutoHyphens w:val="0"/>
        <w:ind w:left="360" w:hanging="360"/>
        <w:rPr>
          <w:lang/>
        </w:rPr>
      </w:pPr>
      <w:r w:rsidRPr="00C2318B">
        <w:rPr>
          <w:lang/>
        </w:rPr>
        <w:t>breithiúnais agus meastacháin réasúnta agus chríonna a dhéanamh;</w:t>
      </w:r>
    </w:p>
    <w:p w14:paraId="3657AEBD" w14:textId="77777777" w:rsidR="000230E8" w:rsidRPr="00C2318B" w:rsidRDefault="000230E8" w:rsidP="000230E8">
      <w:pPr>
        <w:pStyle w:val="ListBullet"/>
        <w:suppressAutoHyphens w:val="0"/>
        <w:ind w:left="360" w:hanging="360"/>
        <w:rPr>
          <w:lang/>
        </w:rPr>
      </w:pPr>
      <w:r w:rsidRPr="00C2318B">
        <w:rPr>
          <w:lang/>
        </w:rPr>
        <w:t>Caighdeáin Chuntasaíochta infheidhme a chomhlíonadh faoi réir aon nochtuithe ábhartha arna nochtadh nó arna míniú sna Ráitis Airgeadais;</w:t>
      </w:r>
    </w:p>
    <w:p w14:paraId="5CD763C6" w14:textId="77777777" w:rsidR="000230E8" w:rsidRPr="00C2318B" w:rsidRDefault="000230E8" w:rsidP="000230E8">
      <w:pPr>
        <w:pStyle w:val="ListBullet"/>
        <w:suppressAutoHyphens w:val="0"/>
        <w:ind w:left="360" w:hanging="360"/>
        <w:rPr>
          <w:lang/>
        </w:rPr>
      </w:pPr>
      <w:r w:rsidRPr="00C2318B">
        <w:rPr>
          <w:lang/>
        </w:rPr>
        <w:t>na ráitis airgeadais a ullmhú ar bhonn an ghnóthais leantaigh ach má tá sé mí-oiriúnach ceapadh nach leanfaidh an tÚdarás Náisiúnta Míchumais ar aghaidh.</w:t>
      </w:r>
    </w:p>
    <w:p w14:paraId="4E1B77F9" w14:textId="77777777" w:rsidR="000230E8" w:rsidRPr="00C2318B" w:rsidRDefault="000230E8" w:rsidP="000230E8">
      <w:pPr>
        <w:rPr>
          <w:lang/>
        </w:rPr>
      </w:pPr>
      <w:r w:rsidRPr="00C2318B">
        <w:rPr>
          <w:lang/>
        </w:rPr>
        <w:t>Tá an tÚdarás freagrach as taifid chearta chuntasaíochta a choimeád, a nochtann le cruinneas réasúnta uair ar bith staid airgeadais an Údaráis agus a chuireann ar a chumas cinntiú go gcomhlíonann na ráitis airgeadais an tAcht. Tá sé freagrach freisin as sócmhainní an Údarás Náisiúnta Míchumais a chosaint agus as céimeanna réasúnta a ghlacadh chun calaois agus mírialtachtaí eile a chosc agus a bhrath.</w:t>
      </w:r>
    </w:p>
    <w:p w14:paraId="0ED66B85" w14:textId="77777777" w:rsidR="000230E8" w:rsidRPr="00C2318B" w:rsidRDefault="000230E8" w:rsidP="000230E8">
      <w:pPr>
        <w:rPr>
          <w:lang/>
        </w:rPr>
      </w:pPr>
      <w:r w:rsidRPr="00C2318B">
        <w:rPr>
          <w:lang/>
        </w:rPr>
        <w:t xml:space="preserve">Thar ceann an Údaráis </w:t>
      </w:r>
    </w:p>
    <w:p w14:paraId="52E77B8C" w14:textId="77777777" w:rsidR="000230E8" w:rsidRPr="00C2318B" w:rsidRDefault="000230E8" w:rsidP="000230E8">
      <w:pPr>
        <w:rPr>
          <w:u w:val="single"/>
          <w:lang/>
        </w:rPr>
      </w:pPr>
      <w:r w:rsidRPr="00C2318B">
        <w:rPr>
          <w:b/>
          <w:lang/>
        </w:rPr>
        <w:t>Cathaoirleach</w:t>
      </w:r>
      <w:r w:rsidRPr="00C2318B">
        <w:rPr>
          <w:lang/>
        </w:rPr>
        <w:tab/>
        <w:t>Peter McKevitt</w:t>
      </w:r>
    </w:p>
    <w:p w14:paraId="157B8679" w14:textId="77777777" w:rsidR="000230E8" w:rsidRPr="00C2318B" w:rsidRDefault="000230E8" w:rsidP="000230E8">
      <w:pPr>
        <w:rPr>
          <w:u w:val="single"/>
          <w:lang/>
        </w:rPr>
      </w:pPr>
      <w:r w:rsidRPr="00C2318B">
        <w:rPr>
          <w:b/>
          <w:lang/>
        </w:rPr>
        <w:t>Stiúrthóir</w:t>
      </w:r>
      <w:r>
        <w:rPr>
          <w:lang/>
        </w:rPr>
        <w:tab/>
      </w:r>
      <w:r>
        <w:rPr>
          <w:lang/>
        </w:rPr>
        <w:tab/>
        <w:t>Siobhá</w:t>
      </w:r>
      <w:r w:rsidRPr="00C2318B">
        <w:rPr>
          <w:lang/>
        </w:rPr>
        <w:t>n Barron</w:t>
      </w:r>
    </w:p>
    <w:p w14:paraId="3EE296EA" w14:textId="77777777" w:rsidR="000230E8" w:rsidRPr="00C2318B" w:rsidRDefault="000230E8" w:rsidP="000230E8">
      <w:pPr>
        <w:rPr>
          <w:lang/>
        </w:rPr>
      </w:pPr>
      <w:r w:rsidRPr="00C2318B">
        <w:rPr>
          <w:b/>
          <w:lang/>
        </w:rPr>
        <w:t>Dáta</w:t>
      </w:r>
      <w:r w:rsidRPr="00C2318B">
        <w:rPr>
          <w:b/>
          <w:lang/>
        </w:rPr>
        <w:tab/>
      </w:r>
      <w:r w:rsidRPr="00C2318B">
        <w:rPr>
          <w:lang/>
        </w:rPr>
        <w:tab/>
      </w:r>
      <w:r w:rsidRPr="00C2318B">
        <w:rPr>
          <w:lang/>
        </w:rPr>
        <w:tab/>
      </w:r>
      <w:r>
        <w:rPr>
          <w:lang/>
        </w:rPr>
        <w:t>10 Meán Fómhair 2012</w:t>
      </w:r>
    </w:p>
    <w:p w14:paraId="15C46960" w14:textId="77777777" w:rsidR="000230E8" w:rsidRPr="00C2318B" w:rsidRDefault="00983E44" w:rsidP="000230E8">
      <w:pPr>
        <w:pStyle w:val="Heading1"/>
        <w:rPr>
          <w:lang/>
        </w:rPr>
      </w:pPr>
      <w:bookmarkStart w:id="451" w:name="_Toc335829668"/>
      <w:bookmarkStart w:id="452" w:name="_Toc335836532"/>
      <w:bookmarkStart w:id="453" w:name="_Toc335983457"/>
      <w:bookmarkStart w:id="454" w:name="_Toc335986627"/>
      <w:r>
        <w:rPr>
          <w:lang/>
        </w:rPr>
        <w:br w:type="page"/>
      </w:r>
      <w:r w:rsidR="000230E8" w:rsidRPr="00C2318B">
        <w:rPr>
          <w:lang/>
        </w:rPr>
        <w:lastRenderedPageBreak/>
        <w:t>Ráiteas faoi Rialú Inmheánach Airgeadais don bhliain dar chríoch 31 Nollaig 2011</w:t>
      </w:r>
      <w:bookmarkEnd w:id="451"/>
      <w:bookmarkEnd w:id="452"/>
      <w:bookmarkEnd w:id="453"/>
      <w:bookmarkEnd w:id="454"/>
    </w:p>
    <w:p w14:paraId="2B0B3D9A" w14:textId="77777777" w:rsidR="000230E8" w:rsidRPr="00C2318B" w:rsidRDefault="000230E8" w:rsidP="000230E8">
      <w:pPr>
        <w:rPr>
          <w:lang/>
        </w:rPr>
      </w:pPr>
      <w:r w:rsidRPr="00C2318B">
        <w:rPr>
          <w:lang/>
        </w:rPr>
        <w:t>Thar ceann Bhord an Údarás Náisiúnta Míchumais,  admhaím go bhfuilimid freagrach as cinntiú go gcoimeádtar agus go n-oibrítear córas éifeachtach de rialuithe inmheánacha airgeadais.</w:t>
      </w:r>
    </w:p>
    <w:p w14:paraId="6946F97C" w14:textId="77777777" w:rsidR="000230E8" w:rsidRPr="00C2318B" w:rsidRDefault="000230E8" w:rsidP="000230E8">
      <w:pPr>
        <w:rPr>
          <w:lang/>
        </w:rPr>
      </w:pPr>
      <w:r w:rsidRPr="00C2318B">
        <w:rPr>
          <w:lang/>
        </w:rPr>
        <w:t>Ní fhéadann na córais ach dearbhú réasúnta a sholáthar nach dearbhú iomlán é go ndéantar na sócmhainní a chosaint, go ndéantar idirbhearta a údarú agus a thaifeadadh i gceart, agus go ndéantar earráidí nó mírialtachtaí ábhartha a chosc nó go mbraithfí go tráthúil iad.</w:t>
      </w:r>
    </w:p>
    <w:p w14:paraId="62DE0142" w14:textId="77777777" w:rsidR="000230E8" w:rsidRPr="00C2318B" w:rsidRDefault="000230E8" w:rsidP="00BB5DD2">
      <w:pPr>
        <w:pStyle w:val="NormalBeforeList"/>
        <w:rPr>
          <w:lang/>
        </w:rPr>
      </w:pPr>
      <w:r w:rsidRPr="00C2318B">
        <w:rPr>
          <w:lang/>
        </w:rPr>
        <w:t>Ghlac an tÚdarás céimeanna chun cinntiú go bhfuil timpeallacht oiriúnach rialaithe i bhfeidhm trí:</w:t>
      </w:r>
    </w:p>
    <w:p w14:paraId="79E31A70" w14:textId="77777777" w:rsidR="000230E8" w:rsidRPr="00C2318B" w:rsidRDefault="000230E8" w:rsidP="00BB5DD2">
      <w:pPr>
        <w:pStyle w:val="ListBullet"/>
        <w:rPr>
          <w:lang/>
        </w:rPr>
      </w:pPr>
      <w:r w:rsidRPr="00C2318B">
        <w:rPr>
          <w:lang/>
        </w:rPr>
        <w:t xml:space="preserve">Nósanna imeachta foirmiúla a bhunú trí fheidhmeanna éagsúla coiste chun maoirseacht a dhéanamh ar ghníomhaíochtaí na heagraíochta agus a cuid sócmhainní a chosaint </w:t>
      </w:r>
    </w:p>
    <w:p w14:paraId="187A363F" w14:textId="77777777" w:rsidR="000230E8" w:rsidRPr="00C2318B" w:rsidRDefault="000230E8" w:rsidP="00BB5DD2">
      <w:pPr>
        <w:pStyle w:val="ListBullet"/>
        <w:rPr>
          <w:lang/>
        </w:rPr>
      </w:pPr>
      <w:r w:rsidRPr="00C2318B">
        <w:rPr>
          <w:lang/>
        </w:rPr>
        <w:t xml:space="preserve">Freagrachtaí agus cumhachtaí na bainistíochta a shainiú go soiléir agus a thaifeadadh </w:t>
      </w:r>
    </w:p>
    <w:p w14:paraId="237FD698" w14:textId="77777777" w:rsidR="000230E8" w:rsidRPr="00C2318B" w:rsidRDefault="000230E8" w:rsidP="00BB5DD2">
      <w:pPr>
        <w:pStyle w:val="ListBullet"/>
        <w:rPr>
          <w:lang/>
        </w:rPr>
      </w:pPr>
      <w:r w:rsidRPr="00C2318B">
        <w:rPr>
          <w:lang/>
        </w:rPr>
        <w:t>Cultúr láidir freagrúlachta a fhorbairt thar gach leibhéal den eagraíocht.</w:t>
      </w:r>
    </w:p>
    <w:p w14:paraId="7A585889" w14:textId="77777777" w:rsidR="000230E8" w:rsidRPr="00C2318B" w:rsidRDefault="000230E8" w:rsidP="00BB5DD2">
      <w:pPr>
        <w:rPr>
          <w:lang/>
        </w:rPr>
      </w:pPr>
      <w:r w:rsidRPr="00C2318B">
        <w:rPr>
          <w:lang/>
        </w:rPr>
        <w:t xml:space="preserve">Freisin tá próisis bunaithe ag an údarás chun rioscaí gnó a aithint agus a mheasúnú. Baintear é sin amach ar roinnt bealaí lena n-áirítear </w:t>
      </w:r>
    </w:p>
    <w:p w14:paraId="2A497F60" w14:textId="77777777" w:rsidR="000230E8" w:rsidRPr="00C2318B" w:rsidRDefault="000230E8" w:rsidP="00BB5DD2">
      <w:pPr>
        <w:pStyle w:val="ListBullet"/>
        <w:rPr>
          <w:lang/>
        </w:rPr>
      </w:pPr>
      <w:r w:rsidRPr="00C2318B">
        <w:rPr>
          <w:lang/>
        </w:rPr>
        <w:t xml:space="preserve">Nádúr, méid agus impleachtaí airgeadais na rioscaí atá os comhair an Údarás Náisiúnta Míchumais a aithint </w:t>
      </w:r>
    </w:p>
    <w:p w14:paraId="60A8463D" w14:textId="77777777" w:rsidR="000230E8" w:rsidRPr="00C2318B" w:rsidRDefault="000230E8" w:rsidP="00BB5DD2">
      <w:pPr>
        <w:pStyle w:val="ListBullet"/>
        <w:rPr>
          <w:lang/>
        </w:rPr>
      </w:pPr>
      <w:r w:rsidRPr="00C2318B">
        <w:rPr>
          <w:lang/>
        </w:rPr>
        <w:t xml:space="preserve">Measúnú a dhéanamh ar an dóchúlacht go dtiocfaidh rioscaí chun cinn. D’ullmhaigh an NDA clár rioscaí lena n-áirítear rioscaí straitéiseacha, oibriúcháin, rioscaí maidir le teicneolaíocht na faisnéise, maidir le hairgeadas agus maidir le clú / comhlíonadh. Ina theannta sin déantar anailís riosca nuair atá tionscadail á bpleanáil agus nuair atá measadh scóip á dhéanamh orthu </w:t>
      </w:r>
    </w:p>
    <w:p w14:paraId="329B6D20" w14:textId="77777777" w:rsidR="000230E8" w:rsidRPr="00C2318B" w:rsidRDefault="000230E8" w:rsidP="00BB5DD2">
      <w:pPr>
        <w:pStyle w:val="ListBullet"/>
        <w:rPr>
          <w:lang/>
        </w:rPr>
      </w:pPr>
      <w:r w:rsidRPr="00C2318B">
        <w:rPr>
          <w:lang/>
        </w:rPr>
        <w:t xml:space="preserve">Measúnú a dhéanamh ar chumas an Údarás Náisiúnta Míchumas chun na rioscaí a thagann chun cinn a láimhseáil agus a mhaolú </w:t>
      </w:r>
    </w:p>
    <w:p w14:paraId="0FB62BBC" w14:textId="77777777" w:rsidR="000230E8" w:rsidRPr="00C2318B" w:rsidRDefault="000230E8" w:rsidP="00BB5DD2">
      <w:pPr>
        <w:pStyle w:val="ListBullet"/>
        <w:rPr>
          <w:lang/>
        </w:rPr>
      </w:pPr>
      <w:r w:rsidRPr="00C2318B">
        <w:rPr>
          <w:lang/>
        </w:rPr>
        <w:t xml:space="preserve">Oibriú i ndlúthpháirt leis an Rialtas agus le gníomhaireachtaí agus le hinstitiúidí éagsúla chun cinntiú go dtuigtear go soiléir cuspóirí an Údarás Náisiúnta Míchumas agus go dtugtar tacaíocht do straitéisí an Údaráis chun na cuspóirí sin a chomhlíonadh </w:t>
      </w:r>
    </w:p>
    <w:p w14:paraId="5AB88D3C" w14:textId="77777777" w:rsidR="000230E8" w:rsidRPr="00C2318B" w:rsidRDefault="000230E8" w:rsidP="00BB5DD2">
      <w:pPr>
        <w:pStyle w:val="ListBullet"/>
        <w:rPr>
          <w:lang/>
        </w:rPr>
      </w:pPr>
      <w:r w:rsidRPr="00C2318B">
        <w:rPr>
          <w:lang/>
        </w:rPr>
        <w:t xml:space="preserve">Athbhreithniú a dhéanamh go rialta ar phleananna straitéiseacha, idir pleananna gearrthéarmacha agus fadtéarmacha agus measúnú a dhéanamh ar na rioscaí a bhaineann leis na pleananna sin a thabhairt chun críche </w:t>
      </w:r>
    </w:p>
    <w:p w14:paraId="750F0AA4" w14:textId="77777777" w:rsidR="000230E8" w:rsidRPr="00C2318B" w:rsidRDefault="000230E8" w:rsidP="00BB5DD2">
      <w:pPr>
        <w:pStyle w:val="ListBullet"/>
        <w:rPr>
          <w:lang/>
        </w:rPr>
      </w:pPr>
      <w:r w:rsidRPr="00C2318B">
        <w:rPr>
          <w:lang/>
        </w:rPr>
        <w:lastRenderedPageBreak/>
        <w:t xml:space="preserve">Spriocanna bliantúla agus níos fadtéarmaí a shocrú le haghaidh gach réimse dár ngnó agus tuairisciú rialta a dhéanamh ina dhiaidh sin ar na torthaí a baineadh amach </w:t>
      </w:r>
    </w:p>
    <w:p w14:paraId="5D18193B" w14:textId="77777777" w:rsidR="000230E8" w:rsidRPr="00C2318B" w:rsidRDefault="000230E8" w:rsidP="001B072E">
      <w:pPr>
        <w:pStyle w:val="ListBullet"/>
        <w:rPr>
          <w:lang/>
        </w:rPr>
      </w:pPr>
      <w:r w:rsidRPr="00C2318B">
        <w:rPr>
          <w:lang/>
        </w:rPr>
        <w:t xml:space="preserve">Nósanna imeachta caighdeánacha agus forálacha fairsinge a bhunú agus a chur i bhfeidhm faoinar féidir cúnamh airgeadais a chur ar fáil do thionscadail lena n-áirítear forálacha áit a n-éilítear aisíocaíocht mura gcomhlíonann an tionscadal na tiomantais a rinne an tionscnóir </w:t>
      </w:r>
    </w:p>
    <w:p w14:paraId="008CDCC1" w14:textId="77777777" w:rsidR="000230E8" w:rsidRPr="00C2318B" w:rsidRDefault="000230E8" w:rsidP="001B072E">
      <w:pPr>
        <w:rPr>
          <w:lang/>
        </w:rPr>
      </w:pPr>
      <w:r w:rsidRPr="00C2318B">
        <w:rPr>
          <w:lang/>
        </w:rPr>
        <w:t>Tá an córas um rialú inmheánach airgeadais bunaithe ar chreat d’fhaisnéis bhainistíochta rialta, de nósanna imeachta riaracháin lena n-áirítear leithscaradh dualgas, agus córas um thairmligean agus fhreagrúlacht. Áirítear leis ach go háirithe:</w:t>
      </w:r>
    </w:p>
    <w:p w14:paraId="36FD964E" w14:textId="77777777" w:rsidR="000230E8" w:rsidRPr="00C2318B" w:rsidRDefault="000230E8" w:rsidP="00BB5DD2">
      <w:pPr>
        <w:pStyle w:val="ListBullet"/>
        <w:rPr>
          <w:lang/>
        </w:rPr>
      </w:pPr>
      <w:r w:rsidRPr="00C2318B">
        <w:rPr>
          <w:lang/>
        </w:rPr>
        <w:t xml:space="preserve">Córas buiséid cuimsitheach le tuarascáil bhliantúil a ndéanann an t-Údarás athbhreithniú air agus a n-aontaíonn sé leis </w:t>
      </w:r>
    </w:p>
    <w:p w14:paraId="397BFF09" w14:textId="77777777" w:rsidR="000230E8" w:rsidRPr="00C2318B" w:rsidRDefault="000230E8" w:rsidP="00BB5DD2">
      <w:pPr>
        <w:pStyle w:val="ListBullet"/>
        <w:rPr>
          <w:lang/>
        </w:rPr>
      </w:pPr>
      <w:r w:rsidRPr="00C2318B">
        <w:rPr>
          <w:lang/>
        </w:rPr>
        <w:t>Athbhreithnithe rialta ag an Údarás ar thuarascálacha airgeadai</w:t>
      </w:r>
      <w:r>
        <w:rPr>
          <w:lang/>
        </w:rPr>
        <w:t xml:space="preserve">s tréimhsiúla agus bliantúla a </w:t>
      </w:r>
      <w:r w:rsidRPr="00C2318B">
        <w:rPr>
          <w:lang/>
        </w:rPr>
        <w:t xml:space="preserve">chomharthaíonn feidhmíocht airgeadais de réir réamhaisnéisí </w:t>
      </w:r>
    </w:p>
    <w:p w14:paraId="64F3D342" w14:textId="77777777" w:rsidR="000230E8" w:rsidRPr="00C2318B" w:rsidRDefault="000230E8" w:rsidP="00BB5DD2">
      <w:pPr>
        <w:pStyle w:val="ListBullet"/>
        <w:rPr>
          <w:lang/>
        </w:rPr>
      </w:pPr>
      <w:r w:rsidRPr="00C2318B">
        <w:rPr>
          <w:lang/>
        </w:rPr>
        <w:t xml:space="preserve">Spriocanna a shocrú chun feidhmíocht airgeadais agus eile a thomhas </w:t>
      </w:r>
    </w:p>
    <w:p w14:paraId="78FC86C1" w14:textId="77777777" w:rsidR="000230E8" w:rsidRPr="00C2318B" w:rsidRDefault="000230E8" w:rsidP="00BB5DD2">
      <w:pPr>
        <w:pStyle w:val="ListBullet"/>
        <w:rPr>
          <w:lang/>
        </w:rPr>
      </w:pPr>
      <w:r w:rsidRPr="00C2318B">
        <w:rPr>
          <w:lang/>
        </w:rPr>
        <w:t xml:space="preserve">Treoirlínte atá sainithe go soiléir um rialú infheistíochta caipitiúla </w:t>
      </w:r>
    </w:p>
    <w:p w14:paraId="0ACA9D04" w14:textId="77777777" w:rsidR="000230E8" w:rsidRPr="00C2318B" w:rsidRDefault="000230E8" w:rsidP="00BB5DD2">
      <w:pPr>
        <w:pStyle w:val="ListBullet"/>
        <w:rPr>
          <w:lang/>
        </w:rPr>
      </w:pPr>
      <w:r w:rsidRPr="00C2318B">
        <w:rPr>
          <w:lang/>
        </w:rPr>
        <w:t xml:space="preserve">Disciplíní foirmiúla bainistíochta tionscadail </w:t>
      </w:r>
    </w:p>
    <w:p w14:paraId="19F66285" w14:textId="77777777" w:rsidR="000230E8" w:rsidRPr="00C2318B" w:rsidRDefault="000230E8" w:rsidP="000230E8">
      <w:pPr>
        <w:rPr>
          <w:bCs/>
          <w:lang/>
        </w:rPr>
      </w:pPr>
      <w:r w:rsidRPr="00C2318B">
        <w:rPr>
          <w:lang/>
        </w:rPr>
        <w:t>Sheachfhoinsigh an tÚdarás Seirbhís Iniúchta Inmheánaigh, a oibríonn de réir an Chreatchód Dea-chleachtais atá leagtha amach sa Chód Cleachtais Athbhreithnithe ar Rialachas Comhlachtaí Stáit 2009. Ó Aibreán 2011 ar aghaidh is í an Roinn Dlí agus Cirt agus Comhionannas a chuireann an tSeirbhís Iniúchta Inmheánaigh ar fáil. Tugann an tSeirbhís Iniúchta Inmheánaigh tuairisc rialta don Choiste Iniúchta. I 2011, rinne an t-Iniúchadh Inmheánach athbhreithniú ar chur i bhfeidhm na moltaí ó iniúchtaí roimhe sin (párolla, soláthar agus sócmhainní seasta</w:t>
      </w:r>
      <w:r w:rsidRPr="00C2318B">
        <w:rPr>
          <w:bCs/>
          <w:lang/>
        </w:rPr>
        <w:t>). Níor tugadh aon réimsí ardriosca faoi deara a mbeadh imní i gceist leo.</w:t>
      </w:r>
    </w:p>
    <w:p w14:paraId="1C2E4769" w14:textId="77777777" w:rsidR="000230E8" w:rsidRPr="00C2318B" w:rsidRDefault="000230E8" w:rsidP="000230E8">
      <w:pPr>
        <w:rPr>
          <w:lang/>
        </w:rPr>
      </w:pPr>
      <w:r w:rsidRPr="00C2318B">
        <w:rPr>
          <w:lang/>
        </w:rPr>
        <w:t>Tá an tÚdarás freagrach as maoirseacht a dhéanamh ar chur i bhfeidhm mholtaí an tSeirbhís Iniúchta Inmheánaigh chun cinntiú go gcoimeádtar nósanna imeachta cearta agus éifeachtacha um rialú airgeadais agus déanann sé maoirseacht ar an bhfeidhm iniúchta inmheánaigh agus aon phleananna bainteacha chun aon réimsí nua a aithníodh a chur san áireamh.</w:t>
      </w:r>
    </w:p>
    <w:p w14:paraId="36763860" w14:textId="77777777" w:rsidR="000230E8" w:rsidRPr="00C2318B" w:rsidRDefault="000230E8" w:rsidP="001B072E">
      <w:pPr>
        <w:pStyle w:val="NormalBeforeList"/>
        <w:rPr>
          <w:lang/>
        </w:rPr>
      </w:pPr>
      <w:r w:rsidRPr="00C2318B">
        <w:rPr>
          <w:lang/>
        </w:rPr>
        <w:t>Tá maoirseacht agus athbhreithniú an Údaráis ar éifeachtacht na gcóras um rialú inmheánach airgeadais treoraithe ag na gnéithe seo a leanas:</w:t>
      </w:r>
    </w:p>
    <w:p w14:paraId="705D7B50" w14:textId="77777777" w:rsidR="000230E8" w:rsidRPr="00C2318B" w:rsidRDefault="000230E8" w:rsidP="00BB5DD2">
      <w:pPr>
        <w:pStyle w:val="ListBullet"/>
        <w:rPr>
          <w:lang/>
        </w:rPr>
      </w:pPr>
      <w:r w:rsidRPr="00C2318B">
        <w:rPr>
          <w:lang/>
        </w:rPr>
        <w:t xml:space="preserve">obair an tSeirbhís Iniúchta Inmheánaigh agus ról an Choiste Iniúchta a dhéanann maoirseacht ar obair an Iniúchóra Inmheánaigh agus an timpeallacht rialachais chorparáidigh </w:t>
      </w:r>
    </w:p>
    <w:p w14:paraId="4D508DFE" w14:textId="77777777" w:rsidR="000230E8" w:rsidRPr="00C2318B" w:rsidRDefault="000230E8" w:rsidP="00BB5DD2">
      <w:pPr>
        <w:pStyle w:val="ListBullet"/>
        <w:rPr>
          <w:lang/>
        </w:rPr>
      </w:pPr>
      <w:r w:rsidRPr="00C2318B">
        <w:rPr>
          <w:lang/>
        </w:rPr>
        <w:lastRenderedPageBreak/>
        <w:t xml:space="preserve">na bainisteoirí feidhmiúcháin leis an Údarás Náisiúnta Míchumais atá freagrach as an gcreat um rialú airgeadais a fhorbairt agus a choimeád  </w:t>
      </w:r>
    </w:p>
    <w:p w14:paraId="266432B3" w14:textId="77777777" w:rsidR="000230E8" w:rsidRPr="00C2318B" w:rsidRDefault="000230E8" w:rsidP="00BB5DD2">
      <w:pPr>
        <w:pStyle w:val="ListBullet"/>
        <w:rPr>
          <w:lang/>
        </w:rPr>
      </w:pPr>
      <w:r w:rsidRPr="00C2318B">
        <w:rPr>
          <w:lang/>
        </w:rPr>
        <w:t xml:space="preserve">an coiste Airgeadais a thugann tuairisc gach ráithe ar a laghad ar chaiteachas airgeadais agus shaincheisteanna bainteacha agus  </w:t>
      </w:r>
    </w:p>
    <w:p w14:paraId="6CF9C64E" w14:textId="77777777" w:rsidR="000230E8" w:rsidRPr="00C2318B" w:rsidRDefault="000230E8" w:rsidP="00BB5DD2">
      <w:pPr>
        <w:pStyle w:val="ListBullet"/>
        <w:rPr>
          <w:lang/>
        </w:rPr>
      </w:pPr>
      <w:r w:rsidRPr="00C2318B">
        <w:rPr>
          <w:lang/>
        </w:rPr>
        <w:t xml:space="preserve">na saincheisteanna a d’ardaigh an tArd-Reachtaire Cuntas agus Ciste </w:t>
      </w:r>
    </w:p>
    <w:p w14:paraId="453990E7" w14:textId="77777777" w:rsidR="000230E8" w:rsidRPr="00C2318B" w:rsidRDefault="000230E8" w:rsidP="000230E8">
      <w:pPr>
        <w:rPr>
          <w:lang/>
        </w:rPr>
      </w:pPr>
      <w:r w:rsidRPr="00C2318B">
        <w:rPr>
          <w:lang/>
        </w:rPr>
        <w:t>Dearbhaím go ndearna an tÚdarás athbhreithniú foirmiúil ar éifeachtacht na gcóras um rialuithe inmheánacha airgeadais le haghaidh 2011.</w:t>
      </w:r>
    </w:p>
    <w:p w14:paraId="4C78BD6B" w14:textId="77777777" w:rsidR="000230E8" w:rsidRPr="00C2318B" w:rsidRDefault="000230E8" w:rsidP="000230E8">
      <w:pPr>
        <w:rPr>
          <w:lang/>
        </w:rPr>
      </w:pPr>
      <w:r>
        <w:rPr>
          <w:lang/>
        </w:rPr>
        <w:t>Peter Mc</w:t>
      </w:r>
      <w:r w:rsidRPr="00C2318B">
        <w:rPr>
          <w:lang/>
        </w:rPr>
        <w:t>Kevitt</w:t>
      </w:r>
    </w:p>
    <w:p w14:paraId="4F0780FF" w14:textId="77777777" w:rsidR="000230E8" w:rsidRPr="00C2318B" w:rsidRDefault="000230E8" w:rsidP="000230E8">
      <w:pPr>
        <w:rPr>
          <w:lang/>
        </w:rPr>
      </w:pPr>
      <w:r w:rsidRPr="00C2318B">
        <w:rPr>
          <w:lang/>
        </w:rPr>
        <w:t>Cathaoirleach</w:t>
      </w:r>
    </w:p>
    <w:p w14:paraId="6DEC8948" w14:textId="77777777" w:rsidR="000230E8" w:rsidRPr="00C2318B" w:rsidRDefault="000230E8" w:rsidP="000230E8">
      <w:pPr>
        <w:rPr>
          <w:lang/>
        </w:rPr>
      </w:pPr>
      <w:r>
        <w:rPr>
          <w:lang/>
        </w:rPr>
        <w:t>10 Meán Fómhair 2012</w:t>
      </w:r>
    </w:p>
    <w:p w14:paraId="265B7669" w14:textId="77777777" w:rsidR="000230E8" w:rsidRPr="00C2318B" w:rsidRDefault="00BB5DD2" w:rsidP="000230E8">
      <w:pPr>
        <w:pStyle w:val="Heading1"/>
        <w:rPr>
          <w:noProof/>
          <w:lang/>
        </w:rPr>
      </w:pPr>
      <w:bookmarkStart w:id="455" w:name="_Toc300744350"/>
      <w:bookmarkStart w:id="456" w:name="_Toc304371232"/>
      <w:bookmarkStart w:id="457" w:name="_Toc304381948"/>
      <w:bookmarkStart w:id="458" w:name="_Toc335829669"/>
      <w:bookmarkStart w:id="459" w:name="_Toc335836533"/>
      <w:bookmarkStart w:id="460" w:name="_Toc335983458"/>
      <w:r>
        <w:rPr>
          <w:noProof/>
          <w:lang/>
        </w:rPr>
        <w:br w:type="page"/>
      </w:r>
      <w:bookmarkStart w:id="461" w:name="_Toc335986628"/>
      <w:r w:rsidR="000230E8" w:rsidRPr="00C2318B">
        <w:rPr>
          <w:noProof/>
          <w:lang/>
        </w:rPr>
        <w:lastRenderedPageBreak/>
        <w:t>Tuarascáil an Ard-Reachtaire Cuntas agus Ciste le cur i láthair Thithe an Oireachtais</w:t>
      </w:r>
      <w:bookmarkEnd w:id="455"/>
      <w:bookmarkEnd w:id="456"/>
      <w:bookmarkEnd w:id="457"/>
      <w:bookmarkEnd w:id="458"/>
      <w:bookmarkEnd w:id="459"/>
      <w:bookmarkEnd w:id="460"/>
      <w:bookmarkEnd w:id="461"/>
    </w:p>
    <w:p w14:paraId="1DDA5950" w14:textId="77777777" w:rsidR="000230E8" w:rsidRPr="00C2318B" w:rsidRDefault="000230E8" w:rsidP="000230E8">
      <w:pPr>
        <w:rPr>
          <w:noProof/>
          <w:szCs w:val="25"/>
          <w:lang/>
        </w:rPr>
      </w:pPr>
      <w:r w:rsidRPr="00C2318B">
        <w:rPr>
          <w:noProof/>
          <w:lang/>
        </w:rPr>
        <w:t>Tá ráitis airgeadais an Údaráis Náisiúnta Míchumais don bhliain dar críoch 31 Nolla</w:t>
      </w:r>
      <w:r w:rsidRPr="00C2318B">
        <w:rPr>
          <w:lang/>
        </w:rPr>
        <w:t>i</w:t>
      </w:r>
      <w:r w:rsidRPr="00C2318B">
        <w:rPr>
          <w:noProof/>
          <w:lang/>
        </w:rPr>
        <w:t xml:space="preserve">g 2011 iniúchta agam faoi </w:t>
      </w:r>
      <w:r w:rsidRPr="00C2318B">
        <w:rPr>
          <w:noProof/>
          <w:szCs w:val="25"/>
          <w:lang/>
        </w:rPr>
        <w:t>Alt 17 den Acht um Údarás Náisiúnta Míchumais, 1999.</w:t>
      </w:r>
    </w:p>
    <w:p w14:paraId="5CA10A42" w14:textId="77777777" w:rsidR="000230E8" w:rsidRPr="00C2318B" w:rsidRDefault="000230E8" w:rsidP="000230E8">
      <w:pPr>
        <w:rPr>
          <w:noProof/>
          <w:lang/>
        </w:rPr>
      </w:pPr>
      <w:r w:rsidRPr="00C2318B">
        <w:rPr>
          <w:noProof/>
          <w:lang/>
        </w:rPr>
        <w:t xml:space="preserve">Tá na ráitis airgeadais, a ullmhaíodh faoi na beartais chuntasaíochta arna leagan amach sna ráitis, comhdhéanta den Ráiteas ar Bheartais Chuntasaíochta, an Cuntas Ioncaim agus Caiteachais, </w:t>
      </w:r>
      <w:r w:rsidRPr="00C2318B">
        <w:rPr>
          <w:szCs w:val="20"/>
          <w:lang/>
        </w:rPr>
        <w:t>Ráiteas Gnóthachan agus Caillteanas Aitheanta Iomlán,</w:t>
      </w:r>
      <w:r w:rsidRPr="00C2318B">
        <w:rPr>
          <w:noProof/>
          <w:lang/>
        </w:rPr>
        <w:t xml:space="preserve"> an Clár Comhardaithe, an Ráiteas ar Shreabhadh Airgid agus na nótaí gaolmhara.  </w:t>
      </w:r>
    </w:p>
    <w:p w14:paraId="291368A9" w14:textId="77777777" w:rsidR="000230E8" w:rsidRPr="00C2318B" w:rsidRDefault="000230E8" w:rsidP="000230E8">
      <w:pPr>
        <w:pStyle w:val="Heading2"/>
        <w:rPr>
          <w:noProof/>
          <w:lang/>
        </w:rPr>
      </w:pPr>
      <w:bookmarkStart w:id="462" w:name="_Toc299362638"/>
      <w:bookmarkStart w:id="463" w:name="_Toc300742243"/>
      <w:bookmarkStart w:id="464" w:name="_Toc300742995"/>
      <w:bookmarkStart w:id="465" w:name="_Toc300744351"/>
      <w:bookmarkStart w:id="466" w:name="_Toc335836534"/>
      <w:r w:rsidRPr="00C2318B">
        <w:rPr>
          <w:lang/>
        </w:rPr>
        <w:t>Freagrachtaí Chomhaltaí an Údaráis</w:t>
      </w:r>
      <w:bookmarkEnd w:id="462"/>
      <w:bookmarkEnd w:id="463"/>
      <w:bookmarkEnd w:id="464"/>
      <w:bookmarkEnd w:id="465"/>
      <w:bookmarkEnd w:id="466"/>
      <w:r w:rsidRPr="00C2318B">
        <w:rPr>
          <w:lang/>
        </w:rPr>
        <w:t xml:space="preserve"> </w:t>
      </w:r>
    </w:p>
    <w:p w14:paraId="68A2D756" w14:textId="77777777" w:rsidR="000230E8" w:rsidRPr="00C2318B" w:rsidRDefault="000230E8" w:rsidP="000230E8">
      <w:pPr>
        <w:rPr>
          <w:lang/>
        </w:rPr>
      </w:pPr>
      <w:r w:rsidRPr="00C2318B">
        <w:rPr>
          <w:lang/>
        </w:rPr>
        <w:t>Tá an tÚdaras freagrach as na ráitis airgeadais a ullmhú, as a chinntiú go dtugann siad léargas fíor agus cothrom ar staid ghnóthaí an Údaráis Náisiúnta Míchumais, ar a ioncam agus caiteachas agus as rialtacht na n-idirbheart a chinntiú.</w:t>
      </w:r>
    </w:p>
    <w:p w14:paraId="4A2BE412" w14:textId="77777777" w:rsidR="000230E8" w:rsidRPr="00C2318B" w:rsidRDefault="000230E8" w:rsidP="000230E8">
      <w:pPr>
        <w:pStyle w:val="Heading2"/>
        <w:rPr>
          <w:i/>
          <w:lang/>
        </w:rPr>
      </w:pPr>
      <w:bookmarkStart w:id="467" w:name="_Toc299362639"/>
      <w:bookmarkStart w:id="468" w:name="_Toc300742244"/>
      <w:bookmarkStart w:id="469" w:name="_Toc300742996"/>
      <w:bookmarkStart w:id="470" w:name="_Toc300744352"/>
      <w:bookmarkStart w:id="471" w:name="_Toc335836535"/>
      <w:r w:rsidRPr="00C2318B">
        <w:rPr>
          <w:lang/>
        </w:rPr>
        <w:t>Freagrachtaí an Ard-Reachtaire Cuntas agus Ciste</w:t>
      </w:r>
      <w:bookmarkEnd w:id="467"/>
      <w:bookmarkEnd w:id="468"/>
      <w:bookmarkEnd w:id="469"/>
      <w:bookmarkEnd w:id="470"/>
      <w:bookmarkEnd w:id="471"/>
    </w:p>
    <w:p w14:paraId="10D95A9D" w14:textId="77777777" w:rsidR="000230E8" w:rsidRPr="00C2318B" w:rsidRDefault="000230E8" w:rsidP="000230E8">
      <w:pPr>
        <w:rPr>
          <w:lang/>
        </w:rPr>
      </w:pPr>
      <w:r w:rsidRPr="00C2318B">
        <w:rPr>
          <w:lang/>
        </w:rPr>
        <w:t>Is í an fhreagracht atá orm iniúchadh a dhéanamh ar na ráitis airgeadais agus tuairisc a thabhairt orthu de réir dlí infheidhme.</w:t>
      </w:r>
    </w:p>
    <w:p w14:paraId="7D75E4DD" w14:textId="77777777" w:rsidR="000230E8" w:rsidRPr="00C2318B" w:rsidRDefault="000230E8" w:rsidP="000230E8">
      <w:pPr>
        <w:rPr>
          <w:lang/>
        </w:rPr>
      </w:pPr>
      <w:r w:rsidRPr="00C2318B">
        <w:rPr>
          <w:lang/>
        </w:rPr>
        <w:t>Déanaim m’iniúchadh trí thagairt a dheánamh do bhreithnuithe speisialta a ghabhann le comhlachtaí Stáit maidir lena mbainistíocht agus lena n-oibríocht.</w:t>
      </w:r>
    </w:p>
    <w:p w14:paraId="2ED9FC74" w14:textId="77777777" w:rsidR="000230E8" w:rsidRPr="00C2318B" w:rsidRDefault="000230E8" w:rsidP="000230E8">
      <w:pPr>
        <w:rPr>
          <w:lang/>
        </w:rPr>
      </w:pPr>
      <w:r w:rsidRPr="00C2318B">
        <w:rPr>
          <w:lang/>
        </w:rPr>
        <w:t>Déanaim m’iniúchadh de réir na gCaighdeán Idirnáisiúnta maidir le hIniúchadh (An Ríocht Aontaithe agus Éire) agus ag cloí le Caighdeáin Eiticiúla d’Iniúchóirí de chuid an Bhoird Chleachtais Iniúchta ag an am céanna.</w:t>
      </w:r>
    </w:p>
    <w:p w14:paraId="7BB6C5E1" w14:textId="77777777" w:rsidR="000230E8" w:rsidRPr="00C2318B" w:rsidRDefault="000230E8" w:rsidP="000230E8">
      <w:pPr>
        <w:pStyle w:val="Heading2"/>
        <w:rPr>
          <w:i/>
          <w:lang/>
        </w:rPr>
      </w:pPr>
      <w:bookmarkStart w:id="472" w:name="_Toc299362640"/>
      <w:bookmarkStart w:id="473" w:name="_Toc300742245"/>
      <w:bookmarkStart w:id="474" w:name="_Toc300742997"/>
      <w:bookmarkStart w:id="475" w:name="_Toc300744353"/>
      <w:bookmarkStart w:id="476" w:name="_Toc335836536"/>
      <w:r w:rsidRPr="00C2318B">
        <w:rPr>
          <w:lang/>
        </w:rPr>
        <w:t>Scóp Iniúchta na Ráiteas Airgeadais</w:t>
      </w:r>
      <w:bookmarkEnd w:id="472"/>
      <w:bookmarkEnd w:id="473"/>
      <w:bookmarkEnd w:id="474"/>
      <w:bookmarkEnd w:id="475"/>
      <w:bookmarkEnd w:id="476"/>
      <w:r w:rsidRPr="00C2318B">
        <w:rPr>
          <w:lang/>
        </w:rPr>
        <w:t xml:space="preserve"> </w:t>
      </w:r>
    </w:p>
    <w:p w14:paraId="2DD23D7A" w14:textId="77777777" w:rsidR="000230E8" w:rsidRPr="00C2318B" w:rsidRDefault="000230E8" w:rsidP="000230E8">
      <w:pPr>
        <w:rPr>
          <w:lang/>
        </w:rPr>
      </w:pPr>
      <w:r w:rsidRPr="00C2318B">
        <w:rPr>
          <w:lang/>
        </w:rPr>
        <w:t>I rith iniúchta, ní mór fianaise a fháil faoi na méideanna agus na nochtaí sna ráitis airgeadais, fianaise leordhóthanach a thabharfadh deimhniú réasúnta go bhfuil na ráitis airgeadais saor ó mhíráitis ábhartha, cibé ar calaois nó earráid is cúis leo. Áirítear air sin measúnú ar na nithe seo a leanas:</w:t>
      </w:r>
    </w:p>
    <w:p w14:paraId="758D4B28" w14:textId="77777777" w:rsidR="000230E8" w:rsidRPr="00C2318B" w:rsidRDefault="000230E8" w:rsidP="000230E8">
      <w:pPr>
        <w:pStyle w:val="ListBullet"/>
        <w:suppressAutoHyphens w:val="0"/>
        <w:ind w:left="360" w:hanging="360"/>
        <w:rPr>
          <w:lang/>
        </w:rPr>
      </w:pPr>
      <w:r w:rsidRPr="00C2318B">
        <w:rPr>
          <w:lang/>
        </w:rPr>
        <w:t>cibé an bhfuil na beartais chuntasaíochta oiriúnach d'imthosca an Údaráis, agus gur cuireadh i bhfeidhm go comhsheasmhach iad agus gur nochtaíodh i gceart iad</w:t>
      </w:r>
    </w:p>
    <w:p w14:paraId="48893591" w14:textId="77777777" w:rsidR="000230E8" w:rsidRPr="00C2318B" w:rsidRDefault="000230E8" w:rsidP="000230E8">
      <w:pPr>
        <w:pStyle w:val="ListBullet"/>
        <w:suppressAutoHyphens w:val="0"/>
        <w:ind w:left="360" w:hanging="360"/>
        <w:rPr>
          <w:lang/>
        </w:rPr>
      </w:pPr>
      <w:r w:rsidRPr="00C2318B">
        <w:rPr>
          <w:lang/>
        </w:rPr>
        <w:t>réasúnacht na meastachán cuntasaíochta suntasacha a rinneadh agus na ráitis airgeadais á n-ullmhú, agus</w:t>
      </w:r>
    </w:p>
    <w:p w14:paraId="52D8D537" w14:textId="77777777" w:rsidR="000230E8" w:rsidRPr="00C2318B" w:rsidRDefault="000230E8" w:rsidP="000230E8">
      <w:pPr>
        <w:pStyle w:val="ListBullet"/>
        <w:suppressAutoHyphens w:val="0"/>
        <w:ind w:left="360" w:hanging="360"/>
        <w:rPr>
          <w:lang/>
        </w:rPr>
      </w:pPr>
      <w:r w:rsidRPr="00C2318B">
        <w:rPr>
          <w:lang/>
        </w:rPr>
        <w:t>cur i láthair foriomlán na ráiteas airgeadais</w:t>
      </w:r>
    </w:p>
    <w:p w14:paraId="63787B24" w14:textId="77777777" w:rsidR="000230E8" w:rsidRPr="00C2318B" w:rsidRDefault="000230E8" w:rsidP="000230E8">
      <w:pPr>
        <w:rPr>
          <w:lang/>
        </w:rPr>
      </w:pPr>
      <w:r w:rsidRPr="00C2318B">
        <w:rPr>
          <w:lang/>
        </w:rPr>
        <w:lastRenderedPageBreak/>
        <w:t xml:space="preserve">Lorgaím fianaise chomh maith faoi rialtacht na n-idirbheart airgeadais le linn an iniúchta. </w:t>
      </w:r>
    </w:p>
    <w:p w14:paraId="2018FDF4" w14:textId="77777777" w:rsidR="000230E8" w:rsidRPr="00C2318B" w:rsidRDefault="000230E8" w:rsidP="000230E8">
      <w:pPr>
        <w:rPr>
          <w:lang/>
        </w:rPr>
      </w:pPr>
      <w:r w:rsidRPr="00C2318B">
        <w:rPr>
          <w:lang/>
        </w:rPr>
        <w:t xml:space="preserve">Chomh maith leis sin, léigh mé an t-eolas airgeadais agus neamhairgeadais ar fad sa tuarascáil bhliantúil chun neamhréireachtaí ábhair maidir leis na ráitis airgeadais a bhfuil iniúchadh déanta orthu a aithint.  Má thugaim aon mhíráiteas nó neamhréireachtaí ábhair dhealraitheacha faoi deara, breithním na tionchair a bheidh acu sin ar mo thuarascáil. </w:t>
      </w:r>
    </w:p>
    <w:p w14:paraId="79D3465D" w14:textId="77777777" w:rsidR="000230E8" w:rsidRPr="00C2318B" w:rsidRDefault="000230E8" w:rsidP="000230E8">
      <w:pPr>
        <w:pStyle w:val="Heading2"/>
        <w:rPr>
          <w:i/>
          <w:lang/>
        </w:rPr>
      </w:pPr>
      <w:bookmarkStart w:id="477" w:name="_Toc299362641"/>
      <w:bookmarkStart w:id="478" w:name="_Toc300742246"/>
      <w:bookmarkStart w:id="479" w:name="_Toc300742998"/>
      <w:bookmarkStart w:id="480" w:name="_Toc300744354"/>
      <w:bookmarkStart w:id="481" w:name="_Toc335836537"/>
      <w:r w:rsidRPr="00C2318B">
        <w:rPr>
          <w:lang/>
        </w:rPr>
        <w:t>Tuairim ar na Ráitis Airgeadais</w:t>
      </w:r>
      <w:bookmarkEnd w:id="477"/>
      <w:bookmarkEnd w:id="478"/>
      <w:bookmarkEnd w:id="479"/>
      <w:bookmarkEnd w:id="480"/>
      <w:bookmarkEnd w:id="481"/>
      <w:r w:rsidRPr="00C2318B">
        <w:rPr>
          <w:lang/>
        </w:rPr>
        <w:t xml:space="preserve"> </w:t>
      </w:r>
    </w:p>
    <w:p w14:paraId="393F5DFD" w14:textId="77777777" w:rsidR="000230E8" w:rsidRPr="00C2318B" w:rsidRDefault="000230E8" w:rsidP="000230E8">
      <w:pPr>
        <w:rPr>
          <w:lang/>
        </w:rPr>
      </w:pPr>
      <w:r w:rsidRPr="00C2318B">
        <w:rPr>
          <w:lang/>
        </w:rPr>
        <w:t>Is é mo thuairim go dtugann na ráitis airgeadais, a ullmhaíodh i gceart de réir Chleachtas Chuntasaíochta a nGlactar go Ginearálta leis in Éirinn, léargas fíor agus cothrom ar riocht ghnóthaí an Údaráis amhail an  31 Nollaig 2011 agus ar a ioncam agus ar a chaiteachas don bhliain dar críoch sin.</w:t>
      </w:r>
    </w:p>
    <w:p w14:paraId="4F0584A8" w14:textId="77777777" w:rsidR="000230E8" w:rsidRPr="00C2318B" w:rsidRDefault="000230E8" w:rsidP="000230E8">
      <w:pPr>
        <w:rPr>
          <w:lang/>
        </w:rPr>
      </w:pPr>
      <w:r w:rsidRPr="00C2318B">
        <w:rPr>
          <w:lang/>
        </w:rPr>
        <w:t>Is é mo thuairim go bhfuil leabhair chuntais chuí á gcoimeád ag an Údarás. Tá na ráitis airgeadais ag teacht leis na leabhair chuntais.</w:t>
      </w:r>
    </w:p>
    <w:p w14:paraId="21BF0164" w14:textId="77777777" w:rsidR="000230E8" w:rsidRPr="00C2318B" w:rsidRDefault="000230E8" w:rsidP="000230E8">
      <w:pPr>
        <w:pStyle w:val="Heading2"/>
        <w:rPr>
          <w:lang/>
        </w:rPr>
      </w:pPr>
      <w:bookmarkStart w:id="482" w:name="_Toc335836538"/>
      <w:r w:rsidRPr="00C2318B">
        <w:rPr>
          <w:lang/>
        </w:rPr>
        <w:t>Ábhair lena dTuairiscím trí Eisceacht</w:t>
      </w:r>
      <w:bookmarkEnd w:id="482"/>
    </w:p>
    <w:p w14:paraId="37A5236F" w14:textId="77777777" w:rsidR="000230E8" w:rsidRPr="00C2318B" w:rsidRDefault="000230E8" w:rsidP="000230E8">
      <w:pPr>
        <w:rPr>
          <w:lang/>
        </w:rPr>
      </w:pPr>
      <w:r w:rsidRPr="00C2318B">
        <w:rPr>
          <w:lang/>
        </w:rPr>
        <w:t>Tuairiscím trí eisceacht:</w:t>
      </w:r>
    </w:p>
    <w:p w14:paraId="554D2573" w14:textId="77777777" w:rsidR="000230E8" w:rsidRPr="00C2318B" w:rsidRDefault="000230E8" w:rsidP="000230E8">
      <w:pPr>
        <w:pStyle w:val="ListBullet"/>
        <w:suppressAutoHyphens w:val="0"/>
        <w:ind w:left="360" w:hanging="360"/>
        <w:rPr>
          <w:lang/>
        </w:rPr>
      </w:pPr>
      <w:r w:rsidRPr="00C2318B">
        <w:rPr>
          <w:lang/>
        </w:rPr>
        <w:t>mura bhfuil an fhaisnéis agus na mínithe ar fad faighte agam don iniúchadh, nó</w:t>
      </w:r>
    </w:p>
    <w:p w14:paraId="0BA29B9A" w14:textId="77777777" w:rsidR="000230E8" w:rsidRPr="00C2318B" w:rsidRDefault="000230E8" w:rsidP="000230E8">
      <w:pPr>
        <w:pStyle w:val="ListBullet"/>
        <w:suppressAutoHyphens w:val="0"/>
        <w:ind w:left="360" w:hanging="360"/>
        <w:rPr>
          <w:lang/>
        </w:rPr>
      </w:pPr>
      <w:r w:rsidRPr="00C2318B">
        <w:rPr>
          <w:lang/>
        </w:rPr>
        <w:t>más rud é gur thug m’iniúchadh aon chás ábhartha nár feidhmíodh suimeanna airgid chun na gcríoch a bhí beartaithe faoi deara nó sa chás nach leanann na hidirbhearta do na húdaráis a rialaíonn iad</w:t>
      </w:r>
    </w:p>
    <w:p w14:paraId="783808DB" w14:textId="77777777" w:rsidR="000230E8" w:rsidRPr="00C2318B" w:rsidRDefault="000230E8" w:rsidP="000230E8">
      <w:pPr>
        <w:pStyle w:val="ListBullet"/>
        <w:suppressAutoHyphens w:val="0"/>
        <w:ind w:left="360" w:hanging="360"/>
        <w:rPr>
          <w:lang/>
        </w:rPr>
      </w:pPr>
      <w:r w:rsidRPr="00C2318B">
        <w:rPr>
          <w:lang/>
        </w:rPr>
        <w:t>mura dtagann an t-eolas atá i dTuarascáil Bhliantúil an Údaráis don bhliain leanár ullmhaíodh na ráitis airgeadais leis na ráitis airgeadais, nó</w:t>
      </w:r>
    </w:p>
    <w:p w14:paraId="18B8B651" w14:textId="77777777" w:rsidR="000230E8" w:rsidRPr="00C2318B" w:rsidRDefault="000230E8" w:rsidP="000230E8">
      <w:pPr>
        <w:pStyle w:val="ListBullet"/>
        <w:suppressAutoHyphens w:val="0"/>
        <w:ind w:left="360" w:hanging="360"/>
        <w:rPr>
          <w:lang/>
        </w:rPr>
      </w:pPr>
      <w:r w:rsidRPr="00C2318B">
        <w:rPr>
          <w:lang/>
        </w:rPr>
        <w:t>mura léiríonn an Ráiteas maidir le Rialú Inmheánach Airgeadais gur chomhlíon an tÚdarás  an Cód Cleachtais do Rialachas Chomhlachtaí Stáit, nó</w:t>
      </w:r>
    </w:p>
    <w:p w14:paraId="0137058A" w14:textId="77777777" w:rsidR="000230E8" w:rsidRPr="00C2318B" w:rsidRDefault="000230E8" w:rsidP="000230E8">
      <w:pPr>
        <w:pStyle w:val="ListBullet"/>
        <w:suppressAutoHyphens w:val="0"/>
        <w:ind w:left="360" w:hanging="360"/>
        <w:rPr>
          <w:lang/>
        </w:rPr>
      </w:pPr>
      <w:r w:rsidRPr="00C2318B">
        <w:rPr>
          <w:lang/>
        </w:rPr>
        <w:t>má fhaighim amach go bhfuil fadhbanna ábhartha eile a bhaineann leis an mbealach a rinneadh gnó poiblí</w:t>
      </w:r>
    </w:p>
    <w:p w14:paraId="36DC36E1" w14:textId="77777777" w:rsidR="000230E8" w:rsidRPr="00C2318B" w:rsidRDefault="000230E8" w:rsidP="000230E8">
      <w:pPr>
        <w:rPr>
          <w:lang/>
        </w:rPr>
      </w:pPr>
      <w:r w:rsidRPr="00C2318B">
        <w:rPr>
          <w:lang/>
        </w:rPr>
        <w:t>Níl aon ní le tuairisciú agam maidir leis na cúrsaí sin a dhéantar a thuairisciú trí eisceacht.</w:t>
      </w:r>
    </w:p>
    <w:p w14:paraId="393234F9" w14:textId="77777777" w:rsidR="000230E8" w:rsidRPr="00C2318B" w:rsidRDefault="000230E8" w:rsidP="000230E8">
      <w:pPr>
        <w:rPr>
          <w:lang/>
        </w:rPr>
      </w:pPr>
      <w:r w:rsidRPr="00C2318B">
        <w:rPr>
          <w:lang/>
        </w:rPr>
        <w:t>Andrew Harkness</w:t>
      </w:r>
    </w:p>
    <w:p w14:paraId="56271497" w14:textId="77777777" w:rsidR="000230E8" w:rsidRPr="00C2318B" w:rsidRDefault="000230E8" w:rsidP="000230E8">
      <w:pPr>
        <w:rPr>
          <w:noProof/>
          <w:lang/>
        </w:rPr>
      </w:pPr>
      <w:r w:rsidRPr="00C2318B">
        <w:rPr>
          <w:lang/>
        </w:rPr>
        <w:t xml:space="preserve">Le haghaidh agus thar ceann an </w:t>
      </w:r>
      <w:r w:rsidRPr="00C2318B">
        <w:rPr>
          <w:noProof/>
          <w:lang/>
        </w:rPr>
        <w:t>Ard-Reachtaire Cuntas agus Ciste</w:t>
      </w:r>
    </w:p>
    <w:p w14:paraId="344DC06B" w14:textId="77777777" w:rsidR="000230E8" w:rsidRPr="00C2318B" w:rsidRDefault="000230E8" w:rsidP="000230E8">
      <w:pPr>
        <w:rPr>
          <w:lang/>
        </w:rPr>
      </w:pPr>
      <w:r w:rsidRPr="00C2318B">
        <w:rPr>
          <w:noProof/>
          <w:lang/>
        </w:rPr>
        <w:t>14 Meán Fómhair</w:t>
      </w:r>
      <w:r w:rsidRPr="00C2318B">
        <w:rPr>
          <w:lang/>
        </w:rPr>
        <w:t xml:space="preserve"> 2012</w:t>
      </w:r>
    </w:p>
    <w:p w14:paraId="25DBA15D" w14:textId="77777777" w:rsidR="000230E8" w:rsidRPr="00C2318B" w:rsidRDefault="00BB5DD2" w:rsidP="000230E8">
      <w:pPr>
        <w:pStyle w:val="Heading1"/>
        <w:rPr>
          <w:lang/>
        </w:rPr>
      </w:pPr>
      <w:bookmarkStart w:id="483" w:name="_Toc335829670"/>
      <w:bookmarkStart w:id="484" w:name="_Toc335836539"/>
      <w:bookmarkStart w:id="485" w:name="_Toc335983459"/>
      <w:r>
        <w:rPr>
          <w:lang/>
        </w:rPr>
        <w:br w:type="page"/>
      </w:r>
      <w:bookmarkStart w:id="486" w:name="_Toc335986629"/>
      <w:r w:rsidR="000230E8" w:rsidRPr="00C2318B">
        <w:rPr>
          <w:lang/>
        </w:rPr>
        <w:lastRenderedPageBreak/>
        <w:t>Ráiteas faoi Pholasaithe Airgeadais</w:t>
      </w:r>
      <w:bookmarkEnd w:id="483"/>
      <w:bookmarkEnd w:id="484"/>
      <w:bookmarkEnd w:id="485"/>
      <w:bookmarkEnd w:id="486"/>
      <w:r w:rsidR="000230E8" w:rsidRPr="00C2318B">
        <w:rPr>
          <w:lang/>
        </w:rPr>
        <w:t xml:space="preserve"> </w:t>
      </w:r>
    </w:p>
    <w:p w14:paraId="75CA341D" w14:textId="77777777" w:rsidR="000230E8" w:rsidRPr="00C2318B" w:rsidRDefault="000230E8" w:rsidP="000230E8">
      <w:pPr>
        <w:pStyle w:val="Heading2"/>
        <w:rPr>
          <w:lang/>
        </w:rPr>
      </w:pPr>
      <w:bookmarkStart w:id="487" w:name="_Toc335836540"/>
      <w:r w:rsidRPr="00C2318B">
        <w:rPr>
          <w:lang/>
        </w:rPr>
        <w:t>Bunús na Cuntasaíochta</w:t>
      </w:r>
      <w:bookmarkEnd w:id="487"/>
    </w:p>
    <w:p w14:paraId="693E39BD" w14:textId="77777777" w:rsidR="000230E8" w:rsidRPr="00C2318B" w:rsidRDefault="000230E8" w:rsidP="000230E8">
      <w:pPr>
        <w:rPr>
          <w:lang/>
        </w:rPr>
      </w:pPr>
      <w:r w:rsidRPr="00C2318B">
        <w:rPr>
          <w:lang/>
        </w:rPr>
        <w:t>Ullmhaíodh na ráitis airgeadais agus úsáid á baint as modh fabhraithe na cuntasaíochta, ach amháin áit a bhfuil sé sonraithe thíos agus de réir an chleachtais chuntasaíochta a bhfuil glacadh ginearálta leis faoi choinbhinsiún an chostais stairiúil.</w:t>
      </w:r>
    </w:p>
    <w:p w14:paraId="1339F595" w14:textId="77777777" w:rsidR="000230E8" w:rsidRPr="00C2318B" w:rsidRDefault="000230E8" w:rsidP="000230E8">
      <w:pPr>
        <w:rPr>
          <w:lang/>
        </w:rPr>
      </w:pPr>
      <w:r w:rsidRPr="00C2318B">
        <w:rPr>
          <w:lang/>
        </w:rPr>
        <w:t>Glactar leis na Caighdeáin um Thuairisciú Airgeadais a mholann na comhlachtaí cuntasaíochta aitheanta de réir mar a thagann siad chun a bheith oibríochtúil.</w:t>
      </w:r>
    </w:p>
    <w:p w14:paraId="318F1A84" w14:textId="77777777" w:rsidR="000230E8" w:rsidRPr="00C2318B" w:rsidRDefault="000230E8" w:rsidP="000230E8">
      <w:pPr>
        <w:pStyle w:val="Heading2"/>
        <w:rPr>
          <w:lang/>
        </w:rPr>
      </w:pPr>
      <w:bookmarkStart w:id="488" w:name="_Toc335836541"/>
      <w:r w:rsidRPr="00C2318B">
        <w:rPr>
          <w:lang/>
        </w:rPr>
        <w:t>Ioncam ó Dheontais Oireachtais</w:t>
      </w:r>
      <w:bookmarkEnd w:id="488"/>
      <w:r w:rsidRPr="00C2318B">
        <w:rPr>
          <w:lang/>
        </w:rPr>
        <w:t xml:space="preserve"> </w:t>
      </w:r>
    </w:p>
    <w:p w14:paraId="59F8F512" w14:textId="77777777" w:rsidR="000230E8" w:rsidRPr="00C2318B" w:rsidRDefault="000230E8" w:rsidP="000230E8">
      <w:pPr>
        <w:rPr>
          <w:b/>
          <w:lang/>
        </w:rPr>
      </w:pPr>
      <w:r w:rsidRPr="00C2318B">
        <w:rPr>
          <w:lang/>
        </w:rPr>
        <w:t>Is ionann an t-ioncam ón bhfoinse seo agus na méideanna a chuireann na ranna urraitheacha ar fáil don NDRA trí híocaíocht dhíreach tuarastal agus costas eile.</w:t>
      </w:r>
    </w:p>
    <w:p w14:paraId="3EDE9971" w14:textId="77777777" w:rsidR="000230E8" w:rsidRPr="00C2318B" w:rsidRDefault="000230E8" w:rsidP="000230E8">
      <w:pPr>
        <w:pStyle w:val="Heading2"/>
        <w:rPr>
          <w:lang/>
        </w:rPr>
      </w:pPr>
      <w:bookmarkStart w:id="489" w:name="_Toc335836542"/>
      <w:r w:rsidRPr="00C2318B">
        <w:rPr>
          <w:lang/>
        </w:rPr>
        <w:t>Ioncam Eile– An Roinn Oideachais agus Scileanna</w:t>
      </w:r>
      <w:bookmarkEnd w:id="489"/>
      <w:r w:rsidRPr="00C2318B">
        <w:rPr>
          <w:lang/>
        </w:rPr>
        <w:t xml:space="preserve"> </w:t>
      </w:r>
    </w:p>
    <w:p w14:paraId="7CB15F16" w14:textId="77777777" w:rsidR="000230E8" w:rsidRPr="00C2318B" w:rsidRDefault="000230E8" w:rsidP="000230E8">
      <w:pPr>
        <w:rPr>
          <w:b/>
          <w:lang/>
        </w:rPr>
      </w:pPr>
      <w:r w:rsidRPr="00C2318B">
        <w:rPr>
          <w:lang/>
        </w:rPr>
        <w:t>Tugtar cuntas ar bhonn fabhraithe faoi aisíocaíocht ón Roinn Oideachais agus Scileanna i dtaobh tuarastal agus aoisliúntas a íocann an tÚdarás Náisiúnta Míchumais.</w:t>
      </w:r>
    </w:p>
    <w:p w14:paraId="3B99C36E" w14:textId="77777777" w:rsidR="000230E8" w:rsidRPr="00C2318B" w:rsidRDefault="000230E8" w:rsidP="000230E8">
      <w:pPr>
        <w:pStyle w:val="Heading2"/>
        <w:rPr>
          <w:lang/>
        </w:rPr>
      </w:pPr>
      <w:bookmarkStart w:id="490" w:name="_Toc335836543"/>
      <w:r w:rsidRPr="00C2318B">
        <w:rPr>
          <w:lang/>
        </w:rPr>
        <w:t>Sócmhainní Seasta agus Dímheas</w:t>
      </w:r>
      <w:bookmarkEnd w:id="490"/>
      <w:r w:rsidRPr="00C2318B">
        <w:rPr>
          <w:lang/>
        </w:rPr>
        <w:t xml:space="preserve"> </w:t>
      </w:r>
    </w:p>
    <w:p w14:paraId="14EB374B" w14:textId="77777777" w:rsidR="000230E8" w:rsidRPr="00C2318B" w:rsidRDefault="000230E8" w:rsidP="000230E8">
      <w:pPr>
        <w:rPr>
          <w:lang/>
        </w:rPr>
      </w:pPr>
      <w:r w:rsidRPr="00C2318B">
        <w:rPr>
          <w:lang/>
        </w:rPr>
        <w:t xml:space="preserve">Taispeántar Sócmhainní Seasta ag an gcostas nó luacháil tosaigh lúide dímheas carntha. </w:t>
      </w:r>
    </w:p>
    <w:p w14:paraId="1EB4F40B" w14:textId="77777777" w:rsidR="000230E8" w:rsidRPr="00C2318B" w:rsidRDefault="000230E8" w:rsidP="000230E8">
      <w:pPr>
        <w:rPr>
          <w:lang/>
        </w:rPr>
      </w:pPr>
      <w:r w:rsidRPr="00C2318B">
        <w:rPr>
          <w:lang/>
        </w:rPr>
        <w:t>Déantar soláthar do dhímheas ag na rátaí bliantúla seo a leanas:</w:t>
      </w:r>
    </w:p>
    <w:p w14:paraId="1F02FB87" w14:textId="77777777" w:rsidR="000230E8" w:rsidRPr="00C2318B" w:rsidRDefault="000230E8" w:rsidP="000230E8">
      <w:pPr>
        <w:rPr>
          <w:lang/>
        </w:rPr>
      </w:pPr>
      <w:r w:rsidRPr="00C2318B">
        <w:rPr>
          <w:lang/>
        </w:rPr>
        <w:t xml:space="preserve">Troscán agus Trealamh Oifige               </w:t>
      </w:r>
      <w:r w:rsidR="00BB5DD2">
        <w:rPr>
          <w:lang/>
        </w:rPr>
        <w:tab/>
      </w:r>
      <w:r w:rsidR="00BB5DD2">
        <w:rPr>
          <w:lang/>
        </w:rPr>
        <w:tab/>
      </w:r>
      <w:r w:rsidRPr="00C2318B">
        <w:rPr>
          <w:lang/>
        </w:rPr>
        <w:t xml:space="preserve">20.00 % (Líne Dhíreach) </w:t>
      </w:r>
    </w:p>
    <w:p w14:paraId="50781FFE" w14:textId="77777777" w:rsidR="000230E8" w:rsidRPr="00C2318B" w:rsidRDefault="000230E8" w:rsidP="000230E8">
      <w:pPr>
        <w:rPr>
          <w:lang/>
        </w:rPr>
      </w:pPr>
      <w:r w:rsidRPr="00C2318B">
        <w:rPr>
          <w:lang/>
        </w:rPr>
        <w:t xml:space="preserve">Crua-earraí agus Bogearraí Ríomhaire </w:t>
      </w:r>
      <w:r w:rsidR="00BB5DD2">
        <w:rPr>
          <w:lang/>
        </w:rPr>
        <w:tab/>
      </w:r>
      <w:r w:rsidR="00BB5DD2">
        <w:rPr>
          <w:lang/>
        </w:rPr>
        <w:tab/>
      </w:r>
      <w:r w:rsidRPr="00C2318B">
        <w:rPr>
          <w:lang/>
        </w:rPr>
        <w:t>33.33 % (Líne Dhíreach)</w:t>
      </w:r>
    </w:p>
    <w:p w14:paraId="2B7024B9" w14:textId="77777777" w:rsidR="000230E8" w:rsidRPr="00C2318B" w:rsidRDefault="000230E8" w:rsidP="000230E8">
      <w:pPr>
        <w:rPr>
          <w:lang/>
        </w:rPr>
      </w:pPr>
      <w:r w:rsidRPr="00C2318B">
        <w:rPr>
          <w:lang/>
        </w:rPr>
        <w:t xml:space="preserve">Áitreabh                                                   </w:t>
      </w:r>
      <w:r w:rsidR="00BB5DD2">
        <w:rPr>
          <w:lang/>
        </w:rPr>
        <w:tab/>
      </w:r>
      <w:r w:rsidRPr="00C2318B">
        <w:rPr>
          <w:lang/>
        </w:rPr>
        <w:t>2.50 % (Bonn Comhardaithe Laghdaithigh)</w:t>
      </w:r>
    </w:p>
    <w:p w14:paraId="083D91B2" w14:textId="77777777" w:rsidR="000230E8" w:rsidRPr="00C2318B" w:rsidRDefault="000230E8" w:rsidP="000230E8">
      <w:pPr>
        <w:pStyle w:val="Heading2"/>
        <w:rPr>
          <w:lang/>
        </w:rPr>
      </w:pPr>
      <w:bookmarkStart w:id="491" w:name="_Toc335836544"/>
      <w:r w:rsidRPr="00C2318B">
        <w:rPr>
          <w:lang/>
        </w:rPr>
        <w:t>Cuntas Caipitil</w:t>
      </w:r>
      <w:bookmarkEnd w:id="491"/>
    </w:p>
    <w:p w14:paraId="3D0B0DE4" w14:textId="77777777" w:rsidR="000230E8" w:rsidRPr="00C2318B" w:rsidRDefault="000230E8" w:rsidP="000230E8">
      <w:pPr>
        <w:rPr>
          <w:lang/>
        </w:rPr>
      </w:pPr>
      <w:r w:rsidRPr="00C2318B">
        <w:rPr>
          <w:lang/>
        </w:rPr>
        <w:t>Léiríonn an Cuntas Caipitil méid an ioncaim gan amúchadh a leithdháiltear chun sócmhainní seasta a cheannach.</w:t>
      </w:r>
    </w:p>
    <w:p w14:paraId="6C20AE74" w14:textId="77777777" w:rsidR="000230E8" w:rsidRPr="00C2318B" w:rsidRDefault="000230E8" w:rsidP="000230E8">
      <w:pPr>
        <w:pStyle w:val="Heading2"/>
        <w:rPr>
          <w:lang/>
        </w:rPr>
      </w:pPr>
      <w:bookmarkStart w:id="492" w:name="_Toc335836545"/>
      <w:r w:rsidRPr="00C2318B">
        <w:rPr>
          <w:lang/>
        </w:rPr>
        <w:t>Pinsin</w:t>
      </w:r>
      <w:bookmarkEnd w:id="492"/>
    </w:p>
    <w:p w14:paraId="3CD1950C" w14:textId="77777777" w:rsidR="000230E8" w:rsidRPr="00C2318B" w:rsidRDefault="000230E8" w:rsidP="000230E8">
      <w:pPr>
        <w:rPr>
          <w:lang/>
        </w:rPr>
      </w:pPr>
      <w:r w:rsidRPr="00C2318B">
        <w:rPr>
          <w:lang/>
        </w:rPr>
        <w:t xml:space="preserve">Oibríonn an tÚdarás Náisiúnta Míchumais scéim pinsean sochar sainithe a dhéantar a chistiú gach bliain ar bhonn íoc mar a úsáidtear ó airgead atá ar fáil di, lena n-áirítear airgead a sholáthraíonn an Roinn Dlí agus Cirt agus Comhionannais agus ó ranníocaíochtaí a asbhaintear ó thuarastail fhoirne. </w:t>
      </w:r>
    </w:p>
    <w:p w14:paraId="4F4FBF68" w14:textId="77777777" w:rsidR="000230E8" w:rsidRPr="00C2318B" w:rsidRDefault="000230E8" w:rsidP="000230E8">
      <w:pPr>
        <w:rPr>
          <w:lang/>
        </w:rPr>
      </w:pPr>
      <w:r w:rsidRPr="00C2318B">
        <w:rPr>
          <w:lang/>
        </w:rPr>
        <w:lastRenderedPageBreak/>
        <w:t>Léiríonn costais phinsin sochair phinsin arna dtuilleamh ag fostaithe le linn na tréimhse agus taispeántar glan ó ranníocaíochtaí pinsean foirne iad a choimeádann an tÚdarás Náisiúnta Míchumais. Aithnítear méid a chomhfhreagraíonn don mhuirear pinsin mar ioncam sa mhéid is atá sé inaisghabhála, agus déantar é a chúiteamh ag deontais arna bhfáil le linn na bliana chun íocaíochtaí pinsin a scaoileadh.</w:t>
      </w:r>
    </w:p>
    <w:p w14:paraId="416ECEA6" w14:textId="77777777" w:rsidR="000230E8" w:rsidRPr="00C2318B" w:rsidRDefault="000230E8" w:rsidP="000230E8">
      <w:pPr>
        <w:rPr>
          <w:lang/>
        </w:rPr>
      </w:pPr>
      <w:r w:rsidRPr="00C2318B">
        <w:rPr>
          <w:lang/>
        </w:rPr>
        <w:t>Léirítear gnóthachain nó caillteanais achtúireacha ag eascairt ó dhliteanais scéime sa Ráiteas faoi Iomlán na nGnóthachan agus na gCaillteanas Aitheanta agus aithnítear leasú comhfhreagrach sa mhéid atá inaisghabhála ón Roinn Dlí agus Cirt agus Comhionannais.</w:t>
      </w:r>
    </w:p>
    <w:p w14:paraId="52FA9649" w14:textId="77777777" w:rsidR="000230E8" w:rsidRPr="00C2318B" w:rsidRDefault="000230E8" w:rsidP="000230E8">
      <w:pPr>
        <w:rPr>
          <w:lang/>
        </w:rPr>
      </w:pPr>
      <w:r w:rsidRPr="00C2318B">
        <w:rPr>
          <w:lang/>
        </w:rPr>
        <w:t>Tá dliteanais phinsin in ionannas le luach reatha na n-íocaíochtaí pinsin don todhchaí atá tuillte ag baill foirne anuas go dtí seo. Tá cistiú pinsin iarchurtha in ionannas leis an tsócmhainn chomhfhreagrach le haisghabháil i dtréimhsí amach anseo ón Roinn Dlí agus Cirt agus Comhionannais.</w:t>
      </w:r>
    </w:p>
    <w:p w14:paraId="72646281" w14:textId="77777777" w:rsidR="000230E8" w:rsidRPr="00C2318B" w:rsidRDefault="000230E8" w:rsidP="00BB5DD2">
      <w:pPr>
        <w:pStyle w:val="Heading1"/>
        <w:rPr>
          <w:lang w:eastAsia="en-GB"/>
        </w:rPr>
      </w:pPr>
      <w:r w:rsidRPr="00C2318B">
        <w:rPr>
          <w:lang/>
        </w:rPr>
        <w:br w:type="page"/>
      </w:r>
      <w:bookmarkStart w:id="493" w:name="_Toc335836546"/>
      <w:bookmarkStart w:id="494" w:name="_Toc335986630"/>
      <w:r w:rsidRPr="00C2318B">
        <w:rPr>
          <w:lang/>
        </w:rPr>
        <w:lastRenderedPageBreak/>
        <w:t xml:space="preserve">Cuntas Ioncaim agus Caiteachais don bhliain dar chríoch an 31 Nollaig </w:t>
      </w:r>
      <w:r w:rsidRPr="00C2318B">
        <w:rPr>
          <w:lang w:eastAsia="en-GB"/>
        </w:rPr>
        <w:t>2011</w:t>
      </w:r>
      <w:bookmarkEnd w:id="493"/>
      <w:bookmarkEnd w:id="494"/>
    </w:p>
    <w:tbl>
      <w:tblPr>
        <w:tblW w:w="90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328"/>
        <w:gridCol w:w="900"/>
        <w:gridCol w:w="1440"/>
        <w:gridCol w:w="1424"/>
      </w:tblGrid>
      <w:tr w:rsidR="000230E8" w:rsidRPr="00C2318B" w14:paraId="2A9408BB" w14:textId="77777777" w:rsidTr="005A0642">
        <w:tblPrEx>
          <w:tblCellMar>
            <w:top w:w="0" w:type="dxa"/>
            <w:bottom w:w="0" w:type="dxa"/>
          </w:tblCellMar>
        </w:tblPrEx>
        <w:trPr>
          <w:tblHeader/>
        </w:trPr>
        <w:tc>
          <w:tcPr>
            <w:tcW w:w="5328" w:type="dxa"/>
            <w:shd w:val="clear" w:color="auto" w:fill="auto"/>
            <w:vAlign w:val="bottom"/>
          </w:tcPr>
          <w:p w14:paraId="1023F5F6" w14:textId="77777777" w:rsidR="000230E8" w:rsidRPr="00C2318B" w:rsidRDefault="000230E8" w:rsidP="000230E8">
            <w:pPr>
              <w:spacing w:after="0"/>
              <w:rPr>
                <w:rFonts w:cs="Arial"/>
                <w:sz w:val="24"/>
                <w:lang w:eastAsia="en-GB"/>
              </w:rPr>
            </w:pPr>
          </w:p>
        </w:tc>
        <w:tc>
          <w:tcPr>
            <w:tcW w:w="900" w:type="dxa"/>
            <w:shd w:val="clear" w:color="auto" w:fill="auto"/>
          </w:tcPr>
          <w:p w14:paraId="4E9FA506" w14:textId="77777777" w:rsidR="000230E8" w:rsidRPr="00C2318B" w:rsidRDefault="000230E8" w:rsidP="000230E8">
            <w:pPr>
              <w:pStyle w:val="TableHead"/>
              <w:jc w:val="right"/>
              <w:rPr>
                <w:sz w:val="24"/>
                <w:lang/>
              </w:rPr>
            </w:pPr>
            <w:r w:rsidRPr="00C2318B">
              <w:rPr>
                <w:sz w:val="24"/>
                <w:lang/>
              </w:rPr>
              <w:t>Nótaí</w:t>
            </w:r>
          </w:p>
        </w:tc>
        <w:tc>
          <w:tcPr>
            <w:tcW w:w="1440" w:type="dxa"/>
            <w:shd w:val="clear" w:color="auto" w:fill="auto"/>
            <w:vAlign w:val="bottom"/>
          </w:tcPr>
          <w:p w14:paraId="5D8ABC08" w14:textId="77777777" w:rsidR="000230E8" w:rsidRPr="00C2318B" w:rsidRDefault="000230E8" w:rsidP="000230E8">
            <w:pPr>
              <w:pStyle w:val="TableHead"/>
              <w:rPr>
                <w:sz w:val="24"/>
                <w:lang w:eastAsia="en-GB"/>
              </w:rPr>
            </w:pPr>
            <w:r w:rsidRPr="00C2318B">
              <w:rPr>
                <w:sz w:val="24"/>
                <w:lang w:eastAsia="en-GB"/>
              </w:rPr>
              <w:t>2011</w:t>
            </w:r>
          </w:p>
        </w:tc>
        <w:tc>
          <w:tcPr>
            <w:tcW w:w="1424" w:type="dxa"/>
            <w:shd w:val="clear" w:color="auto" w:fill="auto"/>
            <w:vAlign w:val="bottom"/>
          </w:tcPr>
          <w:p w14:paraId="2E5C6B7B" w14:textId="77777777" w:rsidR="000230E8" w:rsidRPr="00C2318B" w:rsidRDefault="000230E8" w:rsidP="000230E8">
            <w:pPr>
              <w:pStyle w:val="TableHead"/>
              <w:rPr>
                <w:sz w:val="24"/>
                <w:lang w:eastAsia="en-GB"/>
              </w:rPr>
            </w:pPr>
            <w:r w:rsidRPr="00C2318B">
              <w:rPr>
                <w:sz w:val="24"/>
                <w:lang w:eastAsia="en-GB"/>
              </w:rPr>
              <w:t>2010</w:t>
            </w:r>
          </w:p>
        </w:tc>
      </w:tr>
      <w:tr w:rsidR="000230E8" w:rsidRPr="00C2318B" w14:paraId="35438206" w14:textId="77777777" w:rsidTr="005A0642">
        <w:tblPrEx>
          <w:tblCellMar>
            <w:top w:w="0" w:type="dxa"/>
            <w:bottom w:w="0" w:type="dxa"/>
          </w:tblCellMar>
        </w:tblPrEx>
        <w:tc>
          <w:tcPr>
            <w:tcW w:w="9092" w:type="dxa"/>
            <w:gridSpan w:val="4"/>
            <w:shd w:val="clear" w:color="auto" w:fill="auto"/>
            <w:vAlign w:val="bottom"/>
          </w:tcPr>
          <w:p w14:paraId="0C1FA682" w14:textId="77777777" w:rsidR="000230E8" w:rsidRPr="00C2318B" w:rsidRDefault="000230E8" w:rsidP="000230E8">
            <w:pPr>
              <w:pStyle w:val="TableHead"/>
              <w:jc w:val="center"/>
              <w:rPr>
                <w:rFonts w:cs="Arial"/>
                <w:bCs/>
                <w:sz w:val="24"/>
                <w:lang w:eastAsia="en-GB"/>
              </w:rPr>
            </w:pPr>
            <w:r w:rsidRPr="00C2318B">
              <w:rPr>
                <w:sz w:val="24"/>
                <w:lang w:eastAsia="en-GB"/>
              </w:rPr>
              <w:t>Ioncam</w:t>
            </w:r>
          </w:p>
        </w:tc>
      </w:tr>
      <w:tr w:rsidR="000230E8" w:rsidRPr="00C2318B" w14:paraId="471F2601" w14:textId="77777777" w:rsidTr="005A0642">
        <w:tblPrEx>
          <w:tblCellMar>
            <w:top w:w="0" w:type="dxa"/>
            <w:bottom w:w="0" w:type="dxa"/>
          </w:tblCellMar>
        </w:tblPrEx>
        <w:tc>
          <w:tcPr>
            <w:tcW w:w="5328" w:type="dxa"/>
            <w:shd w:val="clear" w:color="auto" w:fill="auto"/>
            <w:vAlign w:val="bottom"/>
          </w:tcPr>
          <w:p w14:paraId="79DFEDE1" w14:textId="77777777" w:rsidR="000230E8" w:rsidRPr="00C2318B" w:rsidRDefault="000230E8" w:rsidP="000230E8">
            <w:pPr>
              <w:pStyle w:val="TableRowHead"/>
              <w:rPr>
                <w:rFonts w:ascii="Gill Sans" w:hAnsi="Gill Sans"/>
                <w:sz w:val="24"/>
                <w:lang w:eastAsia="en-GB"/>
              </w:rPr>
            </w:pPr>
          </w:p>
        </w:tc>
        <w:tc>
          <w:tcPr>
            <w:tcW w:w="900" w:type="dxa"/>
            <w:shd w:val="clear" w:color="auto" w:fill="auto"/>
            <w:vAlign w:val="bottom"/>
          </w:tcPr>
          <w:p w14:paraId="1EB5B871" w14:textId="77777777" w:rsidR="000230E8" w:rsidRPr="00C2318B" w:rsidRDefault="000230E8" w:rsidP="000230E8">
            <w:pPr>
              <w:spacing w:after="0"/>
              <w:jc w:val="center"/>
              <w:rPr>
                <w:rFonts w:ascii="Arial" w:hAnsi="Arial" w:cs="Arial"/>
                <w:sz w:val="24"/>
                <w:lang w:eastAsia="en-GB"/>
              </w:rPr>
            </w:pPr>
          </w:p>
        </w:tc>
        <w:tc>
          <w:tcPr>
            <w:tcW w:w="1440" w:type="dxa"/>
            <w:shd w:val="clear" w:color="auto" w:fill="auto"/>
            <w:vAlign w:val="bottom"/>
          </w:tcPr>
          <w:p w14:paraId="3C718983" w14:textId="77777777" w:rsidR="000230E8" w:rsidRPr="00C2318B" w:rsidRDefault="000230E8" w:rsidP="000230E8">
            <w:pPr>
              <w:pStyle w:val="TableHead"/>
              <w:jc w:val="right"/>
              <w:rPr>
                <w:rFonts w:ascii="Arial" w:hAnsi="Arial" w:cs="Arial"/>
                <w:sz w:val="24"/>
                <w:lang w:eastAsia="en-GB"/>
              </w:rPr>
            </w:pPr>
            <w:r w:rsidRPr="00C2318B">
              <w:rPr>
                <w:rFonts w:ascii="Arial" w:hAnsi="Arial" w:cs="Arial"/>
                <w:sz w:val="24"/>
                <w:lang w:eastAsia="en-GB"/>
              </w:rPr>
              <w:t xml:space="preserve">          €</w:t>
            </w:r>
          </w:p>
        </w:tc>
        <w:tc>
          <w:tcPr>
            <w:tcW w:w="1424" w:type="dxa"/>
            <w:shd w:val="clear" w:color="auto" w:fill="auto"/>
            <w:vAlign w:val="bottom"/>
          </w:tcPr>
          <w:p w14:paraId="6AB544D9" w14:textId="77777777" w:rsidR="000230E8" w:rsidRPr="00C2318B" w:rsidRDefault="000230E8" w:rsidP="000230E8">
            <w:pPr>
              <w:pStyle w:val="TableHead"/>
              <w:jc w:val="right"/>
              <w:rPr>
                <w:rFonts w:ascii="Arial" w:hAnsi="Arial" w:cs="Arial"/>
                <w:sz w:val="24"/>
                <w:lang w:eastAsia="en-GB"/>
              </w:rPr>
            </w:pPr>
            <w:r w:rsidRPr="00C2318B">
              <w:rPr>
                <w:rFonts w:ascii="Arial" w:hAnsi="Arial" w:cs="Arial"/>
                <w:sz w:val="24"/>
                <w:lang w:eastAsia="en-GB"/>
              </w:rPr>
              <w:t xml:space="preserve">          €</w:t>
            </w:r>
          </w:p>
        </w:tc>
      </w:tr>
      <w:tr w:rsidR="000230E8" w:rsidRPr="00C2318B" w14:paraId="5ACDFC19" w14:textId="77777777" w:rsidTr="005A0642">
        <w:tblPrEx>
          <w:tblCellMar>
            <w:top w:w="0" w:type="dxa"/>
            <w:bottom w:w="0" w:type="dxa"/>
          </w:tblCellMar>
        </w:tblPrEx>
        <w:tc>
          <w:tcPr>
            <w:tcW w:w="5328" w:type="dxa"/>
            <w:shd w:val="clear" w:color="auto" w:fill="auto"/>
            <w:vAlign w:val="bottom"/>
          </w:tcPr>
          <w:p w14:paraId="1101C0C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Ioncam deontais</w:t>
            </w:r>
          </w:p>
        </w:tc>
        <w:tc>
          <w:tcPr>
            <w:tcW w:w="900" w:type="dxa"/>
            <w:shd w:val="clear" w:color="auto" w:fill="auto"/>
            <w:vAlign w:val="bottom"/>
          </w:tcPr>
          <w:p w14:paraId="0B4DE9B7" w14:textId="77777777" w:rsidR="000230E8" w:rsidRPr="00C2318B" w:rsidRDefault="000230E8" w:rsidP="000230E8">
            <w:pPr>
              <w:pStyle w:val="TableCell"/>
              <w:rPr>
                <w:sz w:val="24"/>
                <w:lang w:eastAsia="en-GB"/>
              </w:rPr>
            </w:pPr>
            <w:r w:rsidRPr="00C2318B">
              <w:rPr>
                <w:sz w:val="24"/>
                <w:lang w:eastAsia="en-GB"/>
              </w:rPr>
              <w:t>2(a)</w:t>
            </w:r>
          </w:p>
        </w:tc>
        <w:tc>
          <w:tcPr>
            <w:tcW w:w="1440" w:type="dxa"/>
            <w:shd w:val="clear" w:color="auto" w:fill="auto"/>
            <w:vAlign w:val="bottom"/>
          </w:tcPr>
          <w:p w14:paraId="470BCD46" w14:textId="77777777" w:rsidR="000230E8" w:rsidRPr="00C2318B" w:rsidRDefault="000230E8" w:rsidP="000230E8">
            <w:pPr>
              <w:pStyle w:val="TableCell"/>
              <w:rPr>
                <w:sz w:val="24"/>
                <w:lang w:eastAsia="en-GB"/>
              </w:rPr>
            </w:pPr>
            <w:r w:rsidRPr="00C2318B">
              <w:rPr>
                <w:sz w:val="24"/>
                <w:lang w:eastAsia="en-GB"/>
              </w:rPr>
              <w:t xml:space="preserve">4,170,812 </w:t>
            </w:r>
          </w:p>
        </w:tc>
        <w:tc>
          <w:tcPr>
            <w:tcW w:w="1424" w:type="dxa"/>
            <w:shd w:val="clear" w:color="auto" w:fill="auto"/>
            <w:vAlign w:val="bottom"/>
          </w:tcPr>
          <w:p w14:paraId="2ACECE52" w14:textId="77777777" w:rsidR="000230E8" w:rsidRPr="00C2318B" w:rsidRDefault="000230E8" w:rsidP="000230E8">
            <w:pPr>
              <w:pStyle w:val="TableCell"/>
              <w:rPr>
                <w:sz w:val="24"/>
                <w:lang w:eastAsia="en-GB"/>
              </w:rPr>
            </w:pPr>
            <w:r w:rsidRPr="00C2318B">
              <w:rPr>
                <w:sz w:val="24"/>
                <w:lang w:eastAsia="en-GB"/>
              </w:rPr>
              <w:t xml:space="preserve">3,814,576 </w:t>
            </w:r>
          </w:p>
        </w:tc>
      </w:tr>
      <w:tr w:rsidR="000230E8" w:rsidRPr="00C2318B" w14:paraId="12FAEAF9" w14:textId="77777777" w:rsidTr="005A0642">
        <w:tblPrEx>
          <w:tblCellMar>
            <w:top w:w="0" w:type="dxa"/>
            <w:bottom w:w="0" w:type="dxa"/>
          </w:tblCellMar>
        </w:tblPrEx>
        <w:tc>
          <w:tcPr>
            <w:tcW w:w="5328" w:type="dxa"/>
            <w:shd w:val="clear" w:color="auto" w:fill="auto"/>
            <w:vAlign w:val="bottom"/>
          </w:tcPr>
          <w:p w14:paraId="2B4D42E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Glanchistiú Iarchurtha le haghaidh Pinsean </w:t>
            </w:r>
          </w:p>
        </w:tc>
        <w:tc>
          <w:tcPr>
            <w:tcW w:w="900" w:type="dxa"/>
            <w:shd w:val="clear" w:color="auto" w:fill="auto"/>
            <w:vAlign w:val="bottom"/>
          </w:tcPr>
          <w:p w14:paraId="4E0C0FAD" w14:textId="77777777" w:rsidR="000230E8" w:rsidRPr="00C2318B" w:rsidRDefault="000230E8" w:rsidP="000230E8">
            <w:pPr>
              <w:pStyle w:val="TableCell"/>
              <w:rPr>
                <w:sz w:val="24"/>
                <w:lang w:eastAsia="en-GB"/>
              </w:rPr>
            </w:pPr>
            <w:r w:rsidRPr="00C2318B">
              <w:rPr>
                <w:sz w:val="24"/>
                <w:lang w:eastAsia="en-GB"/>
              </w:rPr>
              <w:t>10(b)</w:t>
            </w:r>
          </w:p>
        </w:tc>
        <w:tc>
          <w:tcPr>
            <w:tcW w:w="1440" w:type="dxa"/>
            <w:shd w:val="clear" w:color="auto" w:fill="auto"/>
            <w:vAlign w:val="bottom"/>
          </w:tcPr>
          <w:p w14:paraId="3FC23A70" w14:textId="77777777" w:rsidR="000230E8" w:rsidRPr="00C2318B" w:rsidRDefault="000230E8" w:rsidP="000230E8">
            <w:pPr>
              <w:pStyle w:val="TableCell"/>
              <w:rPr>
                <w:sz w:val="24"/>
                <w:lang w:eastAsia="en-GB"/>
              </w:rPr>
            </w:pPr>
            <w:r>
              <w:rPr>
                <w:sz w:val="24"/>
                <w:lang w:eastAsia="en-GB"/>
              </w:rPr>
              <w:t>860,000</w:t>
            </w:r>
            <w:r w:rsidRPr="00C2318B">
              <w:rPr>
                <w:sz w:val="24"/>
                <w:lang w:eastAsia="en-GB"/>
              </w:rPr>
              <w:t xml:space="preserve"> </w:t>
            </w:r>
          </w:p>
        </w:tc>
        <w:tc>
          <w:tcPr>
            <w:tcW w:w="1424" w:type="dxa"/>
            <w:shd w:val="clear" w:color="auto" w:fill="auto"/>
            <w:vAlign w:val="bottom"/>
          </w:tcPr>
          <w:p w14:paraId="1948A552" w14:textId="77777777" w:rsidR="000230E8" w:rsidRPr="00C2318B" w:rsidRDefault="000230E8" w:rsidP="000230E8">
            <w:pPr>
              <w:pStyle w:val="TableCell"/>
              <w:rPr>
                <w:sz w:val="24"/>
                <w:lang w:eastAsia="en-GB"/>
              </w:rPr>
            </w:pPr>
            <w:r w:rsidRPr="00C2318B">
              <w:rPr>
                <w:sz w:val="24"/>
                <w:lang w:eastAsia="en-GB"/>
              </w:rPr>
              <w:t xml:space="preserve">1,013,728 </w:t>
            </w:r>
          </w:p>
        </w:tc>
      </w:tr>
      <w:tr w:rsidR="000230E8" w:rsidRPr="00C2318B" w14:paraId="7B48FA12" w14:textId="77777777" w:rsidTr="005A0642">
        <w:tblPrEx>
          <w:tblCellMar>
            <w:top w:w="0" w:type="dxa"/>
            <w:bottom w:w="0" w:type="dxa"/>
          </w:tblCellMar>
        </w:tblPrEx>
        <w:tc>
          <w:tcPr>
            <w:tcW w:w="5328" w:type="dxa"/>
            <w:shd w:val="clear" w:color="auto" w:fill="auto"/>
            <w:vAlign w:val="bottom"/>
          </w:tcPr>
          <w:p w14:paraId="3F14FE11" w14:textId="77777777" w:rsidR="000230E8" w:rsidRPr="00C2318B" w:rsidRDefault="000230E8" w:rsidP="000230E8">
            <w:pPr>
              <w:pStyle w:val="TableRowHead"/>
              <w:rPr>
                <w:rFonts w:ascii="Gill Sans" w:hAnsi="Gill Sans"/>
                <w:sz w:val="24"/>
                <w:lang w:eastAsia="en-GB"/>
              </w:rPr>
            </w:pPr>
          </w:p>
        </w:tc>
        <w:tc>
          <w:tcPr>
            <w:tcW w:w="900" w:type="dxa"/>
            <w:shd w:val="clear" w:color="auto" w:fill="auto"/>
            <w:vAlign w:val="bottom"/>
          </w:tcPr>
          <w:p w14:paraId="2363A114" w14:textId="77777777" w:rsidR="000230E8" w:rsidRPr="00C2318B" w:rsidRDefault="000230E8" w:rsidP="000230E8">
            <w:pPr>
              <w:pStyle w:val="TableCell"/>
              <w:rPr>
                <w:sz w:val="24"/>
                <w:lang w:eastAsia="en-GB"/>
              </w:rPr>
            </w:pPr>
          </w:p>
        </w:tc>
        <w:tc>
          <w:tcPr>
            <w:tcW w:w="1440" w:type="dxa"/>
            <w:shd w:val="clear" w:color="auto" w:fill="auto"/>
            <w:vAlign w:val="bottom"/>
          </w:tcPr>
          <w:p w14:paraId="40273A02" w14:textId="77777777" w:rsidR="000230E8" w:rsidRPr="00C2318B" w:rsidRDefault="000230E8" w:rsidP="000230E8">
            <w:pPr>
              <w:pStyle w:val="TableCell"/>
              <w:rPr>
                <w:sz w:val="24"/>
                <w:lang w:eastAsia="en-GB"/>
              </w:rPr>
            </w:pPr>
          </w:p>
        </w:tc>
        <w:tc>
          <w:tcPr>
            <w:tcW w:w="1424" w:type="dxa"/>
            <w:shd w:val="clear" w:color="auto" w:fill="auto"/>
            <w:vAlign w:val="bottom"/>
          </w:tcPr>
          <w:p w14:paraId="3BE92BFA" w14:textId="77777777" w:rsidR="000230E8" w:rsidRPr="00C2318B" w:rsidRDefault="000230E8" w:rsidP="000230E8">
            <w:pPr>
              <w:pStyle w:val="TableCell"/>
              <w:rPr>
                <w:sz w:val="24"/>
                <w:lang w:eastAsia="en-GB"/>
              </w:rPr>
            </w:pPr>
          </w:p>
        </w:tc>
      </w:tr>
      <w:tr w:rsidR="000230E8" w:rsidRPr="00C2318B" w14:paraId="309294BC" w14:textId="77777777" w:rsidTr="005A0642">
        <w:tblPrEx>
          <w:tblCellMar>
            <w:top w:w="0" w:type="dxa"/>
            <w:bottom w:w="0" w:type="dxa"/>
          </w:tblCellMar>
        </w:tblPrEx>
        <w:tc>
          <w:tcPr>
            <w:tcW w:w="5328" w:type="dxa"/>
            <w:shd w:val="clear" w:color="auto" w:fill="auto"/>
            <w:vAlign w:val="bottom"/>
          </w:tcPr>
          <w:p w14:paraId="39AE8617"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Ioncam Eile</w:t>
            </w:r>
          </w:p>
        </w:tc>
        <w:tc>
          <w:tcPr>
            <w:tcW w:w="900" w:type="dxa"/>
            <w:shd w:val="clear" w:color="auto" w:fill="auto"/>
            <w:vAlign w:val="bottom"/>
          </w:tcPr>
          <w:p w14:paraId="775AFC70" w14:textId="77777777" w:rsidR="000230E8" w:rsidRPr="00C2318B" w:rsidRDefault="000230E8" w:rsidP="000230E8">
            <w:pPr>
              <w:pStyle w:val="TableCell"/>
              <w:rPr>
                <w:sz w:val="24"/>
                <w:lang w:eastAsia="en-GB"/>
              </w:rPr>
            </w:pPr>
            <w:r w:rsidRPr="00C2318B">
              <w:rPr>
                <w:sz w:val="24"/>
                <w:lang w:eastAsia="en-GB"/>
              </w:rPr>
              <w:t>2(b)</w:t>
            </w:r>
          </w:p>
        </w:tc>
        <w:tc>
          <w:tcPr>
            <w:tcW w:w="1440" w:type="dxa"/>
            <w:shd w:val="clear" w:color="auto" w:fill="auto"/>
            <w:vAlign w:val="bottom"/>
          </w:tcPr>
          <w:p w14:paraId="78935DF4" w14:textId="77777777" w:rsidR="000230E8" w:rsidRPr="00C2318B" w:rsidRDefault="000230E8" w:rsidP="000230E8">
            <w:pPr>
              <w:pStyle w:val="TableCell"/>
              <w:rPr>
                <w:sz w:val="24"/>
                <w:lang w:eastAsia="en-GB"/>
              </w:rPr>
            </w:pPr>
            <w:r w:rsidRPr="00C2318B">
              <w:rPr>
                <w:sz w:val="24"/>
                <w:lang w:eastAsia="en-GB"/>
              </w:rPr>
              <w:t xml:space="preserve">18,440 </w:t>
            </w:r>
          </w:p>
        </w:tc>
        <w:tc>
          <w:tcPr>
            <w:tcW w:w="1424" w:type="dxa"/>
            <w:shd w:val="clear" w:color="auto" w:fill="auto"/>
            <w:vAlign w:val="bottom"/>
          </w:tcPr>
          <w:p w14:paraId="488850DA" w14:textId="77777777" w:rsidR="000230E8" w:rsidRPr="00C2318B" w:rsidRDefault="000230E8" w:rsidP="000230E8">
            <w:pPr>
              <w:pStyle w:val="TableCell"/>
              <w:rPr>
                <w:sz w:val="24"/>
                <w:lang w:eastAsia="en-GB"/>
              </w:rPr>
            </w:pPr>
            <w:r w:rsidRPr="00C2318B">
              <w:rPr>
                <w:sz w:val="24"/>
                <w:lang w:eastAsia="en-GB"/>
              </w:rPr>
              <w:t xml:space="preserve">20,155 </w:t>
            </w:r>
          </w:p>
        </w:tc>
      </w:tr>
      <w:tr w:rsidR="000230E8" w:rsidRPr="00C2318B" w14:paraId="7179F702" w14:textId="77777777" w:rsidTr="005A0642">
        <w:tblPrEx>
          <w:tblCellMar>
            <w:top w:w="0" w:type="dxa"/>
            <w:bottom w:w="0" w:type="dxa"/>
          </w:tblCellMar>
        </w:tblPrEx>
        <w:tc>
          <w:tcPr>
            <w:tcW w:w="5328" w:type="dxa"/>
            <w:shd w:val="clear" w:color="auto" w:fill="auto"/>
            <w:vAlign w:val="bottom"/>
          </w:tcPr>
          <w:p w14:paraId="0260CC76" w14:textId="77777777" w:rsidR="000230E8" w:rsidRPr="00C2318B" w:rsidRDefault="000230E8" w:rsidP="000230E8">
            <w:pPr>
              <w:pStyle w:val="TableRowHead"/>
              <w:rPr>
                <w:rFonts w:ascii="Gill Sans" w:hAnsi="Gill Sans"/>
                <w:sz w:val="24"/>
                <w:lang w:eastAsia="en-GB"/>
              </w:rPr>
            </w:pPr>
          </w:p>
        </w:tc>
        <w:tc>
          <w:tcPr>
            <w:tcW w:w="900" w:type="dxa"/>
            <w:shd w:val="clear" w:color="auto" w:fill="auto"/>
            <w:vAlign w:val="bottom"/>
          </w:tcPr>
          <w:p w14:paraId="56908E60" w14:textId="77777777" w:rsidR="000230E8" w:rsidRPr="00C2318B" w:rsidRDefault="000230E8" w:rsidP="000230E8">
            <w:pPr>
              <w:pStyle w:val="TableCell"/>
              <w:rPr>
                <w:sz w:val="24"/>
                <w:lang w:eastAsia="en-GB"/>
              </w:rPr>
            </w:pPr>
          </w:p>
        </w:tc>
        <w:tc>
          <w:tcPr>
            <w:tcW w:w="1440" w:type="dxa"/>
            <w:shd w:val="clear" w:color="auto" w:fill="auto"/>
            <w:vAlign w:val="bottom"/>
          </w:tcPr>
          <w:p w14:paraId="02B2EBF9" w14:textId="77777777" w:rsidR="000230E8" w:rsidRPr="00C2318B" w:rsidRDefault="000230E8" w:rsidP="000230E8">
            <w:pPr>
              <w:pStyle w:val="TableCell"/>
              <w:rPr>
                <w:sz w:val="24"/>
                <w:lang w:eastAsia="en-GB"/>
              </w:rPr>
            </w:pPr>
            <w:r w:rsidRPr="00C2318B">
              <w:rPr>
                <w:sz w:val="24"/>
                <w:lang w:eastAsia="en-GB"/>
              </w:rPr>
              <w:t xml:space="preserve">5,046,477 </w:t>
            </w:r>
          </w:p>
        </w:tc>
        <w:tc>
          <w:tcPr>
            <w:tcW w:w="1424" w:type="dxa"/>
            <w:shd w:val="clear" w:color="auto" w:fill="auto"/>
            <w:vAlign w:val="bottom"/>
          </w:tcPr>
          <w:p w14:paraId="25135393" w14:textId="77777777" w:rsidR="000230E8" w:rsidRPr="00C2318B" w:rsidRDefault="000230E8" w:rsidP="000230E8">
            <w:pPr>
              <w:pStyle w:val="TableCell"/>
              <w:rPr>
                <w:sz w:val="24"/>
                <w:lang w:eastAsia="en-GB"/>
              </w:rPr>
            </w:pPr>
            <w:r w:rsidRPr="00C2318B">
              <w:rPr>
                <w:sz w:val="24"/>
                <w:lang w:eastAsia="en-GB"/>
              </w:rPr>
              <w:t xml:space="preserve">4,848,459 </w:t>
            </w:r>
          </w:p>
        </w:tc>
      </w:tr>
      <w:tr w:rsidR="000230E8" w:rsidRPr="00C2318B" w14:paraId="3A1C024C" w14:textId="77777777" w:rsidTr="005A0642">
        <w:tblPrEx>
          <w:tblCellMar>
            <w:top w:w="0" w:type="dxa"/>
            <w:bottom w:w="0" w:type="dxa"/>
          </w:tblCellMar>
        </w:tblPrEx>
        <w:tc>
          <w:tcPr>
            <w:tcW w:w="5328" w:type="dxa"/>
            <w:shd w:val="clear" w:color="auto" w:fill="auto"/>
            <w:vAlign w:val="bottom"/>
          </w:tcPr>
          <w:p w14:paraId="6F05F8F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Aistriú chuig / (ó) Cuntas Caipitil </w:t>
            </w:r>
          </w:p>
        </w:tc>
        <w:tc>
          <w:tcPr>
            <w:tcW w:w="900" w:type="dxa"/>
            <w:shd w:val="clear" w:color="auto" w:fill="auto"/>
            <w:vAlign w:val="bottom"/>
          </w:tcPr>
          <w:p w14:paraId="532C2112" w14:textId="77777777" w:rsidR="000230E8" w:rsidRPr="00C2318B" w:rsidRDefault="000230E8" w:rsidP="000230E8">
            <w:pPr>
              <w:pStyle w:val="TableCell"/>
              <w:rPr>
                <w:sz w:val="24"/>
                <w:lang w:eastAsia="en-GB"/>
              </w:rPr>
            </w:pPr>
            <w:r w:rsidRPr="00C2318B">
              <w:rPr>
                <w:sz w:val="24"/>
                <w:lang w:eastAsia="en-GB"/>
              </w:rPr>
              <w:t>8</w:t>
            </w:r>
          </w:p>
        </w:tc>
        <w:tc>
          <w:tcPr>
            <w:tcW w:w="1440" w:type="dxa"/>
            <w:shd w:val="clear" w:color="auto" w:fill="auto"/>
            <w:vAlign w:val="bottom"/>
          </w:tcPr>
          <w:p w14:paraId="5EFDA28D" w14:textId="77777777" w:rsidR="000230E8" w:rsidRPr="00C2318B" w:rsidRDefault="000230E8" w:rsidP="000230E8">
            <w:pPr>
              <w:pStyle w:val="TableCell"/>
              <w:rPr>
                <w:sz w:val="24"/>
                <w:lang w:eastAsia="en-GB"/>
              </w:rPr>
            </w:pPr>
            <w:r w:rsidRPr="00C2318B">
              <w:rPr>
                <w:sz w:val="24"/>
                <w:lang w:eastAsia="en-GB"/>
              </w:rPr>
              <w:t xml:space="preserve">84,099 </w:t>
            </w:r>
          </w:p>
        </w:tc>
        <w:tc>
          <w:tcPr>
            <w:tcW w:w="1424" w:type="dxa"/>
            <w:shd w:val="clear" w:color="auto" w:fill="auto"/>
            <w:vAlign w:val="bottom"/>
          </w:tcPr>
          <w:p w14:paraId="4351F475" w14:textId="77777777" w:rsidR="000230E8" w:rsidRPr="00C2318B" w:rsidRDefault="000230E8" w:rsidP="000230E8">
            <w:pPr>
              <w:pStyle w:val="TableCell"/>
              <w:rPr>
                <w:sz w:val="24"/>
                <w:lang w:eastAsia="en-GB"/>
              </w:rPr>
            </w:pPr>
            <w:r w:rsidRPr="00C2318B">
              <w:rPr>
                <w:sz w:val="24"/>
                <w:lang w:eastAsia="en-GB"/>
              </w:rPr>
              <w:t xml:space="preserve">93,251 </w:t>
            </w:r>
          </w:p>
        </w:tc>
      </w:tr>
      <w:tr w:rsidR="000230E8" w:rsidRPr="00C2318B" w14:paraId="20345787" w14:textId="77777777" w:rsidTr="005A0642">
        <w:tblPrEx>
          <w:tblCellMar>
            <w:top w:w="0" w:type="dxa"/>
            <w:bottom w:w="0" w:type="dxa"/>
          </w:tblCellMar>
        </w:tblPrEx>
        <w:tc>
          <w:tcPr>
            <w:tcW w:w="5328" w:type="dxa"/>
            <w:shd w:val="clear" w:color="auto" w:fill="auto"/>
            <w:vAlign w:val="bottom"/>
          </w:tcPr>
          <w:p w14:paraId="5F90F69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Iomlán an ioncaim</w:t>
            </w:r>
          </w:p>
        </w:tc>
        <w:tc>
          <w:tcPr>
            <w:tcW w:w="900" w:type="dxa"/>
            <w:shd w:val="clear" w:color="auto" w:fill="auto"/>
            <w:vAlign w:val="bottom"/>
          </w:tcPr>
          <w:p w14:paraId="575229DF" w14:textId="77777777" w:rsidR="000230E8" w:rsidRPr="00C2318B" w:rsidRDefault="000230E8" w:rsidP="000230E8">
            <w:pPr>
              <w:pStyle w:val="TableCell"/>
              <w:rPr>
                <w:sz w:val="24"/>
                <w:lang w:eastAsia="en-GB"/>
              </w:rPr>
            </w:pPr>
          </w:p>
        </w:tc>
        <w:tc>
          <w:tcPr>
            <w:tcW w:w="1440" w:type="dxa"/>
            <w:shd w:val="clear" w:color="auto" w:fill="auto"/>
            <w:vAlign w:val="bottom"/>
          </w:tcPr>
          <w:p w14:paraId="061D3060" w14:textId="77777777" w:rsidR="000230E8" w:rsidRPr="00C2318B" w:rsidRDefault="000230E8" w:rsidP="000230E8">
            <w:pPr>
              <w:pStyle w:val="TableCell"/>
              <w:rPr>
                <w:sz w:val="24"/>
                <w:lang w:eastAsia="en-GB"/>
              </w:rPr>
            </w:pPr>
            <w:r w:rsidRPr="00C2318B">
              <w:rPr>
                <w:sz w:val="24"/>
                <w:lang w:eastAsia="en-GB"/>
              </w:rPr>
              <w:t xml:space="preserve">5,130,576 </w:t>
            </w:r>
          </w:p>
        </w:tc>
        <w:tc>
          <w:tcPr>
            <w:tcW w:w="1424" w:type="dxa"/>
            <w:shd w:val="clear" w:color="auto" w:fill="auto"/>
            <w:vAlign w:val="bottom"/>
          </w:tcPr>
          <w:p w14:paraId="28D5769E" w14:textId="77777777" w:rsidR="000230E8" w:rsidRPr="00C2318B" w:rsidRDefault="000230E8" w:rsidP="000230E8">
            <w:pPr>
              <w:pStyle w:val="TableCell"/>
              <w:rPr>
                <w:sz w:val="24"/>
                <w:lang w:eastAsia="en-GB"/>
              </w:rPr>
            </w:pPr>
            <w:r w:rsidRPr="00C2318B">
              <w:rPr>
                <w:sz w:val="24"/>
                <w:lang w:eastAsia="en-GB"/>
              </w:rPr>
              <w:t xml:space="preserve">4,941,710 </w:t>
            </w:r>
          </w:p>
        </w:tc>
      </w:tr>
      <w:tr w:rsidR="000230E8" w:rsidRPr="00C2318B" w14:paraId="3392A69A" w14:textId="77777777" w:rsidTr="005A0642">
        <w:tblPrEx>
          <w:tblCellMar>
            <w:top w:w="0" w:type="dxa"/>
            <w:bottom w:w="0" w:type="dxa"/>
          </w:tblCellMar>
        </w:tblPrEx>
        <w:tc>
          <w:tcPr>
            <w:tcW w:w="5328" w:type="dxa"/>
            <w:shd w:val="clear" w:color="auto" w:fill="auto"/>
            <w:vAlign w:val="bottom"/>
          </w:tcPr>
          <w:p w14:paraId="130E9E80" w14:textId="77777777" w:rsidR="000230E8" w:rsidRPr="00C2318B" w:rsidRDefault="000230E8" w:rsidP="000230E8">
            <w:pPr>
              <w:spacing w:after="0"/>
              <w:rPr>
                <w:rFonts w:cs="Arial"/>
                <w:b/>
                <w:bCs/>
                <w:sz w:val="24"/>
                <w:lang w:eastAsia="en-GB"/>
              </w:rPr>
            </w:pPr>
          </w:p>
        </w:tc>
        <w:tc>
          <w:tcPr>
            <w:tcW w:w="900" w:type="dxa"/>
            <w:shd w:val="clear" w:color="auto" w:fill="auto"/>
            <w:vAlign w:val="bottom"/>
          </w:tcPr>
          <w:p w14:paraId="32E360C7" w14:textId="77777777" w:rsidR="000230E8" w:rsidRPr="00C2318B" w:rsidRDefault="000230E8" w:rsidP="000230E8">
            <w:pPr>
              <w:pStyle w:val="TableCell"/>
              <w:rPr>
                <w:sz w:val="24"/>
                <w:lang w:eastAsia="en-GB"/>
              </w:rPr>
            </w:pPr>
          </w:p>
        </w:tc>
        <w:tc>
          <w:tcPr>
            <w:tcW w:w="1440" w:type="dxa"/>
            <w:shd w:val="clear" w:color="auto" w:fill="auto"/>
            <w:vAlign w:val="bottom"/>
          </w:tcPr>
          <w:p w14:paraId="580488AF" w14:textId="77777777" w:rsidR="000230E8" w:rsidRPr="00C2318B" w:rsidRDefault="000230E8" w:rsidP="000230E8">
            <w:pPr>
              <w:pStyle w:val="TableCell"/>
              <w:rPr>
                <w:sz w:val="24"/>
                <w:lang w:eastAsia="en-GB"/>
              </w:rPr>
            </w:pPr>
          </w:p>
        </w:tc>
        <w:tc>
          <w:tcPr>
            <w:tcW w:w="1424" w:type="dxa"/>
            <w:shd w:val="clear" w:color="auto" w:fill="auto"/>
            <w:vAlign w:val="bottom"/>
          </w:tcPr>
          <w:p w14:paraId="40FC8BF9" w14:textId="77777777" w:rsidR="000230E8" w:rsidRPr="00C2318B" w:rsidRDefault="000230E8" w:rsidP="000230E8">
            <w:pPr>
              <w:pStyle w:val="TableCell"/>
              <w:rPr>
                <w:sz w:val="24"/>
                <w:lang w:eastAsia="en-GB"/>
              </w:rPr>
            </w:pPr>
          </w:p>
        </w:tc>
      </w:tr>
      <w:tr w:rsidR="000230E8" w:rsidRPr="00C2318B" w14:paraId="64C5B17B" w14:textId="77777777" w:rsidTr="005A0642">
        <w:tblPrEx>
          <w:tblCellMar>
            <w:top w:w="0" w:type="dxa"/>
            <w:bottom w:w="0" w:type="dxa"/>
          </w:tblCellMar>
        </w:tblPrEx>
        <w:tc>
          <w:tcPr>
            <w:tcW w:w="9092" w:type="dxa"/>
            <w:gridSpan w:val="4"/>
            <w:shd w:val="clear" w:color="auto" w:fill="auto"/>
            <w:vAlign w:val="bottom"/>
          </w:tcPr>
          <w:p w14:paraId="1C0E1EF1" w14:textId="77777777" w:rsidR="000230E8" w:rsidRPr="00C2318B" w:rsidRDefault="000230E8" w:rsidP="000230E8">
            <w:pPr>
              <w:pStyle w:val="TableHead"/>
              <w:jc w:val="center"/>
              <w:rPr>
                <w:sz w:val="24"/>
                <w:lang w:eastAsia="en-GB"/>
              </w:rPr>
            </w:pPr>
            <w:r w:rsidRPr="00C2318B">
              <w:rPr>
                <w:sz w:val="24"/>
                <w:lang w:eastAsia="en-GB"/>
              </w:rPr>
              <w:t>Caiteachas</w:t>
            </w:r>
          </w:p>
        </w:tc>
      </w:tr>
      <w:tr w:rsidR="000230E8" w:rsidRPr="00C2318B" w14:paraId="1B02337C" w14:textId="77777777" w:rsidTr="005A0642">
        <w:tblPrEx>
          <w:tblCellMar>
            <w:top w:w="0" w:type="dxa"/>
            <w:bottom w:w="0" w:type="dxa"/>
          </w:tblCellMar>
        </w:tblPrEx>
        <w:tc>
          <w:tcPr>
            <w:tcW w:w="5328" w:type="dxa"/>
            <w:shd w:val="clear" w:color="auto" w:fill="auto"/>
            <w:vAlign w:val="bottom"/>
          </w:tcPr>
          <w:p w14:paraId="0F36A2C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Tionscadail agus obair Choimisiúnaithe </w:t>
            </w:r>
          </w:p>
        </w:tc>
        <w:tc>
          <w:tcPr>
            <w:tcW w:w="900" w:type="dxa"/>
            <w:shd w:val="clear" w:color="auto" w:fill="auto"/>
            <w:vAlign w:val="bottom"/>
          </w:tcPr>
          <w:p w14:paraId="3E0FD076" w14:textId="77777777" w:rsidR="000230E8" w:rsidRPr="00C2318B" w:rsidRDefault="000230E8" w:rsidP="000230E8">
            <w:pPr>
              <w:pStyle w:val="TableCell"/>
              <w:rPr>
                <w:sz w:val="24"/>
                <w:lang w:eastAsia="en-GB"/>
              </w:rPr>
            </w:pPr>
            <w:r w:rsidRPr="00C2318B">
              <w:rPr>
                <w:sz w:val="24"/>
                <w:lang w:eastAsia="en-GB"/>
              </w:rPr>
              <w:t>3</w:t>
            </w:r>
          </w:p>
        </w:tc>
        <w:tc>
          <w:tcPr>
            <w:tcW w:w="1440" w:type="dxa"/>
            <w:shd w:val="clear" w:color="auto" w:fill="auto"/>
            <w:vAlign w:val="bottom"/>
          </w:tcPr>
          <w:p w14:paraId="7FBD17BB" w14:textId="77777777" w:rsidR="000230E8" w:rsidRPr="00C2318B" w:rsidRDefault="000230E8" w:rsidP="000230E8">
            <w:pPr>
              <w:pStyle w:val="TableCell"/>
              <w:rPr>
                <w:sz w:val="24"/>
                <w:lang w:eastAsia="en-GB"/>
              </w:rPr>
            </w:pPr>
            <w:r w:rsidRPr="00C2318B">
              <w:rPr>
                <w:sz w:val="24"/>
                <w:lang w:eastAsia="en-GB"/>
              </w:rPr>
              <w:t xml:space="preserve">968,216 </w:t>
            </w:r>
          </w:p>
        </w:tc>
        <w:tc>
          <w:tcPr>
            <w:tcW w:w="1424" w:type="dxa"/>
            <w:shd w:val="clear" w:color="auto" w:fill="auto"/>
            <w:vAlign w:val="bottom"/>
          </w:tcPr>
          <w:p w14:paraId="14444B1C" w14:textId="77777777" w:rsidR="000230E8" w:rsidRPr="00C2318B" w:rsidRDefault="000230E8" w:rsidP="000230E8">
            <w:pPr>
              <w:pStyle w:val="TableCell"/>
              <w:rPr>
                <w:sz w:val="24"/>
                <w:lang w:eastAsia="en-GB"/>
              </w:rPr>
            </w:pPr>
            <w:r w:rsidRPr="00C2318B">
              <w:rPr>
                <w:sz w:val="24"/>
                <w:lang w:eastAsia="en-GB"/>
              </w:rPr>
              <w:t xml:space="preserve">468,863 </w:t>
            </w:r>
          </w:p>
        </w:tc>
      </w:tr>
      <w:tr w:rsidR="000230E8" w:rsidRPr="00C2318B" w14:paraId="7F3349E6" w14:textId="77777777" w:rsidTr="005A0642">
        <w:tblPrEx>
          <w:tblCellMar>
            <w:top w:w="0" w:type="dxa"/>
            <w:bottom w:w="0" w:type="dxa"/>
          </w:tblCellMar>
        </w:tblPrEx>
        <w:tc>
          <w:tcPr>
            <w:tcW w:w="5328" w:type="dxa"/>
            <w:shd w:val="clear" w:color="auto" w:fill="auto"/>
            <w:vAlign w:val="bottom"/>
          </w:tcPr>
          <w:p w14:paraId="3E7DEC5F" w14:textId="77777777" w:rsidR="000230E8" w:rsidRPr="00C2318B" w:rsidRDefault="000230E8" w:rsidP="000230E8">
            <w:pPr>
              <w:spacing w:after="0"/>
              <w:rPr>
                <w:rFonts w:cs="Arial"/>
                <w:sz w:val="24"/>
                <w:lang w:eastAsia="en-GB"/>
              </w:rPr>
            </w:pPr>
          </w:p>
        </w:tc>
        <w:tc>
          <w:tcPr>
            <w:tcW w:w="900" w:type="dxa"/>
            <w:shd w:val="clear" w:color="auto" w:fill="auto"/>
            <w:vAlign w:val="bottom"/>
          </w:tcPr>
          <w:p w14:paraId="7FE1C78F" w14:textId="77777777" w:rsidR="000230E8" w:rsidRPr="00C2318B" w:rsidRDefault="000230E8" w:rsidP="000230E8">
            <w:pPr>
              <w:pStyle w:val="TableCell"/>
              <w:rPr>
                <w:sz w:val="24"/>
                <w:lang w:eastAsia="en-GB"/>
              </w:rPr>
            </w:pPr>
          </w:p>
        </w:tc>
        <w:tc>
          <w:tcPr>
            <w:tcW w:w="1440" w:type="dxa"/>
            <w:shd w:val="clear" w:color="auto" w:fill="auto"/>
            <w:vAlign w:val="bottom"/>
          </w:tcPr>
          <w:p w14:paraId="13B1AAFE" w14:textId="77777777" w:rsidR="000230E8" w:rsidRPr="00C2318B" w:rsidRDefault="000230E8" w:rsidP="000230E8">
            <w:pPr>
              <w:pStyle w:val="TableCell"/>
              <w:rPr>
                <w:sz w:val="24"/>
                <w:lang w:eastAsia="en-GB"/>
              </w:rPr>
            </w:pPr>
          </w:p>
        </w:tc>
        <w:tc>
          <w:tcPr>
            <w:tcW w:w="1424" w:type="dxa"/>
            <w:shd w:val="clear" w:color="auto" w:fill="auto"/>
            <w:vAlign w:val="bottom"/>
          </w:tcPr>
          <w:p w14:paraId="21F9976F" w14:textId="77777777" w:rsidR="000230E8" w:rsidRPr="00C2318B" w:rsidRDefault="000230E8" w:rsidP="000230E8">
            <w:pPr>
              <w:pStyle w:val="TableCell"/>
              <w:rPr>
                <w:sz w:val="24"/>
                <w:lang w:eastAsia="en-GB"/>
              </w:rPr>
            </w:pPr>
          </w:p>
        </w:tc>
      </w:tr>
      <w:tr w:rsidR="000230E8" w:rsidRPr="00C2318B" w14:paraId="3824C847" w14:textId="77777777" w:rsidTr="005A0642">
        <w:tblPrEx>
          <w:tblCellMar>
            <w:top w:w="0" w:type="dxa"/>
            <w:bottom w:w="0" w:type="dxa"/>
          </w:tblCellMar>
        </w:tblPrEx>
        <w:tc>
          <w:tcPr>
            <w:tcW w:w="9092" w:type="dxa"/>
            <w:gridSpan w:val="4"/>
            <w:shd w:val="clear" w:color="auto" w:fill="auto"/>
            <w:vAlign w:val="bottom"/>
          </w:tcPr>
          <w:p w14:paraId="6DA6EED1" w14:textId="77777777" w:rsidR="000230E8" w:rsidRPr="00C2318B" w:rsidRDefault="000230E8" w:rsidP="000230E8">
            <w:pPr>
              <w:pStyle w:val="TableHead"/>
              <w:jc w:val="center"/>
              <w:rPr>
                <w:sz w:val="24"/>
                <w:lang w:eastAsia="en-GB"/>
              </w:rPr>
            </w:pPr>
            <w:r w:rsidRPr="00C2318B">
              <w:rPr>
                <w:sz w:val="24"/>
                <w:lang w:eastAsia="en-GB"/>
              </w:rPr>
              <w:t xml:space="preserve">Costais Fhorbartha, Tacaíochta agus Riaracháin </w:t>
            </w:r>
          </w:p>
        </w:tc>
      </w:tr>
      <w:tr w:rsidR="000230E8" w:rsidRPr="00C2318B" w14:paraId="593CD4BC" w14:textId="77777777" w:rsidTr="005A0642">
        <w:tblPrEx>
          <w:tblCellMar>
            <w:top w:w="0" w:type="dxa"/>
            <w:bottom w:w="0" w:type="dxa"/>
          </w:tblCellMar>
        </w:tblPrEx>
        <w:tc>
          <w:tcPr>
            <w:tcW w:w="5328" w:type="dxa"/>
            <w:shd w:val="clear" w:color="auto" w:fill="auto"/>
            <w:vAlign w:val="bottom"/>
          </w:tcPr>
          <w:p w14:paraId="76242B79"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Párolla</w:t>
            </w:r>
          </w:p>
        </w:tc>
        <w:tc>
          <w:tcPr>
            <w:tcW w:w="900" w:type="dxa"/>
            <w:shd w:val="clear" w:color="auto" w:fill="auto"/>
            <w:vAlign w:val="bottom"/>
          </w:tcPr>
          <w:p w14:paraId="64A4BF6F" w14:textId="77777777" w:rsidR="000230E8" w:rsidRPr="00C2318B" w:rsidRDefault="000230E8" w:rsidP="000230E8">
            <w:pPr>
              <w:pStyle w:val="TableCell"/>
              <w:rPr>
                <w:sz w:val="24"/>
                <w:lang w:eastAsia="en-GB"/>
              </w:rPr>
            </w:pPr>
            <w:r w:rsidRPr="00C2318B">
              <w:rPr>
                <w:sz w:val="24"/>
                <w:lang w:eastAsia="en-GB"/>
              </w:rPr>
              <w:t>4</w:t>
            </w:r>
          </w:p>
        </w:tc>
        <w:tc>
          <w:tcPr>
            <w:tcW w:w="1440" w:type="dxa"/>
            <w:shd w:val="clear" w:color="auto" w:fill="auto"/>
            <w:vAlign w:val="bottom"/>
          </w:tcPr>
          <w:p w14:paraId="1F50F68B" w14:textId="77777777" w:rsidR="000230E8" w:rsidRPr="00C2318B" w:rsidRDefault="000230E8" w:rsidP="000230E8">
            <w:pPr>
              <w:pStyle w:val="TableCell"/>
              <w:rPr>
                <w:sz w:val="24"/>
                <w:lang w:eastAsia="en-GB"/>
              </w:rPr>
            </w:pPr>
            <w:r>
              <w:rPr>
                <w:sz w:val="24"/>
                <w:lang w:val="en-GB" w:eastAsia="en-GB"/>
              </w:rPr>
              <w:t>2,099,230</w:t>
            </w:r>
          </w:p>
        </w:tc>
        <w:tc>
          <w:tcPr>
            <w:tcW w:w="1424" w:type="dxa"/>
            <w:shd w:val="clear" w:color="auto" w:fill="auto"/>
            <w:vAlign w:val="bottom"/>
          </w:tcPr>
          <w:p w14:paraId="000EF796" w14:textId="77777777" w:rsidR="000230E8" w:rsidRPr="00C2318B" w:rsidRDefault="000230E8" w:rsidP="000230E8">
            <w:pPr>
              <w:pStyle w:val="TableCell"/>
              <w:rPr>
                <w:sz w:val="24"/>
                <w:lang w:eastAsia="en-GB"/>
              </w:rPr>
            </w:pPr>
            <w:r w:rsidRPr="00C2318B">
              <w:rPr>
                <w:sz w:val="24"/>
                <w:lang w:eastAsia="en-GB"/>
              </w:rPr>
              <w:t xml:space="preserve">2,235,538 </w:t>
            </w:r>
          </w:p>
        </w:tc>
      </w:tr>
      <w:tr w:rsidR="000230E8" w:rsidRPr="00C2318B" w14:paraId="02CC36C4" w14:textId="77777777" w:rsidTr="005A0642">
        <w:tblPrEx>
          <w:tblCellMar>
            <w:top w:w="0" w:type="dxa"/>
            <w:bottom w:w="0" w:type="dxa"/>
          </w:tblCellMar>
        </w:tblPrEx>
        <w:tc>
          <w:tcPr>
            <w:tcW w:w="5328" w:type="dxa"/>
            <w:shd w:val="clear" w:color="auto" w:fill="auto"/>
            <w:vAlign w:val="bottom"/>
          </w:tcPr>
          <w:p w14:paraId="0DBA26B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Costais Phinsin</w:t>
            </w:r>
          </w:p>
        </w:tc>
        <w:tc>
          <w:tcPr>
            <w:tcW w:w="900" w:type="dxa"/>
            <w:shd w:val="clear" w:color="auto" w:fill="auto"/>
            <w:vAlign w:val="bottom"/>
          </w:tcPr>
          <w:p w14:paraId="396AEEC0" w14:textId="77777777" w:rsidR="000230E8" w:rsidRPr="00C2318B" w:rsidRDefault="000230E8" w:rsidP="000230E8">
            <w:pPr>
              <w:pStyle w:val="TableCell"/>
              <w:rPr>
                <w:sz w:val="24"/>
                <w:lang w:eastAsia="en-GB"/>
              </w:rPr>
            </w:pPr>
            <w:r w:rsidRPr="00C2318B">
              <w:rPr>
                <w:sz w:val="24"/>
                <w:lang w:eastAsia="en-GB"/>
              </w:rPr>
              <w:t>10(c)</w:t>
            </w:r>
          </w:p>
        </w:tc>
        <w:tc>
          <w:tcPr>
            <w:tcW w:w="1440" w:type="dxa"/>
            <w:shd w:val="clear" w:color="auto" w:fill="auto"/>
            <w:vAlign w:val="bottom"/>
          </w:tcPr>
          <w:p w14:paraId="56561A29" w14:textId="77777777" w:rsidR="000230E8" w:rsidRPr="00C2318B" w:rsidRDefault="000230E8" w:rsidP="000230E8">
            <w:pPr>
              <w:pStyle w:val="TableCell"/>
              <w:rPr>
                <w:sz w:val="24"/>
                <w:lang w:eastAsia="en-GB"/>
              </w:rPr>
            </w:pPr>
            <w:r w:rsidRPr="00C2318B">
              <w:rPr>
                <w:sz w:val="24"/>
                <w:lang w:eastAsia="en-GB"/>
              </w:rPr>
              <w:t xml:space="preserve">1,312,002 </w:t>
            </w:r>
          </w:p>
        </w:tc>
        <w:tc>
          <w:tcPr>
            <w:tcW w:w="1424" w:type="dxa"/>
            <w:shd w:val="clear" w:color="auto" w:fill="auto"/>
            <w:vAlign w:val="bottom"/>
          </w:tcPr>
          <w:p w14:paraId="40366BA4" w14:textId="77777777" w:rsidR="000230E8" w:rsidRPr="00C2318B" w:rsidRDefault="000230E8" w:rsidP="000230E8">
            <w:pPr>
              <w:pStyle w:val="TableCell"/>
              <w:rPr>
                <w:sz w:val="24"/>
                <w:lang w:eastAsia="en-GB"/>
              </w:rPr>
            </w:pPr>
            <w:r w:rsidRPr="00C2318B">
              <w:rPr>
                <w:sz w:val="24"/>
                <w:lang w:eastAsia="en-GB"/>
              </w:rPr>
              <w:t xml:space="preserve">1,407,280 </w:t>
            </w:r>
          </w:p>
        </w:tc>
      </w:tr>
      <w:tr w:rsidR="000230E8" w:rsidRPr="00C2318B" w14:paraId="09A0064D" w14:textId="77777777" w:rsidTr="005A0642">
        <w:tblPrEx>
          <w:tblCellMar>
            <w:top w:w="0" w:type="dxa"/>
            <w:bottom w:w="0" w:type="dxa"/>
          </w:tblCellMar>
        </w:tblPrEx>
        <w:tc>
          <w:tcPr>
            <w:tcW w:w="5328" w:type="dxa"/>
            <w:shd w:val="clear" w:color="auto" w:fill="auto"/>
            <w:vAlign w:val="bottom"/>
          </w:tcPr>
          <w:p w14:paraId="6F5DBBE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Costais Riaracháin</w:t>
            </w:r>
          </w:p>
        </w:tc>
        <w:tc>
          <w:tcPr>
            <w:tcW w:w="900" w:type="dxa"/>
            <w:shd w:val="clear" w:color="auto" w:fill="auto"/>
            <w:vAlign w:val="bottom"/>
          </w:tcPr>
          <w:p w14:paraId="79FF017C" w14:textId="77777777" w:rsidR="000230E8" w:rsidRPr="00C2318B" w:rsidRDefault="000230E8" w:rsidP="000230E8">
            <w:pPr>
              <w:pStyle w:val="TableCell"/>
              <w:rPr>
                <w:sz w:val="24"/>
                <w:lang w:eastAsia="en-GB"/>
              </w:rPr>
            </w:pPr>
            <w:r w:rsidRPr="00C2318B">
              <w:rPr>
                <w:sz w:val="24"/>
                <w:lang w:eastAsia="en-GB"/>
              </w:rPr>
              <w:t>5</w:t>
            </w:r>
          </w:p>
        </w:tc>
        <w:tc>
          <w:tcPr>
            <w:tcW w:w="1440" w:type="dxa"/>
            <w:shd w:val="clear" w:color="auto" w:fill="auto"/>
            <w:vAlign w:val="bottom"/>
          </w:tcPr>
          <w:p w14:paraId="46E8DE2B" w14:textId="77777777" w:rsidR="000230E8" w:rsidRPr="00C2318B" w:rsidRDefault="000230E8" w:rsidP="000230E8">
            <w:pPr>
              <w:pStyle w:val="TableCell"/>
              <w:rPr>
                <w:sz w:val="24"/>
                <w:lang w:eastAsia="en-GB"/>
              </w:rPr>
            </w:pPr>
            <w:r w:rsidRPr="00C2318B">
              <w:rPr>
                <w:sz w:val="24"/>
                <w:lang w:eastAsia="en-GB"/>
              </w:rPr>
              <w:t xml:space="preserve">677,175 </w:t>
            </w:r>
          </w:p>
        </w:tc>
        <w:tc>
          <w:tcPr>
            <w:tcW w:w="1424" w:type="dxa"/>
            <w:shd w:val="clear" w:color="auto" w:fill="auto"/>
            <w:vAlign w:val="bottom"/>
          </w:tcPr>
          <w:p w14:paraId="6E9FF5A7" w14:textId="77777777" w:rsidR="000230E8" w:rsidRPr="00C2318B" w:rsidRDefault="000230E8" w:rsidP="000230E8">
            <w:pPr>
              <w:pStyle w:val="TableCell"/>
              <w:rPr>
                <w:sz w:val="24"/>
                <w:lang w:eastAsia="en-GB"/>
              </w:rPr>
            </w:pPr>
            <w:r w:rsidRPr="00C2318B">
              <w:rPr>
                <w:sz w:val="24"/>
                <w:lang w:eastAsia="en-GB"/>
              </w:rPr>
              <w:t xml:space="preserve">618,039 </w:t>
            </w:r>
          </w:p>
        </w:tc>
      </w:tr>
      <w:tr w:rsidR="000230E8" w:rsidRPr="00C2318B" w14:paraId="61BB3428" w14:textId="77777777" w:rsidTr="005A0642">
        <w:tblPrEx>
          <w:tblCellMar>
            <w:top w:w="0" w:type="dxa"/>
            <w:bottom w:w="0" w:type="dxa"/>
          </w:tblCellMar>
        </w:tblPrEx>
        <w:tc>
          <w:tcPr>
            <w:tcW w:w="5328" w:type="dxa"/>
            <w:shd w:val="clear" w:color="auto" w:fill="auto"/>
            <w:vAlign w:val="bottom"/>
          </w:tcPr>
          <w:p w14:paraId="5B1E6A8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Dímheas</w:t>
            </w:r>
          </w:p>
        </w:tc>
        <w:tc>
          <w:tcPr>
            <w:tcW w:w="900" w:type="dxa"/>
            <w:shd w:val="clear" w:color="auto" w:fill="auto"/>
            <w:vAlign w:val="bottom"/>
          </w:tcPr>
          <w:p w14:paraId="38EA6E00" w14:textId="77777777" w:rsidR="000230E8" w:rsidRPr="00C2318B" w:rsidRDefault="000230E8" w:rsidP="000230E8">
            <w:pPr>
              <w:pStyle w:val="TableCell"/>
              <w:rPr>
                <w:sz w:val="24"/>
                <w:lang w:eastAsia="en-GB"/>
              </w:rPr>
            </w:pPr>
            <w:r w:rsidRPr="00C2318B">
              <w:rPr>
                <w:sz w:val="24"/>
                <w:lang w:eastAsia="en-GB"/>
              </w:rPr>
              <w:t>7</w:t>
            </w:r>
          </w:p>
        </w:tc>
        <w:tc>
          <w:tcPr>
            <w:tcW w:w="1440" w:type="dxa"/>
            <w:shd w:val="clear" w:color="auto" w:fill="auto"/>
            <w:vAlign w:val="bottom"/>
          </w:tcPr>
          <w:p w14:paraId="148ADA7B" w14:textId="77777777" w:rsidR="000230E8" w:rsidRPr="00C2318B" w:rsidRDefault="000230E8" w:rsidP="000230E8">
            <w:pPr>
              <w:pStyle w:val="TableCell"/>
              <w:rPr>
                <w:sz w:val="24"/>
                <w:lang w:eastAsia="en-GB"/>
              </w:rPr>
            </w:pPr>
            <w:r w:rsidRPr="00C2318B">
              <w:rPr>
                <w:sz w:val="24"/>
                <w:lang w:eastAsia="en-GB"/>
              </w:rPr>
              <w:t xml:space="preserve">93,334 </w:t>
            </w:r>
          </w:p>
        </w:tc>
        <w:tc>
          <w:tcPr>
            <w:tcW w:w="1424" w:type="dxa"/>
            <w:shd w:val="clear" w:color="auto" w:fill="auto"/>
            <w:vAlign w:val="bottom"/>
          </w:tcPr>
          <w:p w14:paraId="2DEC6A6A" w14:textId="77777777" w:rsidR="000230E8" w:rsidRPr="00C2318B" w:rsidRDefault="000230E8" w:rsidP="000230E8">
            <w:pPr>
              <w:pStyle w:val="TableCell"/>
              <w:rPr>
                <w:sz w:val="24"/>
                <w:lang w:eastAsia="en-GB"/>
              </w:rPr>
            </w:pPr>
            <w:r w:rsidRPr="00C2318B">
              <w:rPr>
                <w:sz w:val="24"/>
                <w:lang w:eastAsia="en-GB"/>
              </w:rPr>
              <w:t xml:space="preserve">96,980 </w:t>
            </w:r>
          </w:p>
        </w:tc>
      </w:tr>
      <w:tr w:rsidR="000230E8" w:rsidRPr="00C2318B" w14:paraId="5CA87E1F" w14:textId="77777777" w:rsidTr="005A0642">
        <w:tblPrEx>
          <w:tblCellMar>
            <w:top w:w="0" w:type="dxa"/>
            <w:bottom w:w="0" w:type="dxa"/>
          </w:tblCellMar>
        </w:tblPrEx>
        <w:tc>
          <w:tcPr>
            <w:tcW w:w="5328" w:type="dxa"/>
            <w:shd w:val="clear" w:color="auto" w:fill="auto"/>
            <w:vAlign w:val="bottom"/>
          </w:tcPr>
          <w:p w14:paraId="65CCBF97" w14:textId="77777777" w:rsidR="000230E8" w:rsidRPr="00C2318B" w:rsidRDefault="000230E8" w:rsidP="000230E8">
            <w:pPr>
              <w:pStyle w:val="TableRowHead"/>
              <w:rPr>
                <w:rFonts w:ascii="Gill Sans" w:hAnsi="Gill Sans"/>
                <w:sz w:val="24"/>
                <w:lang w:eastAsia="en-GB"/>
              </w:rPr>
            </w:pPr>
          </w:p>
        </w:tc>
        <w:tc>
          <w:tcPr>
            <w:tcW w:w="900" w:type="dxa"/>
            <w:shd w:val="clear" w:color="auto" w:fill="auto"/>
            <w:vAlign w:val="bottom"/>
          </w:tcPr>
          <w:p w14:paraId="7ADEF49F" w14:textId="77777777" w:rsidR="000230E8" w:rsidRPr="00C2318B" w:rsidRDefault="000230E8" w:rsidP="000230E8">
            <w:pPr>
              <w:pStyle w:val="TableCell"/>
              <w:rPr>
                <w:sz w:val="24"/>
                <w:lang w:eastAsia="en-GB"/>
              </w:rPr>
            </w:pPr>
          </w:p>
        </w:tc>
        <w:tc>
          <w:tcPr>
            <w:tcW w:w="1440" w:type="dxa"/>
            <w:shd w:val="clear" w:color="auto" w:fill="auto"/>
            <w:vAlign w:val="bottom"/>
          </w:tcPr>
          <w:p w14:paraId="565B5FC3" w14:textId="77777777" w:rsidR="000230E8" w:rsidRPr="00C2318B" w:rsidRDefault="000230E8" w:rsidP="000230E8">
            <w:pPr>
              <w:pStyle w:val="TableCell"/>
              <w:rPr>
                <w:sz w:val="24"/>
                <w:lang w:eastAsia="en-GB"/>
              </w:rPr>
            </w:pPr>
            <w:r w:rsidRPr="00C2318B">
              <w:rPr>
                <w:sz w:val="24"/>
                <w:lang w:eastAsia="en-GB"/>
              </w:rPr>
              <w:t xml:space="preserve">4,178,966 </w:t>
            </w:r>
          </w:p>
        </w:tc>
        <w:tc>
          <w:tcPr>
            <w:tcW w:w="1424" w:type="dxa"/>
            <w:shd w:val="clear" w:color="auto" w:fill="auto"/>
            <w:vAlign w:val="bottom"/>
          </w:tcPr>
          <w:p w14:paraId="0A759A2E" w14:textId="77777777" w:rsidR="000230E8" w:rsidRPr="00C2318B" w:rsidRDefault="000230E8" w:rsidP="000230E8">
            <w:pPr>
              <w:pStyle w:val="TableCell"/>
              <w:rPr>
                <w:sz w:val="24"/>
                <w:lang w:eastAsia="en-GB"/>
              </w:rPr>
            </w:pPr>
            <w:r w:rsidRPr="00C2318B">
              <w:rPr>
                <w:sz w:val="24"/>
                <w:lang w:eastAsia="en-GB"/>
              </w:rPr>
              <w:t xml:space="preserve">4,357,837 </w:t>
            </w:r>
          </w:p>
        </w:tc>
      </w:tr>
      <w:tr w:rsidR="000230E8" w:rsidRPr="00C2318B" w14:paraId="7F2F0F80" w14:textId="77777777" w:rsidTr="005A0642">
        <w:tblPrEx>
          <w:tblCellMar>
            <w:top w:w="0" w:type="dxa"/>
            <w:bottom w:w="0" w:type="dxa"/>
          </w:tblCellMar>
        </w:tblPrEx>
        <w:tc>
          <w:tcPr>
            <w:tcW w:w="5328" w:type="dxa"/>
            <w:shd w:val="clear" w:color="auto" w:fill="auto"/>
            <w:vAlign w:val="bottom"/>
          </w:tcPr>
          <w:p w14:paraId="46FB59EE"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Iomlán an Chaiteachais</w:t>
            </w:r>
          </w:p>
        </w:tc>
        <w:tc>
          <w:tcPr>
            <w:tcW w:w="900" w:type="dxa"/>
            <w:shd w:val="clear" w:color="auto" w:fill="auto"/>
            <w:vAlign w:val="bottom"/>
          </w:tcPr>
          <w:p w14:paraId="33B5E42A" w14:textId="77777777" w:rsidR="000230E8" w:rsidRPr="00C2318B" w:rsidRDefault="000230E8" w:rsidP="000230E8">
            <w:pPr>
              <w:pStyle w:val="TableCell"/>
              <w:rPr>
                <w:sz w:val="24"/>
                <w:lang w:eastAsia="en-GB"/>
              </w:rPr>
            </w:pPr>
          </w:p>
        </w:tc>
        <w:tc>
          <w:tcPr>
            <w:tcW w:w="1440" w:type="dxa"/>
            <w:shd w:val="clear" w:color="auto" w:fill="auto"/>
            <w:vAlign w:val="bottom"/>
          </w:tcPr>
          <w:p w14:paraId="63FEFDE4" w14:textId="77777777" w:rsidR="000230E8" w:rsidRPr="00C2318B" w:rsidRDefault="000230E8" w:rsidP="000230E8">
            <w:pPr>
              <w:pStyle w:val="TableCell"/>
              <w:rPr>
                <w:sz w:val="24"/>
                <w:lang w:eastAsia="en-GB"/>
              </w:rPr>
            </w:pPr>
            <w:r w:rsidRPr="00C2318B">
              <w:rPr>
                <w:sz w:val="24"/>
                <w:lang w:eastAsia="en-GB"/>
              </w:rPr>
              <w:t xml:space="preserve">5,147,182 </w:t>
            </w:r>
          </w:p>
        </w:tc>
        <w:tc>
          <w:tcPr>
            <w:tcW w:w="1424" w:type="dxa"/>
            <w:shd w:val="clear" w:color="auto" w:fill="auto"/>
            <w:vAlign w:val="bottom"/>
          </w:tcPr>
          <w:p w14:paraId="485EFD7A" w14:textId="77777777" w:rsidR="000230E8" w:rsidRPr="00C2318B" w:rsidRDefault="000230E8" w:rsidP="000230E8">
            <w:pPr>
              <w:pStyle w:val="TableCell"/>
              <w:rPr>
                <w:sz w:val="24"/>
                <w:lang w:eastAsia="en-GB"/>
              </w:rPr>
            </w:pPr>
            <w:r w:rsidRPr="00C2318B">
              <w:rPr>
                <w:sz w:val="24"/>
                <w:lang w:eastAsia="en-GB"/>
              </w:rPr>
              <w:t xml:space="preserve">4,826,700 </w:t>
            </w:r>
          </w:p>
        </w:tc>
      </w:tr>
      <w:tr w:rsidR="000230E8" w:rsidRPr="00C2318B" w14:paraId="0E248E9D" w14:textId="77777777" w:rsidTr="005A0642">
        <w:tblPrEx>
          <w:tblCellMar>
            <w:top w:w="0" w:type="dxa"/>
            <w:bottom w:w="0" w:type="dxa"/>
          </w:tblCellMar>
        </w:tblPrEx>
        <w:tc>
          <w:tcPr>
            <w:tcW w:w="5328" w:type="dxa"/>
            <w:shd w:val="clear" w:color="auto" w:fill="auto"/>
            <w:vAlign w:val="bottom"/>
          </w:tcPr>
          <w:p w14:paraId="4B72AE11" w14:textId="77777777" w:rsidR="000230E8" w:rsidRPr="00C2318B" w:rsidRDefault="000230E8" w:rsidP="000230E8">
            <w:pPr>
              <w:spacing w:after="0"/>
              <w:rPr>
                <w:rFonts w:cs="Arial"/>
                <w:b/>
                <w:bCs/>
                <w:sz w:val="24"/>
                <w:lang w:eastAsia="en-GB"/>
              </w:rPr>
            </w:pPr>
            <w:r w:rsidRPr="00C2318B">
              <w:rPr>
                <w:rFonts w:cs="Arial"/>
                <w:b/>
                <w:bCs/>
                <w:sz w:val="24"/>
                <w:lang w:eastAsia="en-GB"/>
              </w:rPr>
              <w:t>Barrachas / Easnamh don bhliain</w:t>
            </w:r>
          </w:p>
        </w:tc>
        <w:tc>
          <w:tcPr>
            <w:tcW w:w="900" w:type="dxa"/>
            <w:shd w:val="clear" w:color="auto" w:fill="auto"/>
            <w:vAlign w:val="bottom"/>
          </w:tcPr>
          <w:p w14:paraId="098C92BA" w14:textId="77777777" w:rsidR="000230E8" w:rsidRPr="00C2318B" w:rsidRDefault="000230E8" w:rsidP="000230E8">
            <w:pPr>
              <w:pStyle w:val="TableCell"/>
              <w:rPr>
                <w:b/>
                <w:bCs/>
                <w:sz w:val="24"/>
                <w:lang w:eastAsia="en-GB"/>
              </w:rPr>
            </w:pPr>
          </w:p>
        </w:tc>
        <w:tc>
          <w:tcPr>
            <w:tcW w:w="1440" w:type="dxa"/>
            <w:shd w:val="clear" w:color="auto" w:fill="auto"/>
            <w:vAlign w:val="bottom"/>
          </w:tcPr>
          <w:p w14:paraId="70E5A729" w14:textId="77777777" w:rsidR="000230E8" w:rsidRPr="00C2318B" w:rsidRDefault="000230E8" w:rsidP="000230E8">
            <w:pPr>
              <w:pStyle w:val="TableCell"/>
              <w:rPr>
                <w:sz w:val="24"/>
                <w:lang w:eastAsia="en-GB"/>
              </w:rPr>
            </w:pPr>
            <w:r w:rsidRPr="00C2318B">
              <w:rPr>
                <w:sz w:val="24"/>
                <w:lang w:eastAsia="en-GB"/>
              </w:rPr>
              <w:t>(16,606)</w:t>
            </w:r>
          </w:p>
        </w:tc>
        <w:tc>
          <w:tcPr>
            <w:tcW w:w="1424" w:type="dxa"/>
            <w:shd w:val="clear" w:color="auto" w:fill="auto"/>
            <w:vAlign w:val="bottom"/>
          </w:tcPr>
          <w:p w14:paraId="354AB593" w14:textId="77777777" w:rsidR="000230E8" w:rsidRPr="00C2318B" w:rsidRDefault="000230E8" w:rsidP="000230E8">
            <w:pPr>
              <w:pStyle w:val="TableCell"/>
              <w:rPr>
                <w:sz w:val="24"/>
                <w:lang w:eastAsia="en-GB"/>
              </w:rPr>
            </w:pPr>
            <w:r w:rsidRPr="00C2318B">
              <w:rPr>
                <w:sz w:val="24"/>
                <w:lang w:eastAsia="en-GB"/>
              </w:rPr>
              <w:t xml:space="preserve">115,010 </w:t>
            </w:r>
          </w:p>
        </w:tc>
      </w:tr>
      <w:tr w:rsidR="000230E8" w:rsidRPr="00C2318B" w14:paraId="47E736FE" w14:textId="77777777" w:rsidTr="005A0642">
        <w:tblPrEx>
          <w:tblCellMar>
            <w:top w:w="0" w:type="dxa"/>
            <w:bottom w:w="0" w:type="dxa"/>
          </w:tblCellMar>
        </w:tblPrEx>
        <w:tc>
          <w:tcPr>
            <w:tcW w:w="5328" w:type="dxa"/>
            <w:shd w:val="clear" w:color="auto" w:fill="auto"/>
            <w:vAlign w:val="bottom"/>
          </w:tcPr>
          <w:p w14:paraId="2B7FD81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Barrachas (Easnamh) Coimeádta ar an 1 Eanáir </w:t>
            </w:r>
          </w:p>
        </w:tc>
        <w:tc>
          <w:tcPr>
            <w:tcW w:w="900" w:type="dxa"/>
            <w:shd w:val="clear" w:color="auto" w:fill="auto"/>
            <w:vAlign w:val="bottom"/>
          </w:tcPr>
          <w:p w14:paraId="62915633" w14:textId="77777777" w:rsidR="000230E8" w:rsidRPr="00C2318B" w:rsidRDefault="000230E8" w:rsidP="000230E8">
            <w:pPr>
              <w:pStyle w:val="TableCell"/>
              <w:rPr>
                <w:sz w:val="24"/>
                <w:lang w:eastAsia="en-GB"/>
              </w:rPr>
            </w:pPr>
          </w:p>
        </w:tc>
        <w:tc>
          <w:tcPr>
            <w:tcW w:w="1440" w:type="dxa"/>
            <w:shd w:val="clear" w:color="auto" w:fill="auto"/>
            <w:vAlign w:val="bottom"/>
          </w:tcPr>
          <w:p w14:paraId="7CA4C1AF" w14:textId="77777777" w:rsidR="000230E8" w:rsidRPr="00C2318B" w:rsidRDefault="000230E8" w:rsidP="000230E8">
            <w:pPr>
              <w:pStyle w:val="TableCell"/>
              <w:rPr>
                <w:sz w:val="24"/>
                <w:lang w:eastAsia="en-GB"/>
              </w:rPr>
            </w:pPr>
            <w:r w:rsidRPr="00C2318B">
              <w:rPr>
                <w:sz w:val="24"/>
                <w:lang w:eastAsia="en-GB"/>
              </w:rPr>
              <w:t xml:space="preserve">46,019 </w:t>
            </w:r>
          </w:p>
        </w:tc>
        <w:tc>
          <w:tcPr>
            <w:tcW w:w="1424" w:type="dxa"/>
            <w:shd w:val="clear" w:color="auto" w:fill="auto"/>
            <w:vAlign w:val="bottom"/>
          </w:tcPr>
          <w:p w14:paraId="57A74AA3" w14:textId="77777777" w:rsidR="000230E8" w:rsidRPr="00C2318B" w:rsidRDefault="000230E8" w:rsidP="000230E8">
            <w:pPr>
              <w:pStyle w:val="TableCell"/>
              <w:rPr>
                <w:sz w:val="24"/>
                <w:lang w:eastAsia="en-GB"/>
              </w:rPr>
            </w:pPr>
            <w:r w:rsidRPr="00C2318B">
              <w:rPr>
                <w:sz w:val="24"/>
                <w:lang w:eastAsia="en-GB"/>
              </w:rPr>
              <w:t>(68,991)</w:t>
            </w:r>
          </w:p>
        </w:tc>
      </w:tr>
      <w:tr w:rsidR="000230E8" w:rsidRPr="00C2318B" w14:paraId="40599B4E" w14:textId="77777777" w:rsidTr="005A0642">
        <w:tblPrEx>
          <w:tblCellMar>
            <w:top w:w="0" w:type="dxa"/>
            <w:bottom w:w="0" w:type="dxa"/>
          </w:tblCellMar>
        </w:tblPrEx>
        <w:tc>
          <w:tcPr>
            <w:tcW w:w="5328" w:type="dxa"/>
            <w:shd w:val="clear" w:color="auto" w:fill="auto"/>
            <w:vAlign w:val="bottom"/>
          </w:tcPr>
          <w:p w14:paraId="0C3577B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Barrachas/ (Easnamh) Coimeádta ar an 31 Nollaig </w:t>
            </w:r>
          </w:p>
        </w:tc>
        <w:tc>
          <w:tcPr>
            <w:tcW w:w="900" w:type="dxa"/>
            <w:shd w:val="clear" w:color="auto" w:fill="auto"/>
            <w:vAlign w:val="bottom"/>
          </w:tcPr>
          <w:p w14:paraId="7A3E0E87" w14:textId="77777777" w:rsidR="000230E8" w:rsidRPr="00C2318B" w:rsidRDefault="000230E8" w:rsidP="000230E8">
            <w:pPr>
              <w:pStyle w:val="TableCell"/>
              <w:rPr>
                <w:b/>
                <w:bCs/>
                <w:sz w:val="24"/>
                <w:lang w:eastAsia="en-GB"/>
              </w:rPr>
            </w:pPr>
          </w:p>
        </w:tc>
        <w:tc>
          <w:tcPr>
            <w:tcW w:w="1440" w:type="dxa"/>
            <w:shd w:val="clear" w:color="auto" w:fill="auto"/>
            <w:vAlign w:val="bottom"/>
          </w:tcPr>
          <w:p w14:paraId="39C03E97" w14:textId="77777777" w:rsidR="000230E8" w:rsidRPr="00C2318B" w:rsidRDefault="000230E8" w:rsidP="000230E8">
            <w:pPr>
              <w:pStyle w:val="TableCell"/>
              <w:rPr>
                <w:sz w:val="24"/>
                <w:lang w:eastAsia="en-GB"/>
              </w:rPr>
            </w:pPr>
            <w:r w:rsidRPr="00C2318B">
              <w:rPr>
                <w:sz w:val="24"/>
                <w:lang w:eastAsia="en-GB"/>
              </w:rPr>
              <w:t xml:space="preserve">29,413 </w:t>
            </w:r>
          </w:p>
        </w:tc>
        <w:tc>
          <w:tcPr>
            <w:tcW w:w="1424" w:type="dxa"/>
            <w:shd w:val="clear" w:color="auto" w:fill="auto"/>
            <w:vAlign w:val="bottom"/>
          </w:tcPr>
          <w:p w14:paraId="1F2DEFEA" w14:textId="77777777" w:rsidR="000230E8" w:rsidRPr="00C2318B" w:rsidRDefault="000230E8" w:rsidP="000230E8">
            <w:pPr>
              <w:pStyle w:val="TableCell"/>
              <w:rPr>
                <w:sz w:val="24"/>
                <w:lang w:eastAsia="en-GB"/>
              </w:rPr>
            </w:pPr>
            <w:r w:rsidRPr="00C2318B">
              <w:rPr>
                <w:sz w:val="24"/>
                <w:lang w:eastAsia="en-GB"/>
              </w:rPr>
              <w:t xml:space="preserve">46,019 </w:t>
            </w:r>
          </w:p>
        </w:tc>
      </w:tr>
      <w:tr w:rsidR="000230E8" w:rsidRPr="00C2318B" w14:paraId="6A8E21A8" w14:textId="77777777" w:rsidTr="005A0642">
        <w:tblPrEx>
          <w:tblCellMar>
            <w:top w:w="0" w:type="dxa"/>
            <w:bottom w:w="0" w:type="dxa"/>
          </w:tblCellMar>
        </w:tblPrEx>
        <w:tc>
          <w:tcPr>
            <w:tcW w:w="9092" w:type="dxa"/>
            <w:gridSpan w:val="4"/>
            <w:shd w:val="clear" w:color="auto" w:fill="auto"/>
            <w:vAlign w:val="bottom"/>
          </w:tcPr>
          <w:p w14:paraId="48A7DB1F" w14:textId="77777777" w:rsidR="000230E8" w:rsidRPr="00C2318B" w:rsidRDefault="000230E8" w:rsidP="000230E8">
            <w:pPr>
              <w:spacing w:after="0"/>
              <w:jc w:val="center"/>
              <w:rPr>
                <w:rFonts w:cs="Arial"/>
                <w:sz w:val="24"/>
                <w:lang w:eastAsia="en-GB"/>
              </w:rPr>
            </w:pPr>
            <w:r w:rsidRPr="00C2318B">
              <w:rPr>
                <w:b/>
                <w:bCs/>
                <w:sz w:val="24"/>
                <w:lang w:eastAsia="en-GB"/>
              </w:rPr>
              <w:t xml:space="preserve">Ráiteas faoi Iomlán na nGnóthachan agus na gCaillteanas Aitheanta </w:t>
            </w:r>
          </w:p>
        </w:tc>
      </w:tr>
      <w:tr w:rsidR="000230E8" w:rsidRPr="00C2318B" w14:paraId="552851A8" w14:textId="77777777" w:rsidTr="005A0642">
        <w:tblPrEx>
          <w:tblCellMar>
            <w:top w:w="0" w:type="dxa"/>
            <w:bottom w:w="0" w:type="dxa"/>
          </w:tblCellMar>
        </w:tblPrEx>
        <w:tc>
          <w:tcPr>
            <w:tcW w:w="5328" w:type="dxa"/>
            <w:shd w:val="clear" w:color="auto" w:fill="auto"/>
            <w:vAlign w:val="bottom"/>
          </w:tcPr>
          <w:p w14:paraId="69AE0B5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Barrachas /(Easnamh) don bhliain</w:t>
            </w:r>
          </w:p>
        </w:tc>
        <w:tc>
          <w:tcPr>
            <w:tcW w:w="900" w:type="dxa"/>
            <w:shd w:val="clear" w:color="auto" w:fill="auto"/>
            <w:vAlign w:val="bottom"/>
          </w:tcPr>
          <w:p w14:paraId="54F6C6C0" w14:textId="77777777" w:rsidR="000230E8" w:rsidRPr="00C2318B" w:rsidRDefault="000230E8" w:rsidP="000230E8">
            <w:pPr>
              <w:spacing w:after="0"/>
              <w:jc w:val="center"/>
              <w:rPr>
                <w:rFonts w:ascii="Arial" w:hAnsi="Arial" w:cs="Arial"/>
                <w:b/>
                <w:bCs/>
                <w:sz w:val="24"/>
                <w:lang w:eastAsia="en-GB"/>
              </w:rPr>
            </w:pPr>
          </w:p>
        </w:tc>
        <w:tc>
          <w:tcPr>
            <w:tcW w:w="1440" w:type="dxa"/>
            <w:shd w:val="clear" w:color="auto" w:fill="auto"/>
            <w:vAlign w:val="bottom"/>
          </w:tcPr>
          <w:p w14:paraId="1A339708" w14:textId="77777777" w:rsidR="000230E8" w:rsidRPr="00C2318B" w:rsidRDefault="000230E8" w:rsidP="000230E8">
            <w:pPr>
              <w:pStyle w:val="TableCell"/>
              <w:rPr>
                <w:sz w:val="24"/>
                <w:lang w:eastAsia="en-GB"/>
              </w:rPr>
            </w:pPr>
            <w:r w:rsidRPr="00C2318B">
              <w:rPr>
                <w:sz w:val="24"/>
                <w:lang w:eastAsia="en-GB"/>
              </w:rPr>
              <w:t>(16,606)</w:t>
            </w:r>
          </w:p>
        </w:tc>
        <w:tc>
          <w:tcPr>
            <w:tcW w:w="1424" w:type="dxa"/>
            <w:shd w:val="clear" w:color="auto" w:fill="auto"/>
            <w:vAlign w:val="bottom"/>
          </w:tcPr>
          <w:p w14:paraId="4835DB3B" w14:textId="77777777" w:rsidR="000230E8" w:rsidRPr="00C2318B" w:rsidRDefault="000230E8" w:rsidP="000230E8">
            <w:pPr>
              <w:pStyle w:val="TableCell"/>
              <w:rPr>
                <w:sz w:val="24"/>
                <w:lang w:eastAsia="en-GB"/>
              </w:rPr>
            </w:pPr>
            <w:r w:rsidRPr="00C2318B">
              <w:rPr>
                <w:sz w:val="24"/>
                <w:lang w:eastAsia="en-GB"/>
              </w:rPr>
              <w:t xml:space="preserve">115,010 </w:t>
            </w:r>
          </w:p>
        </w:tc>
      </w:tr>
      <w:tr w:rsidR="000230E8" w:rsidRPr="00C2318B" w14:paraId="5513801A" w14:textId="77777777" w:rsidTr="005A0642">
        <w:tblPrEx>
          <w:tblCellMar>
            <w:top w:w="0" w:type="dxa"/>
            <w:bottom w:w="0" w:type="dxa"/>
          </w:tblCellMar>
        </w:tblPrEx>
        <w:tc>
          <w:tcPr>
            <w:tcW w:w="5328" w:type="dxa"/>
            <w:shd w:val="clear" w:color="auto" w:fill="auto"/>
            <w:vAlign w:val="bottom"/>
          </w:tcPr>
          <w:p w14:paraId="06D1711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(Gnóthachan) / Caillteanas Achtúireach ar Dhliteanais Phinsin </w:t>
            </w:r>
          </w:p>
        </w:tc>
        <w:tc>
          <w:tcPr>
            <w:tcW w:w="900" w:type="dxa"/>
            <w:shd w:val="clear" w:color="auto" w:fill="auto"/>
            <w:vAlign w:val="bottom"/>
          </w:tcPr>
          <w:p w14:paraId="2BECA878" w14:textId="77777777" w:rsidR="000230E8" w:rsidRPr="00C2318B" w:rsidRDefault="000230E8" w:rsidP="000230E8">
            <w:pPr>
              <w:spacing w:after="0"/>
              <w:jc w:val="center"/>
              <w:rPr>
                <w:rFonts w:ascii="Arial" w:hAnsi="Arial" w:cs="Arial"/>
                <w:b/>
                <w:bCs/>
                <w:sz w:val="24"/>
                <w:lang w:eastAsia="en-GB"/>
              </w:rPr>
            </w:pPr>
          </w:p>
        </w:tc>
        <w:tc>
          <w:tcPr>
            <w:tcW w:w="1440" w:type="dxa"/>
            <w:shd w:val="clear" w:color="auto" w:fill="auto"/>
            <w:vAlign w:val="bottom"/>
          </w:tcPr>
          <w:p w14:paraId="3107DC03" w14:textId="77777777" w:rsidR="000230E8" w:rsidRPr="00C2318B" w:rsidRDefault="000230E8" w:rsidP="000230E8">
            <w:pPr>
              <w:pStyle w:val="TableCell"/>
              <w:rPr>
                <w:sz w:val="24"/>
                <w:lang w:eastAsia="en-GB"/>
              </w:rPr>
            </w:pPr>
            <w:r w:rsidRPr="00C2318B">
              <w:rPr>
                <w:sz w:val="24"/>
                <w:lang w:eastAsia="en-GB"/>
              </w:rPr>
              <w:t>(1,260,000)</w:t>
            </w:r>
          </w:p>
        </w:tc>
        <w:tc>
          <w:tcPr>
            <w:tcW w:w="1424" w:type="dxa"/>
            <w:shd w:val="clear" w:color="auto" w:fill="auto"/>
            <w:vAlign w:val="bottom"/>
          </w:tcPr>
          <w:p w14:paraId="15901F75" w14:textId="77777777" w:rsidR="000230E8" w:rsidRPr="00C2318B" w:rsidRDefault="000230E8" w:rsidP="000230E8">
            <w:pPr>
              <w:pStyle w:val="TableCell"/>
              <w:rPr>
                <w:sz w:val="24"/>
                <w:lang w:eastAsia="en-GB"/>
              </w:rPr>
            </w:pPr>
            <w:r w:rsidRPr="00C2318B">
              <w:rPr>
                <w:sz w:val="24"/>
                <w:lang w:eastAsia="en-GB"/>
              </w:rPr>
              <w:t>(2,419,000)</w:t>
            </w:r>
          </w:p>
        </w:tc>
      </w:tr>
      <w:tr w:rsidR="000230E8" w:rsidRPr="00C2318B" w14:paraId="3940C2F9" w14:textId="77777777" w:rsidTr="005A0642">
        <w:tblPrEx>
          <w:tblCellMar>
            <w:top w:w="0" w:type="dxa"/>
            <w:bottom w:w="0" w:type="dxa"/>
          </w:tblCellMar>
        </w:tblPrEx>
        <w:tc>
          <w:tcPr>
            <w:tcW w:w="5328" w:type="dxa"/>
            <w:shd w:val="clear" w:color="auto" w:fill="auto"/>
            <w:vAlign w:val="bottom"/>
          </w:tcPr>
          <w:p w14:paraId="682652E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Leasú ar Chistiú Pinsin Iarchurtha </w:t>
            </w:r>
          </w:p>
        </w:tc>
        <w:tc>
          <w:tcPr>
            <w:tcW w:w="900" w:type="dxa"/>
            <w:shd w:val="clear" w:color="auto" w:fill="auto"/>
            <w:vAlign w:val="bottom"/>
          </w:tcPr>
          <w:p w14:paraId="2147C34F" w14:textId="77777777" w:rsidR="000230E8" w:rsidRPr="00C2318B" w:rsidRDefault="000230E8" w:rsidP="000230E8">
            <w:pPr>
              <w:spacing w:after="0"/>
              <w:jc w:val="center"/>
              <w:rPr>
                <w:rFonts w:ascii="Arial" w:hAnsi="Arial" w:cs="Arial"/>
                <w:b/>
                <w:bCs/>
                <w:sz w:val="24"/>
                <w:lang w:eastAsia="en-GB"/>
              </w:rPr>
            </w:pPr>
          </w:p>
        </w:tc>
        <w:tc>
          <w:tcPr>
            <w:tcW w:w="1440" w:type="dxa"/>
            <w:shd w:val="clear" w:color="auto" w:fill="auto"/>
            <w:vAlign w:val="bottom"/>
          </w:tcPr>
          <w:p w14:paraId="591C818B" w14:textId="77777777" w:rsidR="000230E8" w:rsidRPr="00C2318B" w:rsidRDefault="000230E8" w:rsidP="000230E8">
            <w:pPr>
              <w:pStyle w:val="TableCell"/>
              <w:rPr>
                <w:sz w:val="24"/>
                <w:lang w:eastAsia="en-GB"/>
              </w:rPr>
            </w:pPr>
            <w:r w:rsidRPr="00C2318B">
              <w:rPr>
                <w:sz w:val="24"/>
                <w:lang w:eastAsia="en-GB"/>
              </w:rPr>
              <w:t xml:space="preserve">1,260,000 </w:t>
            </w:r>
          </w:p>
        </w:tc>
        <w:tc>
          <w:tcPr>
            <w:tcW w:w="1424" w:type="dxa"/>
            <w:shd w:val="clear" w:color="auto" w:fill="auto"/>
            <w:vAlign w:val="bottom"/>
          </w:tcPr>
          <w:p w14:paraId="35A29527" w14:textId="77777777" w:rsidR="000230E8" w:rsidRPr="00C2318B" w:rsidRDefault="000230E8" w:rsidP="000230E8">
            <w:pPr>
              <w:pStyle w:val="TableCell"/>
              <w:rPr>
                <w:sz w:val="24"/>
                <w:lang w:eastAsia="en-GB"/>
              </w:rPr>
            </w:pPr>
            <w:r w:rsidRPr="00C2318B">
              <w:rPr>
                <w:sz w:val="24"/>
                <w:lang w:eastAsia="en-GB"/>
              </w:rPr>
              <w:t xml:space="preserve">2,419,000 </w:t>
            </w:r>
          </w:p>
        </w:tc>
      </w:tr>
      <w:tr w:rsidR="000230E8" w:rsidRPr="00C2318B" w14:paraId="613A979E" w14:textId="77777777" w:rsidTr="005A0642">
        <w:tblPrEx>
          <w:tblCellMar>
            <w:top w:w="0" w:type="dxa"/>
            <w:bottom w:w="0" w:type="dxa"/>
          </w:tblCellMar>
        </w:tblPrEx>
        <w:tc>
          <w:tcPr>
            <w:tcW w:w="5328" w:type="dxa"/>
            <w:shd w:val="clear" w:color="auto" w:fill="auto"/>
            <w:vAlign w:val="bottom"/>
          </w:tcPr>
          <w:p w14:paraId="0484A114" w14:textId="77777777" w:rsidR="000230E8" w:rsidRPr="00C2318B" w:rsidRDefault="000230E8" w:rsidP="000230E8">
            <w:pPr>
              <w:pStyle w:val="TableRowHead"/>
              <w:rPr>
                <w:rFonts w:ascii="Gill Sans" w:hAnsi="Gill Sans"/>
                <w:bCs/>
                <w:sz w:val="24"/>
                <w:lang w:eastAsia="en-GB"/>
              </w:rPr>
            </w:pPr>
            <w:r w:rsidRPr="00C2318B">
              <w:rPr>
                <w:rFonts w:ascii="Gill Sans" w:hAnsi="Gill Sans"/>
                <w:bCs/>
                <w:sz w:val="24"/>
                <w:lang w:eastAsia="en-GB"/>
              </w:rPr>
              <w:t xml:space="preserve">Iomlán na nGnóthachan / (na gCaillteanas) aitheanta don bhliain </w:t>
            </w:r>
          </w:p>
        </w:tc>
        <w:tc>
          <w:tcPr>
            <w:tcW w:w="900" w:type="dxa"/>
            <w:shd w:val="clear" w:color="auto" w:fill="auto"/>
            <w:vAlign w:val="bottom"/>
          </w:tcPr>
          <w:p w14:paraId="6F242ED7" w14:textId="77777777" w:rsidR="000230E8" w:rsidRPr="00C2318B" w:rsidRDefault="000230E8" w:rsidP="000230E8">
            <w:pPr>
              <w:spacing w:after="0"/>
              <w:jc w:val="center"/>
              <w:rPr>
                <w:rFonts w:ascii="Arial" w:hAnsi="Arial" w:cs="Arial"/>
                <w:b/>
                <w:bCs/>
                <w:sz w:val="24"/>
                <w:lang w:eastAsia="en-GB"/>
              </w:rPr>
            </w:pPr>
          </w:p>
        </w:tc>
        <w:tc>
          <w:tcPr>
            <w:tcW w:w="1440" w:type="dxa"/>
            <w:shd w:val="clear" w:color="auto" w:fill="auto"/>
            <w:vAlign w:val="bottom"/>
          </w:tcPr>
          <w:p w14:paraId="5A25DF3F" w14:textId="77777777" w:rsidR="000230E8" w:rsidRPr="00C2318B" w:rsidRDefault="000230E8" w:rsidP="000230E8">
            <w:pPr>
              <w:pStyle w:val="TableCell"/>
              <w:rPr>
                <w:b/>
                <w:bCs/>
                <w:sz w:val="24"/>
                <w:lang w:eastAsia="en-GB"/>
              </w:rPr>
            </w:pPr>
            <w:r w:rsidRPr="00C2318B">
              <w:rPr>
                <w:b/>
                <w:bCs/>
                <w:sz w:val="24"/>
                <w:lang w:eastAsia="en-GB"/>
              </w:rPr>
              <w:t>(16,606)</w:t>
            </w:r>
          </w:p>
        </w:tc>
        <w:tc>
          <w:tcPr>
            <w:tcW w:w="1424" w:type="dxa"/>
            <w:shd w:val="clear" w:color="auto" w:fill="auto"/>
            <w:vAlign w:val="bottom"/>
          </w:tcPr>
          <w:p w14:paraId="79F25883" w14:textId="77777777" w:rsidR="000230E8" w:rsidRPr="00C2318B" w:rsidRDefault="000230E8" w:rsidP="000230E8">
            <w:pPr>
              <w:pStyle w:val="TableCell"/>
              <w:rPr>
                <w:b/>
                <w:bCs/>
                <w:sz w:val="24"/>
                <w:lang w:eastAsia="en-GB"/>
              </w:rPr>
            </w:pPr>
            <w:r w:rsidRPr="00C2318B">
              <w:rPr>
                <w:b/>
                <w:bCs/>
                <w:sz w:val="24"/>
                <w:lang w:eastAsia="en-GB"/>
              </w:rPr>
              <w:t xml:space="preserve">115,010 </w:t>
            </w:r>
          </w:p>
        </w:tc>
      </w:tr>
    </w:tbl>
    <w:p w14:paraId="1FD77652" w14:textId="77777777" w:rsidR="00983E44" w:rsidRDefault="000230E8" w:rsidP="000230E8">
      <w:pPr>
        <w:rPr>
          <w:lang w:eastAsia="en-GB"/>
        </w:rPr>
      </w:pPr>
      <w:r w:rsidRPr="00C2318B">
        <w:rPr>
          <w:lang w:eastAsia="en-GB"/>
        </w:rPr>
        <w:t>Baineann na torthaí don bhliain le hoibríochtaí leantacha.</w:t>
      </w:r>
    </w:p>
    <w:p w14:paraId="27E2ED2D" w14:textId="77777777" w:rsidR="000230E8" w:rsidRPr="00C2318B" w:rsidRDefault="000230E8" w:rsidP="000230E8">
      <w:pPr>
        <w:rPr>
          <w:lang w:eastAsia="en-GB"/>
        </w:rPr>
      </w:pPr>
      <w:r w:rsidRPr="00C2318B">
        <w:rPr>
          <w:lang w:eastAsia="en-GB"/>
        </w:rPr>
        <w:t>Tá an Ráiteas faoi Pholasaithe Cuntasaíochta, an Ráiteas faoi Shreabhadh Airgid agus Nóta 1 go 16 mar chuid de na Ráitis Airgeadais.</w:t>
      </w:r>
    </w:p>
    <w:p w14:paraId="47B19277" w14:textId="77777777" w:rsidR="000230E8" w:rsidRPr="00C2318B" w:rsidRDefault="000230E8" w:rsidP="000230E8">
      <w:pPr>
        <w:rPr>
          <w:lang w:eastAsia="en-GB"/>
        </w:rPr>
      </w:pPr>
      <w:r w:rsidRPr="005A0642">
        <w:rPr>
          <w:b/>
          <w:lang w:eastAsia="en-GB"/>
        </w:rPr>
        <w:t>Sínithe:</w:t>
      </w:r>
      <w:r w:rsidR="005A0642">
        <w:rPr>
          <w:lang w:eastAsia="en-GB"/>
        </w:rPr>
        <w:tab/>
      </w:r>
      <w:r w:rsidRPr="00C2318B">
        <w:rPr>
          <w:lang w:eastAsia="en-GB"/>
        </w:rPr>
        <w:t>Peter McKevitt (Cathaoirleach)</w:t>
      </w:r>
      <w:r w:rsidR="00983E44">
        <w:rPr>
          <w:lang w:eastAsia="en-GB"/>
        </w:rPr>
        <w:br/>
      </w:r>
      <w:r w:rsidRPr="005A0642">
        <w:rPr>
          <w:b/>
          <w:lang w:eastAsia="en-GB"/>
        </w:rPr>
        <w:t>Sínithe:</w:t>
      </w:r>
      <w:r w:rsidR="005A0642">
        <w:rPr>
          <w:lang w:eastAsia="en-GB"/>
        </w:rPr>
        <w:tab/>
      </w:r>
      <w:r w:rsidRPr="00C2318B">
        <w:rPr>
          <w:lang w:eastAsia="en-GB"/>
        </w:rPr>
        <w:t>Frank Cuneen (Ball den Údarás)</w:t>
      </w:r>
      <w:r w:rsidR="00983E44">
        <w:rPr>
          <w:lang w:eastAsia="en-GB"/>
        </w:rPr>
        <w:br/>
      </w:r>
      <w:r w:rsidRPr="005A0642">
        <w:rPr>
          <w:b/>
          <w:lang w:eastAsia="en-GB"/>
        </w:rPr>
        <w:lastRenderedPageBreak/>
        <w:t>Sínithe:</w:t>
      </w:r>
      <w:r>
        <w:rPr>
          <w:lang w:eastAsia="en-GB"/>
        </w:rPr>
        <w:t xml:space="preserve"> </w:t>
      </w:r>
      <w:r w:rsidR="005A0642">
        <w:rPr>
          <w:lang w:eastAsia="en-GB"/>
        </w:rPr>
        <w:tab/>
      </w:r>
      <w:r>
        <w:rPr>
          <w:lang w:eastAsia="en-GB"/>
        </w:rPr>
        <w:t>Siobhá</w:t>
      </w:r>
      <w:r w:rsidRPr="00C2318B">
        <w:rPr>
          <w:lang w:eastAsia="en-GB"/>
        </w:rPr>
        <w:t>n Barron (Stiúrthóir)</w:t>
      </w:r>
      <w:r w:rsidR="00983E44">
        <w:rPr>
          <w:lang w:eastAsia="en-GB"/>
        </w:rPr>
        <w:br/>
      </w:r>
      <w:r w:rsidRPr="005A0642">
        <w:rPr>
          <w:b/>
          <w:lang w:eastAsia="en-GB"/>
        </w:rPr>
        <w:t>Dáta:</w:t>
      </w:r>
      <w:r w:rsidR="005A0642">
        <w:rPr>
          <w:b/>
          <w:lang w:eastAsia="en-GB"/>
        </w:rPr>
        <w:tab/>
      </w:r>
      <w:r w:rsidR="005A0642">
        <w:rPr>
          <w:b/>
          <w:lang w:eastAsia="en-GB"/>
        </w:rPr>
        <w:tab/>
      </w:r>
      <w:r w:rsidR="005A0642" w:rsidRPr="005A0642">
        <w:rPr>
          <w:lang w:eastAsia="en-GB"/>
        </w:rPr>
        <w:t>1</w:t>
      </w:r>
      <w:r>
        <w:rPr>
          <w:lang w:eastAsia="en-GB"/>
        </w:rPr>
        <w:t>0</w:t>
      </w:r>
      <w:r w:rsidRPr="00C2318B">
        <w:rPr>
          <w:lang w:eastAsia="en-GB"/>
        </w:rPr>
        <w:t xml:space="preserve"> </w:t>
      </w:r>
      <w:r>
        <w:rPr>
          <w:lang w:eastAsia="en-GB"/>
        </w:rPr>
        <w:t xml:space="preserve">Meán Fómhair </w:t>
      </w:r>
      <w:r w:rsidRPr="00C2318B">
        <w:rPr>
          <w:lang w:eastAsia="en-GB"/>
        </w:rPr>
        <w:t>201</w:t>
      </w:r>
      <w:r>
        <w:rPr>
          <w:lang w:eastAsia="en-GB"/>
        </w:rPr>
        <w:t>2</w:t>
      </w:r>
      <w:r w:rsidRPr="00C2318B">
        <w:rPr>
          <w:lang w:eastAsia="en-GB"/>
        </w:rPr>
        <w:t xml:space="preserve">    </w:t>
      </w:r>
    </w:p>
    <w:p w14:paraId="024CC523" w14:textId="77777777" w:rsidR="000230E8" w:rsidRPr="00C2318B" w:rsidRDefault="000230E8" w:rsidP="00BB5DD2">
      <w:pPr>
        <w:pStyle w:val="Heading1"/>
        <w:rPr>
          <w:lang w:eastAsia="en-GB"/>
        </w:rPr>
      </w:pPr>
      <w:r w:rsidRPr="00C2318B">
        <w:rPr>
          <w:lang w:eastAsia="en-GB"/>
        </w:rPr>
        <w:br w:type="page"/>
      </w:r>
      <w:bookmarkStart w:id="495" w:name="_Toc335836547"/>
      <w:bookmarkStart w:id="496" w:name="_Toc335986631"/>
      <w:r w:rsidRPr="00C2318B">
        <w:rPr>
          <w:lang w:eastAsia="en-GB"/>
        </w:rPr>
        <w:lastRenderedPageBreak/>
        <w:t>Clár Comhardaithe amhail an 31 Nollaig 2011</w:t>
      </w:r>
      <w:bookmarkEnd w:id="495"/>
      <w:bookmarkEnd w:id="496"/>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1116"/>
        <w:gridCol w:w="1476"/>
        <w:gridCol w:w="1476"/>
      </w:tblGrid>
      <w:tr w:rsidR="000230E8" w:rsidRPr="00C2318B" w14:paraId="79499309" w14:textId="77777777" w:rsidTr="005A0642">
        <w:tblPrEx>
          <w:tblCellMar>
            <w:top w:w="0" w:type="dxa"/>
            <w:bottom w:w="0" w:type="dxa"/>
          </w:tblCellMar>
        </w:tblPrEx>
        <w:trPr>
          <w:tblHeader/>
        </w:trPr>
        <w:tc>
          <w:tcPr>
            <w:tcW w:w="4788" w:type="dxa"/>
            <w:shd w:val="clear" w:color="auto" w:fill="auto"/>
          </w:tcPr>
          <w:p w14:paraId="56338463" w14:textId="77777777" w:rsidR="000230E8" w:rsidRPr="00C2318B" w:rsidRDefault="000230E8" w:rsidP="000230E8">
            <w:pPr>
              <w:pStyle w:val="TableHead"/>
              <w:jc w:val="right"/>
              <w:rPr>
                <w:sz w:val="24"/>
                <w:lang/>
              </w:rPr>
            </w:pPr>
          </w:p>
        </w:tc>
        <w:tc>
          <w:tcPr>
            <w:tcW w:w="1116" w:type="dxa"/>
            <w:vAlign w:val="bottom"/>
          </w:tcPr>
          <w:p w14:paraId="116ABE69" w14:textId="77777777" w:rsidR="000230E8" w:rsidRPr="00C2318B" w:rsidRDefault="000230E8" w:rsidP="000230E8">
            <w:pPr>
              <w:pStyle w:val="TableHead"/>
              <w:jc w:val="right"/>
              <w:rPr>
                <w:lang w:eastAsia="en-GB"/>
              </w:rPr>
            </w:pPr>
            <w:r w:rsidRPr="00C2318B">
              <w:rPr>
                <w:lang w:eastAsia="en-GB"/>
              </w:rPr>
              <w:t>Nótaí</w:t>
            </w:r>
          </w:p>
        </w:tc>
        <w:tc>
          <w:tcPr>
            <w:tcW w:w="1476" w:type="dxa"/>
            <w:vAlign w:val="bottom"/>
          </w:tcPr>
          <w:p w14:paraId="4717709A" w14:textId="77777777" w:rsidR="000230E8" w:rsidRPr="00C2318B" w:rsidRDefault="000230E8" w:rsidP="000230E8">
            <w:pPr>
              <w:pStyle w:val="TableHead"/>
              <w:jc w:val="right"/>
              <w:rPr>
                <w:bCs/>
                <w:lang w:eastAsia="en-GB"/>
              </w:rPr>
            </w:pPr>
            <w:r w:rsidRPr="00C2318B">
              <w:rPr>
                <w:bCs/>
                <w:lang w:eastAsia="en-GB"/>
              </w:rPr>
              <w:t>2011</w:t>
            </w:r>
          </w:p>
        </w:tc>
        <w:tc>
          <w:tcPr>
            <w:tcW w:w="1476" w:type="dxa"/>
            <w:vAlign w:val="bottom"/>
          </w:tcPr>
          <w:p w14:paraId="69478F19" w14:textId="77777777" w:rsidR="000230E8" w:rsidRPr="00C2318B" w:rsidRDefault="000230E8" w:rsidP="000230E8">
            <w:pPr>
              <w:pStyle w:val="TableHead"/>
              <w:jc w:val="right"/>
              <w:rPr>
                <w:bCs/>
                <w:lang w:eastAsia="en-GB"/>
              </w:rPr>
            </w:pPr>
            <w:r w:rsidRPr="00C2318B">
              <w:rPr>
                <w:bCs/>
                <w:lang w:eastAsia="en-GB"/>
              </w:rPr>
              <w:t>2010</w:t>
            </w:r>
          </w:p>
        </w:tc>
      </w:tr>
      <w:tr w:rsidR="000230E8" w:rsidRPr="00C2318B" w14:paraId="10DAF2CF" w14:textId="77777777" w:rsidTr="005A0642">
        <w:tblPrEx>
          <w:tblCellMar>
            <w:top w:w="0" w:type="dxa"/>
            <w:bottom w:w="0" w:type="dxa"/>
          </w:tblCellMar>
        </w:tblPrEx>
        <w:tc>
          <w:tcPr>
            <w:tcW w:w="4788" w:type="dxa"/>
            <w:shd w:val="clear" w:color="auto" w:fill="auto"/>
          </w:tcPr>
          <w:p w14:paraId="169AC220" w14:textId="77777777" w:rsidR="000230E8" w:rsidRPr="00C2318B" w:rsidRDefault="000230E8" w:rsidP="000230E8">
            <w:pPr>
              <w:pStyle w:val="TableRowHead"/>
              <w:rPr>
                <w:rFonts w:ascii="Gill Sans" w:hAnsi="Gill Sans"/>
                <w:sz w:val="24"/>
                <w:lang/>
              </w:rPr>
            </w:pPr>
          </w:p>
        </w:tc>
        <w:tc>
          <w:tcPr>
            <w:tcW w:w="1116" w:type="dxa"/>
            <w:vAlign w:val="bottom"/>
          </w:tcPr>
          <w:p w14:paraId="4A15F0DC" w14:textId="77777777" w:rsidR="000230E8" w:rsidRPr="00C2318B" w:rsidRDefault="000230E8" w:rsidP="000230E8">
            <w:pPr>
              <w:spacing w:after="0"/>
              <w:jc w:val="center"/>
              <w:rPr>
                <w:rFonts w:cs="Arial"/>
                <w:sz w:val="24"/>
                <w:lang w:eastAsia="en-GB"/>
              </w:rPr>
            </w:pPr>
          </w:p>
        </w:tc>
        <w:tc>
          <w:tcPr>
            <w:tcW w:w="1476" w:type="dxa"/>
            <w:vAlign w:val="bottom"/>
          </w:tcPr>
          <w:p w14:paraId="46C5FA58" w14:textId="77777777" w:rsidR="000230E8" w:rsidRPr="00C2318B" w:rsidRDefault="000230E8" w:rsidP="000230E8">
            <w:pPr>
              <w:spacing w:after="0"/>
              <w:jc w:val="right"/>
              <w:rPr>
                <w:rFonts w:ascii="Arial" w:hAnsi="Arial" w:cs="Arial"/>
                <w:b/>
                <w:bCs/>
                <w:sz w:val="24"/>
                <w:lang w:eastAsia="en-GB"/>
              </w:rPr>
            </w:pPr>
            <w:r w:rsidRPr="00C2318B">
              <w:rPr>
                <w:rFonts w:ascii="Arial" w:hAnsi="Arial" w:cs="Arial"/>
                <w:b/>
                <w:bCs/>
                <w:sz w:val="24"/>
                <w:lang w:eastAsia="en-GB"/>
              </w:rPr>
              <w:t>€</w:t>
            </w:r>
          </w:p>
        </w:tc>
        <w:tc>
          <w:tcPr>
            <w:tcW w:w="1476" w:type="dxa"/>
            <w:vAlign w:val="bottom"/>
          </w:tcPr>
          <w:p w14:paraId="3421D451" w14:textId="77777777" w:rsidR="000230E8" w:rsidRPr="00C2318B" w:rsidRDefault="000230E8" w:rsidP="000230E8">
            <w:pPr>
              <w:spacing w:after="0"/>
              <w:jc w:val="right"/>
              <w:rPr>
                <w:rFonts w:ascii="Arial" w:hAnsi="Arial" w:cs="Arial"/>
                <w:b/>
                <w:bCs/>
                <w:sz w:val="24"/>
                <w:lang w:eastAsia="en-GB"/>
              </w:rPr>
            </w:pPr>
            <w:r w:rsidRPr="00C2318B">
              <w:rPr>
                <w:rFonts w:ascii="Arial" w:hAnsi="Arial" w:cs="Arial"/>
                <w:b/>
                <w:bCs/>
                <w:sz w:val="24"/>
                <w:lang w:eastAsia="en-GB"/>
              </w:rPr>
              <w:t>€</w:t>
            </w:r>
          </w:p>
        </w:tc>
      </w:tr>
      <w:tr w:rsidR="000230E8" w:rsidRPr="00C2318B" w14:paraId="5829A004" w14:textId="77777777" w:rsidTr="005A0642">
        <w:tblPrEx>
          <w:tblCellMar>
            <w:top w:w="0" w:type="dxa"/>
            <w:bottom w:w="0" w:type="dxa"/>
          </w:tblCellMar>
        </w:tblPrEx>
        <w:tc>
          <w:tcPr>
            <w:tcW w:w="4788" w:type="dxa"/>
            <w:shd w:val="clear" w:color="auto" w:fill="auto"/>
            <w:vAlign w:val="bottom"/>
          </w:tcPr>
          <w:p w14:paraId="3AA19856"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Sócmhainní Seasta</w:t>
            </w:r>
          </w:p>
        </w:tc>
        <w:tc>
          <w:tcPr>
            <w:tcW w:w="1116" w:type="dxa"/>
            <w:vAlign w:val="bottom"/>
          </w:tcPr>
          <w:p w14:paraId="645DEA5D" w14:textId="77777777" w:rsidR="000230E8" w:rsidRPr="00C2318B" w:rsidRDefault="000230E8" w:rsidP="000230E8">
            <w:pPr>
              <w:spacing w:after="0"/>
              <w:jc w:val="center"/>
              <w:rPr>
                <w:rFonts w:cs="Arial"/>
                <w:sz w:val="24"/>
                <w:lang w:eastAsia="en-GB"/>
              </w:rPr>
            </w:pPr>
            <w:r w:rsidRPr="00C2318B">
              <w:rPr>
                <w:rFonts w:cs="Arial"/>
                <w:sz w:val="24"/>
                <w:lang w:eastAsia="en-GB"/>
              </w:rPr>
              <w:t>7</w:t>
            </w:r>
          </w:p>
        </w:tc>
        <w:tc>
          <w:tcPr>
            <w:tcW w:w="1476" w:type="dxa"/>
            <w:vAlign w:val="bottom"/>
          </w:tcPr>
          <w:p w14:paraId="01F4EACC"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3,027,866 </w:t>
            </w:r>
          </w:p>
        </w:tc>
        <w:tc>
          <w:tcPr>
            <w:tcW w:w="1476" w:type="dxa"/>
            <w:vAlign w:val="bottom"/>
          </w:tcPr>
          <w:p w14:paraId="2BE05500"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3,111,965 </w:t>
            </w:r>
          </w:p>
        </w:tc>
      </w:tr>
      <w:tr w:rsidR="000230E8" w:rsidRPr="00C2318B" w14:paraId="43EC5E1F" w14:textId="77777777" w:rsidTr="005A0642">
        <w:tblPrEx>
          <w:tblCellMar>
            <w:top w:w="0" w:type="dxa"/>
            <w:bottom w:w="0" w:type="dxa"/>
          </w:tblCellMar>
        </w:tblPrEx>
        <w:tc>
          <w:tcPr>
            <w:tcW w:w="8856" w:type="dxa"/>
            <w:gridSpan w:val="4"/>
            <w:shd w:val="clear" w:color="auto" w:fill="auto"/>
            <w:vAlign w:val="bottom"/>
          </w:tcPr>
          <w:p w14:paraId="4FECA114" w14:textId="77777777" w:rsidR="000230E8" w:rsidRPr="00C2318B" w:rsidRDefault="000230E8" w:rsidP="000230E8">
            <w:pPr>
              <w:pStyle w:val="TableHead"/>
              <w:jc w:val="center"/>
              <w:rPr>
                <w:sz w:val="24"/>
                <w:lang w:eastAsia="en-GB"/>
              </w:rPr>
            </w:pPr>
            <w:r w:rsidRPr="00C2318B">
              <w:rPr>
                <w:sz w:val="24"/>
                <w:lang w:eastAsia="en-GB"/>
              </w:rPr>
              <w:t>Sócmhainní Reatha</w:t>
            </w:r>
          </w:p>
        </w:tc>
      </w:tr>
      <w:tr w:rsidR="000230E8" w:rsidRPr="00C2318B" w14:paraId="727B8DFD" w14:textId="77777777" w:rsidTr="005A0642">
        <w:tblPrEx>
          <w:tblCellMar>
            <w:top w:w="0" w:type="dxa"/>
            <w:bottom w:w="0" w:type="dxa"/>
          </w:tblCellMar>
        </w:tblPrEx>
        <w:tc>
          <w:tcPr>
            <w:tcW w:w="4788" w:type="dxa"/>
            <w:shd w:val="clear" w:color="auto" w:fill="auto"/>
            <w:vAlign w:val="bottom"/>
          </w:tcPr>
          <w:p w14:paraId="5DE3ADA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Féichiúnaithe agus Réamhíocaíochtaí </w:t>
            </w:r>
          </w:p>
        </w:tc>
        <w:tc>
          <w:tcPr>
            <w:tcW w:w="1116" w:type="dxa"/>
            <w:vAlign w:val="bottom"/>
          </w:tcPr>
          <w:p w14:paraId="02895961" w14:textId="77777777" w:rsidR="000230E8" w:rsidRPr="00C2318B" w:rsidRDefault="000230E8" w:rsidP="000230E8">
            <w:pPr>
              <w:spacing w:after="0"/>
              <w:jc w:val="center"/>
              <w:rPr>
                <w:rFonts w:cs="Arial"/>
                <w:sz w:val="24"/>
                <w:lang w:eastAsia="en-GB"/>
              </w:rPr>
            </w:pPr>
            <w:r w:rsidRPr="00C2318B">
              <w:rPr>
                <w:rFonts w:cs="Arial"/>
                <w:sz w:val="24"/>
                <w:lang w:eastAsia="en-GB"/>
              </w:rPr>
              <w:t>12</w:t>
            </w:r>
          </w:p>
        </w:tc>
        <w:tc>
          <w:tcPr>
            <w:tcW w:w="1476" w:type="dxa"/>
            <w:vAlign w:val="bottom"/>
          </w:tcPr>
          <w:p w14:paraId="6A3687D2"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151,608 </w:t>
            </w:r>
          </w:p>
        </w:tc>
        <w:tc>
          <w:tcPr>
            <w:tcW w:w="1476" w:type="dxa"/>
            <w:vAlign w:val="bottom"/>
          </w:tcPr>
          <w:p w14:paraId="49057C3A"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92,999 </w:t>
            </w:r>
          </w:p>
        </w:tc>
      </w:tr>
      <w:tr w:rsidR="000230E8" w:rsidRPr="00C2318B" w14:paraId="33BAFD0D" w14:textId="77777777" w:rsidTr="005A0642">
        <w:tblPrEx>
          <w:tblCellMar>
            <w:top w:w="0" w:type="dxa"/>
            <w:bottom w:w="0" w:type="dxa"/>
          </w:tblCellMar>
        </w:tblPrEx>
        <w:tc>
          <w:tcPr>
            <w:tcW w:w="4788" w:type="dxa"/>
            <w:shd w:val="clear" w:color="auto" w:fill="auto"/>
            <w:vAlign w:val="bottom"/>
          </w:tcPr>
          <w:p w14:paraId="090329B6"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Airgead sa Bhanc agus ar Láimh </w:t>
            </w:r>
          </w:p>
        </w:tc>
        <w:tc>
          <w:tcPr>
            <w:tcW w:w="1116" w:type="dxa"/>
            <w:vAlign w:val="bottom"/>
          </w:tcPr>
          <w:p w14:paraId="5963D5E6" w14:textId="77777777" w:rsidR="000230E8" w:rsidRPr="00C2318B" w:rsidRDefault="000230E8" w:rsidP="000230E8">
            <w:pPr>
              <w:spacing w:after="0"/>
              <w:jc w:val="center"/>
              <w:rPr>
                <w:rFonts w:cs="Arial"/>
                <w:sz w:val="24"/>
                <w:lang w:eastAsia="en-GB"/>
              </w:rPr>
            </w:pPr>
            <w:r w:rsidRPr="00C2318B">
              <w:rPr>
                <w:rFonts w:cs="Arial"/>
                <w:sz w:val="24"/>
                <w:lang w:eastAsia="en-GB"/>
              </w:rPr>
              <w:t>9(b)</w:t>
            </w:r>
          </w:p>
        </w:tc>
        <w:tc>
          <w:tcPr>
            <w:tcW w:w="1476" w:type="dxa"/>
            <w:vAlign w:val="bottom"/>
          </w:tcPr>
          <w:p w14:paraId="6611CDE4"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114 </w:t>
            </w:r>
          </w:p>
        </w:tc>
        <w:tc>
          <w:tcPr>
            <w:tcW w:w="1476" w:type="dxa"/>
            <w:vAlign w:val="bottom"/>
          </w:tcPr>
          <w:p w14:paraId="54148EE6"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301 </w:t>
            </w:r>
          </w:p>
        </w:tc>
      </w:tr>
      <w:tr w:rsidR="000230E8" w:rsidRPr="00C2318B" w14:paraId="2A69E179" w14:textId="77777777" w:rsidTr="005A0642">
        <w:tblPrEx>
          <w:tblCellMar>
            <w:top w:w="0" w:type="dxa"/>
            <w:bottom w:w="0" w:type="dxa"/>
          </w:tblCellMar>
        </w:tblPrEx>
        <w:tc>
          <w:tcPr>
            <w:tcW w:w="4788" w:type="dxa"/>
            <w:shd w:val="clear" w:color="auto" w:fill="auto"/>
            <w:vAlign w:val="bottom"/>
          </w:tcPr>
          <w:p w14:paraId="278A99FD" w14:textId="77777777" w:rsidR="000230E8" w:rsidRPr="00C2318B" w:rsidRDefault="000230E8" w:rsidP="000230E8">
            <w:pPr>
              <w:spacing w:after="0"/>
              <w:rPr>
                <w:rFonts w:cs="Arial"/>
                <w:sz w:val="24"/>
                <w:lang w:eastAsia="en-GB"/>
              </w:rPr>
            </w:pPr>
          </w:p>
        </w:tc>
        <w:tc>
          <w:tcPr>
            <w:tcW w:w="1116" w:type="dxa"/>
            <w:vAlign w:val="bottom"/>
          </w:tcPr>
          <w:p w14:paraId="0B425694" w14:textId="77777777" w:rsidR="000230E8" w:rsidRPr="00C2318B" w:rsidRDefault="000230E8" w:rsidP="000230E8">
            <w:pPr>
              <w:spacing w:after="0"/>
              <w:jc w:val="center"/>
              <w:rPr>
                <w:rFonts w:cs="Arial"/>
                <w:sz w:val="24"/>
                <w:lang w:eastAsia="en-GB"/>
              </w:rPr>
            </w:pPr>
          </w:p>
        </w:tc>
        <w:tc>
          <w:tcPr>
            <w:tcW w:w="1476" w:type="dxa"/>
            <w:vAlign w:val="bottom"/>
          </w:tcPr>
          <w:p w14:paraId="0B00332D"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151,722 </w:t>
            </w:r>
          </w:p>
        </w:tc>
        <w:tc>
          <w:tcPr>
            <w:tcW w:w="1476" w:type="dxa"/>
            <w:vAlign w:val="bottom"/>
          </w:tcPr>
          <w:p w14:paraId="21B7FCCC"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93,300 </w:t>
            </w:r>
          </w:p>
        </w:tc>
      </w:tr>
      <w:tr w:rsidR="000230E8" w:rsidRPr="00C2318B" w14:paraId="61DF8A77" w14:textId="77777777" w:rsidTr="005A0642">
        <w:tblPrEx>
          <w:tblCellMar>
            <w:top w:w="0" w:type="dxa"/>
            <w:bottom w:w="0" w:type="dxa"/>
          </w:tblCellMar>
        </w:tblPrEx>
        <w:tc>
          <w:tcPr>
            <w:tcW w:w="8856" w:type="dxa"/>
            <w:gridSpan w:val="4"/>
            <w:shd w:val="clear" w:color="auto" w:fill="auto"/>
            <w:vAlign w:val="bottom"/>
          </w:tcPr>
          <w:p w14:paraId="3AFB9DBF" w14:textId="77777777" w:rsidR="000230E8" w:rsidRPr="00C2318B" w:rsidRDefault="000230E8" w:rsidP="000230E8">
            <w:pPr>
              <w:pStyle w:val="TableHead"/>
              <w:jc w:val="center"/>
              <w:rPr>
                <w:sz w:val="24"/>
                <w:lang w:eastAsia="en-GB"/>
              </w:rPr>
            </w:pPr>
            <w:r w:rsidRPr="00C2318B">
              <w:rPr>
                <w:sz w:val="24"/>
                <w:lang w:eastAsia="en-GB"/>
              </w:rPr>
              <w:t>Dliteanais Reatha</w:t>
            </w:r>
          </w:p>
        </w:tc>
      </w:tr>
      <w:tr w:rsidR="000230E8" w:rsidRPr="00C2318B" w14:paraId="7646DC68" w14:textId="77777777" w:rsidTr="005A0642">
        <w:tblPrEx>
          <w:tblCellMar>
            <w:top w:w="0" w:type="dxa"/>
            <w:bottom w:w="0" w:type="dxa"/>
          </w:tblCellMar>
        </w:tblPrEx>
        <w:tc>
          <w:tcPr>
            <w:tcW w:w="4788" w:type="dxa"/>
            <w:shd w:val="clear" w:color="auto" w:fill="auto"/>
            <w:vAlign w:val="bottom"/>
          </w:tcPr>
          <w:p w14:paraId="57CFEE8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Creidiúnaithe agus Fabhruithe</w:t>
            </w:r>
          </w:p>
        </w:tc>
        <w:tc>
          <w:tcPr>
            <w:tcW w:w="1116" w:type="dxa"/>
            <w:vAlign w:val="bottom"/>
          </w:tcPr>
          <w:p w14:paraId="5EFE1E62" w14:textId="77777777" w:rsidR="000230E8" w:rsidRPr="00C2318B" w:rsidRDefault="000230E8" w:rsidP="000230E8">
            <w:pPr>
              <w:spacing w:after="0"/>
              <w:jc w:val="center"/>
              <w:rPr>
                <w:rFonts w:cs="Arial"/>
                <w:sz w:val="24"/>
                <w:lang w:eastAsia="en-GB"/>
              </w:rPr>
            </w:pPr>
            <w:r w:rsidRPr="00C2318B">
              <w:rPr>
                <w:rFonts w:cs="Arial"/>
                <w:sz w:val="24"/>
                <w:lang w:eastAsia="en-GB"/>
              </w:rPr>
              <w:t>11</w:t>
            </w:r>
          </w:p>
        </w:tc>
        <w:tc>
          <w:tcPr>
            <w:tcW w:w="1476" w:type="dxa"/>
            <w:vAlign w:val="bottom"/>
          </w:tcPr>
          <w:p w14:paraId="55E08D09"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122,309 </w:t>
            </w:r>
          </w:p>
        </w:tc>
        <w:tc>
          <w:tcPr>
            <w:tcW w:w="1476" w:type="dxa"/>
            <w:vAlign w:val="bottom"/>
          </w:tcPr>
          <w:p w14:paraId="228F80A4"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47,280 </w:t>
            </w:r>
          </w:p>
        </w:tc>
      </w:tr>
      <w:tr w:rsidR="000230E8" w:rsidRPr="00C2318B" w14:paraId="4DB96882" w14:textId="77777777" w:rsidTr="005A0642">
        <w:tblPrEx>
          <w:tblCellMar>
            <w:top w:w="0" w:type="dxa"/>
            <w:bottom w:w="0" w:type="dxa"/>
          </w:tblCellMar>
        </w:tblPrEx>
        <w:tc>
          <w:tcPr>
            <w:tcW w:w="4788" w:type="dxa"/>
            <w:shd w:val="clear" w:color="auto" w:fill="auto"/>
            <w:vAlign w:val="bottom"/>
          </w:tcPr>
          <w:p w14:paraId="178270E7" w14:textId="77777777" w:rsidR="000230E8" w:rsidRPr="00C2318B" w:rsidRDefault="000230E8" w:rsidP="000230E8">
            <w:pPr>
              <w:spacing w:after="0"/>
              <w:rPr>
                <w:rFonts w:cs="Arial"/>
                <w:sz w:val="24"/>
                <w:lang w:eastAsia="en-GB"/>
              </w:rPr>
            </w:pPr>
          </w:p>
        </w:tc>
        <w:tc>
          <w:tcPr>
            <w:tcW w:w="1116" w:type="dxa"/>
            <w:vAlign w:val="bottom"/>
          </w:tcPr>
          <w:p w14:paraId="02320FC9" w14:textId="77777777" w:rsidR="000230E8" w:rsidRPr="00C2318B" w:rsidRDefault="000230E8" w:rsidP="000230E8">
            <w:pPr>
              <w:spacing w:after="0"/>
              <w:jc w:val="center"/>
              <w:rPr>
                <w:rFonts w:cs="Arial"/>
                <w:sz w:val="24"/>
                <w:lang w:eastAsia="en-GB"/>
              </w:rPr>
            </w:pPr>
            <w:r w:rsidRPr="00C2318B">
              <w:rPr>
                <w:rFonts w:cs="Arial"/>
                <w:sz w:val="24"/>
                <w:lang w:eastAsia="en-GB"/>
              </w:rPr>
              <w:t xml:space="preserve"> </w:t>
            </w:r>
          </w:p>
        </w:tc>
        <w:tc>
          <w:tcPr>
            <w:tcW w:w="1476" w:type="dxa"/>
            <w:vAlign w:val="bottom"/>
          </w:tcPr>
          <w:p w14:paraId="55943888"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122,309 </w:t>
            </w:r>
          </w:p>
        </w:tc>
        <w:tc>
          <w:tcPr>
            <w:tcW w:w="1476" w:type="dxa"/>
            <w:vAlign w:val="bottom"/>
          </w:tcPr>
          <w:p w14:paraId="3249A12F"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47,280 </w:t>
            </w:r>
          </w:p>
        </w:tc>
      </w:tr>
      <w:tr w:rsidR="000230E8" w:rsidRPr="00C2318B" w14:paraId="5016727A" w14:textId="77777777" w:rsidTr="005A0642">
        <w:tblPrEx>
          <w:tblCellMar>
            <w:top w:w="0" w:type="dxa"/>
            <w:bottom w:w="0" w:type="dxa"/>
          </w:tblCellMar>
        </w:tblPrEx>
        <w:tc>
          <w:tcPr>
            <w:tcW w:w="4788" w:type="dxa"/>
            <w:shd w:val="clear" w:color="auto" w:fill="auto"/>
            <w:vAlign w:val="bottom"/>
          </w:tcPr>
          <w:p w14:paraId="5CEB144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Glansócmhainní Reatha</w:t>
            </w:r>
          </w:p>
        </w:tc>
        <w:tc>
          <w:tcPr>
            <w:tcW w:w="1116" w:type="dxa"/>
            <w:vAlign w:val="bottom"/>
          </w:tcPr>
          <w:p w14:paraId="417695FB" w14:textId="77777777" w:rsidR="000230E8" w:rsidRPr="00C2318B" w:rsidRDefault="000230E8" w:rsidP="000230E8">
            <w:pPr>
              <w:spacing w:after="0"/>
              <w:jc w:val="center"/>
              <w:rPr>
                <w:rFonts w:cs="Arial"/>
                <w:sz w:val="24"/>
                <w:lang w:eastAsia="en-GB"/>
              </w:rPr>
            </w:pPr>
            <w:r w:rsidRPr="00C2318B">
              <w:rPr>
                <w:rFonts w:cs="Arial"/>
                <w:sz w:val="24"/>
                <w:lang w:eastAsia="en-GB"/>
              </w:rPr>
              <w:t xml:space="preserve"> </w:t>
            </w:r>
          </w:p>
        </w:tc>
        <w:tc>
          <w:tcPr>
            <w:tcW w:w="1476" w:type="dxa"/>
            <w:vAlign w:val="bottom"/>
          </w:tcPr>
          <w:p w14:paraId="7D648703"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29,413 </w:t>
            </w:r>
          </w:p>
        </w:tc>
        <w:tc>
          <w:tcPr>
            <w:tcW w:w="1476" w:type="dxa"/>
            <w:vAlign w:val="bottom"/>
          </w:tcPr>
          <w:p w14:paraId="149C6D36"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46,019 </w:t>
            </w:r>
          </w:p>
        </w:tc>
      </w:tr>
      <w:tr w:rsidR="000230E8" w:rsidRPr="00C2318B" w14:paraId="609A6D55" w14:textId="77777777" w:rsidTr="005A0642">
        <w:tblPrEx>
          <w:tblCellMar>
            <w:top w:w="0" w:type="dxa"/>
            <w:bottom w:w="0" w:type="dxa"/>
          </w:tblCellMar>
        </w:tblPrEx>
        <w:tc>
          <w:tcPr>
            <w:tcW w:w="4788" w:type="dxa"/>
            <w:shd w:val="clear" w:color="auto" w:fill="auto"/>
            <w:vAlign w:val="bottom"/>
          </w:tcPr>
          <w:p w14:paraId="0832A59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Iomlán na Sócmhainní Lúide Dliteanais Reatha Roimh Phinsin </w:t>
            </w:r>
          </w:p>
        </w:tc>
        <w:tc>
          <w:tcPr>
            <w:tcW w:w="1116" w:type="dxa"/>
            <w:vAlign w:val="bottom"/>
          </w:tcPr>
          <w:p w14:paraId="1A0646BA" w14:textId="77777777" w:rsidR="000230E8" w:rsidRPr="00C2318B" w:rsidRDefault="000230E8" w:rsidP="000230E8">
            <w:pPr>
              <w:spacing w:after="0"/>
              <w:jc w:val="center"/>
              <w:rPr>
                <w:rFonts w:cs="Arial"/>
                <w:sz w:val="24"/>
                <w:lang w:eastAsia="en-GB"/>
              </w:rPr>
            </w:pPr>
          </w:p>
        </w:tc>
        <w:tc>
          <w:tcPr>
            <w:tcW w:w="1476" w:type="dxa"/>
            <w:vAlign w:val="bottom"/>
          </w:tcPr>
          <w:p w14:paraId="7DD416FF"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3,057,279 </w:t>
            </w:r>
          </w:p>
        </w:tc>
        <w:tc>
          <w:tcPr>
            <w:tcW w:w="1476" w:type="dxa"/>
            <w:vAlign w:val="bottom"/>
          </w:tcPr>
          <w:p w14:paraId="4C833523"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3,157,985 </w:t>
            </w:r>
          </w:p>
        </w:tc>
      </w:tr>
      <w:tr w:rsidR="000230E8" w:rsidRPr="00C2318B" w14:paraId="3BFE24C4" w14:textId="77777777" w:rsidTr="005A0642">
        <w:tblPrEx>
          <w:tblCellMar>
            <w:top w:w="0" w:type="dxa"/>
            <w:bottom w:w="0" w:type="dxa"/>
          </w:tblCellMar>
        </w:tblPrEx>
        <w:tc>
          <w:tcPr>
            <w:tcW w:w="4788" w:type="dxa"/>
            <w:shd w:val="clear" w:color="auto" w:fill="auto"/>
            <w:vAlign w:val="bottom"/>
          </w:tcPr>
          <w:p w14:paraId="1F614C1E"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Sócmhainn Cistithe Iarchurtha le haghaidh Pinsean </w:t>
            </w:r>
          </w:p>
        </w:tc>
        <w:tc>
          <w:tcPr>
            <w:tcW w:w="1116" w:type="dxa"/>
            <w:vAlign w:val="bottom"/>
          </w:tcPr>
          <w:p w14:paraId="72B1E680" w14:textId="77777777" w:rsidR="000230E8" w:rsidRPr="00C2318B" w:rsidRDefault="000230E8" w:rsidP="000230E8">
            <w:pPr>
              <w:spacing w:after="0"/>
              <w:jc w:val="center"/>
              <w:rPr>
                <w:rFonts w:cs="Arial"/>
                <w:sz w:val="24"/>
                <w:lang w:eastAsia="en-GB"/>
              </w:rPr>
            </w:pPr>
            <w:r w:rsidRPr="00C2318B">
              <w:rPr>
                <w:rFonts w:cs="Arial"/>
                <w:sz w:val="24"/>
                <w:lang w:eastAsia="en-GB"/>
              </w:rPr>
              <w:t>10(d)</w:t>
            </w:r>
          </w:p>
        </w:tc>
        <w:tc>
          <w:tcPr>
            <w:tcW w:w="1476" w:type="dxa"/>
            <w:vAlign w:val="bottom"/>
          </w:tcPr>
          <w:p w14:paraId="2DE4A0E8" w14:textId="77777777" w:rsidR="000230E8" w:rsidRPr="00C2318B" w:rsidRDefault="000230E8" w:rsidP="000230E8">
            <w:pPr>
              <w:spacing w:after="0"/>
              <w:jc w:val="right"/>
              <w:rPr>
                <w:rFonts w:cs="Arial"/>
                <w:sz w:val="24"/>
                <w:lang w:eastAsia="en-GB"/>
              </w:rPr>
            </w:pPr>
            <w:r w:rsidRPr="00C2318B">
              <w:rPr>
                <w:rFonts w:cs="Arial"/>
                <w:sz w:val="24"/>
                <w:lang w:eastAsia="en-GB"/>
              </w:rPr>
              <w:t>(16,700,000)</w:t>
            </w:r>
          </w:p>
        </w:tc>
        <w:tc>
          <w:tcPr>
            <w:tcW w:w="1476" w:type="dxa"/>
            <w:vAlign w:val="bottom"/>
          </w:tcPr>
          <w:p w14:paraId="36FDA70B" w14:textId="77777777" w:rsidR="000230E8" w:rsidRPr="00C2318B" w:rsidRDefault="000230E8" w:rsidP="000230E8">
            <w:pPr>
              <w:spacing w:after="0"/>
              <w:jc w:val="right"/>
              <w:rPr>
                <w:rFonts w:cs="Arial"/>
                <w:sz w:val="24"/>
                <w:lang w:eastAsia="en-GB"/>
              </w:rPr>
            </w:pPr>
            <w:r w:rsidRPr="00C2318B">
              <w:rPr>
                <w:rFonts w:cs="Arial"/>
                <w:sz w:val="24"/>
                <w:lang w:eastAsia="en-GB"/>
              </w:rPr>
              <w:t>(17,100,000)</w:t>
            </w:r>
          </w:p>
        </w:tc>
      </w:tr>
      <w:tr w:rsidR="000230E8" w:rsidRPr="00C2318B" w14:paraId="1A3799B4" w14:textId="77777777" w:rsidTr="005A0642">
        <w:tblPrEx>
          <w:tblCellMar>
            <w:top w:w="0" w:type="dxa"/>
            <w:bottom w:w="0" w:type="dxa"/>
          </w:tblCellMar>
        </w:tblPrEx>
        <w:tc>
          <w:tcPr>
            <w:tcW w:w="4788" w:type="dxa"/>
            <w:shd w:val="clear" w:color="auto" w:fill="auto"/>
            <w:vAlign w:val="bottom"/>
          </w:tcPr>
          <w:p w14:paraId="1FD54FE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Dliteanais Phinsin</w:t>
            </w:r>
          </w:p>
        </w:tc>
        <w:tc>
          <w:tcPr>
            <w:tcW w:w="1116" w:type="dxa"/>
            <w:vAlign w:val="bottom"/>
          </w:tcPr>
          <w:p w14:paraId="5566ABC1" w14:textId="77777777" w:rsidR="000230E8" w:rsidRPr="00C2318B" w:rsidRDefault="000230E8" w:rsidP="000230E8">
            <w:pPr>
              <w:spacing w:after="0"/>
              <w:jc w:val="center"/>
              <w:rPr>
                <w:rFonts w:cs="Arial"/>
                <w:sz w:val="24"/>
                <w:lang w:eastAsia="en-GB"/>
              </w:rPr>
            </w:pPr>
            <w:r w:rsidRPr="00C2318B">
              <w:rPr>
                <w:rFonts w:cs="Arial"/>
                <w:sz w:val="24"/>
                <w:lang w:eastAsia="en-GB"/>
              </w:rPr>
              <w:t>10(e)</w:t>
            </w:r>
          </w:p>
        </w:tc>
        <w:tc>
          <w:tcPr>
            <w:tcW w:w="1476" w:type="dxa"/>
            <w:vAlign w:val="bottom"/>
          </w:tcPr>
          <w:p w14:paraId="5ED7E15B"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16,700,000 </w:t>
            </w:r>
          </w:p>
        </w:tc>
        <w:tc>
          <w:tcPr>
            <w:tcW w:w="1476" w:type="dxa"/>
            <w:vAlign w:val="bottom"/>
          </w:tcPr>
          <w:p w14:paraId="1AED3C86"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17,100,000 </w:t>
            </w:r>
          </w:p>
        </w:tc>
      </w:tr>
      <w:tr w:rsidR="000230E8" w:rsidRPr="00C2318B" w14:paraId="3C5CD51D" w14:textId="77777777" w:rsidTr="005A0642">
        <w:tblPrEx>
          <w:tblCellMar>
            <w:top w:w="0" w:type="dxa"/>
            <w:bottom w:w="0" w:type="dxa"/>
          </w:tblCellMar>
        </w:tblPrEx>
        <w:tc>
          <w:tcPr>
            <w:tcW w:w="4788" w:type="dxa"/>
            <w:shd w:val="clear" w:color="auto" w:fill="auto"/>
            <w:vAlign w:val="bottom"/>
          </w:tcPr>
          <w:p w14:paraId="62104AA2" w14:textId="77777777" w:rsidR="000230E8" w:rsidRPr="00C2318B" w:rsidRDefault="000230E8" w:rsidP="000230E8">
            <w:pPr>
              <w:pStyle w:val="TableRowHead"/>
              <w:rPr>
                <w:rFonts w:ascii="Gill Sans" w:hAnsi="Gill Sans"/>
                <w:sz w:val="24"/>
                <w:lang w:eastAsia="en-GB"/>
              </w:rPr>
            </w:pPr>
          </w:p>
        </w:tc>
        <w:tc>
          <w:tcPr>
            <w:tcW w:w="1116" w:type="dxa"/>
            <w:vAlign w:val="bottom"/>
          </w:tcPr>
          <w:p w14:paraId="260C0431" w14:textId="77777777" w:rsidR="000230E8" w:rsidRPr="00C2318B" w:rsidRDefault="000230E8" w:rsidP="000230E8">
            <w:pPr>
              <w:spacing w:after="0"/>
              <w:jc w:val="center"/>
              <w:rPr>
                <w:rFonts w:cs="Arial"/>
                <w:sz w:val="24"/>
                <w:lang w:eastAsia="en-GB"/>
              </w:rPr>
            </w:pPr>
          </w:p>
        </w:tc>
        <w:tc>
          <w:tcPr>
            <w:tcW w:w="1476" w:type="dxa"/>
            <w:vAlign w:val="bottom"/>
          </w:tcPr>
          <w:p w14:paraId="36098F63"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3,057,279 </w:t>
            </w:r>
          </w:p>
        </w:tc>
        <w:tc>
          <w:tcPr>
            <w:tcW w:w="1476" w:type="dxa"/>
            <w:vAlign w:val="bottom"/>
          </w:tcPr>
          <w:p w14:paraId="27CE9CA9"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3,157,985 </w:t>
            </w:r>
          </w:p>
        </w:tc>
      </w:tr>
      <w:tr w:rsidR="000230E8" w:rsidRPr="00C2318B" w14:paraId="55BFA8FF" w14:textId="77777777" w:rsidTr="005A0642">
        <w:tblPrEx>
          <w:tblCellMar>
            <w:top w:w="0" w:type="dxa"/>
            <w:bottom w:w="0" w:type="dxa"/>
          </w:tblCellMar>
        </w:tblPrEx>
        <w:tc>
          <w:tcPr>
            <w:tcW w:w="8856" w:type="dxa"/>
            <w:gridSpan w:val="4"/>
            <w:shd w:val="clear" w:color="auto" w:fill="auto"/>
            <w:vAlign w:val="bottom"/>
          </w:tcPr>
          <w:p w14:paraId="50688B95" w14:textId="77777777" w:rsidR="000230E8" w:rsidRPr="00C2318B" w:rsidRDefault="000230E8" w:rsidP="000230E8">
            <w:pPr>
              <w:pStyle w:val="TableHead"/>
              <w:jc w:val="center"/>
              <w:rPr>
                <w:rFonts w:cs="Arial"/>
                <w:sz w:val="24"/>
                <w:lang w:eastAsia="en-GB"/>
              </w:rPr>
            </w:pPr>
            <w:r w:rsidRPr="00C2318B">
              <w:rPr>
                <w:sz w:val="24"/>
                <w:lang w:eastAsia="en-GB"/>
              </w:rPr>
              <w:t>Léirithe Ag:</w:t>
            </w:r>
          </w:p>
        </w:tc>
      </w:tr>
      <w:tr w:rsidR="000230E8" w:rsidRPr="00C2318B" w14:paraId="0E395C8F" w14:textId="77777777" w:rsidTr="005A0642">
        <w:tblPrEx>
          <w:tblCellMar>
            <w:top w:w="0" w:type="dxa"/>
            <w:bottom w:w="0" w:type="dxa"/>
          </w:tblCellMar>
        </w:tblPrEx>
        <w:tc>
          <w:tcPr>
            <w:tcW w:w="4788" w:type="dxa"/>
            <w:shd w:val="clear" w:color="auto" w:fill="auto"/>
            <w:vAlign w:val="bottom"/>
          </w:tcPr>
          <w:p w14:paraId="34C31E9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Cuntas Caipitil</w:t>
            </w:r>
          </w:p>
        </w:tc>
        <w:tc>
          <w:tcPr>
            <w:tcW w:w="1116" w:type="dxa"/>
            <w:vAlign w:val="bottom"/>
          </w:tcPr>
          <w:p w14:paraId="3C7A8763" w14:textId="77777777" w:rsidR="000230E8" w:rsidRPr="00C2318B" w:rsidRDefault="000230E8" w:rsidP="000230E8">
            <w:pPr>
              <w:spacing w:after="0"/>
              <w:jc w:val="center"/>
              <w:rPr>
                <w:rFonts w:cs="Arial"/>
                <w:sz w:val="24"/>
                <w:lang w:eastAsia="en-GB"/>
              </w:rPr>
            </w:pPr>
            <w:r w:rsidRPr="00C2318B">
              <w:rPr>
                <w:rFonts w:cs="Arial"/>
                <w:sz w:val="24"/>
                <w:lang w:eastAsia="en-GB"/>
              </w:rPr>
              <w:t>8</w:t>
            </w:r>
          </w:p>
        </w:tc>
        <w:tc>
          <w:tcPr>
            <w:tcW w:w="1476" w:type="dxa"/>
            <w:vAlign w:val="bottom"/>
          </w:tcPr>
          <w:p w14:paraId="43A8C1B3"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3,027,866 </w:t>
            </w:r>
          </w:p>
        </w:tc>
        <w:tc>
          <w:tcPr>
            <w:tcW w:w="1476" w:type="dxa"/>
            <w:vAlign w:val="bottom"/>
          </w:tcPr>
          <w:p w14:paraId="3C1BB69C"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3,111,965 </w:t>
            </w:r>
          </w:p>
        </w:tc>
      </w:tr>
      <w:tr w:rsidR="000230E8" w:rsidRPr="00C2318B" w14:paraId="570F373B" w14:textId="77777777" w:rsidTr="005A0642">
        <w:tblPrEx>
          <w:tblCellMar>
            <w:top w:w="0" w:type="dxa"/>
            <w:bottom w:w="0" w:type="dxa"/>
          </w:tblCellMar>
        </w:tblPrEx>
        <w:tc>
          <w:tcPr>
            <w:tcW w:w="4788" w:type="dxa"/>
            <w:shd w:val="clear" w:color="auto" w:fill="auto"/>
          </w:tcPr>
          <w:p w14:paraId="49A0A447" w14:textId="77777777" w:rsidR="000230E8" w:rsidRPr="00C2318B" w:rsidRDefault="000230E8" w:rsidP="000230E8">
            <w:pPr>
              <w:pStyle w:val="TableRowHead"/>
              <w:rPr>
                <w:rFonts w:ascii="Gill Sans" w:hAnsi="Gill Sans"/>
                <w:sz w:val="24"/>
                <w:lang/>
              </w:rPr>
            </w:pPr>
            <w:r w:rsidRPr="00C2318B">
              <w:rPr>
                <w:rFonts w:ascii="Gill Sans" w:hAnsi="Gill Sans"/>
                <w:sz w:val="24"/>
                <w:lang w:eastAsia="en-GB"/>
              </w:rPr>
              <w:t xml:space="preserve">Barrachas / (Easnamh) Coimeádta ar Chuntas Ioncaim agus Caiteachais </w:t>
            </w:r>
          </w:p>
        </w:tc>
        <w:tc>
          <w:tcPr>
            <w:tcW w:w="1116" w:type="dxa"/>
            <w:vAlign w:val="bottom"/>
          </w:tcPr>
          <w:p w14:paraId="32CB18D4" w14:textId="77777777" w:rsidR="000230E8" w:rsidRPr="00C2318B" w:rsidRDefault="000230E8" w:rsidP="000230E8">
            <w:pPr>
              <w:spacing w:after="0"/>
              <w:rPr>
                <w:rFonts w:cs="Arial"/>
                <w:sz w:val="24"/>
                <w:lang w:eastAsia="en-GB"/>
              </w:rPr>
            </w:pPr>
          </w:p>
        </w:tc>
        <w:tc>
          <w:tcPr>
            <w:tcW w:w="1476" w:type="dxa"/>
            <w:vAlign w:val="bottom"/>
          </w:tcPr>
          <w:p w14:paraId="3484391C"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29,413 </w:t>
            </w:r>
          </w:p>
        </w:tc>
        <w:tc>
          <w:tcPr>
            <w:tcW w:w="1476" w:type="dxa"/>
            <w:vAlign w:val="bottom"/>
          </w:tcPr>
          <w:p w14:paraId="4F8FB492"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46,019 </w:t>
            </w:r>
          </w:p>
        </w:tc>
      </w:tr>
      <w:tr w:rsidR="000230E8" w:rsidRPr="00C2318B" w14:paraId="75568BAD" w14:textId="77777777" w:rsidTr="005A0642">
        <w:tblPrEx>
          <w:tblCellMar>
            <w:top w:w="0" w:type="dxa"/>
            <w:bottom w:w="0" w:type="dxa"/>
          </w:tblCellMar>
        </w:tblPrEx>
        <w:tc>
          <w:tcPr>
            <w:tcW w:w="4788" w:type="dxa"/>
            <w:shd w:val="clear" w:color="auto" w:fill="auto"/>
          </w:tcPr>
          <w:p w14:paraId="7DC6A560" w14:textId="77777777" w:rsidR="000230E8" w:rsidRPr="00C2318B" w:rsidRDefault="000230E8" w:rsidP="000230E8">
            <w:pPr>
              <w:pStyle w:val="TableRowHead"/>
              <w:rPr>
                <w:rFonts w:ascii="Gill Sans" w:hAnsi="Gill Sans"/>
                <w:sz w:val="24"/>
                <w:lang/>
              </w:rPr>
            </w:pPr>
          </w:p>
        </w:tc>
        <w:tc>
          <w:tcPr>
            <w:tcW w:w="1116" w:type="dxa"/>
            <w:vAlign w:val="bottom"/>
          </w:tcPr>
          <w:p w14:paraId="48C35700" w14:textId="77777777" w:rsidR="000230E8" w:rsidRPr="00C2318B" w:rsidRDefault="000230E8" w:rsidP="000230E8">
            <w:pPr>
              <w:spacing w:after="0"/>
              <w:jc w:val="center"/>
              <w:rPr>
                <w:rFonts w:cs="Arial"/>
                <w:sz w:val="24"/>
                <w:lang w:eastAsia="en-GB"/>
              </w:rPr>
            </w:pPr>
          </w:p>
        </w:tc>
        <w:tc>
          <w:tcPr>
            <w:tcW w:w="1476" w:type="dxa"/>
            <w:vAlign w:val="bottom"/>
          </w:tcPr>
          <w:p w14:paraId="08ED700C"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3,057,279 </w:t>
            </w:r>
          </w:p>
        </w:tc>
        <w:tc>
          <w:tcPr>
            <w:tcW w:w="1476" w:type="dxa"/>
            <w:vAlign w:val="bottom"/>
          </w:tcPr>
          <w:p w14:paraId="17F0360F"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3,157,985 </w:t>
            </w:r>
          </w:p>
        </w:tc>
      </w:tr>
    </w:tbl>
    <w:p w14:paraId="14396ED3" w14:textId="77777777" w:rsidR="000230E8" w:rsidRPr="00C2318B" w:rsidRDefault="000230E8" w:rsidP="000230E8">
      <w:pPr>
        <w:rPr>
          <w:lang w:eastAsia="en-GB"/>
        </w:rPr>
      </w:pPr>
    </w:p>
    <w:p w14:paraId="7A5D5B9B" w14:textId="77777777" w:rsidR="000230E8" w:rsidRPr="00C2318B" w:rsidRDefault="000230E8" w:rsidP="000230E8">
      <w:pPr>
        <w:rPr>
          <w:lang w:eastAsia="en-GB"/>
        </w:rPr>
      </w:pPr>
      <w:r w:rsidRPr="00C2318B">
        <w:rPr>
          <w:lang w:eastAsia="en-GB"/>
        </w:rPr>
        <w:t>Tá an Ráiteas faoi Pholasaithe Cuntasaíochta, an Ráiteas faoi Shreabhadh Airgid, agus Nótaí 1 go 16 mar chuid de na Ráitis Airgeadais seo.</w:t>
      </w:r>
    </w:p>
    <w:p w14:paraId="6A904A08" w14:textId="77777777" w:rsidR="000230E8" w:rsidRPr="00C2318B" w:rsidRDefault="000230E8" w:rsidP="000230E8">
      <w:pPr>
        <w:rPr>
          <w:lang w:eastAsia="en-GB"/>
        </w:rPr>
      </w:pPr>
      <w:r w:rsidRPr="005A0642">
        <w:rPr>
          <w:b/>
          <w:lang w:eastAsia="en-GB"/>
        </w:rPr>
        <w:t>Sínithe:</w:t>
      </w:r>
      <w:r w:rsidRPr="00C2318B">
        <w:rPr>
          <w:lang w:eastAsia="en-GB"/>
        </w:rPr>
        <w:t xml:space="preserve"> Peter McKevitt (Cathaoirleach)</w:t>
      </w:r>
      <w:r w:rsidR="00983E44">
        <w:rPr>
          <w:lang w:eastAsia="en-GB"/>
        </w:rPr>
        <w:br/>
      </w:r>
      <w:r w:rsidRPr="005A0642">
        <w:rPr>
          <w:b/>
          <w:lang w:eastAsia="en-GB"/>
        </w:rPr>
        <w:t>Sínithe:</w:t>
      </w:r>
      <w:r w:rsidRPr="00C2318B">
        <w:rPr>
          <w:lang w:eastAsia="en-GB"/>
        </w:rPr>
        <w:t xml:space="preserve"> Frank Cuneen (Ball den Údarás)</w:t>
      </w:r>
      <w:r w:rsidR="00983E44">
        <w:rPr>
          <w:lang w:eastAsia="en-GB"/>
        </w:rPr>
        <w:br/>
      </w:r>
      <w:r w:rsidRPr="005A0642">
        <w:rPr>
          <w:b/>
          <w:lang w:eastAsia="en-GB"/>
        </w:rPr>
        <w:t>Sínithe:</w:t>
      </w:r>
      <w:r>
        <w:rPr>
          <w:lang w:eastAsia="en-GB"/>
        </w:rPr>
        <w:t xml:space="preserve"> Siobhá</w:t>
      </w:r>
      <w:r w:rsidRPr="00C2318B">
        <w:rPr>
          <w:lang w:eastAsia="en-GB"/>
        </w:rPr>
        <w:t>n Barron (Stiúrthóir)</w:t>
      </w:r>
      <w:r w:rsidR="00983E44">
        <w:rPr>
          <w:lang w:eastAsia="en-GB"/>
        </w:rPr>
        <w:br/>
      </w:r>
      <w:r w:rsidRPr="005A0642">
        <w:rPr>
          <w:b/>
          <w:lang w:eastAsia="en-GB"/>
        </w:rPr>
        <w:t>Dáta:</w:t>
      </w:r>
      <w:r>
        <w:rPr>
          <w:lang w:eastAsia="en-GB"/>
        </w:rPr>
        <w:t xml:space="preserve"> </w:t>
      </w:r>
      <w:r w:rsidRPr="00C2318B">
        <w:rPr>
          <w:lang w:eastAsia="en-GB"/>
        </w:rPr>
        <w:t>1</w:t>
      </w:r>
      <w:r>
        <w:rPr>
          <w:lang w:eastAsia="en-GB"/>
        </w:rPr>
        <w:t>0</w:t>
      </w:r>
      <w:r w:rsidRPr="00C2318B">
        <w:rPr>
          <w:lang w:eastAsia="en-GB"/>
        </w:rPr>
        <w:t xml:space="preserve"> </w:t>
      </w:r>
      <w:r>
        <w:rPr>
          <w:lang w:eastAsia="en-GB"/>
        </w:rPr>
        <w:t xml:space="preserve">Meán Fómhair </w:t>
      </w:r>
      <w:r w:rsidRPr="00C2318B">
        <w:rPr>
          <w:lang w:eastAsia="en-GB"/>
        </w:rPr>
        <w:t>201</w:t>
      </w:r>
      <w:r>
        <w:rPr>
          <w:lang w:eastAsia="en-GB"/>
        </w:rPr>
        <w:t>2</w:t>
      </w:r>
    </w:p>
    <w:p w14:paraId="3C751782" w14:textId="77777777" w:rsidR="000230E8" w:rsidRPr="00C2318B" w:rsidRDefault="000230E8" w:rsidP="00BB5DD2">
      <w:pPr>
        <w:pStyle w:val="Heading1"/>
        <w:rPr>
          <w:lang w:eastAsia="en-GB"/>
        </w:rPr>
      </w:pPr>
      <w:r w:rsidRPr="00C2318B">
        <w:rPr>
          <w:lang w:eastAsia="en-GB"/>
        </w:rPr>
        <w:br w:type="page"/>
      </w:r>
      <w:bookmarkStart w:id="497" w:name="_Toc335836548"/>
      <w:bookmarkStart w:id="498" w:name="_Toc335986632"/>
      <w:r w:rsidRPr="00C2318B">
        <w:rPr>
          <w:lang w:eastAsia="en-GB"/>
        </w:rPr>
        <w:lastRenderedPageBreak/>
        <w:t>Ráiteas faoi Shreabhadh Airgid don bhliain dar chríoch an 31 Nollaig 2011</w:t>
      </w:r>
      <w:bookmarkEnd w:id="497"/>
      <w:bookmarkEnd w:id="49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968"/>
        <w:gridCol w:w="1260"/>
        <w:gridCol w:w="1260"/>
        <w:gridCol w:w="1368"/>
      </w:tblGrid>
      <w:tr w:rsidR="000230E8" w:rsidRPr="00C2318B" w14:paraId="4157D6D3" w14:textId="77777777" w:rsidTr="005A0642">
        <w:tblPrEx>
          <w:tblCellMar>
            <w:top w:w="0" w:type="dxa"/>
            <w:bottom w:w="0" w:type="dxa"/>
          </w:tblCellMar>
        </w:tblPrEx>
        <w:trPr>
          <w:tblHeader/>
        </w:trPr>
        <w:tc>
          <w:tcPr>
            <w:tcW w:w="4968" w:type="dxa"/>
            <w:shd w:val="clear" w:color="auto" w:fill="auto"/>
            <w:vAlign w:val="bottom"/>
          </w:tcPr>
          <w:p w14:paraId="7313A0B4" w14:textId="77777777" w:rsidR="000230E8" w:rsidRPr="00C2318B" w:rsidRDefault="000230E8" w:rsidP="000230E8">
            <w:pPr>
              <w:pStyle w:val="TableRowHead"/>
              <w:rPr>
                <w:rFonts w:ascii="Gill Sans" w:hAnsi="Gill Sans"/>
                <w:sz w:val="24"/>
                <w:lang w:eastAsia="en-GB"/>
              </w:rPr>
            </w:pPr>
          </w:p>
        </w:tc>
        <w:tc>
          <w:tcPr>
            <w:tcW w:w="1260" w:type="dxa"/>
            <w:shd w:val="clear" w:color="auto" w:fill="auto"/>
            <w:vAlign w:val="bottom"/>
          </w:tcPr>
          <w:p w14:paraId="5309085C" w14:textId="77777777" w:rsidR="000230E8" w:rsidRPr="00C2318B" w:rsidRDefault="000230E8" w:rsidP="000230E8">
            <w:pPr>
              <w:pStyle w:val="TableHead"/>
              <w:jc w:val="right"/>
              <w:rPr>
                <w:sz w:val="24"/>
                <w:lang w:eastAsia="en-GB"/>
              </w:rPr>
            </w:pPr>
            <w:r w:rsidRPr="00C2318B">
              <w:rPr>
                <w:sz w:val="24"/>
                <w:lang w:eastAsia="en-GB"/>
              </w:rPr>
              <w:t>Nótaí</w:t>
            </w:r>
          </w:p>
        </w:tc>
        <w:tc>
          <w:tcPr>
            <w:tcW w:w="1260" w:type="dxa"/>
            <w:shd w:val="clear" w:color="auto" w:fill="auto"/>
            <w:vAlign w:val="bottom"/>
          </w:tcPr>
          <w:p w14:paraId="1C928BB7" w14:textId="77777777" w:rsidR="000230E8" w:rsidRPr="00C2318B" w:rsidRDefault="000230E8" w:rsidP="000230E8">
            <w:pPr>
              <w:pStyle w:val="TableHead"/>
              <w:jc w:val="right"/>
              <w:rPr>
                <w:bCs/>
                <w:sz w:val="24"/>
                <w:lang w:eastAsia="en-GB"/>
              </w:rPr>
            </w:pPr>
            <w:r w:rsidRPr="00C2318B">
              <w:rPr>
                <w:bCs/>
                <w:sz w:val="24"/>
                <w:lang w:eastAsia="en-GB"/>
              </w:rPr>
              <w:t>2011</w:t>
            </w:r>
          </w:p>
        </w:tc>
        <w:tc>
          <w:tcPr>
            <w:tcW w:w="1368" w:type="dxa"/>
            <w:shd w:val="clear" w:color="auto" w:fill="auto"/>
            <w:vAlign w:val="bottom"/>
          </w:tcPr>
          <w:p w14:paraId="3D069A3C" w14:textId="77777777" w:rsidR="000230E8" w:rsidRPr="00C2318B" w:rsidRDefault="000230E8" w:rsidP="000230E8">
            <w:pPr>
              <w:pStyle w:val="TableHead"/>
              <w:jc w:val="right"/>
              <w:rPr>
                <w:bCs/>
                <w:sz w:val="24"/>
                <w:lang w:eastAsia="en-GB"/>
              </w:rPr>
            </w:pPr>
            <w:r w:rsidRPr="00C2318B">
              <w:rPr>
                <w:bCs/>
                <w:sz w:val="24"/>
                <w:lang w:eastAsia="en-GB"/>
              </w:rPr>
              <w:t>2010</w:t>
            </w:r>
          </w:p>
        </w:tc>
      </w:tr>
      <w:tr w:rsidR="000230E8" w:rsidRPr="00C2318B" w14:paraId="09CD5472" w14:textId="77777777" w:rsidTr="005A0642">
        <w:tblPrEx>
          <w:tblCellMar>
            <w:top w:w="0" w:type="dxa"/>
            <w:bottom w:w="0" w:type="dxa"/>
          </w:tblCellMar>
        </w:tblPrEx>
        <w:tc>
          <w:tcPr>
            <w:tcW w:w="4968" w:type="dxa"/>
            <w:shd w:val="clear" w:color="auto" w:fill="auto"/>
            <w:vAlign w:val="bottom"/>
          </w:tcPr>
          <w:p w14:paraId="61D92D20" w14:textId="77777777" w:rsidR="000230E8" w:rsidRPr="00C2318B" w:rsidRDefault="000230E8" w:rsidP="000230E8">
            <w:pPr>
              <w:pStyle w:val="TableRowHead"/>
              <w:rPr>
                <w:rFonts w:ascii="Gill Sans" w:hAnsi="Gill Sans"/>
                <w:sz w:val="24"/>
                <w:lang w:eastAsia="en-GB"/>
              </w:rPr>
            </w:pPr>
          </w:p>
        </w:tc>
        <w:tc>
          <w:tcPr>
            <w:tcW w:w="1260" w:type="dxa"/>
            <w:shd w:val="clear" w:color="auto" w:fill="auto"/>
            <w:vAlign w:val="bottom"/>
          </w:tcPr>
          <w:p w14:paraId="63A5019C" w14:textId="77777777" w:rsidR="000230E8" w:rsidRPr="00C2318B" w:rsidRDefault="000230E8" w:rsidP="000230E8">
            <w:pPr>
              <w:spacing w:after="0"/>
              <w:jc w:val="center"/>
              <w:rPr>
                <w:rFonts w:ascii="Arial" w:hAnsi="Arial" w:cs="Arial"/>
                <w:sz w:val="24"/>
                <w:lang w:eastAsia="en-GB"/>
              </w:rPr>
            </w:pPr>
          </w:p>
        </w:tc>
        <w:tc>
          <w:tcPr>
            <w:tcW w:w="1260" w:type="dxa"/>
            <w:shd w:val="clear" w:color="auto" w:fill="auto"/>
            <w:vAlign w:val="bottom"/>
          </w:tcPr>
          <w:p w14:paraId="4C3BA778" w14:textId="77777777" w:rsidR="000230E8" w:rsidRPr="00C2318B" w:rsidRDefault="000230E8" w:rsidP="000230E8">
            <w:pPr>
              <w:spacing w:after="0"/>
              <w:jc w:val="right"/>
              <w:rPr>
                <w:rFonts w:ascii="Arial" w:hAnsi="Arial" w:cs="Arial"/>
                <w:sz w:val="24"/>
                <w:lang w:eastAsia="en-GB"/>
              </w:rPr>
            </w:pPr>
            <w:r w:rsidRPr="00C2318B">
              <w:rPr>
                <w:rFonts w:ascii="Arial" w:hAnsi="Arial" w:cs="Arial"/>
                <w:sz w:val="24"/>
                <w:lang w:eastAsia="en-GB"/>
              </w:rPr>
              <w:t xml:space="preserve">        €</w:t>
            </w:r>
          </w:p>
        </w:tc>
        <w:tc>
          <w:tcPr>
            <w:tcW w:w="1368" w:type="dxa"/>
            <w:shd w:val="clear" w:color="auto" w:fill="auto"/>
            <w:vAlign w:val="bottom"/>
          </w:tcPr>
          <w:p w14:paraId="279492B8" w14:textId="77777777" w:rsidR="000230E8" w:rsidRPr="00C2318B" w:rsidRDefault="000230E8" w:rsidP="000230E8">
            <w:pPr>
              <w:spacing w:after="0"/>
              <w:jc w:val="right"/>
              <w:rPr>
                <w:rFonts w:ascii="Arial" w:hAnsi="Arial" w:cs="Arial"/>
                <w:sz w:val="24"/>
                <w:lang w:eastAsia="en-GB"/>
              </w:rPr>
            </w:pPr>
            <w:r w:rsidRPr="00C2318B">
              <w:rPr>
                <w:rFonts w:ascii="Arial" w:hAnsi="Arial" w:cs="Arial"/>
                <w:sz w:val="24"/>
                <w:lang w:eastAsia="en-GB"/>
              </w:rPr>
              <w:t xml:space="preserve">        €</w:t>
            </w:r>
          </w:p>
        </w:tc>
      </w:tr>
      <w:tr w:rsidR="000230E8" w:rsidRPr="00C2318B" w14:paraId="2F1FE8C6" w14:textId="77777777" w:rsidTr="005A0642">
        <w:tblPrEx>
          <w:tblCellMar>
            <w:top w:w="0" w:type="dxa"/>
            <w:bottom w:w="0" w:type="dxa"/>
          </w:tblCellMar>
        </w:tblPrEx>
        <w:tc>
          <w:tcPr>
            <w:tcW w:w="4968" w:type="dxa"/>
            <w:shd w:val="clear" w:color="auto" w:fill="auto"/>
            <w:vAlign w:val="bottom"/>
          </w:tcPr>
          <w:p w14:paraId="252D445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Eis-sreabhadh Glan Airgid ó Ghníomhaíochtaí Oibriúcháin </w:t>
            </w:r>
          </w:p>
        </w:tc>
        <w:tc>
          <w:tcPr>
            <w:tcW w:w="1260" w:type="dxa"/>
            <w:shd w:val="clear" w:color="auto" w:fill="auto"/>
            <w:vAlign w:val="bottom"/>
          </w:tcPr>
          <w:p w14:paraId="54A3E73E" w14:textId="77777777" w:rsidR="000230E8" w:rsidRPr="00C2318B" w:rsidRDefault="000230E8" w:rsidP="000230E8">
            <w:pPr>
              <w:pStyle w:val="TableCell"/>
              <w:rPr>
                <w:sz w:val="24"/>
                <w:lang w:eastAsia="en-GB"/>
              </w:rPr>
            </w:pPr>
            <w:r w:rsidRPr="00C2318B">
              <w:rPr>
                <w:sz w:val="24"/>
                <w:lang w:eastAsia="en-GB"/>
              </w:rPr>
              <w:t>9a</w:t>
            </w:r>
          </w:p>
        </w:tc>
        <w:tc>
          <w:tcPr>
            <w:tcW w:w="1260" w:type="dxa"/>
            <w:shd w:val="clear" w:color="auto" w:fill="auto"/>
            <w:vAlign w:val="bottom"/>
          </w:tcPr>
          <w:p w14:paraId="2EEB185B" w14:textId="77777777" w:rsidR="000230E8" w:rsidRPr="00C2318B" w:rsidRDefault="000230E8" w:rsidP="000230E8">
            <w:pPr>
              <w:pStyle w:val="TableCell"/>
              <w:rPr>
                <w:sz w:val="24"/>
                <w:lang w:eastAsia="en-GB"/>
              </w:rPr>
            </w:pPr>
            <w:r w:rsidRPr="00C2318B">
              <w:rPr>
                <w:sz w:val="24"/>
                <w:lang w:eastAsia="en-GB"/>
              </w:rPr>
              <w:t xml:space="preserve">9,048 </w:t>
            </w:r>
          </w:p>
        </w:tc>
        <w:tc>
          <w:tcPr>
            <w:tcW w:w="1368" w:type="dxa"/>
            <w:shd w:val="clear" w:color="auto" w:fill="auto"/>
            <w:vAlign w:val="bottom"/>
          </w:tcPr>
          <w:p w14:paraId="0C1224F1" w14:textId="77777777" w:rsidR="000230E8" w:rsidRPr="00C2318B" w:rsidRDefault="000230E8" w:rsidP="000230E8">
            <w:pPr>
              <w:pStyle w:val="TableCell"/>
              <w:rPr>
                <w:sz w:val="24"/>
                <w:lang w:eastAsia="en-GB"/>
              </w:rPr>
            </w:pPr>
            <w:r w:rsidRPr="00C2318B">
              <w:rPr>
                <w:sz w:val="24"/>
                <w:lang w:eastAsia="en-GB"/>
              </w:rPr>
              <w:t>(27,036)</w:t>
            </w:r>
          </w:p>
        </w:tc>
      </w:tr>
      <w:tr w:rsidR="000230E8" w:rsidRPr="00C2318B" w14:paraId="6EEF38E7" w14:textId="77777777" w:rsidTr="005A0642">
        <w:tblPrEx>
          <w:tblCellMar>
            <w:top w:w="0" w:type="dxa"/>
            <w:bottom w:w="0" w:type="dxa"/>
          </w:tblCellMar>
        </w:tblPrEx>
        <w:tc>
          <w:tcPr>
            <w:tcW w:w="8856" w:type="dxa"/>
            <w:gridSpan w:val="4"/>
            <w:shd w:val="clear" w:color="auto" w:fill="auto"/>
            <w:vAlign w:val="bottom"/>
          </w:tcPr>
          <w:p w14:paraId="7631C8BF" w14:textId="77777777" w:rsidR="000230E8" w:rsidRPr="00C2318B" w:rsidRDefault="000230E8" w:rsidP="000230E8">
            <w:pPr>
              <w:pStyle w:val="TableCell"/>
              <w:jc w:val="center"/>
              <w:rPr>
                <w:sz w:val="24"/>
                <w:lang w:eastAsia="en-GB"/>
              </w:rPr>
            </w:pPr>
            <w:r w:rsidRPr="00C2318B">
              <w:rPr>
                <w:b/>
                <w:sz w:val="24"/>
                <w:lang w:eastAsia="en-GB"/>
              </w:rPr>
              <w:t xml:space="preserve">Tuairisceáin ar Infheistíochtaí agus ar Fhónamh a Dhéanamh ar Airgeadas </w:t>
            </w:r>
          </w:p>
        </w:tc>
      </w:tr>
      <w:tr w:rsidR="000230E8" w:rsidRPr="00C2318B" w14:paraId="64B80DC8" w14:textId="77777777" w:rsidTr="005A0642">
        <w:tblPrEx>
          <w:tblCellMar>
            <w:top w:w="0" w:type="dxa"/>
            <w:bottom w:w="0" w:type="dxa"/>
          </w:tblCellMar>
        </w:tblPrEx>
        <w:tc>
          <w:tcPr>
            <w:tcW w:w="4968" w:type="dxa"/>
            <w:shd w:val="clear" w:color="auto" w:fill="auto"/>
            <w:vAlign w:val="bottom"/>
          </w:tcPr>
          <w:p w14:paraId="6A66D6F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Ús Faighte</w:t>
            </w:r>
          </w:p>
        </w:tc>
        <w:tc>
          <w:tcPr>
            <w:tcW w:w="1260" w:type="dxa"/>
            <w:shd w:val="clear" w:color="auto" w:fill="auto"/>
            <w:vAlign w:val="bottom"/>
          </w:tcPr>
          <w:p w14:paraId="06510AD0" w14:textId="77777777" w:rsidR="000230E8" w:rsidRPr="00C2318B" w:rsidRDefault="000230E8" w:rsidP="000230E8">
            <w:pPr>
              <w:pStyle w:val="TableCell"/>
              <w:rPr>
                <w:sz w:val="24"/>
                <w:lang w:eastAsia="en-GB"/>
              </w:rPr>
            </w:pPr>
          </w:p>
        </w:tc>
        <w:tc>
          <w:tcPr>
            <w:tcW w:w="1260" w:type="dxa"/>
            <w:shd w:val="clear" w:color="auto" w:fill="auto"/>
            <w:vAlign w:val="bottom"/>
          </w:tcPr>
          <w:p w14:paraId="6E187B91" w14:textId="77777777" w:rsidR="000230E8" w:rsidRPr="00C2318B" w:rsidRDefault="000230E8" w:rsidP="000230E8">
            <w:pPr>
              <w:pStyle w:val="TableCell"/>
              <w:rPr>
                <w:sz w:val="24"/>
                <w:lang w:eastAsia="en-GB"/>
              </w:rPr>
            </w:pPr>
            <w:r w:rsidRPr="00C2318B">
              <w:rPr>
                <w:sz w:val="24"/>
                <w:lang w:eastAsia="en-GB"/>
              </w:rPr>
              <w:t xml:space="preserve">0 </w:t>
            </w:r>
          </w:p>
        </w:tc>
        <w:tc>
          <w:tcPr>
            <w:tcW w:w="1368" w:type="dxa"/>
            <w:shd w:val="clear" w:color="auto" w:fill="auto"/>
            <w:vAlign w:val="bottom"/>
          </w:tcPr>
          <w:p w14:paraId="3C4957BF" w14:textId="77777777" w:rsidR="000230E8" w:rsidRPr="00C2318B" w:rsidRDefault="000230E8" w:rsidP="000230E8">
            <w:pPr>
              <w:pStyle w:val="TableCell"/>
              <w:rPr>
                <w:sz w:val="24"/>
                <w:lang w:eastAsia="en-GB"/>
              </w:rPr>
            </w:pPr>
            <w:r w:rsidRPr="00C2318B">
              <w:rPr>
                <w:sz w:val="24"/>
                <w:lang w:eastAsia="en-GB"/>
              </w:rPr>
              <w:t xml:space="preserve">1 </w:t>
            </w:r>
          </w:p>
        </w:tc>
      </w:tr>
      <w:tr w:rsidR="000230E8" w:rsidRPr="00C2318B" w14:paraId="71B88C7C" w14:textId="77777777" w:rsidTr="005A0642">
        <w:tblPrEx>
          <w:tblCellMar>
            <w:top w:w="0" w:type="dxa"/>
            <w:bottom w:w="0" w:type="dxa"/>
          </w:tblCellMar>
        </w:tblPrEx>
        <w:tc>
          <w:tcPr>
            <w:tcW w:w="4968" w:type="dxa"/>
            <w:shd w:val="clear" w:color="auto" w:fill="auto"/>
            <w:vAlign w:val="bottom"/>
          </w:tcPr>
          <w:p w14:paraId="03F591DE"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Insreabhadh Airgid ó Infheistíochtaí agus ó Fhónamh a Dhéanamh ar Airgeadas </w:t>
            </w:r>
          </w:p>
        </w:tc>
        <w:tc>
          <w:tcPr>
            <w:tcW w:w="1260" w:type="dxa"/>
            <w:shd w:val="clear" w:color="auto" w:fill="auto"/>
            <w:vAlign w:val="bottom"/>
          </w:tcPr>
          <w:p w14:paraId="7EE9ADD0" w14:textId="77777777" w:rsidR="000230E8" w:rsidRPr="00C2318B" w:rsidRDefault="000230E8" w:rsidP="000230E8">
            <w:pPr>
              <w:pStyle w:val="TableCell"/>
              <w:rPr>
                <w:sz w:val="24"/>
                <w:lang w:eastAsia="en-GB"/>
              </w:rPr>
            </w:pPr>
          </w:p>
        </w:tc>
        <w:tc>
          <w:tcPr>
            <w:tcW w:w="1260" w:type="dxa"/>
            <w:shd w:val="clear" w:color="auto" w:fill="auto"/>
            <w:vAlign w:val="bottom"/>
          </w:tcPr>
          <w:p w14:paraId="65BDFF4B" w14:textId="77777777" w:rsidR="000230E8" w:rsidRPr="00C2318B" w:rsidRDefault="000230E8" w:rsidP="000230E8">
            <w:pPr>
              <w:pStyle w:val="TableCell"/>
              <w:rPr>
                <w:sz w:val="24"/>
                <w:lang w:eastAsia="en-GB"/>
              </w:rPr>
            </w:pPr>
            <w:r w:rsidRPr="00C2318B">
              <w:rPr>
                <w:sz w:val="24"/>
                <w:lang w:eastAsia="en-GB"/>
              </w:rPr>
              <w:t xml:space="preserve">0 </w:t>
            </w:r>
          </w:p>
        </w:tc>
        <w:tc>
          <w:tcPr>
            <w:tcW w:w="1368" w:type="dxa"/>
            <w:shd w:val="clear" w:color="auto" w:fill="auto"/>
            <w:vAlign w:val="bottom"/>
          </w:tcPr>
          <w:p w14:paraId="44F7CE77" w14:textId="77777777" w:rsidR="000230E8" w:rsidRPr="00C2318B" w:rsidRDefault="000230E8" w:rsidP="000230E8">
            <w:pPr>
              <w:pStyle w:val="TableCell"/>
              <w:rPr>
                <w:sz w:val="24"/>
                <w:lang w:eastAsia="en-GB"/>
              </w:rPr>
            </w:pPr>
            <w:r w:rsidRPr="00C2318B">
              <w:rPr>
                <w:sz w:val="24"/>
                <w:lang w:eastAsia="en-GB"/>
              </w:rPr>
              <w:t xml:space="preserve">1 </w:t>
            </w:r>
          </w:p>
        </w:tc>
      </w:tr>
      <w:tr w:rsidR="000230E8" w:rsidRPr="00C2318B" w14:paraId="219C4542" w14:textId="77777777" w:rsidTr="005A0642">
        <w:tblPrEx>
          <w:tblCellMar>
            <w:top w:w="0" w:type="dxa"/>
            <w:bottom w:w="0" w:type="dxa"/>
          </w:tblCellMar>
        </w:tblPrEx>
        <w:tc>
          <w:tcPr>
            <w:tcW w:w="8856" w:type="dxa"/>
            <w:gridSpan w:val="4"/>
            <w:shd w:val="clear" w:color="auto" w:fill="auto"/>
            <w:vAlign w:val="bottom"/>
          </w:tcPr>
          <w:p w14:paraId="4FF26868" w14:textId="77777777" w:rsidR="000230E8" w:rsidRPr="00C2318B" w:rsidRDefault="000230E8" w:rsidP="000230E8">
            <w:pPr>
              <w:pStyle w:val="TableCell"/>
              <w:jc w:val="center"/>
              <w:rPr>
                <w:sz w:val="24"/>
                <w:lang w:eastAsia="en-GB"/>
              </w:rPr>
            </w:pPr>
            <w:r w:rsidRPr="00C2318B">
              <w:rPr>
                <w:b/>
                <w:bCs/>
                <w:sz w:val="24"/>
                <w:lang w:eastAsia="en-GB"/>
              </w:rPr>
              <w:t>Gníomhaíochtaí Infheistithe</w:t>
            </w:r>
          </w:p>
        </w:tc>
      </w:tr>
      <w:tr w:rsidR="000230E8" w:rsidRPr="00C2318B" w14:paraId="5D0C4079" w14:textId="77777777" w:rsidTr="005A0642">
        <w:tblPrEx>
          <w:tblCellMar>
            <w:top w:w="0" w:type="dxa"/>
            <w:bottom w:w="0" w:type="dxa"/>
          </w:tblCellMar>
        </w:tblPrEx>
        <w:tc>
          <w:tcPr>
            <w:tcW w:w="4968" w:type="dxa"/>
            <w:shd w:val="clear" w:color="auto" w:fill="auto"/>
            <w:vAlign w:val="bottom"/>
          </w:tcPr>
          <w:p w14:paraId="0319C8E6"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Ceannach Sócmhainní Seasta </w:t>
            </w:r>
          </w:p>
        </w:tc>
        <w:tc>
          <w:tcPr>
            <w:tcW w:w="1260" w:type="dxa"/>
            <w:shd w:val="clear" w:color="auto" w:fill="auto"/>
            <w:vAlign w:val="bottom"/>
          </w:tcPr>
          <w:p w14:paraId="0F3CE3D1" w14:textId="77777777" w:rsidR="000230E8" w:rsidRPr="00C2318B" w:rsidRDefault="000230E8" w:rsidP="000230E8">
            <w:pPr>
              <w:pStyle w:val="TableCell"/>
              <w:rPr>
                <w:sz w:val="24"/>
                <w:lang w:eastAsia="en-GB"/>
              </w:rPr>
            </w:pPr>
          </w:p>
        </w:tc>
        <w:tc>
          <w:tcPr>
            <w:tcW w:w="1260" w:type="dxa"/>
            <w:shd w:val="clear" w:color="auto" w:fill="auto"/>
            <w:vAlign w:val="bottom"/>
          </w:tcPr>
          <w:p w14:paraId="2DFC8E9D" w14:textId="77777777" w:rsidR="000230E8" w:rsidRPr="00C2318B" w:rsidRDefault="000230E8" w:rsidP="000230E8">
            <w:pPr>
              <w:pStyle w:val="TableCell"/>
              <w:rPr>
                <w:sz w:val="24"/>
                <w:lang w:eastAsia="en-GB"/>
              </w:rPr>
            </w:pPr>
            <w:r w:rsidRPr="00C2318B">
              <w:rPr>
                <w:sz w:val="24"/>
                <w:lang w:eastAsia="en-GB"/>
              </w:rPr>
              <w:t>(9,235)</w:t>
            </w:r>
          </w:p>
        </w:tc>
        <w:tc>
          <w:tcPr>
            <w:tcW w:w="1368" w:type="dxa"/>
            <w:shd w:val="clear" w:color="auto" w:fill="auto"/>
            <w:vAlign w:val="bottom"/>
          </w:tcPr>
          <w:p w14:paraId="4CF7E4AB" w14:textId="77777777" w:rsidR="000230E8" w:rsidRPr="00C2318B" w:rsidRDefault="000230E8" w:rsidP="000230E8">
            <w:pPr>
              <w:pStyle w:val="TableCell"/>
              <w:rPr>
                <w:sz w:val="24"/>
                <w:lang w:eastAsia="en-GB"/>
              </w:rPr>
            </w:pPr>
            <w:r w:rsidRPr="00C2318B">
              <w:rPr>
                <w:sz w:val="24"/>
                <w:lang w:eastAsia="en-GB"/>
              </w:rPr>
              <w:t>(3,729)</w:t>
            </w:r>
          </w:p>
        </w:tc>
      </w:tr>
      <w:tr w:rsidR="000230E8" w:rsidRPr="00C2318B" w14:paraId="164DBE97" w14:textId="77777777" w:rsidTr="005A0642">
        <w:tblPrEx>
          <w:tblCellMar>
            <w:top w:w="0" w:type="dxa"/>
            <w:bottom w:w="0" w:type="dxa"/>
          </w:tblCellMar>
        </w:tblPrEx>
        <w:tc>
          <w:tcPr>
            <w:tcW w:w="4968" w:type="dxa"/>
            <w:shd w:val="clear" w:color="auto" w:fill="auto"/>
            <w:vAlign w:val="bottom"/>
          </w:tcPr>
          <w:p w14:paraId="3A123F5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Fáltais ar Dhiúscairt Sócmhainní Seasta </w:t>
            </w:r>
          </w:p>
        </w:tc>
        <w:tc>
          <w:tcPr>
            <w:tcW w:w="1260" w:type="dxa"/>
            <w:shd w:val="clear" w:color="auto" w:fill="auto"/>
            <w:vAlign w:val="bottom"/>
          </w:tcPr>
          <w:p w14:paraId="6913ECB3" w14:textId="77777777" w:rsidR="000230E8" w:rsidRPr="00C2318B" w:rsidRDefault="000230E8" w:rsidP="000230E8">
            <w:pPr>
              <w:pStyle w:val="TableCell"/>
              <w:rPr>
                <w:sz w:val="24"/>
                <w:lang w:eastAsia="en-GB"/>
              </w:rPr>
            </w:pPr>
          </w:p>
        </w:tc>
        <w:tc>
          <w:tcPr>
            <w:tcW w:w="1260" w:type="dxa"/>
            <w:shd w:val="clear" w:color="auto" w:fill="auto"/>
            <w:vAlign w:val="bottom"/>
          </w:tcPr>
          <w:p w14:paraId="3C6C8CE8" w14:textId="77777777" w:rsidR="000230E8" w:rsidRPr="00C2318B" w:rsidRDefault="000230E8" w:rsidP="000230E8">
            <w:pPr>
              <w:pStyle w:val="TableCell"/>
              <w:rPr>
                <w:sz w:val="24"/>
                <w:lang w:eastAsia="en-GB"/>
              </w:rPr>
            </w:pPr>
            <w:r w:rsidRPr="00C2318B">
              <w:rPr>
                <w:sz w:val="24"/>
                <w:lang w:eastAsia="en-GB"/>
              </w:rPr>
              <w:t xml:space="preserve">0 </w:t>
            </w:r>
          </w:p>
        </w:tc>
        <w:tc>
          <w:tcPr>
            <w:tcW w:w="1368" w:type="dxa"/>
            <w:shd w:val="clear" w:color="auto" w:fill="auto"/>
            <w:vAlign w:val="bottom"/>
          </w:tcPr>
          <w:p w14:paraId="2B66801E"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48A531A1" w14:textId="77777777" w:rsidTr="005A0642">
        <w:tblPrEx>
          <w:tblCellMar>
            <w:top w:w="0" w:type="dxa"/>
            <w:bottom w:w="0" w:type="dxa"/>
          </w:tblCellMar>
        </w:tblPrEx>
        <w:tc>
          <w:tcPr>
            <w:tcW w:w="4968" w:type="dxa"/>
            <w:shd w:val="clear" w:color="auto" w:fill="auto"/>
            <w:vAlign w:val="bottom"/>
          </w:tcPr>
          <w:p w14:paraId="3F95697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Insreabhadh Glan Airgid ó Ghníomhaíochtaí Infheistithe </w:t>
            </w:r>
          </w:p>
        </w:tc>
        <w:tc>
          <w:tcPr>
            <w:tcW w:w="1260" w:type="dxa"/>
            <w:shd w:val="clear" w:color="auto" w:fill="auto"/>
            <w:vAlign w:val="bottom"/>
          </w:tcPr>
          <w:p w14:paraId="61FBE66D" w14:textId="77777777" w:rsidR="000230E8" w:rsidRPr="00C2318B" w:rsidRDefault="000230E8" w:rsidP="000230E8">
            <w:pPr>
              <w:pStyle w:val="TableCell"/>
              <w:rPr>
                <w:sz w:val="24"/>
                <w:lang w:eastAsia="en-GB"/>
              </w:rPr>
            </w:pPr>
          </w:p>
        </w:tc>
        <w:tc>
          <w:tcPr>
            <w:tcW w:w="1260" w:type="dxa"/>
            <w:shd w:val="clear" w:color="auto" w:fill="auto"/>
            <w:vAlign w:val="bottom"/>
          </w:tcPr>
          <w:p w14:paraId="17C3C887" w14:textId="77777777" w:rsidR="000230E8" w:rsidRPr="00C2318B" w:rsidRDefault="000230E8" w:rsidP="000230E8">
            <w:pPr>
              <w:pStyle w:val="TableCell"/>
              <w:rPr>
                <w:sz w:val="24"/>
                <w:lang w:eastAsia="en-GB"/>
              </w:rPr>
            </w:pPr>
            <w:r w:rsidRPr="00C2318B">
              <w:rPr>
                <w:sz w:val="24"/>
                <w:lang w:eastAsia="en-GB"/>
              </w:rPr>
              <w:t>(9,235)</w:t>
            </w:r>
          </w:p>
        </w:tc>
        <w:tc>
          <w:tcPr>
            <w:tcW w:w="1368" w:type="dxa"/>
            <w:shd w:val="clear" w:color="auto" w:fill="auto"/>
            <w:vAlign w:val="bottom"/>
          </w:tcPr>
          <w:p w14:paraId="4CF0B038" w14:textId="77777777" w:rsidR="000230E8" w:rsidRPr="00C2318B" w:rsidRDefault="000230E8" w:rsidP="000230E8">
            <w:pPr>
              <w:pStyle w:val="TableCell"/>
              <w:rPr>
                <w:sz w:val="24"/>
                <w:lang w:eastAsia="en-GB"/>
              </w:rPr>
            </w:pPr>
            <w:r w:rsidRPr="00C2318B">
              <w:rPr>
                <w:sz w:val="24"/>
                <w:lang w:eastAsia="en-GB"/>
              </w:rPr>
              <w:t>(3,729)</w:t>
            </w:r>
          </w:p>
        </w:tc>
      </w:tr>
      <w:tr w:rsidR="000230E8" w:rsidRPr="00C2318B" w14:paraId="035689C0" w14:textId="77777777" w:rsidTr="005A0642">
        <w:tblPrEx>
          <w:tblCellMar>
            <w:top w:w="0" w:type="dxa"/>
            <w:bottom w:w="0" w:type="dxa"/>
          </w:tblCellMar>
        </w:tblPrEx>
        <w:tc>
          <w:tcPr>
            <w:tcW w:w="8856" w:type="dxa"/>
            <w:gridSpan w:val="4"/>
            <w:shd w:val="clear" w:color="auto" w:fill="auto"/>
            <w:vAlign w:val="bottom"/>
          </w:tcPr>
          <w:p w14:paraId="046DCCCD" w14:textId="77777777" w:rsidR="000230E8" w:rsidRPr="00C2318B" w:rsidRDefault="000230E8" w:rsidP="000230E8">
            <w:pPr>
              <w:pStyle w:val="TableCell"/>
              <w:rPr>
                <w:sz w:val="24"/>
                <w:lang w:eastAsia="en-GB"/>
              </w:rPr>
            </w:pPr>
          </w:p>
        </w:tc>
      </w:tr>
      <w:tr w:rsidR="000230E8" w:rsidRPr="00C2318B" w14:paraId="640E8AB9" w14:textId="77777777" w:rsidTr="005A0642">
        <w:tblPrEx>
          <w:tblCellMar>
            <w:top w:w="0" w:type="dxa"/>
            <w:bottom w:w="0" w:type="dxa"/>
          </w:tblCellMar>
        </w:tblPrEx>
        <w:tc>
          <w:tcPr>
            <w:tcW w:w="4968" w:type="dxa"/>
            <w:shd w:val="clear" w:color="auto" w:fill="auto"/>
            <w:vAlign w:val="bottom"/>
          </w:tcPr>
          <w:p w14:paraId="29EF43D9"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Laghdú ar Airgead sa Bhanc agus ar Láimh </w:t>
            </w:r>
          </w:p>
        </w:tc>
        <w:tc>
          <w:tcPr>
            <w:tcW w:w="1260" w:type="dxa"/>
            <w:shd w:val="clear" w:color="auto" w:fill="auto"/>
            <w:vAlign w:val="bottom"/>
          </w:tcPr>
          <w:p w14:paraId="5B0A9F0B" w14:textId="77777777" w:rsidR="000230E8" w:rsidRPr="00C2318B" w:rsidRDefault="000230E8" w:rsidP="000230E8">
            <w:pPr>
              <w:pStyle w:val="TableCell"/>
              <w:rPr>
                <w:sz w:val="24"/>
                <w:lang w:eastAsia="en-GB"/>
              </w:rPr>
            </w:pPr>
          </w:p>
        </w:tc>
        <w:tc>
          <w:tcPr>
            <w:tcW w:w="1260" w:type="dxa"/>
            <w:shd w:val="clear" w:color="auto" w:fill="auto"/>
            <w:vAlign w:val="bottom"/>
          </w:tcPr>
          <w:p w14:paraId="41844036" w14:textId="77777777" w:rsidR="000230E8" w:rsidRPr="00C2318B" w:rsidRDefault="000230E8" w:rsidP="000230E8">
            <w:pPr>
              <w:pStyle w:val="TableCell"/>
              <w:rPr>
                <w:sz w:val="24"/>
                <w:lang w:eastAsia="en-GB"/>
              </w:rPr>
            </w:pPr>
            <w:r w:rsidRPr="00C2318B">
              <w:rPr>
                <w:sz w:val="24"/>
                <w:lang w:eastAsia="en-GB"/>
              </w:rPr>
              <w:t>(187)</w:t>
            </w:r>
          </w:p>
        </w:tc>
        <w:tc>
          <w:tcPr>
            <w:tcW w:w="1368" w:type="dxa"/>
            <w:shd w:val="clear" w:color="auto" w:fill="auto"/>
            <w:vAlign w:val="bottom"/>
          </w:tcPr>
          <w:p w14:paraId="09A041F2" w14:textId="77777777" w:rsidR="000230E8" w:rsidRPr="00C2318B" w:rsidRDefault="000230E8" w:rsidP="000230E8">
            <w:pPr>
              <w:pStyle w:val="TableCell"/>
              <w:rPr>
                <w:sz w:val="24"/>
                <w:lang w:eastAsia="en-GB"/>
              </w:rPr>
            </w:pPr>
            <w:r w:rsidRPr="00C2318B">
              <w:rPr>
                <w:sz w:val="24"/>
                <w:lang w:eastAsia="en-GB"/>
              </w:rPr>
              <w:t>(30,764)</w:t>
            </w:r>
          </w:p>
        </w:tc>
      </w:tr>
    </w:tbl>
    <w:p w14:paraId="1CECC2AF" w14:textId="77777777" w:rsidR="000230E8" w:rsidRPr="00C2318B" w:rsidRDefault="000230E8" w:rsidP="000230E8">
      <w:pPr>
        <w:rPr>
          <w:lang w:eastAsia="en-GB"/>
        </w:rPr>
      </w:pPr>
    </w:p>
    <w:p w14:paraId="41F5877E" w14:textId="77777777" w:rsidR="000230E8" w:rsidRPr="00C2318B" w:rsidRDefault="000230E8" w:rsidP="000230E8">
      <w:pPr>
        <w:rPr>
          <w:lang w:eastAsia="en-GB"/>
        </w:rPr>
      </w:pPr>
      <w:r w:rsidRPr="00C2318B">
        <w:rPr>
          <w:lang w:eastAsia="en-GB"/>
        </w:rPr>
        <w:t>Tá an Ráiteas faoi Pholasaithe Cuntasaíochta, an Ráiteas faoi Shreabhadh Airgid agus Nóta 1 go 16 mar chuid de na Ráitis Airgeadais seo.</w:t>
      </w:r>
    </w:p>
    <w:p w14:paraId="035BD767" w14:textId="77777777" w:rsidR="000230E8" w:rsidRPr="00C2318B" w:rsidRDefault="000230E8" w:rsidP="000230E8">
      <w:pPr>
        <w:rPr>
          <w:lang w:eastAsia="en-GB"/>
        </w:rPr>
      </w:pPr>
      <w:r w:rsidRPr="00983E44">
        <w:rPr>
          <w:b/>
          <w:lang w:eastAsia="en-GB"/>
        </w:rPr>
        <w:t>Sínithe:</w:t>
      </w:r>
      <w:r w:rsidR="00983E44">
        <w:rPr>
          <w:lang w:eastAsia="en-GB"/>
        </w:rPr>
        <w:tab/>
      </w:r>
      <w:r w:rsidRPr="00C2318B">
        <w:rPr>
          <w:lang w:eastAsia="en-GB"/>
        </w:rPr>
        <w:t>Peter McKevitt (Cathaoirleach)</w:t>
      </w:r>
    </w:p>
    <w:p w14:paraId="756329BC" w14:textId="77777777" w:rsidR="000230E8" w:rsidRPr="00C2318B" w:rsidRDefault="000230E8" w:rsidP="000230E8">
      <w:pPr>
        <w:rPr>
          <w:lang w:eastAsia="en-GB"/>
        </w:rPr>
      </w:pPr>
      <w:r w:rsidRPr="00983E44">
        <w:rPr>
          <w:b/>
          <w:lang w:eastAsia="en-GB"/>
        </w:rPr>
        <w:t>Sínithe:</w:t>
      </w:r>
      <w:r w:rsidR="00983E44">
        <w:rPr>
          <w:lang w:eastAsia="en-GB"/>
        </w:rPr>
        <w:tab/>
      </w:r>
      <w:r w:rsidRPr="00C2318B">
        <w:rPr>
          <w:lang w:eastAsia="en-GB"/>
        </w:rPr>
        <w:t>Frank Cuneen (Ball den Údarás)</w:t>
      </w:r>
    </w:p>
    <w:p w14:paraId="78450EA6" w14:textId="77777777" w:rsidR="000230E8" w:rsidRPr="00C2318B" w:rsidRDefault="000230E8" w:rsidP="000230E8">
      <w:pPr>
        <w:rPr>
          <w:lang w:eastAsia="en-GB"/>
        </w:rPr>
      </w:pPr>
      <w:r w:rsidRPr="00983E44">
        <w:rPr>
          <w:b/>
          <w:lang w:eastAsia="en-GB"/>
        </w:rPr>
        <w:t>Sínithe:</w:t>
      </w:r>
      <w:r w:rsidR="00983E44">
        <w:rPr>
          <w:lang w:eastAsia="en-GB"/>
        </w:rPr>
        <w:tab/>
      </w:r>
      <w:r w:rsidRPr="00C2318B">
        <w:rPr>
          <w:lang w:eastAsia="en-GB"/>
        </w:rPr>
        <w:t>Siobhán Barron (Stiúrthóir)</w:t>
      </w:r>
    </w:p>
    <w:p w14:paraId="0C4FF22A" w14:textId="77777777" w:rsidR="000230E8" w:rsidRPr="00C2318B" w:rsidRDefault="000230E8" w:rsidP="000230E8">
      <w:pPr>
        <w:rPr>
          <w:lang w:eastAsia="en-GB"/>
        </w:rPr>
      </w:pPr>
      <w:r w:rsidRPr="00983E44">
        <w:rPr>
          <w:b/>
          <w:lang w:eastAsia="en-GB"/>
        </w:rPr>
        <w:t>Dáta:</w:t>
      </w:r>
      <w:r w:rsidR="00983E44">
        <w:rPr>
          <w:lang w:eastAsia="en-GB"/>
        </w:rPr>
        <w:tab/>
      </w:r>
      <w:r w:rsidR="00983E44">
        <w:rPr>
          <w:lang w:eastAsia="en-GB"/>
        </w:rPr>
        <w:tab/>
      </w:r>
      <w:r w:rsidRPr="00C2318B">
        <w:rPr>
          <w:lang w:eastAsia="en-GB"/>
        </w:rPr>
        <w:t>10 Meán Fómhair 2012</w:t>
      </w:r>
    </w:p>
    <w:p w14:paraId="7209F279" w14:textId="77777777" w:rsidR="000230E8" w:rsidRPr="00C2318B" w:rsidRDefault="000230E8" w:rsidP="00BB5DD2">
      <w:pPr>
        <w:pStyle w:val="Heading1"/>
        <w:rPr>
          <w:lang w:eastAsia="en-GB"/>
        </w:rPr>
      </w:pPr>
      <w:r w:rsidRPr="00C2318B">
        <w:rPr>
          <w:lang w:eastAsia="en-GB"/>
        </w:rPr>
        <w:br w:type="page"/>
      </w:r>
      <w:bookmarkStart w:id="499" w:name="_Toc335836549"/>
      <w:bookmarkStart w:id="500" w:name="_Toc335986633"/>
      <w:r w:rsidRPr="00C2318B">
        <w:rPr>
          <w:lang w:eastAsia="en-GB"/>
        </w:rPr>
        <w:lastRenderedPageBreak/>
        <w:t>Nótaí leis na Ráitis Airgeadais don bhliain dar chríoch an 31 Nollaig, 2011</w:t>
      </w:r>
      <w:bookmarkEnd w:id="499"/>
      <w:bookmarkEnd w:id="500"/>
      <w:r w:rsidRPr="00C2318B">
        <w:rPr>
          <w:lang w:eastAsia="en-GB"/>
        </w:rPr>
        <w:t xml:space="preserve"> </w:t>
      </w:r>
    </w:p>
    <w:p w14:paraId="02A7F529" w14:textId="77777777" w:rsidR="000230E8" w:rsidRPr="00C2318B" w:rsidRDefault="000230E8" w:rsidP="000230E8">
      <w:pPr>
        <w:pStyle w:val="Heading2"/>
        <w:rPr>
          <w:lang w:eastAsia="en-GB"/>
        </w:rPr>
      </w:pPr>
      <w:bookmarkStart w:id="501" w:name="_Toc335836550"/>
      <w:r w:rsidRPr="00C2318B">
        <w:rPr>
          <w:lang w:eastAsia="en-GB"/>
        </w:rPr>
        <w:t>1. Clúdaíonn na Ráitis Airgeadais an bhliain dar chríoch an 31 Nollaig 2011</w:t>
      </w:r>
      <w:bookmarkEnd w:id="501"/>
      <w:r w:rsidRPr="00C2318B">
        <w:rPr>
          <w:lang w:eastAsia="en-GB"/>
        </w:rPr>
        <w:t xml:space="preserve"> </w:t>
      </w:r>
    </w:p>
    <w:p w14:paraId="0074DA46" w14:textId="77777777" w:rsidR="000230E8" w:rsidRPr="00C2318B" w:rsidRDefault="000230E8" w:rsidP="000230E8">
      <w:pPr>
        <w:pStyle w:val="Heading2"/>
        <w:rPr>
          <w:lang w:eastAsia="en-GB"/>
        </w:rPr>
      </w:pPr>
      <w:bookmarkStart w:id="502" w:name="_Toc335836551"/>
      <w:r w:rsidRPr="00C2318B">
        <w:rPr>
          <w:lang w:eastAsia="en-GB"/>
        </w:rPr>
        <w:t>2 . Ioncam</w:t>
      </w:r>
      <w:bookmarkEnd w:id="502"/>
    </w:p>
    <w:tbl>
      <w:tblPr>
        <w:tblW w:w="86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5894"/>
        <w:gridCol w:w="1486"/>
        <w:gridCol w:w="1260"/>
      </w:tblGrid>
      <w:tr w:rsidR="000230E8" w:rsidRPr="00C2318B" w14:paraId="4BEBE660" w14:textId="77777777" w:rsidTr="005A0642">
        <w:tblPrEx>
          <w:tblCellMar>
            <w:top w:w="0" w:type="dxa"/>
            <w:bottom w:w="0" w:type="dxa"/>
          </w:tblCellMar>
        </w:tblPrEx>
        <w:trPr>
          <w:tblHeader/>
        </w:trPr>
        <w:tc>
          <w:tcPr>
            <w:tcW w:w="5894" w:type="dxa"/>
            <w:shd w:val="clear" w:color="auto" w:fill="auto"/>
            <w:vAlign w:val="bottom"/>
          </w:tcPr>
          <w:p w14:paraId="1DE661A3" w14:textId="77777777" w:rsidR="000230E8" w:rsidRPr="00C2318B" w:rsidRDefault="000230E8" w:rsidP="000230E8">
            <w:pPr>
              <w:pStyle w:val="TableRowHead"/>
              <w:rPr>
                <w:rFonts w:ascii="Gill Sans" w:hAnsi="Gill Sans"/>
                <w:sz w:val="24"/>
                <w:lang w:eastAsia="en-GB"/>
              </w:rPr>
            </w:pPr>
          </w:p>
        </w:tc>
        <w:tc>
          <w:tcPr>
            <w:tcW w:w="1486" w:type="dxa"/>
            <w:shd w:val="clear" w:color="auto" w:fill="auto"/>
            <w:vAlign w:val="bottom"/>
          </w:tcPr>
          <w:p w14:paraId="2A3C6927" w14:textId="77777777" w:rsidR="000230E8" w:rsidRPr="00C2318B" w:rsidRDefault="000230E8" w:rsidP="000230E8">
            <w:pPr>
              <w:pStyle w:val="TableHead"/>
              <w:jc w:val="right"/>
              <w:rPr>
                <w:lang w:eastAsia="en-GB"/>
              </w:rPr>
            </w:pPr>
            <w:r w:rsidRPr="00C2318B">
              <w:rPr>
                <w:lang w:eastAsia="en-GB"/>
              </w:rPr>
              <w:t>2011</w:t>
            </w:r>
          </w:p>
        </w:tc>
        <w:tc>
          <w:tcPr>
            <w:tcW w:w="1260" w:type="dxa"/>
            <w:shd w:val="clear" w:color="auto" w:fill="auto"/>
            <w:vAlign w:val="bottom"/>
          </w:tcPr>
          <w:p w14:paraId="6A9AB3AD" w14:textId="77777777" w:rsidR="000230E8" w:rsidRPr="00C2318B" w:rsidRDefault="000230E8" w:rsidP="000230E8">
            <w:pPr>
              <w:pStyle w:val="TableHead"/>
              <w:jc w:val="right"/>
              <w:rPr>
                <w:lang w:eastAsia="en-GB"/>
              </w:rPr>
            </w:pPr>
            <w:r w:rsidRPr="00C2318B">
              <w:rPr>
                <w:lang w:eastAsia="en-GB"/>
              </w:rPr>
              <w:t>2010</w:t>
            </w:r>
          </w:p>
        </w:tc>
      </w:tr>
      <w:tr w:rsidR="000230E8" w:rsidRPr="00C2318B" w14:paraId="53446792" w14:textId="77777777" w:rsidTr="005A0642">
        <w:tblPrEx>
          <w:tblCellMar>
            <w:top w:w="0" w:type="dxa"/>
            <w:bottom w:w="0" w:type="dxa"/>
          </w:tblCellMar>
        </w:tblPrEx>
        <w:tc>
          <w:tcPr>
            <w:tcW w:w="5894" w:type="dxa"/>
            <w:shd w:val="clear" w:color="auto" w:fill="auto"/>
            <w:vAlign w:val="bottom"/>
          </w:tcPr>
          <w:p w14:paraId="33F1D009" w14:textId="77777777" w:rsidR="000230E8" w:rsidRPr="00C2318B" w:rsidRDefault="000230E8" w:rsidP="000230E8">
            <w:pPr>
              <w:pStyle w:val="TableRowHead"/>
              <w:rPr>
                <w:rFonts w:ascii="Gill Sans" w:hAnsi="Gill Sans"/>
                <w:bCs/>
                <w:sz w:val="24"/>
                <w:lang w:eastAsia="en-GB"/>
              </w:rPr>
            </w:pPr>
          </w:p>
        </w:tc>
        <w:tc>
          <w:tcPr>
            <w:tcW w:w="1486" w:type="dxa"/>
            <w:shd w:val="clear" w:color="auto" w:fill="auto"/>
            <w:vAlign w:val="bottom"/>
          </w:tcPr>
          <w:p w14:paraId="5EC6B6F8"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p>
        </w:tc>
        <w:tc>
          <w:tcPr>
            <w:tcW w:w="1260" w:type="dxa"/>
            <w:shd w:val="clear" w:color="auto" w:fill="auto"/>
            <w:vAlign w:val="bottom"/>
          </w:tcPr>
          <w:p w14:paraId="08662FCC"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p>
        </w:tc>
      </w:tr>
      <w:tr w:rsidR="000230E8" w:rsidRPr="00C2318B" w14:paraId="58D192C7" w14:textId="77777777" w:rsidTr="005A0642">
        <w:tblPrEx>
          <w:tblCellMar>
            <w:top w:w="0" w:type="dxa"/>
            <w:bottom w:w="0" w:type="dxa"/>
          </w:tblCellMar>
        </w:tblPrEx>
        <w:tc>
          <w:tcPr>
            <w:tcW w:w="8640" w:type="dxa"/>
            <w:gridSpan w:val="3"/>
            <w:shd w:val="clear" w:color="auto" w:fill="auto"/>
            <w:vAlign w:val="bottom"/>
          </w:tcPr>
          <w:p w14:paraId="02462A4E" w14:textId="77777777" w:rsidR="000230E8" w:rsidRPr="00C2318B" w:rsidRDefault="000230E8" w:rsidP="000230E8">
            <w:pPr>
              <w:spacing w:after="0"/>
              <w:jc w:val="center"/>
              <w:rPr>
                <w:rFonts w:ascii="Arial" w:hAnsi="Arial" w:cs="Arial"/>
                <w:sz w:val="24"/>
                <w:lang w:eastAsia="en-GB"/>
              </w:rPr>
            </w:pPr>
            <w:r w:rsidRPr="00C2318B">
              <w:rPr>
                <w:b/>
                <w:sz w:val="24"/>
                <w:lang w:eastAsia="en-GB"/>
              </w:rPr>
              <w:t>2 (a) Ioncam Deontais</w:t>
            </w:r>
          </w:p>
        </w:tc>
      </w:tr>
      <w:tr w:rsidR="000230E8" w:rsidRPr="00C2318B" w14:paraId="4A1469F6" w14:textId="77777777" w:rsidTr="005A0642">
        <w:tblPrEx>
          <w:tblCellMar>
            <w:top w:w="0" w:type="dxa"/>
            <w:bottom w:w="0" w:type="dxa"/>
          </w:tblCellMar>
        </w:tblPrEx>
        <w:tc>
          <w:tcPr>
            <w:tcW w:w="5894" w:type="dxa"/>
            <w:shd w:val="clear" w:color="auto" w:fill="auto"/>
            <w:vAlign w:val="bottom"/>
          </w:tcPr>
          <w:p w14:paraId="7AF8CF1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Méid Iomlán íoctha ag an Roinn Dlí agus Cirt agus Comhionannais thar ceann an NDA </w:t>
            </w:r>
          </w:p>
        </w:tc>
        <w:tc>
          <w:tcPr>
            <w:tcW w:w="1486" w:type="dxa"/>
            <w:shd w:val="clear" w:color="auto" w:fill="auto"/>
            <w:vAlign w:val="bottom"/>
          </w:tcPr>
          <w:p w14:paraId="362D53F6" w14:textId="77777777" w:rsidR="000230E8" w:rsidRPr="00C2318B" w:rsidRDefault="000230E8" w:rsidP="000230E8">
            <w:pPr>
              <w:pStyle w:val="TableCell"/>
              <w:rPr>
                <w:sz w:val="24"/>
                <w:lang w:eastAsia="en-GB"/>
              </w:rPr>
            </w:pPr>
            <w:r w:rsidRPr="00C2318B">
              <w:rPr>
                <w:sz w:val="24"/>
                <w:lang w:eastAsia="en-GB"/>
              </w:rPr>
              <w:t xml:space="preserve">3,334,862 </w:t>
            </w:r>
          </w:p>
        </w:tc>
        <w:tc>
          <w:tcPr>
            <w:tcW w:w="1260" w:type="dxa"/>
            <w:shd w:val="clear" w:color="auto" w:fill="auto"/>
            <w:vAlign w:val="bottom"/>
          </w:tcPr>
          <w:p w14:paraId="03FADD9C" w14:textId="77777777" w:rsidR="000230E8" w:rsidRPr="00C2318B" w:rsidRDefault="000230E8" w:rsidP="000230E8">
            <w:pPr>
              <w:pStyle w:val="TableCell"/>
              <w:rPr>
                <w:sz w:val="24"/>
                <w:lang w:eastAsia="en-GB"/>
              </w:rPr>
            </w:pPr>
            <w:r w:rsidRPr="00C2318B">
              <w:rPr>
                <w:sz w:val="24"/>
                <w:lang w:eastAsia="en-GB"/>
              </w:rPr>
              <w:t xml:space="preserve">1,561,795 </w:t>
            </w:r>
          </w:p>
        </w:tc>
      </w:tr>
      <w:tr w:rsidR="000230E8" w:rsidRPr="00C2318B" w14:paraId="019E80E6" w14:textId="77777777" w:rsidTr="005A0642">
        <w:tblPrEx>
          <w:tblCellMar>
            <w:top w:w="0" w:type="dxa"/>
            <w:bottom w:w="0" w:type="dxa"/>
          </w:tblCellMar>
        </w:tblPrEx>
        <w:tc>
          <w:tcPr>
            <w:tcW w:w="5894" w:type="dxa"/>
            <w:shd w:val="clear" w:color="auto" w:fill="auto"/>
            <w:vAlign w:val="bottom"/>
          </w:tcPr>
          <w:p w14:paraId="0C31D65E"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Méid Iomlán Íoctha ag an NDA leis an Roinn (A i A)</w:t>
            </w:r>
          </w:p>
        </w:tc>
        <w:tc>
          <w:tcPr>
            <w:tcW w:w="1486" w:type="dxa"/>
            <w:shd w:val="clear" w:color="auto" w:fill="auto"/>
            <w:vAlign w:val="bottom"/>
          </w:tcPr>
          <w:p w14:paraId="6EF97903" w14:textId="77777777" w:rsidR="000230E8" w:rsidRPr="00C2318B" w:rsidRDefault="000230E8" w:rsidP="000230E8">
            <w:pPr>
              <w:pStyle w:val="TableCell"/>
              <w:rPr>
                <w:sz w:val="24"/>
                <w:lang w:eastAsia="en-GB"/>
              </w:rPr>
            </w:pPr>
            <w:r>
              <w:rPr>
                <w:sz w:val="24"/>
                <w:lang w:eastAsia="en-GB"/>
              </w:rPr>
              <w:t>0</w:t>
            </w:r>
            <w:r w:rsidRPr="00C2318B">
              <w:rPr>
                <w:sz w:val="24"/>
                <w:lang w:eastAsia="en-GB"/>
              </w:rPr>
              <w:t xml:space="preserve"> </w:t>
            </w:r>
          </w:p>
        </w:tc>
        <w:tc>
          <w:tcPr>
            <w:tcW w:w="1260" w:type="dxa"/>
            <w:shd w:val="clear" w:color="auto" w:fill="auto"/>
            <w:vAlign w:val="bottom"/>
          </w:tcPr>
          <w:p w14:paraId="73A45003" w14:textId="77777777" w:rsidR="000230E8" w:rsidRPr="00C2318B" w:rsidRDefault="000230E8" w:rsidP="000230E8">
            <w:pPr>
              <w:pStyle w:val="TableCell"/>
              <w:rPr>
                <w:sz w:val="24"/>
                <w:lang w:eastAsia="en-GB"/>
              </w:rPr>
            </w:pPr>
            <w:r w:rsidRPr="00C2318B">
              <w:rPr>
                <w:sz w:val="24"/>
                <w:lang w:eastAsia="en-GB"/>
              </w:rPr>
              <w:t>(36,070)</w:t>
            </w:r>
          </w:p>
        </w:tc>
      </w:tr>
      <w:tr w:rsidR="000230E8" w:rsidRPr="00C2318B" w14:paraId="0159DC8A" w14:textId="77777777" w:rsidTr="005A0642">
        <w:tblPrEx>
          <w:tblCellMar>
            <w:top w:w="0" w:type="dxa"/>
            <w:bottom w:w="0" w:type="dxa"/>
          </w:tblCellMar>
        </w:tblPrEx>
        <w:tc>
          <w:tcPr>
            <w:tcW w:w="5894" w:type="dxa"/>
            <w:shd w:val="clear" w:color="auto" w:fill="auto"/>
            <w:vAlign w:val="bottom"/>
          </w:tcPr>
          <w:p w14:paraId="38C3AA2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Méid Iomlán íoctha ag an Roinn Gnóthaí, Pobail Comhionannais agus Gaeltachta thar ceann an NDA</w:t>
            </w:r>
          </w:p>
        </w:tc>
        <w:tc>
          <w:tcPr>
            <w:tcW w:w="1486" w:type="dxa"/>
            <w:shd w:val="clear" w:color="auto" w:fill="auto"/>
            <w:vAlign w:val="bottom"/>
          </w:tcPr>
          <w:p w14:paraId="4562A522" w14:textId="77777777" w:rsidR="000230E8" w:rsidRPr="00C2318B" w:rsidRDefault="000230E8" w:rsidP="000230E8">
            <w:pPr>
              <w:pStyle w:val="TableCell"/>
              <w:rPr>
                <w:sz w:val="24"/>
                <w:lang w:eastAsia="en-GB"/>
              </w:rPr>
            </w:pPr>
            <w:r w:rsidRPr="00C2318B">
              <w:rPr>
                <w:sz w:val="24"/>
                <w:lang w:eastAsia="en-GB"/>
              </w:rPr>
              <w:t xml:space="preserve">835,520 </w:t>
            </w:r>
          </w:p>
        </w:tc>
        <w:tc>
          <w:tcPr>
            <w:tcW w:w="1260" w:type="dxa"/>
            <w:shd w:val="clear" w:color="auto" w:fill="auto"/>
            <w:vAlign w:val="bottom"/>
          </w:tcPr>
          <w:p w14:paraId="7465D2EE" w14:textId="77777777" w:rsidR="000230E8" w:rsidRPr="00C2318B" w:rsidRDefault="000230E8" w:rsidP="000230E8">
            <w:pPr>
              <w:pStyle w:val="TableCell"/>
              <w:rPr>
                <w:sz w:val="24"/>
                <w:lang w:eastAsia="en-GB"/>
              </w:rPr>
            </w:pPr>
            <w:r w:rsidRPr="00C2318B">
              <w:rPr>
                <w:sz w:val="24"/>
                <w:lang w:eastAsia="en-GB"/>
              </w:rPr>
              <w:t xml:space="preserve">2,288,851 </w:t>
            </w:r>
          </w:p>
        </w:tc>
      </w:tr>
      <w:tr w:rsidR="000230E8" w:rsidRPr="00C2318B" w14:paraId="752D8B07" w14:textId="77777777" w:rsidTr="005A0642">
        <w:tblPrEx>
          <w:tblCellMar>
            <w:top w:w="0" w:type="dxa"/>
            <w:bottom w:w="0" w:type="dxa"/>
          </w:tblCellMar>
        </w:tblPrEx>
        <w:tc>
          <w:tcPr>
            <w:tcW w:w="5894" w:type="dxa"/>
            <w:shd w:val="clear" w:color="auto" w:fill="auto"/>
            <w:vAlign w:val="bottom"/>
          </w:tcPr>
          <w:p w14:paraId="6F6E5925" w14:textId="77777777" w:rsidR="000230E8" w:rsidRPr="00C2318B" w:rsidRDefault="000230E8" w:rsidP="000230E8">
            <w:pPr>
              <w:pStyle w:val="TableRowHead"/>
              <w:rPr>
                <w:rFonts w:ascii="Gill Sans" w:hAnsi="Gill Sans"/>
                <w:sz w:val="24"/>
                <w:lang w:eastAsia="en-GB"/>
              </w:rPr>
            </w:pPr>
          </w:p>
        </w:tc>
        <w:tc>
          <w:tcPr>
            <w:tcW w:w="1486" w:type="dxa"/>
            <w:shd w:val="clear" w:color="auto" w:fill="auto"/>
            <w:vAlign w:val="bottom"/>
          </w:tcPr>
          <w:p w14:paraId="775ED76D" w14:textId="77777777" w:rsidR="000230E8" w:rsidRPr="00C2318B" w:rsidRDefault="000230E8" w:rsidP="000230E8">
            <w:pPr>
              <w:pStyle w:val="TableCell"/>
              <w:rPr>
                <w:sz w:val="24"/>
                <w:lang w:eastAsia="en-GB"/>
              </w:rPr>
            </w:pPr>
            <w:r w:rsidRPr="003C04D3">
              <w:rPr>
                <w:sz w:val="24"/>
                <w:lang w:val="en-GB" w:eastAsia="en-GB"/>
              </w:rPr>
              <w:t>4,170,</w:t>
            </w:r>
            <w:r>
              <w:rPr>
                <w:sz w:val="24"/>
                <w:lang w:val="en-GB" w:eastAsia="en-GB"/>
              </w:rPr>
              <w:t>382</w:t>
            </w:r>
          </w:p>
        </w:tc>
        <w:tc>
          <w:tcPr>
            <w:tcW w:w="1260" w:type="dxa"/>
            <w:shd w:val="clear" w:color="auto" w:fill="auto"/>
            <w:vAlign w:val="bottom"/>
          </w:tcPr>
          <w:p w14:paraId="0C7B6710" w14:textId="77777777" w:rsidR="000230E8" w:rsidRPr="00C2318B" w:rsidRDefault="000230E8" w:rsidP="000230E8">
            <w:pPr>
              <w:pStyle w:val="TableCell"/>
              <w:rPr>
                <w:sz w:val="24"/>
                <w:lang w:eastAsia="en-GB"/>
              </w:rPr>
            </w:pPr>
            <w:r w:rsidRPr="00C2318B">
              <w:rPr>
                <w:sz w:val="24"/>
                <w:lang w:eastAsia="en-GB"/>
              </w:rPr>
              <w:t xml:space="preserve">3,814,576 </w:t>
            </w:r>
          </w:p>
        </w:tc>
      </w:tr>
      <w:tr w:rsidR="000230E8" w:rsidRPr="00C2318B" w14:paraId="5B334722" w14:textId="77777777" w:rsidTr="005A0642">
        <w:tblPrEx>
          <w:tblCellMar>
            <w:top w:w="0" w:type="dxa"/>
            <w:bottom w:w="0" w:type="dxa"/>
          </w:tblCellMar>
        </w:tblPrEx>
        <w:tc>
          <w:tcPr>
            <w:tcW w:w="8640" w:type="dxa"/>
            <w:gridSpan w:val="3"/>
            <w:shd w:val="clear" w:color="auto" w:fill="auto"/>
            <w:vAlign w:val="bottom"/>
          </w:tcPr>
          <w:p w14:paraId="6F3B90EA" w14:textId="77777777" w:rsidR="000230E8" w:rsidRPr="00C2318B" w:rsidRDefault="000230E8" w:rsidP="000230E8">
            <w:pPr>
              <w:pStyle w:val="TableCell"/>
              <w:jc w:val="center"/>
              <w:rPr>
                <w:sz w:val="24"/>
                <w:lang w:eastAsia="en-GB"/>
              </w:rPr>
            </w:pPr>
            <w:r w:rsidRPr="00C2318B">
              <w:rPr>
                <w:b/>
                <w:sz w:val="24"/>
                <w:lang w:eastAsia="en-GB"/>
              </w:rPr>
              <w:t>2 (b) Ioncam Eile</w:t>
            </w:r>
          </w:p>
        </w:tc>
      </w:tr>
      <w:tr w:rsidR="000230E8" w:rsidRPr="00C2318B" w14:paraId="13CAF194" w14:textId="77777777" w:rsidTr="005A0642">
        <w:tblPrEx>
          <w:tblCellMar>
            <w:top w:w="0" w:type="dxa"/>
            <w:bottom w:w="0" w:type="dxa"/>
          </w:tblCellMar>
        </w:tblPrEx>
        <w:tc>
          <w:tcPr>
            <w:tcW w:w="5894" w:type="dxa"/>
            <w:shd w:val="clear" w:color="auto" w:fill="auto"/>
            <w:vAlign w:val="bottom"/>
          </w:tcPr>
          <w:p w14:paraId="593CD35E"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Ús Bainc</w:t>
            </w:r>
          </w:p>
        </w:tc>
        <w:tc>
          <w:tcPr>
            <w:tcW w:w="1486" w:type="dxa"/>
            <w:shd w:val="clear" w:color="auto" w:fill="auto"/>
            <w:vAlign w:val="bottom"/>
          </w:tcPr>
          <w:p w14:paraId="0D85AC32"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shd w:val="clear" w:color="auto" w:fill="auto"/>
            <w:vAlign w:val="bottom"/>
          </w:tcPr>
          <w:p w14:paraId="5C2BB4FB" w14:textId="77777777" w:rsidR="000230E8" w:rsidRPr="00C2318B" w:rsidRDefault="000230E8" w:rsidP="000230E8">
            <w:pPr>
              <w:pStyle w:val="TableCell"/>
              <w:rPr>
                <w:sz w:val="24"/>
                <w:lang w:eastAsia="en-GB"/>
              </w:rPr>
            </w:pPr>
            <w:r w:rsidRPr="00C2318B">
              <w:rPr>
                <w:sz w:val="24"/>
                <w:lang w:eastAsia="en-GB"/>
              </w:rPr>
              <w:t xml:space="preserve">1 </w:t>
            </w:r>
          </w:p>
        </w:tc>
      </w:tr>
      <w:tr w:rsidR="000230E8" w:rsidRPr="00C2318B" w14:paraId="25F38268" w14:textId="77777777" w:rsidTr="005A0642">
        <w:tblPrEx>
          <w:tblCellMar>
            <w:top w:w="0" w:type="dxa"/>
            <w:bottom w:w="0" w:type="dxa"/>
          </w:tblCellMar>
        </w:tblPrEx>
        <w:tc>
          <w:tcPr>
            <w:tcW w:w="5894" w:type="dxa"/>
            <w:shd w:val="clear" w:color="auto" w:fill="auto"/>
            <w:vAlign w:val="bottom"/>
          </w:tcPr>
          <w:p w14:paraId="6BA27FE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Fáltais ón DSFA </w:t>
            </w:r>
          </w:p>
        </w:tc>
        <w:tc>
          <w:tcPr>
            <w:tcW w:w="1486" w:type="dxa"/>
            <w:shd w:val="clear" w:color="auto" w:fill="auto"/>
            <w:vAlign w:val="bottom"/>
          </w:tcPr>
          <w:p w14:paraId="541273AC" w14:textId="77777777" w:rsidR="000230E8" w:rsidRPr="00C2318B" w:rsidRDefault="000230E8" w:rsidP="000230E8">
            <w:pPr>
              <w:pStyle w:val="TableCell"/>
              <w:rPr>
                <w:sz w:val="24"/>
                <w:lang w:eastAsia="en-GB"/>
              </w:rPr>
            </w:pPr>
            <w:r w:rsidRPr="00C2318B">
              <w:rPr>
                <w:sz w:val="24"/>
                <w:lang w:eastAsia="en-GB"/>
              </w:rPr>
              <w:t xml:space="preserve">18,440 </w:t>
            </w:r>
          </w:p>
        </w:tc>
        <w:tc>
          <w:tcPr>
            <w:tcW w:w="1260" w:type="dxa"/>
            <w:shd w:val="clear" w:color="auto" w:fill="auto"/>
            <w:vAlign w:val="bottom"/>
          </w:tcPr>
          <w:p w14:paraId="62EC7FE6" w14:textId="77777777" w:rsidR="000230E8" w:rsidRPr="00C2318B" w:rsidRDefault="000230E8" w:rsidP="000230E8">
            <w:pPr>
              <w:pStyle w:val="TableCell"/>
              <w:rPr>
                <w:sz w:val="24"/>
                <w:lang w:eastAsia="en-GB"/>
              </w:rPr>
            </w:pPr>
            <w:r w:rsidRPr="00C2318B">
              <w:rPr>
                <w:sz w:val="24"/>
                <w:lang w:eastAsia="en-GB"/>
              </w:rPr>
              <w:t xml:space="preserve">17,470 </w:t>
            </w:r>
          </w:p>
        </w:tc>
      </w:tr>
      <w:tr w:rsidR="000230E8" w:rsidRPr="00C2318B" w14:paraId="1E884A29" w14:textId="77777777" w:rsidTr="005A0642">
        <w:tblPrEx>
          <w:tblCellMar>
            <w:top w:w="0" w:type="dxa"/>
            <w:bottom w:w="0" w:type="dxa"/>
          </w:tblCellMar>
        </w:tblPrEx>
        <w:tc>
          <w:tcPr>
            <w:tcW w:w="5894" w:type="dxa"/>
            <w:shd w:val="clear" w:color="auto" w:fill="auto"/>
            <w:vAlign w:val="bottom"/>
          </w:tcPr>
          <w:p w14:paraId="09DEA02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Éagsúil</w:t>
            </w:r>
          </w:p>
        </w:tc>
        <w:tc>
          <w:tcPr>
            <w:tcW w:w="1486" w:type="dxa"/>
            <w:shd w:val="clear" w:color="auto" w:fill="auto"/>
            <w:vAlign w:val="bottom"/>
          </w:tcPr>
          <w:p w14:paraId="3CB3DABB" w14:textId="77777777" w:rsidR="000230E8" w:rsidRPr="00C2318B" w:rsidRDefault="000230E8" w:rsidP="000230E8">
            <w:pPr>
              <w:pStyle w:val="TableCell"/>
              <w:rPr>
                <w:sz w:val="24"/>
                <w:lang w:eastAsia="en-GB"/>
              </w:rPr>
            </w:pPr>
            <w:r>
              <w:rPr>
                <w:sz w:val="24"/>
                <w:lang w:eastAsia="en-GB"/>
              </w:rPr>
              <w:t>43</w:t>
            </w:r>
            <w:r w:rsidRPr="00C2318B">
              <w:rPr>
                <w:sz w:val="24"/>
                <w:lang w:eastAsia="en-GB"/>
              </w:rPr>
              <w:t xml:space="preserve">0 </w:t>
            </w:r>
          </w:p>
        </w:tc>
        <w:tc>
          <w:tcPr>
            <w:tcW w:w="1260" w:type="dxa"/>
            <w:shd w:val="clear" w:color="auto" w:fill="auto"/>
            <w:vAlign w:val="bottom"/>
          </w:tcPr>
          <w:p w14:paraId="5ADAFF7D" w14:textId="77777777" w:rsidR="000230E8" w:rsidRPr="00C2318B" w:rsidRDefault="000230E8" w:rsidP="000230E8">
            <w:pPr>
              <w:pStyle w:val="TableCell"/>
              <w:rPr>
                <w:sz w:val="24"/>
                <w:lang w:eastAsia="en-GB"/>
              </w:rPr>
            </w:pPr>
            <w:r w:rsidRPr="00C2318B">
              <w:rPr>
                <w:sz w:val="24"/>
                <w:lang w:eastAsia="en-GB"/>
              </w:rPr>
              <w:t xml:space="preserve">2,684 </w:t>
            </w:r>
          </w:p>
        </w:tc>
      </w:tr>
      <w:tr w:rsidR="000230E8" w:rsidRPr="00C2318B" w14:paraId="34550C24" w14:textId="77777777" w:rsidTr="005A0642">
        <w:tblPrEx>
          <w:tblCellMar>
            <w:top w:w="0" w:type="dxa"/>
            <w:bottom w:w="0" w:type="dxa"/>
          </w:tblCellMar>
        </w:tblPrEx>
        <w:tc>
          <w:tcPr>
            <w:tcW w:w="5894" w:type="dxa"/>
            <w:shd w:val="clear" w:color="auto" w:fill="auto"/>
            <w:vAlign w:val="bottom"/>
          </w:tcPr>
          <w:p w14:paraId="6D91C203" w14:textId="77777777" w:rsidR="000230E8" w:rsidRPr="00C2318B" w:rsidRDefault="000230E8" w:rsidP="000230E8">
            <w:pPr>
              <w:pStyle w:val="TableRowHead"/>
              <w:rPr>
                <w:rFonts w:ascii="Gill Sans" w:hAnsi="Gill Sans"/>
                <w:sz w:val="24"/>
                <w:lang w:eastAsia="en-GB"/>
              </w:rPr>
            </w:pPr>
          </w:p>
        </w:tc>
        <w:tc>
          <w:tcPr>
            <w:tcW w:w="1486" w:type="dxa"/>
            <w:shd w:val="clear" w:color="auto" w:fill="auto"/>
            <w:vAlign w:val="bottom"/>
          </w:tcPr>
          <w:p w14:paraId="0BCCD2FF" w14:textId="77777777" w:rsidR="000230E8" w:rsidRPr="00C2318B" w:rsidRDefault="000230E8" w:rsidP="000230E8">
            <w:pPr>
              <w:pStyle w:val="TableCell"/>
              <w:rPr>
                <w:sz w:val="24"/>
                <w:lang w:eastAsia="en-GB"/>
              </w:rPr>
            </w:pPr>
            <w:r w:rsidRPr="003C04D3">
              <w:rPr>
                <w:sz w:val="24"/>
                <w:lang w:val="en-GB" w:eastAsia="en-GB"/>
              </w:rPr>
              <w:t>18,</w:t>
            </w:r>
            <w:r>
              <w:rPr>
                <w:sz w:val="24"/>
                <w:lang w:val="en-GB" w:eastAsia="en-GB"/>
              </w:rPr>
              <w:t>870</w:t>
            </w:r>
          </w:p>
        </w:tc>
        <w:tc>
          <w:tcPr>
            <w:tcW w:w="1260" w:type="dxa"/>
            <w:shd w:val="clear" w:color="auto" w:fill="auto"/>
            <w:vAlign w:val="bottom"/>
          </w:tcPr>
          <w:p w14:paraId="4BC73550" w14:textId="77777777" w:rsidR="000230E8" w:rsidRPr="00C2318B" w:rsidRDefault="000230E8" w:rsidP="000230E8">
            <w:pPr>
              <w:pStyle w:val="TableCell"/>
              <w:rPr>
                <w:sz w:val="24"/>
                <w:lang w:eastAsia="en-GB"/>
              </w:rPr>
            </w:pPr>
            <w:r w:rsidRPr="00C2318B">
              <w:rPr>
                <w:sz w:val="24"/>
                <w:lang w:eastAsia="en-GB"/>
              </w:rPr>
              <w:t xml:space="preserve">20,155 </w:t>
            </w:r>
          </w:p>
        </w:tc>
      </w:tr>
    </w:tbl>
    <w:p w14:paraId="3DBF7EE5" w14:textId="77777777" w:rsidR="000230E8" w:rsidRPr="00C2318B" w:rsidRDefault="000230E8" w:rsidP="000230E8">
      <w:pPr>
        <w:rPr>
          <w:lang/>
        </w:rPr>
      </w:pPr>
    </w:p>
    <w:p w14:paraId="7673EB68" w14:textId="77777777" w:rsidR="000230E8" w:rsidRPr="00C2318B" w:rsidRDefault="000230E8" w:rsidP="000230E8">
      <w:pPr>
        <w:pStyle w:val="Heading2"/>
        <w:rPr>
          <w:lang/>
        </w:rPr>
      </w:pPr>
      <w:bookmarkStart w:id="503" w:name="_Toc335836552"/>
      <w:r w:rsidRPr="00C2318B">
        <w:rPr>
          <w:lang/>
        </w:rPr>
        <w:lastRenderedPageBreak/>
        <w:t>3. Tionscadail agus Obair Choimisiúnaithe</w:t>
      </w:r>
      <w:bookmarkEnd w:id="503"/>
      <w:r w:rsidRPr="00C2318B">
        <w:rPr>
          <w:lang/>
        </w:rPr>
        <w:t xml:space="preserve"> </w:t>
      </w:r>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6048"/>
        <w:gridCol w:w="1440"/>
        <w:gridCol w:w="1260"/>
      </w:tblGrid>
      <w:tr w:rsidR="000230E8" w:rsidRPr="00C2318B" w14:paraId="5D1D9F72" w14:textId="77777777" w:rsidTr="005A0642">
        <w:tblPrEx>
          <w:tblCellMar>
            <w:top w:w="0" w:type="dxa"/>
            <w:bottom w:w="0" w:type="dxa"/>
          </w:tblCellMar>
        </w:tblPrEx>
        <w:trPr>
          <w:tblHeader/>
        </w:trPr>
        <w:tc>
          <w:tcPr>
            <w:tcW w:w="6048" w:type="dxa"/>
            <w:vAlign w:val="bottom"/>
          </w:tcPr>
          <w:p w14:paraId="581AFB47" w14:textId="77777777" w:rsidR="000230E8" w:rsidRPr="00C2318B" w:rsidRDefault="000230E8" w:rsidP="000230E8">
            <w:pPr>
              <w:pStyle w:val="TableRowHead"/>
              <w:rPr>
                <w:rFonts w:ascii="Gill Sans" w:hAnsi="Gill Sans"/>
                <w:sz w:val="24"/>
                <w:lang w:eastAsia="en-GB"/>
              </w:rPr>
            </w:pPr>
          </w:p>
        </w:tc>
        <w:tc>
          <w:tcPr>
            <w:tcW w:w="1440" w:type="dxa"/>
            <w:vAlign w:val="bottom"/>
          </w:tcPr>
          <w:p w14:paraId="1E26AE6F" w14:textId="77777777" w:rsidR="000230E8" w:rsidRPr="00C2318B" w:rsidRDefault="000230E8" w:rsidP="000230E8">
            <w:pPr>
              <w:pStyle w:val="TableHead"/>
              <w:jc w:val="right"/>
              <w:rPr>
                <w:lang w:eastAsia="en-GB"/>
              </w:rPr>
            </w:pPr>
            <w:r w:rsidRPr="00C2318B">
              <w:rPr>
                <w:lang w:eastAsia="en-GB"/>
              </w:rPr>
              <w:t>2011</w:t>
            </w:r>
          </w:p>
        </w:tc>
        <w:tc>
          <w:tcPr>
            <w:tcW w:w="1260" w:type="dxa"/>
            <w:vAlign w:val="bottom"/>
          </w:tcPr>
          <w:p w14:paraId="4CFE916B" w14:textId="77777777" w:rsidR="000230E8" w:rsidRPr="00C2318B" w:rsidRDefault="000230E8" w:rsidP="000230E8">
            <w:pPr>
              <w:pStyle w:val="TableHead"/>
              <w:jc w:val="right"/>
              <w:rPr>
                <w:lang w:eastAsia="en-GB"/>
              </w:rPr>
            </w:pPr>
            <w:r w:rsidRPr="00C2318B">
              <w:rPr>
                <w:lang w:eastAsia="en-GB"/>
              </w:rPr>
              <w:t>2010</w:t>
            </w:r>
          </w:p>
        </w:tc>
      </w:tr>
      <w:tr w:rsidR="000230E8" w:rsidRPr="00C2318B" w14:paraId="5BF987C6" w14:textId="77777777" w:rsidTr="005A0642">
        <w:tblPrEx>
          <w:tblCellMar>
            <w:top w:w="0" w:type="dxa"/>
            <w:bottom w:w="0" w:type="dxa"/>
          </w:tblCellMar>
        </w:tblPrEx>
        <w:tc>
          <w:tcPr>
            <w:tcW w:w="6048" w:type="dxa"/>
            <w:vAlign w:val="bottom"/>
          </w:tcPr>
          <w:p w14:paraId="547AAFA1" w14:textId="77777777" w:rsidR="000230E8" w:rsidRPr="00C2318B" w:rsidRDefault="000230E8" w:rsidP="000230E8">
            <w:pPr>
              <w:pStyle w:val="TableRowHead"/>
              <w:rPr>
                <w:rFonts w:ascii="Gill Sans" w:hAnsi="Gill Sans"/>
                <w:sz w:val="24"/>
                <w:lang w:eastAsia="en-GB"/>
              </w:rPr>
            </w:pPr>
          </w:p>
        </w:tc>
        <w:tc>
          <w:tcPr>
            <w:tcW w:w="1440" w:type="dxa"/>
            <w:vAlign w:val="bottom"/>
          </w:tcPr>
          <w:p w14:paraId="01B09DD1" w14:textId="77777777" w:rsidR="000230E8" w:rsidRPr="00C2318B" w:rsidRDefault="000230E8" w:rsidP="000230E8">
            <w:pPr>
              <w:pStyle w:val="TableCell"/>
              <w:rPr>
                <w:sz w:val="24"/>
                <w:lang w:eastAsia="en-GB"/>
              </w:rPr>
            </w:pPr>
            <w:r w:rsidRPr="00C2318B">
              <w:rPr>
                <w:rFonts w:ascii="Arial" w:hAnsi="Arial" w:cs="Arial"/>
                <w:sz w:val="24"/>
                <w:lang w:eastAsia="en-GB"/>
              </w:rPr>
              <w:t>€</w:t>
            </w:r>
          </w:p>
        </w:tc>
        <w:tc>
          <w:tcPr>
            <w:tcW w:w="1260" w:type="dxa"/>
            <w:vAlign w:val="bottom"/>
          </w:tcPr>
          <w:p w14:paraId="6FA304BC" w14:textId="77777777" w:rsidR="000230E8" w:rsidRPr="00C2318B" w:rsidRDefault="000230E8" w:rsidP="000230E8">
            <w:pPr>
              <w:pStyle w:val="TableCell"/>
              <w:rPr>
                <w:sz w:val="24"/>
                <w:lang w:eastAsia="en-GB"/>
              </w:rPr>
            </w:pPr>
            <w:r w:rsidRPr="00C2318B">
              <w:rPr>
                <w:rFonts w:ascii="Arial" w:hAnsi="Arial" w:cs="Arial"/>
                <w:sz w:val="24"/>
                <w:lang w:eastAsia="en-GB"/>
              </w:rPr>
              <w:t>€</w:t>
            </w:r>
          </w:p>
        </w:tc>
      </w:tr>
      <w:tr w:rsidR="000230E8" w:rsidRPr="00C2318B" w14:paraId="5FE265C0" w14:textId="77777777" w:rsidTr="005A0642">
        <w:tblPrEx>
          <w:tblCellMar>
            <w:top w:w="0" w:type="dxa"/>
            <w:bottom w:w="0" w:type="dxa"/>
          </w:tblCellMar>
        </w:tblPrEx>
        <w:tc>
          <w:tcPr>
            <w:tcW w:w="6048" w:type="dxa"/>
            <w:vAlign w:val="bottom"/>
          </w:tcPr>
          <w:p w14:paraId="0EDAA1D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Tacaí Nádúrtha Pobail </w:t>
            </w:r>
          </w:p>
        </w:tc>
        <w:tc>
          <w:tcPr>
            <w:tcW w:w="1440" w:type="dxa"/>
            <w:vAlign w:val="bottom"/>
          </w:tcPr>
          <w:p w14:paraId="748009C0" w14:textId="77777777" w:rsidR="000230E8" w:rsidRPr="00C2318B" w:rsidRDefault="000230E8" w:rsidP="000230E8">
            <w:pPr>
              <w:pStyle w:val="TableCell"/>
              <w:rPr>
                <w:sz w:val="24"/>
                <w:lang w:eastAsia="en-GB"/>
              </w:rPr>
            </w:pPr>
            <w:r w:rsidRPr="00C2318B">
              <w:rPr>
                <w:sz w:val="24"/>
                <w:lang w:eastAsia="en-GB"/>
              </w:rPr>
              <w:t xml:space="preserve">101,695 </w:t>
            </w:r>
          </w:p>
        </w:tc>
        <w:tc>
          <w:tcPr>
            <w:tcW w:w="1260" w:type="dxa"/>
            <w:vAlign w:val="bottom"/>
          </w:tcPr>
          <w:p w14:paraId="6F02F79E"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57EE02AE" w14:textId="77777777" w:rsidTr="005A0642">
        <w:tblPrEx>
          <w:tblCellMar>
            <w:top w:w="0" w:type="dxa"/>
            <w:bottom w:w="0" w:type="dxa"/>
          </w:tblCellMar>
        </w:tblPrEx>
        <w:tc>
          <w:tcPr>
            <w:tcW w:w="6048" w:type="dxa"/>
            <w:vAlign w:val="bottom"/>
          </w:tcPr>
          <w:p w14:paraId="0B66729C" w14:textId="77777777" w:rsidR="000230E8" w:rsidRPr="001B7531" w:rsidRDefault="000230E8" w:rsidP="000230E8">
            <w:pPr>
              <w:pStyle w:val="TableRowHead"/>
              <w:rPr>
                <w:rFonts w:ascii="Gill Sans" w:hAnsi="Gill Sans"/>
                <w:sz w:val="24"/>
                <w:lang w:eastAsia="en-GB"/>
              </w:rPr>
            </w:pPr>
            <w:r>
              <w:rPr>
                <w:rFonts w:ascii="Gill Sans" w:hAnsi="Gill Sans"/>
                <w:sz w:val="24"/>
                <w:lang w:eastAsia="en-GB"/>
              </w:rPr>
              <w:t>Páipéar Staid Fianaise</w:t>
            </w:r>
          </w:p>
        </w:tc>
        <w:tc>
          <w:tcPr>
            <w:tcW w:w="1440" w:type="dxa"/>
            <w:vAlign w:val="bottom"/>
          </w:tcPr>
          <w:p w14:paraId="744787CF" w14:textId="77777777" w:rsidR="000230E8" w:rsidRPr="00C2318B" w:rsidRDefault="000230E8" w:rsidP="000230E8">
            <w:pPr>
              <w:pStyle w:val="TableCell"/>
              <w:rPr>
                <w:sz w:val="24"/>
                <w:lang w:eastAsia="en-GB"/>
              </w:rPr>
            </w:pPr>
            <w:r w:rsidRPr="00C2318B">
              <w:rPr>
                <w:sz w:val="24"/>
                <w:lang w:eastAsia="en-GB"/>
              </w:rPr>
              <w:t xml:space="preserve">81,761 </w:t>
            </w:r>
          </w:p>
        </w:tc>
        <w:tc>
          <w:tcPr>
            <w:tcW w:w="1260" w:type="dxa"/>
            <w:vAlign w:val="bottom"/>
          </w:tcPr>
          <w:p w14:paraId="773218CA"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7E6D3586" w14:textId="77777777" w:rsidTr="005A0642">
        <w:tblPrEx>
          <w:tblCellMar>
            <w:top w:w="0" w:type="dxa"/>
            <w:bottom w:w="0" w:type="dxa"/>
          </w:tblCellMar>
        </w:tblPrEx>
        <w:tc>
          <w:tcPr>
            <w:tcW w:w="6048" w:type="dxa"/>
            <w:vAlign w:val="bottom"/>
          </w:tcPr>
          <w:p w14:paraId="60E9AC7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Scéim um Chur chun Cinn na Taighde </w:t>
            </w:r>
          </w:p>
        </w:tc>
        <w:tc>
          <w:tcPr>
            <w:tcW w:w="1440" w:type="dxa"/>
            <w:vAlign w:val="bottom"/>
          </w:tcPr>
          <w:p w14:paraId="7F896614" w14:textId="77777777" w:rsidR="000230E8" w:rsidRPr="00C2318B" w:rsidRDefault="000230E8" w:rsidP="000230E8">
            <w:pPr>
              <w:pStyle w:val="TableCell"/>
              <w:rPr>
                <w:sz w:val="24"/>
                <w:lang w:eastAsia="en-GB"/>
              </w:rPr>
            </w:pPr>
            <w:r w:rsidRPr="00C2318B">
              <w:rPr>
                <w:sz w:val="24"/>
                <w:lang w:eastAsia="en-GB"/>
              </w:rPr>
              <w:t xml:space="preserve">79,732 </w:t>
            </w:r>
          </w:p>
        </w:tc>
        <w:tc>
          <w:tcPr>
            <w:tcW w:w="1260" w:type="dxa"/>
            <w:vAlign w:val="bottom"/>
          </w:tcPr>
          <w:p w14:paraId="551E1735" w14:textId="77777777" w:rsidR="000230E8" w:rsidRPr="00C2318B" w:rsidRDefault="000230E8" w:rsidP="000230E8">
            <w:pPr>
              <w:pStyle w:val="TableCell"/>
              <w:rPr>
                <w:sz w:val="24"/>
                <w:lang w:eastAsia="en-GB"/>
              </w:rPr>
            </w:pPr>
            <w:r w:rsidRPr="00C2318B">
              <w:rPr>
                <w:sz w:val="24"/>
                <w:lang w:eastAsia="en-GB"/>
              </w:rPr>
              <w:t xml:space="preserve">8,318 </w:t>
            </w:r>
          </w:p>
        </w:tc>
      </w:tr>
      <w:tr w:rsidR="000230E8" w:rsidRPr="00C2318B" w14:paraId="26315E4E" w14:textId="77777777" w:rsidTr="005A0642">
        <w:tblPrEx>
          <w:tblCellMar>
            <w:top w:w="0" w:type="dxa"/>
            <w:bottom w:w="0" w:type="dxa"/>
          </w:tblCellMar>
        </w:tblPrEx>
        <w:tc>
          <w:tcPr>
            <w:tcW w:w="6048" w:type="dxa"/>
            <w:vAlign w:val="bottom"/>
          </w:tcPr>
          <w:p w14:paraId="3EAB5DC0" w14:textId="77777777" w:rsidR="000230E8" w:rsidRPr="001B7531" w:rsidRDefault="000230E8" w:rsidP="000230E8">
            <w:pPr>
              <w:pStyle w:val="TableRowHead"/>
              <w:rPr>
                <w:rFonts w:ascii="Gill Sans" w:hAnsi="Gill Sans"/>
                <w:sz w:val="24"/>
                <w:lang w:eastAsia="en-GB"/>
              </w:rPr>
            </w:pPr>
            <w:r w:rsidRPr="001B7531">
              <w:rPr>
                <w:rFonts w:ascii="Gill Sans" w:hAnsi="Gill Sans"/>
                <w:sz w:val="24"/>
                <w:lang w:eastAsia="en-GB"/>
              </w:rPr>
              <w:t>Tógáil do gach aon duine</w:t>
            </w:r>
          </w:p>
        </w:tc>
        <w:tc>
          <w:tcPr>
            <w:tcW w:w="1440" w:type="dxa"/>
            <w:vAlign w:val="bottom"/>
          </w:tcPr>
          <w:p w14:paraId="4F386332" w14:textId="77777777" w:rsidR="000230E8" w:rsidRPr="00C2318B" w:rsidRDefault="000230E8" w:rsidP="000230E8">
            <w:pPr>
              <w:pStyle w:val="TableCell"/>
              <w:rPr>
                <w:sz w:val="24"/>
                <w:lang w:eastAsia="en-GB"/>
              </w:rPr>
            </w:pPr>
            <w:r w:rsidRPr="00C2318B">
              <w:rPr>
                <w:sz w:val="24"/>
                <w:lang w:eastAsia="en-GB"/>
              </w:rPr>
              <w:t xml:space="preserve">84,027 </w:t>
            </w:r>
          </w:p>
        </w:tc>
        <w:tc>
          <w:tcPr>
            <w:tcW w:w="1260" w:type="dxa"/>
            <w:vAlign w:val="bottom"/>
          </w:tcPr>
          <w:p w14:paraId="414243D7" w14:textId="77777777" w:rsidR="000230E8" w:rsidRPr="00C2318B" w:rsidRDefault="000230E8" w:rsidP="000230E8">
            <w:pPr>
              <w:pStyle w:val="TableCell"/>
              <w:rPr>
                <w:sz w:val="24"/>
                <w:lang w:eastAsia="en-GB"/>
              </w:rPr>
            </w:pPr>
            <w:r w:rsidRPr="00C2318B">
              <w:rPr>
                <w:sz w:val="24"/>
                <w:lang w:eastAsia="en-GB"/>
              </w:rPr>
              <w:t xml:space="preserve">19,887 </w:t>
            </w:r>
          </w:p>
        </w:tc>
      </w:tr>
      <w:tr w:rsidR="000230E8" w:rsidRPr="00C2318B" w14:paraId="49ECE3DF" w14:textId="77777777" w:rsidTr="005A0642">
        <w:tblPrEx>
          <w:tblCellMar>
            <w:top w:w="0" w:type="dxa"/>
            <w:bottom w:w="0" w:type="dxa"/>
          </w:tblCellMar>
        </w:tblPrEx>
        <w:tc>
          <w:tcPr>
            <w:tcW w:w="6048" w:type="dxa"/>
            <w:vAlign w:val="bottom"/>
          </w:tcPr>
          <w:p w14:paraId="4EFBAFF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Ríomhfhoghlaim</w:t>
            </w:r>
          </w:p>
        </w:tc>
        <w:tc>
          <w:tcPr>
            <w:tcW w:w="1440" w:type="dxa"/>
            <w:vAlign w:val="bottom"/>
          </w:tcPr>
          <w:p w14:paraId="2899E069" w14:textId="77777777" w:rsidR="000230E8" w:rsidRPr="00C2318B" w:rsidRDefault="000230E8" w:rsidP="000230E8">
            <w:pPr>
              <w:pStyle w:val="TableCell"/>
              <w:rPr>
                <w:sz w:val="24"/>
                <w:lang w:eastAsia="en-GB"/>
              </w:rPr>
            </w:pPr>
            <w:r w:rsidRPr="00C2318B">
              <w:rPr>
                <w:sz w:val="24"/>
                <w:lang w:eastAsia="en-GB"/>
              </w:rPr>
              <w:t xml:space="preserve">81,663 </w:t>
            </w:r>
          </w:p>
        </w:tc>
        <w:tc>
          <w:tcPr>
            <w:tcW w:w="1260" w:type="dxa"/>
            <w:vAlign w:val="bottom"/>
          </w:tcPr>
          <w:p w14:paraId="3242DB89" w14:textId="77777777" w:rsidR="000230E8" w:rsidRPr="00C2318B" w:rsidRDefault="000230E8" w:rsidP="000230E8">
            <w:pPr>
              <w:pStyle w:val="TableCell"/>
              <w:rPr>
                <w:sz w:val="24"/>
                <w:lang w:eastAsia="en-GB"/>
              </w:rPr>
            </w:pPr>
            <w:r w:rsidRPr="00C2318B">
              <w:rPr>
                <w:sz w:val="24"/>
                <w:lang w:eastAsia="en-GB"/>
              </w:rPr>
              <w:t xml:space="preserve">48,402 </w:t>
            </w:r>
          </w:p>
        </w:tc>
      </w:tr>
      <w:tr w:rsidR="000230E8" w:rsidRPr="00C2318B" w14:paraId="6A447D53" w14:textId="77777777" w:rsidTr="005A0642">
        <w:tblPrEx>
          <w:tblCellMar>
            <w:top w:w="0" w:type="dxa"/>
            <w:bottom w:w="0" w:type="dxa"/>
          </w:tblCellMar>
        </w:tblPrEx>
        <w:tc>
          <w:tcPr>
            <w:tcW w:w="6048" w:type="dxa"/>
            <w:vAlign w:val="bottom"/>
          </w:tcPr>
          <w:p w14:paraId="1FEEB85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Ábhair Nua – An Leabharlann</w:t>
            </w:r>
          </w:p>
        </w:tc>
        <w:tc>
          <w:tcPr>
            <w:tcW w:w="1440" w:type="dxa"/>
            <w:vAlign w:val="bottom"/>
          </w:tcPr>
          <w:p w14:paraId="242251F3" w14:textId="77777777" w:rsidR="000230E8" w:rsidRPr="00C2318B" w:rsidRDefault="000230E8" w:rsidP="000230E8">
            <w:pPr>
              <w:pStyle w:val="TableCell"/>
              <w:rPr>
                <w:sz w:val="24"/>
                <w:lang w:eastAsia="en-GB"/>
              </w:rPr>
            </w:pPr>
            <w:r w:rsidRPr="00C2318B">
              <w:rPr>
                <w:sz w:val="24"/>
                <w:lang w:eastAsia="en-GB"/>
              </w:rPr>
              <w:t xml:space="preserve">45,222 </w:t>
            </w:r>
          </w:p>
        </w:tc>
        <w:tc>
          <w:tcPr>
            <w:tcW w:w="1260" w:type="dxa"/>
            <w:vAlign w:val="bottom"/>
          </w:tcPr>
          <w:p w14:paraId="53AE8C2D" w14:textId="77777777" w:rsidR="000230E8" w:rsidRPr="00C2318B" w:rsidRDefault="000230E8" w:rsidP="000230E8">
            <w:pPr>
              <w:pStyle w:val="TableCell"/>
              <w:rPr>
                <w:sz w:val="24"/>
                <w:lang w:eastAsia="en-GB"/>
              </w:rPr>
            </w:pPr>
            <w:r w:rsidRPr="00C2318B">
              <w:rPr>
                <w:sz w:val="24"/>
                <w:lang w:eastAsia="en-GB"/>
              </w:rPr>
              <w:t xml:space="preserve">55,821 </w:t>
            </w:r>
          </w:p>
        </w:tc>
      </w:tr>
      <w:tr w:rsidR="000230E8" w:rsidRPr="00C2318B" w14:paraId="339D1D0E" w14:textId="77777777" w:rsidTr="005A0642">
        <w:tblPrEx>
          <w:tblCellMar>
            <w:top w:w="0" w:type="dxa"/>
            <w:bottom w:w="0" w:type="dxa"/>
          </w:tblCellMar>
        </w:tblPrEx>
        <w:tc>
          <w:tcPr>
            <w:tcW w:w="6048" w:type="dxa"/>
            <w:vAlign w:val="bottom"/>
          </w:tcPr>
          <w:p w14:paraId="6088D754" w14:textId="77777777" w:rsidR="000230E8" w:rsidRPr="001B7531" w:rsidRDefault="000230E8" w:rsidP="000230E8">
            <w:pPr>
              <w:pStyle w:val="TableRowHead"/>
              <w:rPr>
                <w:rFonts w:ascii="Gill Sans" w:hAnsi="Gill Sans"/>
                <w:sz w:val="24"/>
                <w:lang w:eastAsia="en-GB"/>
              </w:rPr>
            </w:pPr>
            <w:r>
              <w:rPr>
                <w:rFonts w:ascii="Gill Sans" w:hAnsi="Gill Sans"/>
                <w:sz w:val="24"/>
                <w:lang w:eastAsia="en-GB"/>
              </w:rPr>
              <w:t>Taighde Staitistiuil irish Size</w:t>
            </w:r>
          </w:p>
        </w:tc>
        <w:tc>
          <w:tcPr>
            <w:tcW w:w="1440" w:type="dxa"/>
            <w:vAlign w:val="bottom"/>
          </w:tcPr>
          <w:p w14:paraId="7CB9AD38" w14:textId="77777777" w:rsidR="000230E8" w:rsidRPr="00C2318B" w:rsidRDefault="000230E8" w:rsidP="000230E8">
            <w:pPr>
              <w:pStyle w:val="TableCell"/>
              <w:rPr>
                <w:sz w:val="24"/>
                <w:lang w:eastAsia="en-GB"/>
              </w:rPr>
            </w:pPr>
            <w:r w:rsidRPr="00C2318B">
              <w:rPr>
                <w:sz w:val="24"/>
                <w:lang w:eastAsia="en-GB"/>
              </w:rPr>
              <w:t xml:space="preserve">56,187 </w:t>
            </w:r>
          </w:p>
        </w:tc>
        <w:tc>
          <w:tcPr>
            <w:tcW w:w="1260" w:type="dxa"/>
            <w:vAlign w:val="bottom"/>
          </w:tcPr>
          <w:p w14:paraId="7A373946"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66A3D8E3" w14:textId="77777777" w:rsidTr="005A0642">
        <w:tblPrEx>
          <w:tblCellMar>
            <w:top w:w="0" w:type="dxa"/>
            <w:bottom w:w="0" w:type="dxa"/>
          </w:tblCellMar>
        </w:tblPrEx>
        <w:tc>
          <w:tcPr>
            <w:tcW w:w="6048" w:type="dxa"/>
            <w:vAlign w:val="bottom"/>
          </w:tcPr>
          <w:p w14:paraId="2D7067D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Teicneolaíocht Chuiditheach</w:t>
            </w:r>
          </w:p>
        </w:tc>
        <w:tc>
          <w:tcPr>
            <w:tcW w:w="1440" w:type="dxa"/>
            <w:vAlign w:val="bottom"/>
          </w:tcPr>
          <w:p w14:paraId="4C4CA76E" w14:textId="77777777" w:rsidR="000230E8" w:rsidRPr="00C2318B" w:rsidRDefault="000230E8" w:rsidP="000230E8">
            <w:pPr>
              <w:pStyle w:val="TableCell"/>
              <w:rPr>
                <w:sz w:val="24"/>
                <w:lang w:eastAsia="en-GB"/>
              </w:rPr>
            </w:pPr>
            <w:r w:rsidRPr="00C2318B">
              <w:rPr>
                <w:sz w:val="24"/>
                <w:lang w:eastAsia="en-GB"/>
              </w:rPr>
              <w:t xml:space="preserve">43,869 </w:t>
            </w:r>
          </w:p>
        </w:tc>
        <w:tc>
          <w:tcPr>
            <w:tcW w:w="1260" w:type="dxa"/>
            <w:vAlign w:val="bottom"/>
          </w:tcPr>
          <w:p w14:paraId="33BFF842"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217F7375" w14:textId="77777777" w:rsidTr="005A0642">
        <w:tblPrEx>
          <w:tblCellMar>
            <w:top w:w="0" w:type="dxa"/>
            <w:bottom w:w="0" w:type="dxa"/>
          </w:tblCellMar>
        </w:tblPrEx>
        <w:tc>
          <w:tcPr>
            <w:tcW w:w="6048" w:type="dxa"/>
            <w:vAlign w:val="bottom"/>
          </w:tcPr>
          <w:p w14:paraId="36C45F4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IRCSET</w:t>
            </w:r>
          </w:p>
        </w:tc>
        <w:tc>
          <w:tcPr>
            <w:tcW w:w="1440" w:type="dxa"/>
            <w:vAlign w:val="bottom"/>
          </w:tcPr>
          <w:p w14:paraId="2688B07E" w14:textId="77777777" w:rsidR="000230E8" w:rsidRPr="00C2318B" w:rsidRDefault="000230E8" w:rsidP="000230E8">
            <w:pPr>
              <w:pStyle w:val="TableCell"/>
              <w:rPr>
                <w:sz w:val="24"/>
                <w:lang w:eastAsia="en-GB"/>
              </w:rPr>
            </w:pPr>
            <w:r w:rsidRPr="00C2318B">
              <w:rPr>
                <w:sz w:val="24"/>
                <w:lang w:eastAsia="en-GB"/>
              </w:rPr>
              <w:t xml:space="preserve">39,125 </w:t>
            </w:r>
          </w:p>
        </w:tc>
        <w:tc>
          <w:tcPr>
            <w:tcW w:w="1260" w:type="dxa"/>
            <w:vAlign w:val="bottom"/>
          </w:tcPr>
          <w:p w14:paraId="64E788FE"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43066294" w14:textId="77777777" w:rsidTr="005A0642">
        <w:tblPrEx>
          <w:tblCellMar>
            <w:top w:w="0" w:type="dxa"/>
            <w:bottom w:w="0" w:type="dxa"/>
          </w:tblCellMar>
        </w:tblPrEx>
        <w:tc>
          <w:tcPr>
            <w:tcW w:w="6048" w:type="dxa"/>
            <w:vAlign w:val="bottom"/>
          </w:tcPr>
          <w:p w14:paraId="317D1AA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Suirbhé faoi Dhearcaí</w:t>
            </w:r>
          </w:p>
        </w:tc>
        <w:tc>
          <w:tcPr>
            <w:tcW w:w="1440" w:type="dxa"/>
            <w:vAlign w:val="bottom"/>
          </w:tcPr>
          <w:p w14:paraId="27747FFE" w14:textId="77777777" w:rsidR="000230E8" w:rsidRPr="00C2318B" w:rsidRDefault="000230E8" w:rsidP="000230E8">
            <w:pPr>
              <w:pStyle w:val="TableCell"/>
              <w:rPr>
                <w:sz w:val="24"/>
                <w:lang w:eastAsia="en-GB"/>
              </w:rPr>
            </w:pPr>
            <w:r w:rsidRPr="00C2318B">
              <w:rPr>
                <w:sz w:val="24"/>
                <w:lang w:eastAsia="en-GB"/>
              </w:rPr>
              <w:t xml:space="preserve">42,961 </w:t>
            </w:r>
          </w:p>
        </w:tc>
        <w:tc>
          <w:tcPr>
            <w:tcW w:w="1260" w:type="dxa"/>
            <w:vAlign w:val="bottom"/>
          </w:tcPr>
          <w:p w14:paraId="3B5EE866"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54F654B2" w14:textId="77777777" w:rsidTr="005A0642">
        <w:tblPrEx>
          <w:tblCellMar>
            <w:top w:w="0" w:type="dxa"/>
            <w:bottom w:w="0" w:type="dxa"/>
          </w:tblCellMar>
        </w:tblPrEx>
        <w:tc>
          <w:tcPr>
            <w:tcW w:w="6048" w:type="dxa"/>
            <w:vAlign w:val="bottom"/>
          </w:tcPr>
          <w:p w14:paraId="67009337"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Curaclam DU le haghaidh daltaí san idirbhliain</w:t>
            </w:r>
          </w:p>
        </w:tc>
        <w:tc>
          <w:tcPr>
            <w:tcW w:w="1440" w:type="dxa"/>
            <w:vAlign w:val="bottom"/>
          </w:tcPr>
          <w:p w14:paraId="1C1CA1D0" w14:textId="77777777" w:rsidR="000230E8" w:rsidRPr="00C2318B" w:rsidRDefault="000230E8" w:rsidP="000230E8">
            <w:pPr>
              <w:pStyle w:val="TableCell"/>
              <w:rPr>
                <w:sz w:val="24"/>
                <w:lang w:eastAsia="en-GB"/>
              </w:rPr>
            </w:pPr>
            <w:r w:rsidRPr="00C2318B">
              <w:rPr>
                <w:sz w:val="24"/>
                <w:lang w:eastAsia="en-GB"/>
              </w:rPr>
              <w:t xml:space="preserve">36,755 </w:t>
            </w:r>
          </w:p>
        </w:tc>
        <w:tc>
          <w:tcPr>
            <w:tcW w:w="1260" w:type="dxa"/>
            <w:vAlign w:val="bottom"/>
          </w:tcPr>
          <w:p w14:paraId="11787392" w14:textId="77777777" w:rsidR="000230E8" w:rsidRPr="00C2318B" w:rsidRDefault="000230E8" w:rsidP="000230E8">
            <w:pPr>
              <w:pStyle w:val="TableCell"/>
              <w:rPr>
                <w:sz w:val="24"/>
                <w:lang w:eastAsia="en-GB"/>
              </w:rPr>
            </w:pPr>
            <w:r w:rsidRPr="00C2318B">
              <w:rPr>
                <w:sz w:val="24"/>
                <w:lang w:eastAsia="en-GB"/>
              </w:rPr>
              <w:t xml:space="preserve">3,303 </w:t>
            </w:r>
          </w:p>
        </w:tc>
      </w:tr>
      <w:tr w:rsidR="000230E8" w:rsidRPr="00C2318B" w14:paraId="539A92E2" w14:textId="77777777" w:rsidTr="005A0642">
        <w:tblPrEx>
          <w:tblCellMar>
            <w:top w:w="0" w:type="dxa"/>
            <w:bottom w:w="0" w:type="dxa"/>
          </w:tblCellMar>
        </w:tblPrEx>
        <w:tc>
          <w:tcPr>
            <w:tcW w:w="6048" w:type="dxa"/>
            <w:vAlign w:val="bottom"/>
          </w:tcPr>
          <w:p w14:paraId="091C1466"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Taighde ar na Seirbhísí Sláinte</w:t>
            </w:r>
          </w:p>
        </w:tc>
        <w:tc>
          <w:tcPr>
            <w:tcW w:w="1440" w:type="dxa"/>
            <w:vAlign w:val="bottom"/>
          </w:tcPr>
          <w:p w14:paraId="15473778" w14:textId="77777777" w:rsidR="000230E8" w:rsidRPr="00C2318B" w:rsidRDefault="000230E8" w:rsidP="000230E8">
            <w:pPr>
              <w:pStyle w:val="TableCell"/>
              <w:rPr>
                <w:sz w:val="24"/>
                <w:lang w:eastAsia="en-GB"/>
              </w:rPr>
            </w:pPr>
            <w:r w:rsidRPr="00C2318B">
              <w:rPr>
                <w:sz w:val="24"/>
                <w:lang w:eastAsia="en-GB"/>
              </w:rPr>
              <w:t xml:space="preserve">31,805 </w:t>
            </w:r>
          </w:p>
        </w:tc>
        <w:tc>
          <w:tcPr>
            <w:tcW w:w="1260" w:type="dxa"/>
            <w:vAlign w:val="bottom"/>
          </w:tcPr>
          <w:p w14:paraId="6827A2B9"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5E15C294" w14:textId="77777777" w:rsidTr="005A0642">
        <w:tblPrEx>
          <w:tblCellMar>
            <w:top w:w="0" w:type="dxa"/>
            <w:bottom w:w="0" w:type="dxa"/>
          </w:tblCellMar>
        </w:tblPrEx>
        <w:tc>
          <w:tcPr>
            <w:tcW w:w="6048" w:type="dxa"/>
            <w:vAlign w:val="bottom"/>
          </w:tcPr>
          <w:p w14:paraId="6C01D5B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Táscairí míchumais</w:t>
            </w:r>
          </w:p>
        </w:tc>
        <w:tc>
          <w:tcPr>
            <w:tcW w:w="1440" w:type="dxa"/>
            <w:vAlign w:val="bottom"/>
          </w:tcPr>
          <w:p w14:paraId="1D70EA15" w14:textId="77777777" w:rsidR="000230E8" w:rsidRPr="00C2318B" w:rsidRDefault="000230E8" w:rsidP="000230E8">
            <w:pPr>
              <w:pStyle w:val="TableCell"/>
              <w:rPr>
                <w:sz w:val="24"/>
                <w:lang w:eastAsia="en-GB"/>
              </w:rPr>
            </w:pPr>
            <w:r w:rsidRPr="00C2318B">
              <w:rPr>
                <w:sz w:val="24"/>
                <w:lang w:eastAsia="en-GB"/>
              </w:rPr>
              <w:t xml:space="preserve">24,853 </w:t>
            </w:r>
          </w:p>
        </w:tc>
        <w:tc>
          <w:tcPr>
            <w:tcW w:w="1260" w:type="dxa"/>
            <w:vAlign w:val="bottom"/>
          </w:tcPr>
          <w:p w14:paraId="0FD0F362"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4B654EB0" w14:textId="77777777" w:rsidTr="005A0642">
        <w:tblPrEx>
          <w:tblCellMar>
            <w:top w:w="0" w:type="dxa"/>
            <w:bottom w:w="0" w:type="dxa"/>
          </w:tblCellMar>
        </w:tblPrEx>
        <w:tc>
          <w:tcPr>
            <w:tcW w:w="6048" w:type="dxa"/>
            <w:vAlign w:val="bottom"/>
          </w:tcPr>
          <w:p w14:paraId="03D688A7"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Modúil an churaclam DU a fhorbairt i 3 réimse </w:t>
            </w:r>
          </w:p>
        </w:tc>
        <w:tc>
          <w:tcPr>
            <w:tcW w:w="1440" w:type="dxa"/>
            <w:vAlign w:val="bottom"/>
          </w:tcPr>
          <w:p w14:paraId="58451CD3" w14:textId="77777777" w:rsidR="000230E8" w:rsidRPr="00C2318B" w:rsidRDefault="000230E8" w:rsidP="000230E8">
            <w:pPr>
              <w:pStyle w:val="TableCell"/>
              <w:rPr>
                <w:sz w:val="24"/>
                <w:lang w:eastAsia="en-GB"/>
              </w:rPr>
            </w:pPr>
            <w:r w:rsidRPr="00C2318B">
              <w:rPr>
                <w:sz w:val="24"/>
                <w:lang w:eastAsia="en-GB"/>
              </w:rPr>
              <w:t xml:space="preserve">24,704 </w:t>
            </w:r>
          </w:p>
        </w:tc>
        <w:tc>
          <w:tcPr>
            <w:tcW w:w="1260" w:type="dxa"/>
            <w:vAlign w:val="bottom"/>
          </w:tcPr>
          <w:p w14:paraId="6E6FA04B"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1361C360" w14:textId="77777777" w:rsidTr="005A0642">
        <w:tblPrEx>
          <w:tblCellMar>
            <w:top w:w="0" w:type="dxa"/>
            <w:bottom w:w="0" w:type="dxa"/>
          </w:tblCellMar>
        </w:tblPrEx>
        <w:tc>
          <w:tcPr>
            <w:tcW w:w="6048" w:type="dxa"/>
            <w:vAlign w:val="bottom"/>
          </w:tcPr>
          <w:p w14:paraId="0888901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Inrochtaineacht Ghréasáin </w:t>
            </w:r>
          </w:p>
        </w:tc>
        <w:tc>
          <w:tcPr>
            <w:tcW w:w="1440" w:type="dxa"/>
            <w:vAlign w:val="bottom"/>
          </w:tcPr>
          <w:p w14:paraId="7A0C1672" w14:textId="77777777" w:rsidR="000230E8" w:rsidRPr="00C2318B" w:rsidRDefault="000230E8" w:rsidP="000230E8">
            <w:pPr>
              <w:pStyle w:val="TableCell"/>
              <w:rPr>
                <w:sz w:val="24"/>
                <w:lang w:eastAsia="en-GB"/>
              </w:rPr>
            </w:pPr>
            <w:r w:rsidRPr="00C2318B">
              <w:rPr>
                <w:sz w:val="24"/>
                <w:lang w:eastAsia="en-GB"/>
              </w:rPr>
              <w:t xml:space="preserve">24,502 </w:t>
            </w:r>
          </w:p>
        </w:tc>
        <w:tc>
          <w:tcPr>
            <w:tcW w:w="1260" w:type="dxa"/>
            <w:vAlign w:val="bottom"/>
          </w:tcPr>
          <w:p w14:paraId="3CC602AF"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26E1ECCB" w14:textId="77777777" w:rsidTr="005A0642">
        <w:tblPrEx>
          <w:tblCellMar>
            <w:top w:w="0" w:type="dxa"/>
            <w:bottom w:w="0" w:type="dxa"/>
          </w:tblCellMar>
        </w:tblPrEx>
        <w:tc>
          <w:tcPr>
            <w:tcW w:w="6048" w:type="dxa"/>
            <w:vAlign w:val="bottom"/>
          </w:tcPr>
          <w:p w14:paraId="2890FE8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Comhdháil Bhliantúil Taighde </w:t>
            </w:r>
          </w:p>
        </w:tc>
        <w:tc>
          <w:tcPr>
            <w:tcW w:w="1440" w:type="dxa"/>
            <w:vAlign w:val="bottom"/>
          </w:tcPr>
          <w:p w14:paraId="5D80A9C0" w14:textId="77777777" w:rsidR="000230E8" w:rsidRPr="00C2318B" w:rsidRDefault="000230E8" w:rsidP="000230E8">
            <w:pPr>
              <w:pStyle w:val="TableCell"/>
              <w:rPr>
                <w:sz w:val="24"/>
                <w:lang w:eastAsia="en-GB"/>
              </w:rPr>
            </w:pPr>
            <w:r w:rsidRPr="00C2318B">
              <w:rPr>
                <w:sz w:val="24"/>
                <w:lang w:eastAsia="en-GB"/>
              </w:rPr>
              <w:t xml:space="preserve">24,185 </w:t>
            </w:r>
          </w:p>
        </w:tc>
        <w:tc>
          <w:tcPr>
            <w:tcW w:w="1260" w:type="dxa"/>
            <w:vAlign w:val="bottom"/>
          </w:tcPr>
          <w:p w14:paraId="2BFD1380" w14:textId="77777777" w:rsidR="000230E8" w:rsidRPr="00C2318B" w:rsidRDefault="000230E8" w:rsidP="000230E8">
            <w:pPr>
              <w:pStyle w:val="TableCell"/>
              <w:rPr>
                <w:sz w:val="24"/>
                <w:lang w:eastAsia="en-GB"/>
              </w:rPr>
            </w:pPr>
            <w:r w:rsidRPr="00C2318B">
              <w:rPr>
                <w:sz w:val="24"/>
                <w:lang w:eastAsia="en-GB"/>
              </w:rPr>
              <w:t xml:space="preserve">19,402 </w:t>
            </w:r>
          </w:p>
        </w:tc>
      </w:tr>
      <w:tr w:rsidR="000230E8" w:rsidRPr="00C2318B" w14:paraId="23181B2E" w14:textId="77777777" w:rsidTr="005A0642">
        <w:tblPrEx>
          <w:tblCellMar>
            <w:top w:w="0" w:type="dxa"/>
            <w:bottom w:w="0" w:type="dxa"/>
          </w:tblCellMar>
        </w:tblPrEx>
        <w:tc>
          <w:tcPr>
            <w:tcW w:w="6048" w:type="dxa"/>
            <w:vAlign w:val="bottom"/>
          </w:tcPr>
          <w:p w14:paraId="4445F2AD"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Teilifís Trastíre Digití</w:t>
            </w:r>
          </w:p>
        </w:tc>
        <w:tc>
          <w:tcPr>
            <w:tcW w:w="1440" w:type="dxa"/>
            <w:vAlign w:val="bottom"/>
          </w:tcPr>
          <w:p w14:paraId="4A7BA2E6" w14:textId="77777777" w:rsidR="000230E8" w:rsidRPr="00C2318B" w:rsidRDefault="000230E8" w:rsidP="000230E8">
            <w:pPr>
              <w:pStyle w:val="TableCell"/>
              <w:rPr>
                <w:sz w:val="24"/>
                <w:lang w:eastAsia="en-GB"/>
              </w:rPr>
            </w:pPr>
            <w:r w:rsidRPr="00C2318B">
              <w:rPr>
                <w:sz w:val="24"/>
                <w:lang w:eastAsia="en-GB"/>
              </w:rPr>
              <w:t xml:space="preserve">20,500 </w:t>
            </w:r>
          </w:p>
        </w:tc>
        <w:tc>
          <w:tcPr>
            <w:tcW w:w="1260" w:type="dxa"/>
            <w:vAlign w:val="bottom"/>
          </w:tcPr>
          <w:p w14:paraId="04253969" w14:textId="77777777" w:rsidR="000230E8" w:rsidRPr="00C2318B" w:rsidRDefault="000230E8" w:rsidP="000230E8">
            <w:pPr>
              <w:pStyle w:val="TableCell"/>
              <w:rPr>
                <w:sz w:val="24"/>
                <w:lang w:eastAsia="en-GB"/>
              </w:rPr>
            </w:pPr>
            <w:r w:rsidRPr="00C2318B">
              <w:rPr>
                <w:sz w:val="24"/>
                <w:lang w:eastAsia="en-GB"/>
              </w:rPr>
              <w:t xml:space="preserve">20,500 </w:t>
            </w:r>
          </w:p>
        </w:tc>
      </w:tr>
      <w:tr w:rsidR="000230E8" w:rsidRPr="00C2318B" w14:paraId="05FF0CE3" w14:textId="77777777" w:rsidTr="005A0642">
        <w:tblPrEx>
          <w:tblCellMar>
            <w:top w:w="0" w:type="dxa"/>
            <w:bottom w:w="0" w:type="dxa"/>
          </w:tblCellMar>
        </w:tblPrEx>
        <w:tc>
          <w:tcPr>
            <w:tcW w:w="6048" w:type="dxa"/>
            <w:vAlign w:val="bottom"/>
          </w:tcPr>
          <w:p w14:paraId="6ED789B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Dúshlán 24 uair an chloig</w:t>
            </w:r>
          </w:p>
        </w:tc>
        <w:tc>
          <w:tcPr>
            <w:tcW w:w="1440" w:type="dxa"/>
            <w:vAlign w:val="bottom"/>
          </w:tcPr>
          <w:p w14:paraId="5DCB927D" w14:textId="77777777" w:rsidR="000230E8" w:rsidRPr="00C2318B" w:rsidRDefault="000230E8" w:rsidP="000230E8">
            <w:pPr>
              <w:pStyle w:val="TableCell"/>
              <w:rPr>
                <w:sz w:val="24"/>
                <w:lang w:eastAsia="en-GB"/>
              </w:rPr>
            </w:pPr>
            <w:r w:rsidRPr="00C2318B">
              <w:rPr>
                <w:sz w:val="24"/>
                <w:lang w:eastAsia="en-GB"/>
              </w:rPr>
              <w:t xml:space="preserve">17,053 </w:t>
            </w:r>
          </w:p>
        </w:tc>
        <w:tc>
          <w:tcPr>
            <w:tcW w:w="1260" w:type="dxa"/>
            <w:vAlign w:val="bottom"/>
          </w:tcPr>
          <w:p w14:paraId="65BFB13B" w14:textId="77777777" w:rsidR="000230E8" w:rsidRPr="00C2318B" w:rsidRDefault="000230E8" w:rsidP="000230E8">
            <w:pPr>
              <w:pStyle w:val="TableCell"/>
              <w:rPr>
                <w:sz w:val="24"/>
                <w:lang w:eastAsia="en-GB"/>
              </w:rPr>
            </w:pPr>
            <w:r w:rsidRPr="00C2318B">
              <w:rPr>
                <w:sz w:val="24"/>
                <w:lang w:eastAsia="en-GB"/>
              </w:rPr>
              <w:t xml:space="preserve">32,778 </w:t>
            </w:r>
          </w:p>
        </w:tc>
      </w:tr>
      <w:tr w:rsidR="000230E8" w:rsidRPr="00C2318B" w14:paraId="26141CCD" w14:textId="77777777" w:rsidTr="005A0642">
        <w:tblPrEx>
          <w:tblCellMar>
            <w:top w:w="0" w:type="dxa"/>
            <w:bottom w:w="0" w:type="dxa"/>
          </w:tblCellMar>
        </w:tblPrEx>
        <w:tc>
          <w:tcPr>
            <w:tcW w:w="6048" w:type="dxa"/>
            <w:vAlign w:val="bottom"/>
          </w:tcPr>
          <w:p w14:paraId="249E1BE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Staidéar Indéantachta maidir le Leithdháileadh Acmhainní </w:t>
            </w:r>
          </w:p>
        </w:tc>
        <w:tc>
          <w:tcPr>
            <w:tcW w:w="1440" w:type="dxa"/>
            <w:vAlign w:val="bottom"/>
          </w:tcPr>
          <w:p w14:paraId="60A08883" w14:textId="77777777" w:rsidR="000230E8" w:rsidRPr="00C2318B" w:rsidRDefault="000230E8" w:rsidP="000230E8">
            <w:pPr>
              <w:pStyle w:val="TableCell"/>
              <w:rPr>
                <w:sz w:val="24"/>
                <w:lang w:eastAsia="en-GB"/>
              </w:rPr>
            </w:pPr>
            <w:r w:rsidRPr="00C2318B">
              <w:rPr>
                <w:sz w:val="24"/>
                <w:lang w:eastAsia="en-GB"/>
              </w:rPr>
              <w:t xml:space="preserve">25,227 </w:t>
            </w:r>
          </w:p>
        </w:tc>
        <w:tc>
          <w:tcPr>
            <w:tcW w:w="1260" w:type="dxa"/>
            <w:vAlign w:val="bottom"/>
          </w:tcPr>
          <w:p w14:paraId="09A1FA83"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490CC906" w14:textId="77777777" w:rsidTr="005A0642">
        <w:tblPrEx>
          <w:tblCellMar>
            <w:top w:w="0" w:type="dxa"/>
            <w:bottom w:w="0" w:type="dxa"/>
          </w:tblCellMar>
        </w:tblPrEx>
        <w:tc>
          <w:tcPr>
            <w:tcW w:w="6048" w:type="dxa"/>
            <w:vAlign w:val="bottom"/>
          </w:tcPr>
          <w:p w14:paraId="6CA1BA9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Treoirlínte sonracha a fhorbairt faoi Thithe Fadsaoil </w:t>
            </w:r>
          </w:p>
        </w:tc>
        <w:tc>
          <w:tcPr>
            <w:tcW w:w="1440" w:type="dxa"/>
            <w:vAlign w:val="bottom"/>
          </w:tcPr>
          <w:p w14:paraId="137F1B34" w14:textId="77777777" w:rsidR="000230E8" w:rsidRPr="00C2318B" w:rsidRDefault="000230E8" w:rsidP="000230E8">
            <w:pPr>
              <w:pStyle w:val="TableCell"/>
              <w:rPr>
                <w:sz w:val="24"/>
                <w:lang w:eastAsia="en-GB"/>
              </w:rPr>
            </w:pPr>
            <w:r w:rsidRPr="00C2318B">
              <w:rPr>
                <w:sz w:val="24"/>
                <w:lang w:eastAsia="en-GB"/>
              </w:rPr>
              <w:t xml:space="preserve">12,745 </w:t>
            </w:r>
          </w:p>
        </w:tc>
        <w:tc>
          <w:tcPr>
            <w:tcW w:w="1260" w:type="dxa"/>
            <w:vAlign w:val="bottom"/>
          </w:tcPr>
          <w:p w14:paraId="0E435B28"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7BDFB3CF" w14:textId="77777777" w:rsidTr="005A0642">
        <w:tblPrEx>
          <w:tblCellMar>
            <w:top w:w="0" w:type="dxa"/>
            <w:bottom w:w="0" w:type="dxa"/>
          </w:tblCellMar>
        </w:tblPrEx>
        <w:tc>
          <w:tcPr>
            <w:tcW w:w="6048" w:type="dxa"/>
            <w:vAlign w:val="bottom"/>
          </w:tcPr>
          <w:p w14:paraId="0A88CD9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Tionscadal le DCC chun an cur chuige DU a threorú sa dearadh uirbeach </w:t>
            </w:r>
          </w:p>
        </w:tc>
        <w:tc>
          <w:tcPr>
            <w:tcW w:w="1440" w:type="dxa"/>
            <w:vAlign w:val="bottom"/>
          </w:tcPr>
          <w:p w14:paraId="3D42D3BF" w14:textId="77777777" w:rsidR="000230E8" w:rsidRPr="00C2318B" w:rsidRDefault="000230E8" w:rsidP="000230E8">
            <w:pPr>
              <w:pStyle w:val="TableCell"/>
              <w:rPr>
                <w:sz w:val="24"/>
                <w:lang w:eastAsia="en-GB"/>
              </w:rPr>
            </w:pPr>
            <w:r w:rsidRPr="00C2318B">
              <w:rPr>
                <w:sz w:val="24"/>
                <w:lang w:eastAsia="en-GB"/>
              </w:rPr>
              <w:t xml:space="preserve">10,930 </w:t>
            </w:r>
          </w:p>
        </w:tc>
        <w:tc>
          <w:tcPr>
            <w:tcW w:w="1260" w:type="dxa"/>
            <w:vAlign w:val="bottom"/>
          </w:tcPr>
          <w:p w14:paraId="47C21656"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16B64CF1" w14:textId="77777777" w:rsidTr="005A0642">
        <w:tblPrEx>
          <w:tblCellMar>
            <w:top w:w="0" w:type="dxa"/>
            <w:bottom w:w="0" w:type="dxa"/>
          </w:tblCellMar>
        </w:tblPrEx>
        <w:tc>
          <w:tcPr>
            <w:tcW w:w="6048" w:type="dxa"/>
            <w:vAlign w:val="bottom"/>
          </w:tcPr>
          <w:p w14:paraId="500212D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An Cód Cleachtais Oidhreachta </w:t>
            </w:r>
          </w:p>
        </w:tc>
        <w:tc>
          <w:tcPr>
            <w:tcW w:w="1440" w:type="dxa"/>
            <w:vAlign w:val="bottom"/>
          </w:tcPr>
          <w:p w14:paraId="7A99D20A" w14:textId="77777777" w:rsidR="000230E8" w:rsidRPr="00C2318B" w:rsidRDefault="000230E8" w:rsidP="000230E8">
            <w:pPr>
              <w:pStyle w:val="TableCell"/>
              <w:rPr>
                <w:sz w:val="24"/>
                <w:lang w:eastAsia="en-GB"/>
              </w:rPr>
            </w:pPr>
            <w:r w:rsidRPr="00C2318B">
              <w:rPr>
                <w:sz w:val="24"/>
                <w:lang w:eastAsia="en-GB"/>
              </w:rPr>
              <w:t xml:space="preserve">7,944 </w:t>
            </w:r>
          </w:p>
        </w:tc>
        <w:tc>
          <w:tcPr>
            <w:tcW w:w="1260" w:type="dxa"/>
            <w:vAlign w:val="bottom"/>
          </w:tcPr>
          <w:p w14:paraId="7A1BC736"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74142299" w14:textId="77777777" w:rsidTr="005A0642">
        <w:tblPrEx>
          <w:tblCellMar>
            <w:top w:w="0" w:type="dxa"/>
            <w:bottom w:w="0" w:type="dxa"/>
          </w:tblCellMar>
        </w:tblPrEx>
        <w:tc>
          <w:tcPr>
            <w:tcW w:w="6048" w:type="dxa"/>
            <w:vAlign w:val="bottom"/>
          </w:tcPr>
          <w:p w14:paraId="6AB289C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Leabhar míchumais</w:t>
            </w:r>
          </w:p>
        </w:tc>
        <w:tc>
          <w:tcPr>
            <w:tcW w:w="1440" w:type="dxa"/>
            <w:vAlign w:val="bottom"/>
          </w:tcPr>
          <w:p w14:paraId="5E5D458D" w14:textId="77777777" w:rsidR="000230E8" w:rsidRPr="00C2318B" w:rsidRDefault="000230E8" w:rsidP="000230E8">
            <w:pPr>
              <w:pStyle w:val="TableCell"/>
              <w:rPr>
                <w:sz w:val="24"/>
                <w:lang w:eastAsia="en-GB"/>
              </w:rPr>
            </w:pPr>
            <w:r w:rsidRPr="00C2318B">
              <w:rPr>
                <w:sz w:val="24"/>
                <w:lang w:eastAsia="en-GB"/>
              </w:rPr>
              <w:t xml:space="preserve">7,321 </w:t>
            </w:r>
          </w:p>
        </w:tc>
        <w:tc>
          <w:tcPr>
            <w:tcW w:w="1260" w:type="dxa"/>
            <w:vAlign w:val="bottom"/>
          </w:tcPr>
          <w:p w14:paraId="3B422863" w14:textId="77777777" w:rsidR="000230E8" w:rsidRPr="00C2318B" w:rsidRDefault="000230E8" w:rsidP="000230E8">
            <w:pPr>
              <w:pStyle w:val="TableCell"/>
              <w:rPr>
                <w:sz w:val="24"/>
                <w:lang w:eastAsia="en-GB"/>
              </w:rPr>
            </w:pPr>
            <w:r w:rsidRPr="00C2318B">
              <w:rPr>
                <w:sz w:val="24"/>
                <w:lang w:eastAsia="en-GB"/>
              </w:rPr>
              <w:t xml:space="preserve">11,314 </w:t>
            </w:r>
          </w:p>
        </w:tc>
      </w:tr>
      <w:tr w:rsidR="000230E8" w:rsidRPr="00C2318B" w14:paraId="52821457" w14:textId="77777777" w:rsidTr="005A0642">
        <w:tblPrEx>
          <w:tblCellMar>
            <w:top w:w="0" w:type="dxa"/>
            <w:bottom w:w="0" w:type="dxa"/>
          </w:tblCellMar>
        </w:tblPrEx>
        <w:tc>
          <w:tcPr>
            <w:tcW w:w="6048" w:type="dxa"/>
            <w:vAlign w:val="bottom"/>
          </w:tcPr>
          <w:p w14:paraId="4380301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Caighdeáin an NSAI le haghaidh seirbhísí</w:t>
            </w:r>
          </w:p>
        </w:tc>
        <w:tc>
          <w:tcPr>
            <w:tcW w:w="1440" w:type="dxa"/>
            <w:vAlign w:val="bottom"/>
          </w:tcPr>
          <w:p w14:paraId="27C264A3" w14:textId="77777777" w:rsidR="000230E8" w:rsidRPr="00C2318B" w:rsidRDefault="000230E8" w:rsidP="000230E8">
            <w:pPr>
              <w:pStyle w:val="TableCell"/>
              <w:rPr>
                <w:sz w:val="24"/>
                <w:lang w:eastAsia="en-GB"/>
              </w:rPr>
            </w:pPr>
            <w:r w:rsidRPr="00C2318B">
              <w:rPr>
                <w:sz w:val="24"/>
                <w:lang w:eastAsia="en-GB"/>
              </w:rPr>
              <w:t xml:space="preserve">6,001 </w:t>
            </w:r>
          </w:p>
        </w:tc>
        <w:tc>
          <w:tcPr>
            <w:tcW w:w="1260" w:type="dxa"/>
            <w:vAlign w:val="bottom"/>
          </w:tcPr>
          <w:p w14:paraId="679B791C"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62D86459" w14:textId="77777777" w:rsidTr="005A0642">
        <w:tblPrEx>
          <w:tblCellMar>
            <w:top w:w="0" w:type="dxa"/>
            <w:bottom w:w="0" w:type="dxa"/>
          </w:tblCellMar>
        </w:tblPrEx>
        <w:tc>
          <w:tcPr>
            <w:tcW w:w="6048" w:type="dxa"/>
            <w:vAlign w:val="bottom"/>
          </w:tcPr>
          <w:p w14:paraId="6353406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Athbhreithniú ar an Lámhleabhar ar Rialachas Corparáideach </w:t>
            </w:r>
          </w:p>
        </w:tc>
        <w:tc>
          <w:tcPr>
            <w:tcW w:w="1440" w:type="dxa"/>
            <w:vAlign w:val="bottom"/>
          </w:tcPr>
          <w:p w14:paraId="0BDA4706" w14:textId="77777777" w:rsidR="000230E8" w:rsidRPr="00C2318B" w:rsidRDefault="000230E8" w:rsidP="000230E8">
            <w:pPr>
              <w:pStyle w:val="TableCell"/>
              <w:rPr>
                <w:sz w:val="24"/>
                <w:lang w:eastAsia="en-GB"/>
              </w:rPr>
            </w:pPr>
            <w:r w:rsidRPr="00C2318B">
              <w:rPr>
                <w:sz w:val="24"/>
                <w:lang w:eastAsia="en-GB"/>
              </w:rPr>
              <w:t xml:space="preserve">4,800 </w:t>
            </w:r>
          </w:p>
        </w:tc>
        <w:tc>
          <w:tcPr>
            <w:tcW w:w="1260" w:type="dxa"/>
            <w:vAlign w:val="bottom"/>
          </w:tcPr>
          <w:p w14:paraId="4FE36CF9"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47528727" w14:textId="77777777" w:rsidTr="005A0642">
        <w:tblPrEx>
          <w:tblCellMar>
            <w:top w:w="0" w:type="dxa"/>
            <w:bottom w:w="0" w:type="dxa"/>
          </w:tblCellMar>
        </w:tblPrEx>
        <w:tc>
          <w:tcPr>
            <w:tcW w:w="6048" w:type="dxa"/>
            <w:vAlign w:val="bottom"/>
          </w:tcPr>
          <w:p w14:paraId="228E86A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Athbhreithniú ar Rialuithe Inmheánacha Airgeadais </w:t>
            </w:r>
          </w:p>
        </w:tc>
        <w:tc>
          <w:tcPr>
            <w:tcW w:w="1440" w:type="dxa"/>
            <w:vAlign w:val="bottom"/>
          </w:tcPr>
          <w:p w14:paraId="50D03963" w14:textId="77777777" w:rsidR="000230E8" w:rsidRPr="00C2318B" w:rsidRDefault="000230E8" w:rsidP="000230E8">
            <w:pPr>
              <w:pStyle w:val="TableCell"/>
              <w:rPr>
                <w:sz w:val="24"/>
                <w:lang w:eastAsia="en-GB"/>
              </w:rPr>
            </w:pPr>
            <w:r w:rsidRPr="00C2318B">
              <w:rPr>
                <w:sz w:val="24"/>
                <w:lang w:eastAsia="en-GB"/>
              </w:rPr>
              <w:t xml:space="preserve">4,790 </w:t>
            </w:r>
          </w:p>
        </w:tc>
        <w:tc>
          <w:tcPr>
            <w:tcW w:w="1260" w:type="dxa"/>
            <w:vAlign w:val="bottom"/>
          </w:tcPr>
          <w:p w14:paraId="5F3675D0" w14:textId="77777777" w:rsidR="000230E8" w:rsidRPr="00C2318B" w:rsidRDefault="000230E8" w:rsidP="000230E8">
            <w:pPr>
              <w:pStyle w:val="TableCell"/>
              <w:rPr>
                <w:sz w:val="24"/>
                <w:lang w:eastAsia="en-GB"/>
              </w:rPr>
            </w:pPr>
            <w:r w:rsidRPr="00C2318B">
              <w:rPr>
                <w:sz w:val="24"/>
                <w:lang w:eastAsia="en-GB"/>
              </w:rPr>
              <w:t xml:space="preserve">3,279 </w:t>
            </w:r>
          </w:p>
        </w:tc>
      </w:tr>
      <w:tr w:rsidR="000230E8" w:rsidRPr="00C2318B" w14:paraId="796FE379" w14:textId="77777777" w:rsidTr="005A0642">
        <w:tblPrEx>
          <w:tblCellMar>
            <w:top w:w="0" w:type="dxa"/>
            <w:bottom w:w="0" w:type="dxa"/>
          </w:tblCellMar>
        </w:tblPrEx>
        <w:tc>
          <w:tcPr>
            <w:tcW w:w="6048" w:type="dxa"/>
            <w:vAlign w:val="bottom"/>
          </w:tcPr>
          <w:p w14:paraId="4417ADC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An Dámhachtain um Feabhas trí hInrochtaineacht &amp; an Scéim Maoirseachta </w:t>
            </w:r>
          </w:p>
        </w:tc>
        <w:tc>
          <w:tcPr>
            <w:tcW w:w="1440" w:type="dxa"/>
            <w:vAlign w:val="bottom"/>
          </w:tcPr>
          <w:p w14:paraId="5B7341A6" w14:textId="77777777" w:rsidR="000230E8" w:rsidRPr="00C2318B" w:rsidRDefault="000230E8" w:rsidP="000230E8">
            <w:pPr>
              <w:pStyle w:val="TableCell"/>
              <w:rPr>
                <w:sz w:val="24"/>
                <w:lang w:eastAsia="en-GB"/>
              </w:rPr>
            </w:pPr>
            <w:r w:rsidRPr="00C2318B">
              <w:rPr>
                <w:sz w:val="24"/>
                <w:lang w:eastAsia="en-GB"/>
              </w:rPr>
              <w:t xml:space="preserve">4,252 </w:t>
            </w:r>
          </w:p>
        </w:tc>
        <w:tc>
          <w:tcPr>
            <w:tcW w:w="1260" w:type="dxa"/>
            <w:vAlign w:val="bottom"/>
          </w:tcPr>
          <w:p w14:paraId="6FAA75A3" w14:textId="77777777" w:rsidR="000230E8" w:rsidRPr="00C2318B" w:rsidRDefault="000230E8" w:rsidP="000230E8">
            <w:pPr>
              <w:pStyle w:val="TableCell"/>
              <w:rPr>
                <w:sz w:val="24"/>
                <w:lang w:eastAsia="en-GB"/>
              </w:rPr>
            </w:pPr>
            <w:r w:rsidRPr="00C2318B">
              <w:rPr>
                <w:sz w:val="24"/>
                <w:lang w:eastAsia="en-GB"/>
              </w:rPr>
              <w:t xml:space="preserve">74,320 </w:t>
            </w:r>
          </w:p>
        </w:tc>
      </w:tr>
      <w:tr w:rsidR="000230E8" w:rsidRPr="00C2318B" w14:paraId="025AE747" w14:textId="77777777" w:rsidTr="005A0642">
        <w:tblPrEx>
          <w:tblCellMar>
            <w:top w:w="0" w:type="dxa"/>
            <w:bottom w:w="0" w:type="dxa"/>
          </w:tblCellMar>
        </w:tblPrEx>
        <w:tc>
          <w:tcPr>
            <w:tcW w:w="6048" w:type="dxa"/>
            <w:vAlign w:val="bottom"/>
          </w:tcPr>
          <w:p w14:paraId="5476A38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Scoláireachtaí Taighde</w:t>
            </w:r>
          </w:p>
        </w:tc>
        <w:tc>
          <w:tcPr>
            <w:tcW w:w="1440" w:type="dxa"/>
            <w:vAlign w:val="bottom"/>
          </w:tcPr>
          <w:p w14:paraId="666B39CB" w14:textId="77777777" w:rsidR="000230E8" w:rsidRPr="00C2318B" w:rsidRDefault="000230E8" w:rsidP="000230E8">
            <w:pPr>
              <w:pStyle w:val="TableCell"/>
              <w:rPr>
                <w:sz w:val="24"/>
                <w:lang w:eastAsia="en-GB"/>
              </w:rPr>
            </w:pPr>
            <w:r w:rsidRPr="00C2318B">
              <w:rPr>
                <w:sz w:val="24"/>
                <w:lang w:eastAsia="en-GB"/>
              </w:rPr>
              <w:t xml:space="preserve">4,087 </w:t>
            </w:r>
          </w:p>
        </w:tc>
        <w:tc>
          <w:tcPr>
            <w:tcW w:w="1260" w:type="dxa"/>
            <w:vAlign w:val="bottom"/>
          </w:tcPr>
          <w:p w14:paraId="3A9507D9" w14:textId="77777777" w:rsidR="000230E8" w:rsidRPr="00C2318B" w:rsidRDefault="000230E8" w:rsidP="000230E8">
            <w:pPr>
              <w:pStyle w:val="TableCell"/>
              <w:rPr>
                <w:sz w:val="24"/>
                <w:lang w:eastAsia="en-GB"/>
              </w:rPr>
            </w:pPr>
            <w:r w:rsidRPr="00C2318B">
              <w:rPr>
                <w:sz w:val="24"/>
                <w:lang w:eastAsia="en-GB"/>
              </w:rPr>
              <w:t xml:space="preserve">5,802 </w:t>
            </w:r>
          </w:p>
        </w:tc>
      </w:tr>
      <w:tr w:rsidR="000230E8" w:rsidRPr="00C2318B" w14:paraId="7B68D49B" w14:textId="77777777" w:rsidTr="005A0642">
        <w:tblPrEx>
          <w:tblCellMar>
            <w:top w:w="0" w:type="dxa"/>
            <w:bottom w:w="0" w:type="dxa"/>
          </w:tblCellMar>
        </w:tblPrEx>
        <w:tc>
          <w:tcPr>
            <w:tcW w:w="6048" w:type="dxa"/>
            <w:vAlign w:val="bottom"/>
          </w:tcPr>
          <w:p w14:paraId="7467414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Pleanáil Straitéiseach</w:t>
            </w:r>
          </w:p>
        </w:tc>
        <w:tc>
          <w:tcPr>
            <w:tcW w:w="1440" w:type="dxa"/>
            <w:vAlign w:val="bottom"/>
          </w:tcPr>
          <w:p w14:paraId="3840C46C" w14:textId="77777777" w:rsidR="000230E8" w:rsidRPr="00C2318B" w:rsidRDefault="000230E8" w:rsidP="000230E8">
            <w:pPr>
              <w:pStyle w:val="TableCell"/>
              <w:rPr>
                <w:sz w:val="24"/>
                <w:lang w:eastAsia="en-GB"/>
              </w:rPr>
            </w:pPr>
            <w:r w:rsidRPr="00C2318B">
              <w:rPr>
                <w:sz w:val="24"/>
                <w:lang w:eastAsia="en-GB"/>
              </w:rPr>
              <w:t xml:space="preserve">3,328 </w:t>
            </w:r>
          </w:p>
        </w:tc>
        <w:tc>
          <w:tcPr>
            <w:tcW w:w="1260" w:type="dxa"/>
            <w:vAlign w:val="bottom"/>
          </w:tcPr>
          <w:p w14:paraId="27BC3C7A"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647BA61A" w14:textId="77777777" w:rsidTr="005A0642">
        <w:tblPrEx>
          <w:tblCellMar>
            <w:top w:w="0" w:type="dxa"/>
            <w:bottom w:w="0" w:type="dxa"/>
          </w:tblCellMar>
        </w:tblPrEx>
        <w:tc>
          <w:tcPr>
            <w:tcW w:w="6048" w:type="dxa"/>
            <w:vAlign w:val="bottom"/>
          </w:tcPr>
          <w:p w14:paraId="7FB138A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Treoirlínte ar choimeád post </w:t>
            </w:r>
          </w:p>
        </w:tc>
        <w:tc>
          <w:tcPr>
            <w:tcW w:w="1440" w:type="dxa"/>
            <w:vAlign w:val="bottom"/>
          </w:tcPr>
          <w:p w14:paraId="4CD7C36C" w14:textId="77777777" w:rsidR="000230E8" w:rsidRPr="00C2318B" w:rsidRDefault="000230E8" w:rsidP="000230E8">
            <w:pPr>
              <w:pStyle w:val="TableCell"/>
              <w:rPr>
                <w:sz w:val="24"/>
                <w:lang w:eastAsia="en-GB"/>
              </w:rPr>
            </w:pPr>
            <w:r w:rsidRPr="00C2318B">
              <w:rPr>
                <w:sz w:val="24"/>
                <w:lang w:eastAsia="en-GB"/>
              </w:rPr>
              <w:t xml:space="preserve">3,291 </w:t>
            </w:r>
          </w:p>
        </w:tc>
        <w:tc>
          <w:tcPr>
            <w:tcW w:w="1260" w:type="dxa"/>
            <w:vAlign w:val="bottom"/>
          </w:tcPr>
          <w:p w14:paraId="0C70F535"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26FECE07" w14:textId="77777777" w:rsidTr="005A0642">
        <w:tblPrEx>
          <w:tblCellMar>
            <w:top w:w="0" w:type="dxa"/>
            <w:bottom w:w="0" w:type="dxa"/>
          </w:tblCellMar>
        </w:tblPrEx>
        <w:tc>
          <w:tcPr>
            <w:tcW w:w="6048" w:type="dxa"/>
            <w:vAlign w:val="bottom"/>
          </w:tcPr>
          <w:p w14:paraId="76A027F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Taisteal Cainteoirí Ilghnéitheacha </w:t>
            </w:r>
          </w:p>
        </w:tc>
        <w:tc>
          <w:tcPr>
            <w:tcW w:w="1440" w:type="dxa"/>
            <w:vAlign w:val="bottom"/>
          </w:tcPr>
          <w:p w14:paraId="7929CD26" w14:textId="77777777" w:rsidR="000230E8" w:rsidRPr="00C2318B" w:rsidRDefault="000230E8" w:rsidP="000230E8">
            <w:pPr>
              <w:pStyle w:val="TableCell"/>
              <w:rPr>
                <w:sz w:val="24"/>
                <w:lang w:eastAsia="en-GB"/>
              </w:rPr>
            </w:pPr>
            <w:r w:rsidRPr="00C2318B">
              <w:rPr>
                <w:sz w:val="24"/>
                <w:lang w:eastAsia="en-GB"/>
              </w:rPr>
              <w:t xml:space="preserve">2,894 </w:t>
            </w:r>
          </w:p>
        </w:tc>
        <w:tc>
          <w:tcPr>
            <w:tcW w:w="1260" w:type="dxa"/>
            <w:vAlign w:val="bottom"/>
          </w:tcPr>
          <w:p w14:paraId="53B0216A"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47E4A133" w14:textId="77777777" w:rsidTr="005A0642">
        <w:tblPrEx>
          <w:tblCellMar>
            <w:top w:w="0" w:type="dxa"/>
            <w:bottom w:w="0" w:type="dxa"/>
          </w:tblCellMar>
        </w:tblPrEx>
        <w:tc>
          <w:tcPr>
            <w:tcW w:w="6048" w:type="dxa"/>
            <w:vAlign w:val="bottom"/>
          </w:tcPr>
          <w:p w14:paraId="1832B95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Maoirseacht ar Chur i bhFeidhm na gCód Cleachtais um Sheirbhísí Poiblí Inrochtana </w:t>
            </w:r>
          </w:p>
        </w:tc>
        <w:tc>
          <w:tcPr>
            <w:tcW w:w="1440" w:type="dxa"/>
            <w:vAlign w:val="bottom"/>
          </w:tcPr>
          <w:p w14:paraId="6CFBF293" w14:textId="77777777" w:rsidR="000230E8" w:rsidRPr="00C2318B" w:rsidRDefault="000230E8" w:rsidP="000230E8">
            <w:pPr>
              <w:pStyle w:val="TableCell"/>
              <w:rPr>
                <w:sz w:val="24"/>
                <w:lang w:eastAsia="en-GB"/>
              </w:rPr>
            </w:pPr>
            <w:r w:rsidRPr="00C2318B">
              <w:rPr>
                <w:sz w:val="24"/>
                <w:lang w:eastAsia="en-GB"/>
              </w:rPr>
              <w:t xml:space="preserve">2,054 </w:t>
            </w:r>
          </w:p>
        </w:tc>
        <w:tc>
          <w:tcPr>
            <w:tcW w:w="1260" w:type="dxa"/>
            <w:vAlign w:val="bottom"/>
          </w:tcPr>
          <w:p w14:paraId="1895DA4E" w14:textId="77777777" w:rsidR="000230E8" w:rsidRPr="00C2318B" w:rsidRDefault="000230E8" w:rsidP="000230E8">
            <w:pPr>
              <w:pStyle w:val="TableCell"/>
              <w:rPr>
                <w:sz w:val="24"/>
                <w:lang w:eastAsia="en-GB"/>
              </w:rPr>
            </w:pPr>
            <w:r w:rsidRPr="00C2318B">
              <w:rPr>
                <w:sz w:val="24"/>
                <w:lang w:eastAsia="en-GB"/>
              </w:rPr>
              <w:t xml:space="preserve">318 </w:t>
            </w:r>
          </w:p>
        </w:tc>
      </w:tr>
      <w:tr w:rsidR="000230E8" w:rsidRPr="00C2318B" w14:paraId="5BB92D99" w14:textId="77777777" w:rsidTr="005A0642">
        <w:tblPrEx>
          <w:tblCellMar>
            <w:top w:w="0" w:type="dxa"/>
            <w:bottom w:w="0" w:type="dxa"/>
          </w:tblCellMar>
        </w:tblPrEx>
        <w:tc>
          <w:tcPr>
            <w:tcW w:w="6048" w:type="dxa"/>
            <w:vAlign w:val="bottom"/>
          </w:tcPr>
          <w:p w14:paraId="29090A9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Tuarascáil Dhomhanda ar Mhíchumas </w:t>
            </w:r>
          </w:p>
        </w:tc>
        <w:tc>
          <w:tcPr>
            <w:tcW w:w="1440" w:type="dxa"/>
            <w:vAlign w:val="bottom"/>
          </w:tcPr>
          <w:p w14:paraId="5AE79C91" w14:textId="77777777" w:rsidR="000230E8" w:rsidRPr="00C2318B" w:rsidRDefault="000230E8" w:rsidP="000230E8">
            <w:pPr>
              <w:pStyle w:val="TableCell"/>
              <w:rPr>
                <w:sz w:val="24"/>
                <w:lang w:eastAsia="en-GB"/>
              </w:rPr>
            </w:pPr>
            <w:r w:rsidRPr="00C2318B">
              <w:rPr>
                <w:sz w:val="24"/>
                <w:lang w:eastAsia="en-GB"/>
              </w:rPr>
              <w:t xml:space="preserve">1,900 </w:t>
            </w:r>
          </w:p>
        </w:tc>
        <w:tc>
          <w:tcPr>
            <w:tcW w:w="1260" w:type="dxa"/>
            <w:vAlign w:val="bottom"/>
          </w:tcPr>
          <w:p w14:paraId="026E477D"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7E1DE9F0" w14:textId="77777777" w:rsidTr="005A0642">
        <w:tblPrEx>
          <w:tblCellMar>
            <w:top w:w="0" w:type="dxa"/>
            <w:bottom w:w="0" w:type="dxa"/>
          </w:tblCellMar>
        </w:tblPrEx>
        <w:tc>
          <w:tcPr>
            <w:tcW w:w="6048" w:type="dxa"/>
            <w:vAlign w:val="bottom"/>
          </w:tcPr>
          <w:p w14:paraId="6A172059"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Tuarascáil Bhliantúil an NDA</w:t>
            </w:r>
          </w:p>
        </w:tc>
        <w:tc>
          <w:tcPr>
            <w:tcW w:w="1440" w:type="dxa"/>
            <w:vAlign w:val="bottom"/>
          </w:tcPr>
          <w:p w14:paraId="1440D80B" w14:textId="77777777" w:rsidR="000230E8" w:rsidRPr="00C2318B" w:rsidRDefault="000230E8" w:rsidP="000230E8">
            <w:pPr>
              <w:pStyle w:val="TableCell"/>
              <w:rPr>
                <w:sz w:val="24"/>
                <w:lang w:eastAsia="en-GB"/>
              </w:rPr>
            </w:pPr>
            <w:r w:rsidRPr="00C2318B">
              <w:rPr>
                <w:sz w:val="24"/>
                <w:lang w:eastAsia="en-GB"/>
              </w:rPr>
              <w:t xml:space="preserve">1,639 </w:t>
            </w:r>
          </w:p>
        </w:tc>
        <w:tc>
          <w:tcPr>
            <w:tcW w:w="1260" w:type="dxa"/>
            <w:vAlign w:val="bottom"/>
          </w:tcPr>
          <w:p w14:paraId="16ACCC14" w14:textId="77777777" w:rsidR="000230E8" w:rsidRPr="00C2318B" w:rsidRDefault="000230E8" w:rsidP="000230E8">
            <w:pPr>
              <w:pStyle w:val="TableCell"/>
              <w:rPr>
                <w:sz w:val="24"/>
                <w:lang w:eastAsia="en-GB"/>
              </w:rPr>
            </w:pPr>
            <w:r w:rsidRPr="00C2318B">
              <w:rPr>
                <w:sz w:val="24"/>
                <w:lang w:eastAsia="en-GB"/>
              </w:rPr>
              <w:t xml:space="preserve">3,688 </w:t>
            </w:r>
          </w:p>
        </w:tc>
      </w:tr>
      <w:tr w:rsidR="000230E8" w:rsidRPr="00C2318B" w14:paraId="6FF056A6" w14:textId="77777777" w:rsidTr="005A0642">
        <w:tblPrEx>
          <w:tblCellMar>
            <w:top w:w="0" w:type="dxa"/>
            <w:bottom w:w="0" w:type="dxa"/>
          </w:tblCellMar>
        </w:tblPrEx>
        <w:tc>
          <w:tcPr>
            <w:tcW w:w="6048" w:type="dxa"/>
            <w:vAlign w:val="bottom"/>
          </w:tcPr>
          <w:p w14:paraId="5CA491C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Ríomh-nuachtlitir </w:t>
            </w:r>
          </w:p>
        </w:tc>
        <w:tc>
          <w:tcPr>
            <w:tcW w:w="1440" w:type="dxa"/>
            <w:vAlign w:val="bottom"/>
          </w:tcPr>
          <w:p w14:paraId="30784C71" w14:textId="77777777" w:rsidR="000230E8" w:rsidRPr="00C2318B" w:rsidRDefault="000230E8" w:rsidP="000230E8">
            <w:pPr>
              <w:pStyle w:val="TableCell"/>
              <w:rPr>
                <w:sz w:val="24"/>
                <w:lang w:eastAsia="en-GB"/>
              </w:rPr>
            </w:pPr>
            <w:r w:rsidRPr="00C2318B">
              <w:rPr>
                <w:sz w:val="24"/>
                <w:lang w:eastAsia="en-GB"/>
              </w:rPr>
              <w:t xml:space="preserve">1,258 </w:t>
            </w:r>
          </w:p>
        </w:tc>
        <w:tc>
          <w:tcPr>
            <w:tcW w:w="1260" w:type="dxa"/>
            <w:vAlign w:val="bottom"/>
          </w:tcPr>
          <w:p w14:paraId="12194ECA"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2AA66656" w14:textId="77777777" w:rsidTr="005A0642">
        <w:tblPrEx>
          <w:tblCellMar>
            <w:top w:w="0" w:type="dxa"/>
            <w:bottom w:w="0" w:type="dxa"/>
          </w:tblCellMar>
        </w:tblPrEx>
        <w:tc>
          <w:tcPr>
            <w:tcW w:w="6048" w:type="dxa"/>
            <w:vAlign w:val="bottom"/>
          </w:tcPr>
          <w:p w14:paraId="7239122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Seimineáir Fhostaíochta </w:t>
            </w:r>
          </w:p>
        </w:tc>
        <w:tc>
          <w:tcPr>
            <w:tcW w:w="1440" w:type="dxa"/>
            <w:vAlign w:val="bottom"/>
          </w:tcPr>
          <w:p w14:paraId="1279E864" w14:textId="77777777" w:rsidR="000230E8" w:rsidRPr="00C2318B" w:rsidRDefault="000230E8" w:rsidP="000230E8">
            <w:pPr>
              <w:pStyle w:val="TableCell"/>
              <w:rPr>
                <w:sz w:val="24"/>
                <w:lang w:eastAsia="en-GB"/>
              </w:rPr>
            </w:pPr>
            <w:r w:rsidRPr="00C2318B">
              <w:rPr>
                <w:sz w:val="24"/>
                <w:lang w:eastAsia="en-GB"/>
              </w:rPr>
              <w:t xml:space="preserve">701 </w:t>
            </w:r>
          </w:p>
        </w:tc>
        <w:tc>
          <w:tcPr>
            <w:tcW w:w="1260" w:type="dxa"/>
            <w:vAlign w:val="bottom"/>
          </w:tcPr>
          <w:p w14:paraId="69D4FACC"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497F1AF9" w14:textId="77777777" w:rsidTr="005A0642">
        <w:tblPrEx>
          <w:tblCellMar>
            <w:top w:w="0" w:type="dxa"/>
            <w:bottom w:w="0" w:type="dxa"/>
          </w:tblCellMar>
        </w:tblPrEx>
        <w:tc>
          <w:tcPr>
            <w:tcW w:w="6048" w:type="dxa"/>
            <w:vAlign w:val="bottom"/>
          </w:tcPr>
          <w:p w14:paraId="4CB0BF3E"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Cuid 5 An tAcht Míchumais – Tuarascáil Reachtúil</w:t>
            </w:r>
          </w:p>
        </w:tc>
        <w:tc>
          <w:tcPr>
            <w:tcW w:w="1440" w:type="dxa"/>
            <w:vAlign w:val="bottom"/>
          </w:tcPr>
          <w:p w14:paraId="33A58ABC" w14:textId="77777777" w:rsidR="000230E8" w:rsidRPr="00C2318B" w:rsidRDefault="000230E8" w:rsidP="000230E8">
            <w:pPr>
              <w:pStyle w:val="TableCell"/>
              <w:rPr>
                <w:sz w:val="24"/>
                <w:lang w:eastAsia="en-GB"/>
              </w:rPr>
            </w:pPr>
            <w:r w:rsidRPr="00C2318B">
              <w:rPr>
                <w:sz w:val="24"/>
                <w:lang w:eastAsia="en-GB"/>
              </w:rPr>
              <w:t xml:space="preserve">685 </w:t>
            </w:r>
          </w:p>
        </w:tc>
        <w:tc>
          <w:tcPr>
            <w:tcW w:w="1260" w:type="dxa"/>
            <w:vAlign w:val="bottom"/>
          </w:tcPr>
          <w:p w14:paraId="70C826A2" w14:textId="77777777" w:rsidR="000230E8" w:rsidRPr="00C2318B" w:rsidRDefault="000230E8" w:rsidP="000230E8">
            <w:pPr>
              <w:pStyle w:val="TableCell"/>
              <w:rPr>
                <w:sz w:val="24"/>
                <w:lang w:eastAsia="en-GB"/>
              </w:rPr>
            </w:pPr>
            <w:r w:rsidRPr="00C2318B">
              <w:rPr>
                <w:sz w:val="24"/>
                <w:lang w:eastAsia="en-GB"/>
              </w:rPr>
              <w:t xml:space="preserve">2,287 </w:t>
            </w:r>
          </w:p>
        </w:tc>
      </w:tr>
      <w:tr w:rsidR="000230E8" w:rsidRPr="00C2318B" w14:paraId="4D8837AF" w14:textId="77777777" w:rsidTr="005A0642">
        <w:tblPrEx>
          <w:tblCellMar>
            <w:top w:w="0" w:type="dxa"/>
            <w:bottom w:w="0" w:type="dxa"/>
          </w:tblCellMar>
        </w:tblPrEx>
        <w:tc>
          <w:tcPr>
            <w:tcW w:w="6048" w:type="dxa"/>
            <w:vAlign w:val="bottom"/>
          </w:tcPr>
          <w:p w14:paraId="2C3AA1B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lastRenderedPageBreak/>
              <w:t>Sainordú 376</w:t>
            </w:r>
          </w:p>
        </w:tc>
        <w:tc>
          <w:tcPr>
            <w:tcW w:w="1440" w:type="dxa"/>
            <w:vAlign w:val="bottom"/>
          </w:tcPr>
          <w:p w14:paraId="6059D7F8" w14:textId="77777777" w:rsidR="000230E8" w:rsidRPr="00C2318B" w:rsidRDefault="000230E8" w:rsidP="000230E8">
            <w:pPr>
              <w:pStyle w:val="TableCell"/>
              <w:rPr>
                <w:sz w:val="24"/>
                <w:lang w:eastAsia="en-GB"/>
              </w:rPr>
            </w:pPr>
            <w:r w:rsidRPr="00C2318B">
              <w:rPr>
                <w:sz w:val="24"/>
                <w:lang w:eastAsia="en-GB"/>
              </w:rPr>
              <w:t xml:space="preserve">657 </w:t>
            </w:r>
          </w:p>
        </w:tc>
        <w:tc>
          <w:tcPr>
            <w:tcW w:w="1260" w:type="dxa"/>
            <w:vAlign w:val="bottom"/>
          </w:tcPr>
          <w:p w14:paraId="71BF28AC"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7F68D5D7" w14:textId="77777777" w:rsidTr="005A0642">
        <w:tblPrEx>
          <w:tblCellMar>
            <w:top w:w="0" w:type="dxa"/>
            <w:bottom w:w="0" w:type="dxa"/>
          </w:tblCellMar>
        </w:tblPrEx>
        <w:tc>
          <w:tcPr>
            <w:tcW w:w="6048" w:type="dxa"/>
            <w:vAlign w:val="bottom"/>
          </w:tcPr>
          <w:p w14:paraId="7DCD0F4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Seimineár Coimisiúnaithe</w:t>
            </w:r>
          </w:p>
        </w:tc>
        <w:tc>
          <w:tcPr>
            <w:tcW w:w="1440" w:type="dxa"/>
            <w:vAlign w:val="bottom"/>
          </w:tcPr>
          <w:p w14:paraId="3ED148A1" w14:textId="77777777" w:rsidR="000230E8" w:rsidRPr="00C2318B" w:rsidRDefault="000230E8" w:rsidP="000230E8">
            <w:pPr>
              <w:pStyle w:val="TableCell"/>
              <w:rPr>
                <w:sz w:val="24"/>
                <w:lang w:eastAsia="en-GB"/>
              </w:rPr>
            </w:pPr>
            <w:r w:rsidRPr="00C2318B">
              <w:rPr>
                <w:sz w:val="24"/>
                <w:lang w:eastAsia="en-GB"/>
              </w:rPr>
              <w:t xml:space="preserve">553 </w:t>
            </w:r>
          </w:p>
        </w:tc>
        <w:tc>
          <w:tcPr>
            <w:tcW w:w="1260" w:type="dxa"/>
            <w:vAlign w:val="bottom"/>
          </w:tcPr>
          <w:p w14:paraId="7DDC16EF"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2C9F9D29" w14:textId="77777777" w:rsidTr="005A0642">
        <w:tblPrEx>
          <w:tblCellMar>
            <w:top w:w="0" w:type="dxa"/>
            <w:bottom w:w="0" w:type="dxa"/>
          </w:tblCellMar>
        </w:tblPrEx>
        <w:tc>
          <w:tcPr>
            <w:tcW w:w="6048" w:type="dxa"/>
            <w:vAlign w:val="bottom"/>
          </w:tcPr>
          <w:p w14:paraId="73E0A59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Caighdeáin DU ag eascairt ó obair leantach leis an NSAI srl </w:t>
            </w:r>
          </w:p>
        </w:tc>
        <w:tc>
          <w:tcPr>
            <w:tcW w:w="1440" w:type="dxa"/>
            <w:vAlign w:val="bottom"/>
          </w:tcPr>
          <w:p w14:paraId="0C3DA83D" w14:textId="77777777" w:rsidR="000230E8" w:rsidRPr="00C2318B" w:rsidRDefault="000230E8" w:rsidP="000230E8">
            <w:pPr>
              <w:pStyle w:val="TableCell"/>
              <w:rPr>
                <w:sz w:val="24"/>
                <w:lang w:eastAsia="en-GB"/>
              </w:rPr>
            </w:pPr>
            <w:r w:rsidRPr="00C2318B">
              <w:rPr>
                <w:sz w:val="24"/>
                <w:lang w:eastAsia="en-GB"/>
              </w:rPr>
              <w:t xml:space="preserve">471 </w:t>
            </w:r>
          </w:p>
        </w:tc>
        <w:tc>
          <w:tcPr>
            <w:tcW w:w="1260" w:type="dxa"/>
            <w:vAlign w:val="bottom"/>
          </w:tcPr>
          <w:p w14:paraId="346BF4EB"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52B20357" w14:textId="77777777" w:rsidTr="005A0642">
        <w:tblPrEx>
          <w:tblCellMar>
            <w:top w:w="0" w:type="dxa"/>
            <w:bottom w:w="0" w:type="dxa"/>
          </w:tblCellMar>
        </w:tblPrEx>
        <w:tc>
          <w:tcPr>
            <w:tcW w:w="6048" w:type="dxa"/>
            <w:vAlign w:val="bottom"/>
          </w:tcPr>
          <w:p w14:paraId="025CF3C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An Pacáiste Acmhainní Inrochtana le haghaidh Daoine faoi Mhíchumas </w:t>
            </w:r>
          </w:p>
        </w:tc>
        <w:tc>
          <w:tcPr>
            <w:tcW w:w="1440" w:type="dxa"/>
            <w:vAlign w:val="bottom"/>
          </w:tcPr>
          <w:p w14:paraId="4301EB5F" w14:textId="77777777" w:rsidR="000230E8" w:rsidRPr="00C2318B" w:rsidRDefault="000230E8" w:rsidP="000230E8">
            <w:pPr>
              <w:pStyle w:val="TableCell"/>
              <w:rPr>
                <w:sz w:val="24"/>
                <w:lang w:eastAsia="en-GB"/>
              </w:rPr>
            </w:pPr>
            <w:r w:rsidRPr="00C2318B">
              <w:rPr>
                <w:sz w:val="24"/>
                <w:lang w:eastAsia="en-GB"/>
              </w:rPr>
              <w:t xml:space="preserve">89 </w:t>
            </w:r>
          </w:p>
        </w:tc>
        <w:tc>
          <w:tcPr>
            <w:tcW w:w="1260" w:type="dxa"/>
            <w:vAlign w:val="bottom"/>
          </w:tcPr>
          <w:p w14:paraId="3BAF6492"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2F8D6C91" w14:textId="77777777" w:rsidTr="005A0642">
        <w:tblPrEx>
          <w:tblCellMar>
            <w:top w:w="0" w:type="dxa"/>
            <w:bottom w:w="0" w:type="dxa"/>
          </w:tblCellMar>
        </w:tblPrEx>
        <w:tc>
          <w:tcPr>
            <w:tcW w:w="6048" w:type="dxa"/>
            <w:vAlign w:val="bottom"/>
          </w:tcPr>
          <w:p w14:paraId="1236F35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Tuarascáil ar dhearcaí daoine aonair faoi mhíchumas a bailíodh trí fhócasghrúpaí ar mhaireachtáil neamhspleách/pobail </w:t>
            </w:r>
          </w:p>
        </w:tc>
        <w:tc>
          <w:tcPr>
            <w:tcW w:w="1440" w:type="dxa"/>
            <w:vAlign w:val="bottom"/>
          </w:tcPr>
          <w:p w14:paraId="6121A55F"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62D20EC4" w14:textId="77777777" w:rsidR="000230E8" w:rsidRPr="00C2318B" w:rsidRDefault="000230E8" w:rsidP="000230E8">
            <w:pPr>
              <w:pStyle w:val="TableCell"/>
              <w:rPr>
                <w:sz w:val="24"/>
                <w:lang w:eastAsia="en-GB"/>
              </w:rPr>
            </w:pPr>
            <w:r w:rsidRPr="00C2318B">
              <w:rPr>
                <w:sz w:val="24"/>
                <w:lang w:eastAsia="en-GB"/>
              </w:rPr>
              <w:t xml:space="preserve">42,750 </w:t>
            </w:r>
          </w:p>
        </w:tc>
      </w:tr>
      <w:tr w:rsidR="000230E8" w:rsidRPr="00C2318B" w14:paraId="6FEABB0F" w14:textId="77777777" w:rsidTr="005A0642">
        <w:tblPrEx>
          <w:tblCellMar>
            <w:top w:w="0" w:type="dxa"/>
            <w:bottom w:w="0" w:type="dxa"/>
          </w:tblCellMar>
        </w:tblPrEx>
        <w:tc>
          <w:tcPr>
            <w:tcW w:w="6048" w:type="dxa"/>
            <w:vAlign w:val="bottom"/>
          </w:tcPr>
          <w:p w14:paraId="5F8AB7B6"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Taighde maidir le cistiú le haghaidh </w:t>
            </w:r>
            <w:r>
              <w:rPr>
                <w:rFonts w:ascii="Gill Sans" w:hAnsi="Gill Sans"/>
                <w:sz w:val="24"/>
                <w:lang w:eastAsia="en-GB"/>
              </w:rPr>
              <w:t>Daoine faoi Mhíchumas</w:t>
            </w:r>
          </w:p>
        </w:tc>
        <w:tc>
          <w:tcPr>
            <w:tcW w:w="1440" w:type="dxa"/>
            <w:vAlign w:val="bottom"/>
          </w:tcPr>
          <w:p w14:paraId="67B6B46E"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6734CEB4" w14:textId="77777777" w:rsidR="000230E8" w:rsidRPr="00C2318B" w:rsidRDefault="000230E8" w:rsidP="000230E8">
            <w:pPr>
              <w:pStyle w:val="TableCell"/>
              <w:rPr>
                <w:sz w:val="24"/>
                <w:lang w:eastAsia="en-GB"/>
              </w:rPr>
            </w:pPr>
            <w:r w:rsidRPr="00C2318B">
              <w:rPr>
                <w:sz w:val="24"/>
                <w:lang w:eastAsia="en-GB"/>
              </w:rPr>
              <w:t xml:space="preserve">21,152 </w:t>
            </w:r>
          </w:p>
        </w:tc>
      </w:tr>
      <w:tr w:rsidR="000230E8" w:rsidRPr="00C2318B" w14:paraId="5F676EAF" w14:textId="77777777" w:rsidTr="005A0642">
        <w:tblPrEx>
          <w:tblCellMar>
            <w:top w:w="0" w:type="dxa"/>
            <w:bottom w:w="0" w:type="dxa"/>
          </w:tblCellMar>
        </w:tblPrEx>
        <w:tc>
          <w:tcPr>
            <w:tcW w:w="6048" w:type="dxa"/>
            <w:vAlign w:val="bottom"/>
          </w:tcPr>
          <w:p w14:paraId="1B172F5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Taighde ar sheirbhísí sláinte le haghaidh ban torrach faoi mhíchumas </w:t>
            </w:r>
          </w:p>
        </w:tc>
        <w:tc>
          <w:tcPr>
            <w:tcW w:w="1440" w:type="dxa"/>
            <w:vAlign w:val="bottom"/>
          </w:tcPr>
          <w:p w14:paraId="637F6D2D"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2A8C3203" w14:textId="77777777" w:rsidR="000230E8" w:rsidRPr="00C2318B" w:rsidRDefault="000230E8" w:rsidP="000230E8">
            <w:pPr>
              <w:pStyle w:val="TableCell"/>
              <w:rPr>
                <w:sz w:val="24"/>
                <w:lang w:eastAsia="en-GB"/>
              </w:rPr>
            </w:pPr>
            <w:r w:rsidRPr="00C2318B">
              <w:rPr>
                <w:sz w:val="24"/>
                <w:lang w:eastAsia="en-GB"/>
              </w:rPr>
              <w:t xml:space="preserve">17,081 </w:t>
            </w:r>
          </w:p>
        </w:tc>
      </w:tr>
      <w:tr w:rsidR="000230E8" w:rsidRPr="00C2318B" w14:paraId="70499E69" w14:textId="77777777" w:rsidTr="005A0642">
        <w:tblPrEx>
          <w:tblCellMar>
            <w:top w:w="0" w:type="dxa"/>
            <w:bottom w:w="0" w:type="dxa"/>
          </w:tblCellMar>
        </w:tblPrEx>
        <w:tc>
          <w:tcPr>
            <w:tcW w:w="6048" w:type="dxa"/>
            <w:vAlign w:val="bottom"/>
          </w:tcPr>
          <w:p w14:paraId="1E0E285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Tionscadal ar Mhí-Úsáid</w:t>
            </w:r>
          </w:p>
        </w:tc>
        <w:tc>
          <w:tcPr>
            <w:tcW w:w="1440" w:type="dxa"/>
            <w:vAlign w:val="bottom"/>
          </w:tcPr>
          <w:p w14:paraId="202F23C5"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4B7C07F2" w14:textId="77777777" w:rsidR="000230E8" w:rsidRPr="00C2318B" w:rsidRDefault="000230E8" w:rsidP="000230E8">
            <w:pPr>
              <w:pStyle w:val="TableCell"/>
              <w:rPr>
                <w:sz w:val="24"/>
                <w:lang w:eastAsia="en-GB"/>
              </w:rPr>
            </w:pPr>
            <w:r w:rsidRPr="00C2318B">
              <w:rPr>
                <w:sz w:val="24"/>
                <w:lang w:eastAsia="en-GB"/>
              </w:rPr>
              <w:t xml:space="preserve">12,960 </w:t>
            </w:r>
          </w:p>
        </w:tc>
      </w:tr>
      <w:tr w:rsidR="000230E8" w:rsidRPr="00C2318B" w14:paraId="6D48A257" w14:textId="77777777" w:rsidTr="005A0642">
        <w:tblPrEx>
          <w:tblCellMar>
            <w:top w:w="0" w:type="dxa"/>
            <w:bottom w:w="0" w:type="dxa"/>
          </w:tblCellMar>
        </w:tblPrEx>
        <w:tc>
          <w:tcPr>
            <w:tcW w:w="6048" w:type="dxa"/>
            <w:vAlign w:val="bottom"/>
          </w:tcPr>
          <w:p w14:paraId="534F17A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Taighde ar dhearcaí i dtreo Meabhair-Shláinte </w:t>
            </w:r>
          </w:p>
        </w:tc>
        <w:tc>
          <w:tcPr>
            <w:tcW w:w="1440" w:type="dxa"/>
            <w:vAlign w:val="bottom"/>
          </w:tcPr>
          <w:p w14:paraId="1C4A7480"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6F641363" w14:textId="77777777" w:rsidR="000230E8" w:rsidRPr="00C2318B" w:rsidRDefault="000230E8" w:rsidP="000230E8">
            <w:pPr>
              <w:pStyle w:val="TableCell"/>
              <w:rPr>
                <w:sz w:val="24"/>
                <w:lang w:eastAsia="en-GB"/>
              </w:rPr>
            </w:pPr>
            <w:r w:rsidRPr="00C2318B">
              <w:rPr>
                <w:sz w:val="24"/>
                <w:lang w:eastAsia="en-GB"/>
              </w:rPr>
              <w:t xml:space="preserve">12,750 </w:t>
            </w:r>
          </w:p>
        </w:tc>
      </w:tr>
      <w:tr w:rsidR="000230E8" w:rsidRPr="00C2318B" w14:paraId="0C5897CD" w14:textId="77777777" w:rsidTr="005A0642">
        <w:tblPrEx>
          <w:tblCellMar>
            <w:top w:w="0" w:type="dxa"/>
            <w:bottom w:w="0" w:type="dxa"/>
          </w:tblCellMar>
        </w:tblPrEx>
        <w:tc>
          <w:tcPr>
            <w:tcW w:w="6048" w:type="dxa"/>
            <w:vAlign w:val="bottom"/>
          </w:tcPr>
          <w:p w14:paraId="1688DAA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Uasghráduithe Bainteach le hAslonnú </w:t>
            </w:r>
          </w:p>
        </w:tc>
        <w:tc>
          <w:tcPr>
            <w:tcW w:w="1440" w:type="dxa"/>
            <w:vAlign w:val="bottom"/>
          </w:tcPr>
          <w:p w14:paraId="1B399DBA"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0C64A69D" w14:textId="77777777" w:rsidR="000230E8" w:rsidRPr="00C2318B" w:rsidRDefault="000230E8" w:rsidP="000230E8">
            <w:pPr>
              <w:pStyle w:val="TableCell"/>
              <w:rPr>
                <w:sz w:val="24"/>
                <w:lang w:eastAsia="en-GB"/>
              </w:rPr>
            </w:pPr>
            <w:r w:rsidRPr="00C2318B">
              <w:rPr>
                <w:sz w:val="24"/>
                <w:lang w:eastAsia="en-GB"/>
              </w:rPr>
              <w:t xml:space="preserve">12,596 </w:t>
            </w:r>
          </w:p>
        </w:tc>
      </w:tr>
      <w:tr w:rsidR="000230E8" w:rsidRPr="00C2318B" w14:paraId="359415EC" w14:textId="77777777" w:rsidTr="005A0642">
        <w:tblPrEx>
          <w:tblCellMar>
            <w:top w:w="0" w:type="dxa"/>
            <w:bottom w:w="0" w:type="dxa"/>
          </w:tblCellMar>
        </w:tblPrEx>
        <w:tc>
          <w:tcPr>
            <w:tcW w:w="6048" w:type="dxa"/>
            <w:vAlign w:val="bottom"/>
          </w:tcPr>
          <w:p w14:paraId="3DC440E1" w14:textId="77777777" w:rsidR="000230E8" w:rsidRPr="00C2318B" w:rsidRDefault="000230E8" w:rsidP="000230E8">
            <w:pPr>
              <w:pStyle w:val="TableRowHead"/>
              <w:rPr>
                <w:rFonts w:ascii="Gill Sans" w:hAnsi="Gill Sans"/>
                <w:sz w:val="24"/>
                <w:lang w:eastAsia="en-GB"/>
              </w:rPr>
            </w:pPr>
            <w:r>
              <w:rPr>
                <w:rFonts w:ascii="Gill Sans" w:hAnsi="Gill Sans"/>
                <w:sz w:val="24"/>
                <w:lang w:eastAsia="en-GB"/>
              </w:rPr>
              <w:t xml:space="preserve">An Tionscadal </w:t>
            </w:r>
            <w:r w:rsidRPr="00D51D2C">
              <w:rPr>
                <w:rFonts w:ascii="Gill Sans" w:hAnsi="Gill Sans"/>
                <w:i/>
                <w:sz w:val="24"/>
                <w:lang w:eastAsia="en-GB"/>
              </w:rPr>
              <w:t>Need to Knowledge</w:t>
            </w:r>
          </w:p>
        </w:tc>
        <w:tc>
          <w:tcPr>
            <w:tcW w:w="1440" w:type="dxa"/>
            <w:vAlign w:val="bottom"/>
          </w:tcPr>
          <w:p w14:paraId="2CF9D46D"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07572787" w14:textId="77777777" w:rsidR="000230E8" w:rsidRPr="00C2318B" w:rsidRDefault="000230E8" w:rsidP="000230E8">
            <w:pPr>
              <w:pStyle w:val="TableCell"/>
              <w:rPr>
                <w:sz w:val="24"/>
                <w:lang w:eastAsia="en-GB"/>
              </w:rPr>
            </w:pPr>
            <w:r w:rsidRPr="00C2318B">
              <w:rPr>
                <w:sz w:val="24"/>
                <w:lang w:eastAsia="en-GB"/>
              </w:rPr>
              <w:t xml:space="preserve">10,000 </w:t>
            </w:r>
          </w:p>
        </w:tc>
      </w:tr>
      <w:tr w:rsidR="000230E8" w:rsidRPr="00C2318B" w14:paraId="21794592" w14:textId="77777777" w:rsidTr="005A0642">
        <w:tblPrEx>
          <w:tblCellMar>
            <w:top w:w="0" w:type="dxa"/>
            <w:bottom w:w="0" w:type="dxa"/>
          </w:tblCellMar>
        </w:tblPrEx>
        <w:tc>
          <w:tcPr>
            <w:tcW w:w="6048" w:type="dxa"/>
            <w:vAlign w:val="bottom"/>
          </w:tcPr>
          <w:p w14:paraId="0D19DB3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Ceardlann ar DU sa Reachtaíocht Náisiúnta </w:t>
            </w:r>
          </w:p>
        </w:tc>
        <w:tc>
          <w:tcPr>
            <w:tcW w:w="1440" w:type="dxa"/>
            <w:vAlign w:val="bottom"/>
          </w:tcPr>
          <w:p w14:paraId="33FAEC8D"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3C519977" w14:textId="77777777" w:rsidR="000230E8" w:rsidRPr="00C2318B" w:rsidRDefault="000230E8" w:rsidP="000230E8">
            <w:pPr>
              <w:pStyle w:val="TableCell"/>
              <w:rPr>
                <w:sz w:val="24"/>
                <w:lang w:eastAsia="en-GB"/>
              </w:rPr>
            </w:pPr>
            <w:r w:rsidRPr="00C2318B">
              <w:rPr>
                <w:sz w:val="24"/>
                <w:lang w:eastAsia="en-GB"/>
              </w:rPr>
              <w:t xml:space="preserve">9,685 </w:t>
            </w:r>
          </w:p>
        </w:tc>
      </w:tr>
      <w:tr w:rsidR="000230E8" w:rsidRPr="00C2318B" w14:paraId="7E88F2C5" w14:textId="77777777" w:rsidTr="005A0642">
        <w:tblPrEx>
          <w:tblCellMar>
            <w:top w:w="0" w:type="dxa"/>
            <w:bottom w:w="0" w:type="dxa"/>
          </w:tblCellMar>
        </w:tblPrEx>
        <w:tc>
          <w:tcPr>
            <w:tcW w:w="6048" w:type="dxa"/>
            <w:vAlign w:val="bottom"/>
          </w:tcPr>
          <w:p w14:paraId="446EB5A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Seimineár &amp; Páipéar Beartais ar Spás Roinnte</w:t>
            </w:r>
          </w:p>
        </w:tc>
        <w:tc>
          <w:tcPr>
            <w:tcW w:w="1440" w:type="dxa"/>
            <w:vAlign w:val="bottom"/>
          </w:tcPr>
          <w:p w14:paraId="663A8ED1"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6F85E401" w14:textId="77777777" w:rsidR="000230E8" w:rsidRPr="00C2318B" w:rsidRDefault="000230E8" w:rsidP="000230E8">
            <w:pPr>
              <w:pStyle w:val="TableCell"/>
              <w:rPr>
                <w:sz w:val="24"/>
                <w:lang w:eastAsia="en-GB"/>
              </w:rPr>
            </w:pPr>
            <w:r w:rsidRPr="00C2318B">
              <w:rPr>
                <w:sz w:val="24"/>
                <w:lang w:eastAsia="en-GB"/>
              </w:rPr>
              <w:t xml:space="preserve">4,930 </w:t>
            </w:r>
          </w:p>
        </w:tc>
      </w:tr>
      <w:tr w:rsidR="000230E8" w:rsidRPr="00C2318B" w14:paraId="7DD471CB" w14:textId="77777777" w:rsidTr="005A0642">
        <w:tblPrEx>
          <w:tblCellMar>
            <w:top w:w="0" w:type="dxa"/>
            <w:bottom w:w="0" w:type="dxa"/>
          </w:tblCellMar>
        </w:tblPrEx>
        <w:tc>
          <w:tcPr>
            <w:tcW w:w="6048" w:type="dxa"/>
            <w:vAlign w:val="bottom"/>
          </w:tcPr>
          <w:p w14:paraId="66D66BD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Tionscadal Cumarsáide </w:t>
            </w:r>
          </w:p>
        </w:tc>
        <w:tc>
          <w:tcPr>
            <w:tcW w:w="1440" w:type="dxa"/>
            <w:vAlign w:val="bottom"/>
          </w:tcPr>
          <w:p w14:paraId="4AF5310A"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3B671D1B" w14:textId="77777777" w:rsidR="000230E8" w:rsidRPr="00C2318B" w:rsidRDefault="000230E8" w:rsidP="000230E8">
            <w:pPr>
              <w:pStyle w:val="TableCell"/>
              <w:rPr>
                <w:sz w:val="24"/>
                <w:lang w:eastAsia="en-GB"/>
              </w:rPr>
            </w:pPr>
            <w:r w:rsidRPr="00C2318B">
              <w:rPr>
                <w:sz w:val="24"/>
                <w:lang w:eastAsia="en-GB"/>
              </w:rPr>
              <w:t xml:space="preserve">4,254 </w:t>
            </w:r>
          </w:p>
        </w:tc>
      </w:tr>
      <w:tr w:rsidR="000230E8" w:rsidRPr="00C2318B" w14:paraId="216AC3B9" w14:textId="77777777" w:rsidTr="005A0642">
        <w:tblPrEx>
          <w:tblCellMar>
            <w:top w:w="0" w:type="dxa"/>
            <w:bottom w:w="0" w:type="dxa"/>
          </w:tblCellMar>
        </w:tblPrEx>
        <w:tc>
          <w:tcPr>
            <w:tcW w:w="6048" w:type="dxa"/>
            <w:vAlign w:val="bottom"/>
          </w:tcPr>
          <w:p w14:paraId="5A1E628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Seimineár BFE le haghaidh Pleanálaithe</w:t>
            </w:r>
          </w:p>
        </w:tc>
        <w:tc>
          <w:tcPr>
            <w:tcW w:w="1440" w:type="dxa"/>
            <w:vAlign w:val="bottom"/>
          </w:tcPr>
          <w:p w14:paraId="5AB75A9E"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471C3D5C" w14:textId="77777777" w:rsidR="000230E8" w:rsidRPr="00C2318B" w:rsidRDefault="000230E8" w:rsidP="000230E8">
            <w:pPr>
              <w:pStyle w:val="TableCell"/>
              <w:rPr>
                <w:sz w:val="24"/>
                <w:lang w:eastAsia="en-GB"/>
              </w:rPr>
            </w:pPr>
            <w:r w:rsidRPr="00C2318B">
              <w:rPr>
                <w:sz w:val="24"/>
                <w:lang w:eastAsia="en-GB"/>
              </w:rPr>
              <w:t xml:space="preserve">3,956 </w:t>
            </w:r>
          </w:p>
        </w:tc>
      </w:tr>
      <w:tr w:rsidR="000230E8" w:rsidRPr="00C2318B" w14:paraId="5EF41E54" w14:textId="77777777" w:rsidTr="005A0642">
        <w:tblPrEx>
          <w:tblCellMar>
            <w:top w:w="0" w:type="dxa"/>
            <w:bottom w:w="0" w:type="dxa"/>
          </w:tblCellMar>
        </w:tblPrEx>
        <w:tc>
          <w:tcPr>
            <w:tcW w:w="6048" w:type="dxa"/>
            <w:vAlign w:val="bottom"/>
          </w:tcPr>
          <w:p w14:paraId="17E346C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Treoirlínte faoi Chomhairleacht ar Thoirchis Ghéarchéime </w:t>
            </w:r>
          </w:p>
        </w:tc>
        <w:tc>
          <w:tcPr>
            <w:tcW w:w="1440" w:type="dxa"/>
            <w:vAlign w:val="bottom"/>
          </w:tcPr>
          <w:p w14:paraId="051E3CF3"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7414D9CA" w14:textId="77777777" w:rsidR="000230E8" w:rsidRPr="00C2318B" w:rsidRDefault="000230E8" w:rsidP="000230E8">
            <w:pPr>
              <w:pStyle w:val="TableCell"/>
              <w:rPr>
                <w:sz w:val="24"/>
                <w:lang w:eastAsia="en-GB"/>
              </w:rPr>
            </w:pPr>
            <w:r w:rsidRPr="00C2318B">
              <w:rPr>
                <w:sz w:val="24"/>
                <w:lang w:eastAsia="en-GB"/>
              </w:rPr>
              <w:t xml:space="preserve">2,439 </w:t>
            </w:r>
          </w:p>
        </w:tc>
      </w:tr>
      <w:tr w:rsidR="000230E8" w:rsidRPr="00C2318B" w14:paraId="58C6BDCF" w14:textId="77777777" w:rsidTr="005A0642">
        <w:tblPrEx>
          <w:tblCellMar>
            <w:top w:w="0" w:type="dxa"/>
            <w:bottom w:w="0" w:type="dxa"/>
          </w:tblCellMar>
        </w:tblPrEx>
        <w:tc>
          <w:tcPr>
            <w:tcW w:w="6048" w:type="dxa"/>
            <w:vAlign w:val="bottom"/>
          </w:tcPr>
          <w:p w14:paraId="563C77C6"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Fógra </w:t>
            </w:r>
            <w:r>
              <w:rPr>
                <w:rFonts w:ascii="Gill Sans" w:hAnsi="Gill Sans"/>
                <w:sz w:val="24"/>
                <w:lang w:eastAsia="en-GB"/>
              </w:rPr>
              <w:t>CEUD</w:t>
            </w:r>
          </w:p>
        </w:tc>
        <w:tc>
          <w:tcPr>
            <w:tcW w:w="1440" w:type="dxa"/>
            <w:vAlign w:val="bottom"/>
          </w:tcPr>
          <w:p w14:paraId="68CBB90D"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6A87048E" w14:textId="77777777" w:rsidR="000230E8" w:rsidRPr="00C2318B" w:rsidRDefault="000230E8" w:rsidP="000230E8">
            <w:pPr>
              <w:pStyle w:val="TableCell"/>
              <w:rPr>
                <w:sz w:val="24"/>
                <w:lang w:eastAsia="en-GB"/>
              </w:rPr>
            </w:pPr>
            <w:r w:rsidRPr="00C2318B">
              <w:rPr>
                <w:sz w:val="24"/>
                <w:lang w:eastAsia="en-GB"/>
              </w:rPr>
              <w:t xml:space="preserve">2,420 </w:t>
            </w:r>
          </w:p>
        </w:tc>
      </w:tr>
      <w:tr w:rsidR="000230E8" w:rsidRPr="00C2318B" w14:paraId="11589BA7" w14:textId="77777777" w:rsidTr="005A0642">
        <w:tblPrEx>
          <w:tblCellMar>
            <w:top w:w="0" w:type="dxa"/>
            <w:bottom w:w="0" w:type="dxa"/>
          </w:tblCellMar>
        </w:tblPrEx>
        <w:tc>
          <w:tcPr>
            <w:tcW w:w="6048" w:type="dxa"/>
            <w:vAlign w:val="bottom"/>
          </w:tcPr>
          <w:p w14:paraId="5B6CA29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Treoir do Mheánscoileanna </w:t>
            </w:r>
          </w:p>
        </w:tc>
        <w:tc>
          <w:tcPr>
            <w:tcW w:w="1440" w:type="dxa"/>
            <w:vAlign w:val="bottom"/>
          </w:tcPr>
          <w:p w14:paraId="71A54B85"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6D4F2C05" w14:textId="77777777" w:rsidR="000230E8" w:rsidRPr="00C2318B" w:rsidRDefault="000230E8" w:rsidP="000230E8">
            <w:pPr>
              <w:pStyle w:val="TableCell"/>
              <w:rPr>
                <w:sz w:val="24"/>
                <w:lang w:eastAsia="en-GB"/>
              </w:rPr>
            </w:pPr>
            <w:r w:rsidRPr="00C2318B">
              <w:rPr>
                <w:sz w:val="24"/>
                <w:lang w:eastAsia="en-GB"/>
              </w:rPr>
              <w:t xml:space="preserve">1,758 </w:t>
            </w:r>
          </w:p>
        </w:tc>
      </w:tr>
      <w:tr w:rsidR="000230E8" w:rsidRPr="00C2318B" w14:paraId="4C6CB293" w14:textId="77777777" w:rsidTr="005A0642">
        <w:tblPrEx>
          <w:tblCellMar>
            <w:top w:w="0" w:type="dxa"/>
            <w:bottom w:w="0" w:type="dxa"/>
          </w:tblCellMar>
        </w:tblPrEx>
        <w:tc>
          <w:tcPr>
            <w:tcW w:w="6048" w:type="dxa"/>
            <w:vAlign w:val="bottom"/>
          </w:tcPr>
          <w:p w14:paraId="0F58156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Fógra an NDA </w:t>
            </w:r>
          </w:p>
        </w:tc>
        <w:tc>
          <w:tcPr>
            <w:tcW w:w="1440" w:type="dxa"/>
            <w:vAlign w:val="bottom"/>
          </w:tcPr>
          <w:p w14:paraId="413B0CE7"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116AE1FF" w14:textId="77777777" w:rsidR="000230E8" w:rsidRPr="00C2318B" w:rsidRDefault="000230E8" w:rsidP="000230E8">
            <w:pPr>
              <w:pStyle w:val="TableCell"/>
              <w:rPr>
                <w:sz w:val="24"/>
                <w:lang w:eastAsia="en-GB"/>
              </w:rPr>
            </w:pPr>
            <w:r w:rsidRPr="00C2318B">
              <w:rPr>
                <w:sz w:val="24"/>
                <w:lang w:eastAsia="en-GB"/>
              </w:rPr>
              <w:t xml:space="preserve">1,453 </w:t>
            </w:r>
          </w:p>
        </w:tc>
      </w:tr>
      <w:tr w:rsidR="000230E8" w:rsidRPr="00C2318B" w14:paraId="5C862B4B" w14:textId="77777777" w:rsidTr="005A0642">
        <w:tblPrEx>
          <w:tblCellMar>
            <w:top w:w="0" w:type="dxa"/>
            <w:bottom w:w="0" w:type="dxa"/>
          </w:tblCellMar>
        </w:tblPrEx>
        <w:tc>
          <w:tcPr>
            <w:tcW w:w="6048" w:type="dxa"/>
            <w:vAlign w:val="bottom"/>
          </w:tcPr>
          <w:p w14:paraId="010BA16D"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Cruinniú Comhchéime Idirnáisiúnta ar Athshlánú </w:t>
            </w:r>
          </w:p>
        </w:tc>
        <w:tc>
          <w:tcPr>
            <w:tcW w:w="1440" w:type="dxa"/>
            <w:vAlign w:val="bottom"/>
          </w:tcPr>
          <w:p w14:paraId="363C74EA"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485E1631" w14:textId="77777777" w:rsidR="000230E8" w:rsidRPr="00C2318B" w:rsidRDefault="000230E8" w:rsidP="000230E8">
            <w:pPr>
              <w:pStyle w:val="TableCell"/>
              <w:rPr>
                <w:sz w:val="24"/>
                <w:lang w:eastAsia="en-GB"/>
              </w:rPr>
            </w:pPr>
            <w:r w:rsidRPr="00C2318B">
              <w:rPr>
                <w:sz w:val="24"/>
                <w:lang w:eastAsia="en-GB"/>
              </w:rPr>
              <w:t xml:space="preserve">196 </w:t>
            </w:r>
          </w:p>
        </w:tc>
      </w:tr>
      <w:tr w:rsidR="000230E8" w:rsidRPr="00C2318B" w14:paraId="4D1B6430" w14:textId="77777777" w:rsidTr="005A0642">
        <w:tblPrEx>
          <w:tblCellMar>
            <w:top w:w="0" w:type="dxa"/>
            <w:bottom w:w="0" w:type="dxa"/>
          </w:tblCellMar>
        </w:tblPrEx>
        <w:tc>
          <w:tcPr>
            <w:tcW w:w="6048" w:type="dxa"/>
            <w:vAlign w:val="bottom"/>
          </w:tcPr>
          <w:p w14:paraId="2237BFC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Treoir ar UD le haghaidh Údarás Áitiúil </w:t>
            </w:r>
          </w:p>
        </w:tc>
        <w:tc>
          <w:tcPr>
            <w:tcW w:w="1440" w:type="dxa"/>
            <w:vAlign w:val="bottom"/>
          </w:tcPr>
          <w:p w14:paraId="4FC40AFB"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2EE61E0B" w14:textId="77777777" w:rsidR="000230E8" w:rsidRPr="00C2318B" w:rsidRDefault="000230E8" w:rsidP="000230E8">
            <w:pPr>
              <w:pStyle w:val="TableCell"/>
              <w:rPr>
                <w:sz w:val="24"/>
                <w:lang w:eastAsia="en-GB"/>
              </w:rPr>
            </w:pPr>
            <w:r w:rsidRPr="00C2318B">
              <w:rPr>
                <w:sz w:val="24"/>
                <w:lang w:eastAsia="en-GB"/>
              </w:rPr>
              <w:t xml:space="preserve">64 </w:t>
            </w:r>
          </w:p>
        </w:tc>
      </w:tr>
      <w:tr w:rsidR="000230E8" w:rsidRPr="00C2318B" w14:paraId="3D990A4B" w14:textId="77777777" w:rsidTr="005A0642">
        <w:tblPrEx>
          <w:tblCellMar>
            <w:top w:w="0" w:type="dxa"/>
            <w:bottom w:w="0" w:type="dxa"/>
          </w:tblCellMar>
        </w:tblPrEx>
        <w:tc>
          <w:tcPr>
            <w:tcW w:w="6048" w:type="dxa"/>
            <w:vAlign w:val="bottom"/>
          </w:tcPr>
          <w:p w14:paraId="2EDF574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Foilsiú Threoirlínte Sláinte &amp; Sábháilteachta le haghaidh Slí Amach </w:t>
            </w:r>
          </w:p>
        </w:tc>
        <w:tc>
          <w:tcPr>
            <w:tcW w:w="1440" w:type="dxa"/>
            <w:vAlign w:val="bottom"/>
          </w:tcPr>
          <w:p w14:paraId="4923664D" w14:textId="77777777" w:rsidR="000230E8" w:rsidRPr="00C2318B" w:rsidRDefault="000230E8" w:rsidP="000230E8">
            <w:pPr>
              <w:pStyle w:val="TableCell"/>
              <w:rPr>
                <w:sz w:val="24"/>
                <w:lang w:eastAsia="en-GB"/>
              </w:rPr>
            </w:pPr>
            <w:r w:rsidRPr="00C2318B">
              <w:rPr>
                <w:sz w:val="24"/>
                <w:lang w:eastAsia="en-GB"/>
              </w:rPr>
              <w:t xml:space="preserve">0 </w:t>
            </w:r>
          </w:p>
        </w:tc>
        <w:tc>
          <w:tcPr>
            <w:tcW w:w="1260" w:type="dxa"/>
            <w:vAlign w:val="bottom"/>
          </w:tcPr>
          <w:p w14:paraId="6E188451" w14:textId="77777777" w:rsidR="000230E8" w:rsidRPr="00C2318B" w:rsidRDefault="000230E8" w:rsidP="000230E8">
            <w:pPr>
              <w:pStyle w:val="TableCell"/>
              <w:rPr>
                <w:sz w:val="24"/>
                <w:lang w:eastAsia="en-GB"/>
              </w:rPr>
            </w:pPr>
            <w:r w:rsidRPr="00C2318B">
              <w:rPr>
                <w:sz w:val="24"/>
                <w:lang w:eastAsia="en-GB"/>
              </w:rPr>
              <w:t>(1,000)</w:t>
            </w:r>
          </w:p>
        </w:tc>
      </w:tr>
      <w:tr w:rsidR="000230E8" w:rsidRPr="00C2318B" w14:paraId="46E8F0A9" w14:textId="77777777" w:rsidTr="005A0642">
        <w:tblPrEx>
          <w:tblCellMar>
            <w:top w:w="0" w:type="dxa"/>
            <w:bottom w:w="0" w:type="dxa"/>
          </w:tblCellMar>
        </w:tblPrEx>
        <w:tc>
          <w:tcPr>
            <w:tcW w:w="6048" w:type="dxa"/>
            <w:vAlign w:val="bottom"/>
          </w:tcPr>
          <w:p w14:paraId="332CA442" w14:textId="77777777" w:rsidR="000230E8" w:rsidRPr="00C2318B" w:rsidRDefault="000230E8" w:rsidP="000230E8">
            <w:pPr>
              <w:pStyle w:val="TableRowHead"/>
              <w:rPr>
                <w:rFonts w:ascii="Gill Sans" w:hAnsi="Gill Sans"/>
                <w:sz w:val="24"/>
                <w:lang w:eastAsia="en-GB"/>
              </w:rPr>
            </w:pPr>
          </w:p>
        </w:tc>
        <w:tc>
          <w:tcPr>
            <w:tcW w:w="1440" w:type="dxa"/>
            <w:vAlign w:val="bottom"/>
          </w:tcPr>
          <w:p w14:paraId="52A6369E" w14:textId="77777777" w:rsidR="000230E8" w:rsidRPr="00C2318B" w:rsidRDefault="000230E8" w:rsidP="000230E8">
            <w:pPr>
              <w:pStyle w:val="TableCell"/>
              <w:rPr>
                <w:b/>
                <w:sz w:val="24"/>
                <w:lang w:eastAsia="en-GB"/>
              </w:rPr>
            </w:pPr>
            <w:r w:rsidRPr="00C2318B">
              <w:rPr>
                <w:b/>
                <w:sz w:val="24"/>
                <w:lang w:eastAsia="en-GB"/>
              </w:rPr>
              <w:t xml:space="preserve">968,216 </w:t>
            </w:r>
          </w:p>
        </w:tc>
        <w:tc>
          <w:tcPr>
            <w:tcW w:w="1260" w:type="dxa"/>
            <w:vAlign w:val="bottom"/>
          </w:tcPr>
          <w:p w14:paraId="4D8A1F8B" w14:textId="77777777" w:rsidR="000230E8" w:rsidRPr="00C2318B" w:rsidRDefault="000230E8" w:rsidP="000230E8">
            <w:pPr>
              <w:pStyle w:val="TableCell"/>
              <w:rPr>
                <w:b/>
                <w:sz w:val="24"/>
                <w:lang w:eastAsia="en-GB"/>
              </w:rPr>
            </w:pPr>
            <w:r w:rsidRPr="00C2318B">
              <w:rPr>
                <w:b/>
                <w:sz w:val="24"/>
                <w:lang w:eastAsia="en-GB"/>
              </w:rPr>
              <w:t xml:space="preserve">468,863 </w:t>
            </w:r>
          </w:p>
        </w:tc>
      </w:tr>
    </w:tbl>
    <w:p w14:paraId="71656313" w14:textId="77777777" w:rsidR="000230E8" w:rsidRPr="00C2318B" w:rsidRDefault="000230E8" w:rsidP="000230E8">
      <w:pPr>
        <w:pStyle w:val="Heading2"/>
        <w:rPr>
          <w:lang w:eastAsia="en-GB"/>
        </w:rPr>
      </w:pPr>
    </w:p>
    <w:p w14:paraId="5996CE61" w14:textId="77777777" w:rsidR="000230E8" w:rsidRPr="00C2318B" w:rsidRDefault="000230E8" w:rsidP="000230E8">
      <w:pPr>
        <w:pStyle w:val="Heading2"/>
        <w:rPr>
          <w:lang w:eastAsia="en-GB"/>
        </w:rPr>
      </w:pPr>
      <w:r w:rsidRPr="00C2318B">
        <w:rPr>
          <w:lang w:eastAsia="en-GB"/>
        </w:rPr>
        <w:br w:type="page"/>
      </w:r>
      <w:bookmarkStart w:id="504" w:name="_Toc335836553"/>
      <w:r w:rsidRPr="00C2318B">
        <w:rPr>
          <w:lang w:eastAsia="en-GB"/>
        </w:rPr>
        <w:lastRenderedPageBreak/>
        <w:t>4. Costais Phárolla</w:t>
      </w:r>
      <w:bookmarkEnd w:id="504"/>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6048"/>
        <w:gridCol w:w="1440"/>
        <w:gridCol w:w="1440"/>
      </w:tblGrid>
      <w:tr w:rsidR="000230E8" w:rsidRPr="00C2318B" w14:paraId="729BB840" w14:textId="77777777" w:rsidTr="005A0642">
        <w:tblPrEx>
          <w:tblCellMar>
            <w:top w:w="0" w:type="dxa"/>
            <w:bottom w:w="0" w:type="dxa"/>
          </w:tblCellMar>
        </w:tblPrEx>
        <w:trPr>
          <w:tblHeader/>
        </w:trPr>
        <w:tc>
          <w:tcPr>
            <w:tcW w:w="6048" w:type="dxa"/>
            <w:shd w:val="clear" w:color="auto" w:fill="auto"/>
            <w:vAlign w:val="bottom"/>
          </w:tcPr>
          <w:p w14:paraId="09785075" w14:textId="77777777" w:rsidR="000230E8" w:rsidRPr="00C2318B" w:rsidRDefault="000230E8" w:rsidP="000230E8">
            <w:pPr>
              <w:spacing w:after="0"/>
              <w:rPr>
                <w:rFonts w:cs="Arial"/>
                <w:sz w:val="24"/>
                <w:lang w:eastAsia="en-GB"/>
              </w:rPr>
            </w:pPr>
          </w:p>
        </w:tc>
        <w:tc>
          <w:tcPr>
            <w:tcW w:w="1440" w:type="dxa"/>
            <w:vAlign w:val="bottom"/>
          </w:tcPr>
          <w:p w14:paraId="67B35D96" w14:textId="77777777" w:rsidR="000230E8" w:rsidRPr="00C2318B" w:rsidRDefault="000230E8" w:rsidP="000230E8">
            <w:pPr>
              <w:pStyle w:val="TableHead"/>
              <w:jc w:val="right"/>
              <w:rPr>
                <w:lang w:eastAsia="en-GB"/>
              </w:rPr>
            </w:pPr>
            <w:r w:rsidRPr="00C2318B">
              <w:rPr>
                <w:lang w:eastAsia="en-GB"/>
              </w:rPr>
              <w:t>2011</w:t>
            </w:r>
          </w:p>
        </w:tc>
        <w:tc>
          <w:tcPr>
            <w:tcW w:w="1440" w:type="dxa"/>
            <w:vAlign w:val="bottom"/>
          </w:tcPr>
          <w:p w14:paraId="671A2F76" w14:textId="77777777" w:rsidR="000230E8" w:rsidRPr="00C2318B" w:rsidRDefault="000230E8" w:rsidP="000230E8">
            <w:pPr>
              <w:pStyle w:val="TableHead"/>
              <w:jc w:val="right"/>
              <w:rPr>
                <w:lang w:eastAsia="en-GB"/>
              </w:rPr>
            </w:pPr>
            <w:r w:rsidRPr="00C2318B">
              <w:rPr>
                <w:lang w:eastAsia="en-GB"/>
              </w:rPr>
              <w:t>2010</w:t>
            </w:r>
          </w:p>
        </w:tc>
      </w:tr>
      <w:tr w:rsidR="000230E8" w:rsidRPr="00C2318B" w14:paraId="61CB31F2" w14:textId="77777777" w:rsidTr="005A0642">
        <w:tblPrEx>
          <w:tblCellMar>
            <w:top w:w="0" w:type="dxa"/>
            <w:bottom w:w="0" w:type="dxa"/>
          </w:tblCellMar>
        </w:tblPrEx>
        <w:tc>
          <w:tcPr>
            <w:tcW w:w="6048" w:type="dxa"/>
            <w:shd w:val="clear" w:color="auto" w:fill="auto"/>
            <w:vAlign w:val="bottom"/>
          </w:tcPr>
          <w:p w14:paraId="5AF86F27" w14:textId="77777777" w:rsidR="000230E8" w:rsidRPr="00C2318B" w:rsidRDefault="000230E8" w:rsidP="000230E8">
            <w:pPr>
              <w:spacing w:after="0"/>
              <w:rPr>
                <w:rFonts w:cs="Arial"/>
                <w:sz w:val="24"/>
                <w:lang w:eastAsia="en-GB"/>
              </w:rPr>
            </w:pPr>
          </w:p>
        </w:tc>
        <w:tc>
          <w:tcPr>
            <w:tcW w:w="1440" w:type="dxa"/>
            <w:vAlign w:val="bottom"/>
          </w:tcPr>
          <w:p w14:paraId="07CD0769"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p>
        </w:tc>
        <w:tc>
          <w:tcPr>
            <w:tcW w:w="1440" w:type="dxa"/>
            <w:vAlign w:val="bottom"/>
          </w:tcPr>
          <w:p w14:paraId="5FA1EB42"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p>
        </w:tc>
      </w:tr>
      <w:tr w:rsidR="000230E8" w:rsidRPr="00C2318B" w14:paraId="178C2A63" w14:textId="77777777" w:rsidTr="005A0642">
        <w:tblPrEx>
          <w:tblCellMar>
            <w:top w:w="0" w:type="dxa"/>
            <w:bottom w:w="0" w:type="dxa"/>
          </w:tblCellMar>
        </w:tblPrEx>
        <w:tc>
          <w:tcPr>
            <w:tcW w:w="6048" w:type="dxa"/>
            <w:shd w:val="clear" w:color="auto" w:fill="auto"/>
            <w:vAlign w:val="bottom"/>
          </w:tcPr>
          <w:p w14:paraId="4B47EB2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Pá Foirne NDA </w:t>
            </w:r>
          </w:p>
        </w:tc>
        <w:tc>
          <w:tcPr>
            <w:tcW w:w="1440" w:type="dxa"/>
            <w:vAlign w:val="bottom"/>
          </w:tcPr>
          <w:p w14:paraId="21141F24" w14:textId="77777777" w:rsidR="000230E8" w:rsidRPr="00C2318B" w:rsidRDefault="000230E8" w:rsidP="000230E8">
            <w:pPr>
              <w:pStyle w:val="TableCell"/>
              <w:rPr>
                <w:sz w:val="24"/>
                <w:lang w:eastAsia="en-GB"/>
              </w:rPr>
            </w:pPr>
            <w:r w:rsidRPr="00821780">
              <w:rPr>
                <w:sz w:val="24"/>
                <w:lang w:val="en-GB" w:eastAsia="en-GB"/>
              </w:rPr>
              <w:t>2,097,591</w:t>
            </w:r>
          </w:p>
        </w:tc>
        <w:tc>
          <w:tcPr>
            <w:tcW w:w="1440" w:type="dxa"/>
            <w:vAlign w:val="bottom"/>
          </w:tcPr>
          <w:p w14:paraId="1BFB6CDD" w14:textId="77777777" w:rsidR="000230E8" w:rsidRPr="00C2318B" w:rsidRDefault="000230E8" w:rsidP="000230E8">
            <w:pPr>
              <w:pStyle w:val="TableCell"/>
              <w:rPr>
                <w:sz w:val="24"/>
                <w:lang w:eastAsia="en-GB"/>
              </w:rPr>
            </w:pPr>
            <w:r w:rsidRPr="00C2318B">
              <w:rPr>
                <w:sz w:val="24"/>
                <w:lang w:eastAsia="en-GB"/>
              </w:rPr>
              <w:t xml:space="preserve">2,230,067 </w:t>
            </w:r>
          </w:p>
        </w:tc>
      </w:tr>
      <w:tr w:rsidR="000230E8" w:rsidRPr="00C2318B" w14:paraId="79193EB9" w14:textId="77777777" w:rsidTr="005A0642">
        <w:tblPrEx>
          <w:tblCellMar>
            <w:top w:w="0" w:type="dxa"/>
            <w:bottom w:w="0" w:type="dxa"/>
          </w:tblCellMar>
        </w:tblPrEx>
        <w:tc>
          <w:tcPr>
            <w:tcW w:w="6048" w:type="dxa"/>
            <w:shd w:val="clear" w:color="auto" w:fill="auto"/>
            <w:vAlign w:val="bottom"/>
          </w:tcPr>
          <w:p w14:paraId="7742D21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Baill Foirne na Gníomhaireachta </w:t>
            </w:r>
          </w:p>
        </w:tc>
        <w:tc>
          <w:tcPr>
            <w:tcW w:w="1440" w:type="dxa"/>
            <w:vAlign w:val="bottom"/>
          </w:tcPr>
          <w:p w14:paraId="59835436" w14:textId="77777777" w:rsidR="000230E8" w:rsidRPr="00C2318B" w:rsidRDefault="000230E8" w:rsidP="000230E8">
            <w:pPr>
              <w:pStyle w:val="TableCell"/>
              <w:rPr>
                <w:sz w:val="24"/>
                <w:lang w:eastAsia="en-GB"/>
              </w:rPr>
            </w:pPr>
            <w:r w:rsidRPr="00C2318B">
              <w:rPr>
                <w:sz w:val="24"/>
                <w:lang w:eastAsia="en-GB"/>
              </w:rPr>
              <w:t xml:space="preserve">1,639 </w:t>
            </w:r>
          </w:p>
        </w:tc>
        <w:tc>
          <w:tcPr>
            <w:tcW w:w="1440" w:type="dxa"/>
            <w:vAlign w:val="bottom"/>
          </w:tcPr>
          <w:p w14:paraId="1E4285F1" w14:textId="77777777" w:rsidR="000230E8" w:rsidRPr="00C2318B" w:rsidRDefault="000230E8" w:rsidP="000230E8">
            <w:pPr>
              <w:pStyle w:val="TableCell"/>
              <w:rPr>
                <w:sz w:val="24"/>
                <w:lang w:eastAsia="en-GB"/>
              </w:rPr>
            </w:pPr>
            <w:r w:rsidRPr="00C2318B">
              <w:rPr>
                <w:sz w:val="24"/>
                <w:lang w:eastAsia="en-GB"/>
              </w:rPr>
              <w:t xml:space="preserve">5,471 </w:t>
            </w:r>
          </w:p>
        </w:tc>
      </w:tr>
      <w:tr w:rsidR="000230E8" w:rsidRPr="00C2318B" w14:paraId="5FD287A1" w14:textId="77777777" w:rsidTr="005A0642">
        <w:tblPrEx>
          <w:tblCellMar>
            <w:top w:w="0" w:type="dxa"/>
            <w:bottom w:w="0" w:type="dxa"/>
          </w:tblCellMar>
        </w:tblPrEx>
        <w:tc>
          <w:tcPr>
            <w:tcW w:w="6048" w:type="dxa"/>
            <w:shd w:val="clear" w:color="auto" w:fill="auto"/>
            <w:vAlign w:val="bottom"/>
          </w:tcPr>
          <w:p w14:paraId="588826AF" w14:textId="77777777" w:rsidR="000230E8" w:rsidRPr="00C2318B" w:rsidRDefault="000230E8" w:rsidP="000230E8">
            <w:pPr>
              <w:spacing w:after="0"/>
              <w:rPr>
                <w:rFonts w:cs="Arial"/>
                <w:sz w:val="24"/>
                <w:lang w:eastAsia="en-GB"/>
              </w:rPr>
            </w:pPr>
          </w:p>
        </w:tc>
        <w:tc>
          <w:tcPr>
            <w:tcW w:w="1440" w:type="dxa"/>
            <w:vAlign w:val="bottom"/>
          </w:tcPr>
          <w:p w14:paraId="7A40DB91" w14:textId="77777777" w:rsidR="000230E8" w:rsidRPr="00C2318B" w:rsidRDefault="000230E8" w:rsidP="000230E8">
            <w:pPr>
              <w:pStyle w:val="TableCell"/>
              <w:rPr>
                <w:b/>
                <w:sz w:val="24"/>
                <w:lang w:eastAsia="en-GB"/>
              </w:rPr>
            </w:pPr>
            <w:r w:rsidRPr="004961A0">
              <w:rPr>
                <w:b/>
                <w:sz w:val="24"/>
                <w:lang w:val="en-GB" w:eastAsia="en-GB"/>
              </w:rPr>
              <w:t>2,0</w:t>
            </w:r>
            <w:r>
              <w:rPr>
                <w:b/>
                <w:sz w:val="24"/>
                <w:lang w:val="en-GB" w:eastAsia="en-GB"/>
              </w:rPr>
              <w:t>99</w:t>
            </w:r>
            <w:r w:rsidRPr="004961A0">
              <w:rPr>
                <w:b/>
                <w:sz w:val="24"/>
                <w:lang w:val="en-GB" w:eastAsia="en-GB"/>
              </w:rPr>
              <w:t>,</w:t>
            </w:r>
            <w:r>
              <w:rPr>
                <w:b/>
                <w:sz w:val="24"/>
                <w:lang w:val="en-GB" w:eastAsia="en-GB"/>
              </w:rPr>
              <w:t>230</w:t>
            </w:r>
          </w:p>
        </w:tc>
        <w:tc>
          <w:tcPr>
            <w:tcW w:w="1440" w:type="dxa"/>
            <w:vAlign w:val="bottom"/>
          </w:tcPr>
          <w:p w14:paraId="25343B45" w14:textId="77777777" w:rsidR="000230E8" w:rsidRPr="00C2318B" w:rsidRDefault="000230E8" w:rsidP="000230E8">
            <w:pPr>
              <w:pStyle w:val="TableCell"/>
              <w:rPr>
                <w:b/>
                <w:sz w:val="24"/>
                <w:lang w:eastAsia="en-GB"/>
              </w:rPr>
            </w:pPr>
            <w:r w:rsidRPr="00C2318B">
              <w:rPr>
                <w:b/>
                <w:sz w:val="24"/>
                <w:lang w:eastAsia="en-GB"/>
              </w:rPr>
              <w:t xml:space="preserve">2,235,538 </w:t>
            </w:r>
          </w:p>
        </w:tc>
      </w:tr>
    </w:tbl>
    <w:p w14:paraId="2AAA02DB" w14:textId="77777777" w:rsidR="000230E8" w:rsidRPr="00C2318B" w:rsidRDefault="000230E8" w:rsidP="000230E8">
      <w:pPr>
        <w:rPr>
          <w:lang w:eastAsia="en-GB"/>
        </w:rPr>
      </w:pPr>
      <w:r w:rsidRPr="00C2318B">
        <w:rPr>
          <w:lang w:eastAsia="en-GB"/>
        </w:rPr>
        <w:t>Ba é meánlíon na mball foirne a bhí fostaithe ag an Údarás sa bhliain ná 32.5 (2010: 36)</w:t>
      </w:r>
    </w:p>
    <w:p w14:paraId="573C5D74" w14:textId="77777777" w:rsidR="000230E8" w:rsidRPr="00C2318B" w:rsidRDefault="000230E8" w:rsidP="000230E8">
      <w:pPr>
        <w:pStyle w:val="Heading3"/>
        <w:rPr>
          <w:lang/>
        </w:rPr>
      </w:pPr>
      <w:bookmarkStart w:id="505" w:name="_Toc335836554"/>
      <w:r w:rsidRPr="00C2318B">
        <w:rPr>
          <w:lang w:eastAsia="en-GB"/>
        </w:rPr>
        <w:t>Luach Saothair an Stiúrthóra</w:t>
      </w:r>
      <w:bookmarkEnd w:id="505"/>
      <w:r w:rsidRPr="00C2318B">
        <w:rPr>
          <w:lang w:eastAsia="en-GB"/>
        </w:rPr>
        <w:t xml:space="preserve"> </w:t>
      </w:r>
    </w:p>
    <w:p w14:paraId="41DA196F" w14:textId="77777777" w:rsidR="000230E8" w:rsidRPr="00C2318B" w:rsidRDefault="000230E8" w:rsidP="000230E8">
      <w:pPr>
        <w:rPr>
          <w:lang w:eastAsia="en-GB"/>
        </w:rPr>
      </w:pPr>
      <w:r w:rsidRPr="00C2318B">
        <w:rPr>
          <w:lang/>
        </w:rPr>
        <w:t xml:space="preserve">D’íocadh tuarastal de €99,236 i 2011 (2010:€98,054 lena n-áirítear riaráistí de </w:t>
      </w:r>
      <w:r w:rsidRPr="00C2318B">
        <w:rPr>
          <w:rFonts w:ascii="Arial" w:hAnsi="Arial" w:cs="Arial"/>
          <w:lang/>
        </w:rPr>
        <w:t>€</w:t>
      </w:r>
      <w:r w:rsidRPr="00C2318B">
        <w:rPr>
          <w:rFonts w:cs="Gill Sans"/>
          <w:lang/>
        </w:rPr>
        <w:t xml:space="preserve">5,035) ar Scála Príomhoifigeach na Státseirbhíse. Ní dhearnadh aon íocaíocht eile de nádúr pá leis an Stiúrthóir sa bhliain sin. </w:t>
      </w:r>
      <w:r w:rsidRPr="00C2318B">
        <w:rPr>
          <w:lang w:eastAsia="en-GB"/>
        </w:rPr>
        <w:t>Tá an Stiúrthóir ina comhalta de scéim  sochar sainithe neamhchistithe de chuid na hearnála poiblí agus ní shíneann a cuid teidlíochtaí thar na teidlíochtaí caighdeánacha a bhíonn ar fáil do scéim den sórt sin.</w:t>
      </w:r>
    </w:p>
    <w:p w14:paraId="670E9F8C" w14:textId="77777777" w:rsidR="000230E8" w:rsidRPr="00C2318B" w:rsidRDefault="000230E8" w:rsidP="000230E8">
      <w:pPr>
        <w:pStyle w:val="Heading2"/>
        <w:rPr>
          <w:lang w:eastAsia="en-GB"/>
        </w:rPr>
      </w:pPr>
      <w:r w:rsidRPr="00C2318B">
        <w:rPr>
          <w:lang w:eastAsia="en-GB"/>
        </w:rPr>
        <w:br w:type="page"/>
      </w:r>
      <w:bookmarkStart w:id="506" w:name="_Toc335836555"/>
      <w:r w:rsidRPr="00C2318B">
        <w:rPr>
          <w:lang w:eastAsia="en-GB"/>
        </w:rPr>
        <w:lastRenderedPageBreak/>
        <w:t>5. Costais Riaracháin</w:t>
      </w:r>
      <w:bookmarkEnd w:id="506"/>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428"/>
        <w:gridCol w:w="1500"/>
        <w:gridCol w:w="1500"/>
        <w:gridCol w:w="1500"/>
      </w:tblGrid>
      <w:tr w:rsidR="000230E8" w:rsidRPr="00C2318B" w14:paraId="19B15EED" w14:textId="77777777" w:rsidTr="00983E44">
        <w:tblPrEx>
          <w:tblCellMar>
            <w:top w:w="0" w:type="dxa"/>
            <w:bottom w:w="0" w:type="dxa"/>
          </w:tblCellMar>
        </w:tblPrEx>
        <w:trPr>
          <w:tblHeader/>
        </w:trPr>
        <w:tc>
          <w:tcPr>
            <w:tcW w:w="4428" w:type="dxa"/>
            <w:shd w:val="clear" w:color="auto" w:fill="auto"/>
          </w:tcPr>
          <w:p w14:paraId="370BB11A" w14:textId="77777777" w:rsidR="000230E8" w:rsidRPr="00C2318B" w:rsidRDefault="000230E8" w:rsidP="000230E8">
            <w:pPr>
              <w:pStyle w:val="TableHead"/>
              <w:jc w:val="right"/>
              <w:rPr>
                <w:lang/>
              </w:rPr>
            </w:pPr>
          </w:p>
        </w:tc>
        <w:tc>
          <w:tcPr>
            <w:tcW w:w="1500" w:type="dxa"/>
            <w:shd w:val="clear" w:color="auto" w:fill="auto"/>
          </w:tcPr>
          <w:p w14:paraId="5695F3DB" w14:textId="77777777" w:rsidR="000230E8" w:rsidRPr="00C2318B" w:rsidRDefault="000230E8" w:rsidP="000230E8">
            <w:pPr>
              <w:pStyle w:val="TableHead"/>
              <w:jc w:val="right"/>
              <w:rPr>
                <w:sz w:val="24"/>
                <w:lang/>
              </w:rPr>
            </w:pPr>
            <w:r w:rsidRPr="00C2318B">
              <w:rPr>
                <w:sz w:val="24"/>
                <w:lang/>
              </w:rPr>
              <w:t>Nótaí</w:t>
            </w:r>
          </w:p>
        </w:tc>
        <w:tc>
          <w:tcPr>
            <w:tcW w:w="1500" w:type="dxa"/>
            <w:vAlign w:val="bottom"/>
          </w:tcPr>
          <w:p w14:paraId="51B9085A" w14:textId="77777777" w:rsidR="000230E8" w:rsidRPr="00C2318B" w:rsidRDefault="000230E8" w:rsidP="000230E8">
            <w:pPr>
              <w:pStyle w:val="TableHead"/>
              <w:jc w:val="right"/>
              <w:rPr>
                <w:rFonts w:cs="Arial"/>
                <w:bCs/>
                <w:sz w:val="24"/>
                <w:lang w:eastAsia="en-GB"/>
              </w:rPr>
            </w:pPr>
            <w:r w:rsidRPr="00C2318B">
              <w:rPr>
                <w:rFonts w:cs="Arial"/>
                <w:bCs/>
                <w:sz w:val="24"/>
                <w:lang w:eastAsia="en-GB"/>
              </w:rPr>
              <w:t>2011</w:t>
            </w:r>
          </w:p>
        </w:tc>
        <w:tc>
          <w:tcPr>
            <w:tcW w:w="1500" w:type="dxa"/>
            <w:vAlign w:val="bottom"/>
          </w:tcPr>
          <w:p w14:paraId="42823ED6" w14:textId="77777777" w:rsidR="000230E8" w:rsidRPr="00C2318B" w:rsidRDefault="000230E8" w:rsidP="000230E8">
            <w:pPr>
              <w:pStyle w:val="TableHead"/>
              <w:jc w:val="right"/>
              <w:rPr>
                <w:rFonts w:cs="Arial"/>
                <w:bCs/>
                <w:sz w:val="24"/>
                <w:lang w:eastAsia="en-GB"/>
              </w:rPr>
            </w:pPr>
            <w:r w:rsidRPr="00C2318B">
              <w:rPr>
                <w:rFonts w:cs="Arial"/>
                <w:bCs/>
                <w:sz w:val="24"/>
                <w:lang w:eastAsia="en-GB"/>
              </w:rPr>
              <w:t>2010</w:t>
            </w:r>
          </w:p>
        </w:tc>
      </w:tr>
      <w:tr w:rsidR="000230E8" w:rsidRPr="00C2318B" w14:paraId="12DA743F" w14:textId="77777777" w:rsidTr="00983E44">
        <w:tblPrEx>
          <w:tblCellMar>
            <w:top w:w="0" w:type="dxa"/>
            <w:bottom w:w="0" w:type="dxa"/>
          </w:tblCellMar>
        </w:tblPrEx>
        <w:tc>
          <w:tcPr>
            <w:tcW w:w="4428" w:type="dxa"/>
            <w:shd w:val="clear" w:color="auto" w:fill="auto"/>
          </w:tcPr>
          <w:p w14:paraId="44937301" w14:textId="77777777" w:rsidR="000230E8" w:rsidRPr="00C2318B" w:rsidRDefault="000230E8" w:rsidP="000230E8">
            <w:pPr>
              <w:pStyle w:val="TableRowHead"/>
              <w:rPr>
                <w:lang/>
              </w:rPr>
            </w:pPr>
          </w:p>
        </w:tc>
        <w:tc>
          <w:tcPr>
            <w:tcW w:w="1500" w:type="dxa"/>
            <w:shd w:val="clear" w:color="auto" w:fill="auto"/>
          </w:tcPr>
          <w:p w14:paraId="67AFBD16" w14:textId="77777777" w:rsidR="000230E8" w:rsidRPr="00C2318B" w:rsidRDefault="000230E8" w:rsidP="000230E8">
            <w:pPr>
              <w:pStyle w:val="TableCell"/>
              <w:rPr>
                <w:lang/>
              </w:rPr>
            </w:pPr>
          </w:p>
        </w:tc>
        <w:tc>
          <w:tcPr>
            <w:tcW w:w="1500" w:type="dxa"/>
            <w:vAlign w:val="bottom"/>
          </w:tcPr>
          <w:p w14:paraId="5BF5D905"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     </w:t>
            </w:r>
            <w:r w:rsidRPr="00C2318B">
              <w:rPr>
                <w:rFonts w:ascii="Arial" w:hAnsi="Arial" w:cs="Arial"/>
                <w:sz w:val="24"/>
                <w:lang w:eastAsia="en-GB"/>
              </w:rPr>
              <w:t>€</w:t>
            </w:r>
          </w:p>
        </w:tc>
        <w:tc>
          <w:tcPr>
            <w:tcW w:w="1500" w:type="dxa"/>
            <w:vAlign w:val="bottom"/>
          </w:tcPr>
          <w:p w14:paraId="01938177"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     </w:t>
            </w:r>
            <w:r w:rsidRPr="00C2318B">
              <w:rPr>
                <w:rFonts w:ascii="Arial" w:hAnsi="Arial" w:cs="Arial"/>
                <w:sz w:val="24"/>
                <w:lang w:eastAsia="en-GB"/>
              </w:rPr>
              <w:t>€</w:t>
            </w:r>
          </w:p>
        </w:tc>
      </w:tr>
      <w:tr w:rsidR="000230E8" w:rsidRPr="00C2318B" w14:paraId="1927097E" w14:textId="77777777" w:rsidTr="00983E44">
        <w:tblPrEx>
          <w:tblCellMar>
            <w:top w:w="0" w:type="dxa"/>
            <w:bottom w:w="0" w:type="dxa"/>
          </w:tblCellMar>
        </w:tblPrEx>
        <w:tc>
          <w:tcPr>
            <w:tcW w:w="4428" w:type="dxa"/>
            <w:shd w:val="clear" w:color="auto" w:fill="auto"/>
            <w:vAlign w:val="bottom"/>
          </w:tcPr>
          <w:p w14:paraId="61AA4956"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Taisteal</w:t>
            </w:r>
          </w:p>
        </w:tc>
        <w:tc>
          <w:tcPr>
            <w:tcW w:w="1500" w:type="dxa"/>
            <w:shd w:val="clear" w:color="auto" w:fill="auto"/>
            <w:vAlign w:val="bottom"/>
          </w:tcPr>
          <w:p w14:paraId="5CCC5347" w14:textId="77777777" w:rsidR="000230E8" w:rsidRPr="00C2318B" w:rsidRDefault="000230E8" w:rsidP="000230E8">
            <w:pPr>
              <w:pStyle w:val="TableCell"/>
              <w:rPr>
                <w:sz w:val="24"/>
                <w:lang w:eastAsia="en-GB"/>
              </w:rPr>
            </w:pPr>
          </w:p>
        </w:tc>
        <w:tc>
          <w:tcPr>
            <w:tcW w:w="1500" w:type="dxa"/>
            <w:vAlign w:val="bottom"/>
          </w:tcPr>
          <w:p w14:paraId="25A3A3A9" w14:textId="77777777" w:rsidR="000230E8" w:rsidRPr="00C2318B" w:rsidRDefault="000230E8" w:rsidP="000230E8">
            <w:pPr>
              <w:pStyle w:val="TableCell"/>
              <w:rPr>
                <w:sz w:val="24"/>
                <w:lang w:eastAsia="en-GB"/>
              </w:rPr>
            </w:pPr>
            <w:r w:rsidRPr="00C2318B">
              <w:rPr>
                <w:sz w:val="24"/>
                <w:lang w:eastAsia="en-GB"/>
              </w:rPr>
              <w:t>28,001</w:t>
            </w:r>
          </w:p>
        </w:tc>
        <w:tc>
          <w:tcPr>
            <w:tcW w:w="1500" w:type="dxa"/>
            <w:vAlign w:val="bottom"/>
          </w:tcPr>
          <w:p w14:paraId="11CA4E35" w14:textId="77777777" w:rsidR="000230E8" w:rsidRPr="00C2318B" w:rsidRDefault="000230E8" w:rsidP="000230E8">
            <w:pPr>
              <w:pStyle w:val="TableCell"/>
              <w:rPr>
                <w:sz w:val="24"/>
                <w:lang w:eastAsia="en-GB"/>
              </w:rPr>
            </w:pPr>
            <w:r w:rsidRPr="00C2318B">
              <w:rPr>
                <w:sz w:val="24"/>
                <w:lang w:eastAsia="en-GB"/>
              </w:rPr>
              <w:t>28,612</w:t>
            </w:r>
          </w:p>
        </w:tc>
      </w:tr>
      <w:tr w:rsidR="000230E8" w:rsidRPr="00C2318B" w14:paraId="6361C490" w14:textId="77777777" w:rsidTr="00983E44">
        <w:tblPrEx>
          <w:tblCellMar>
            <w:top w:w="0" w:type="dxa"/>
            <w:bottom w:w="0" w:type="dxa"/>
          </w:tblCellMar>
        </w:tblPrEx>
        <w:tc>
          <w:tcPr>
            <w:tcW w:w="4428" w:type="dxa"/>
            <w:shd w:val="clear" w:color="auto" w:fill="auto"/>
            <w:vAlign w:val="bottom"/>
          </w:tcPr>
          <w:p w14:paraId="09A3F02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Oiliúint</w:t>
            </w:r>
          </w:p>
        </w:tc>
        <w:tc>
          <w:tcPr>
            <w:tcW w:w="1500" w:type="dxa"/>
            <w:shd w:val="clear" w:color="auto" w:fill="auto"/>
            <w:vAlign w:val="bottom"/>
          </w:tcPr>
          <w:p w14:paraId="713FF528" w14:textId="77777777" w:rsidR="000230E8" w:rsidRPr="00C2318B" w:rsidRDefault="000230E8" w:rsidP="000230E8">
            <w:pPr>
              <w:pStyle w:val="TableCell"/>
              <w:rPr>
                <w:sz w:val="24"/>
                <w:lang w:eastAsia="en-GB"/>
              </w:rPr>
            </w:pPr>
          </w:p>
        </w:tc>
        <w:tc>
          <w:tcPr>
            <w:tcW w:w="1500" w:type="dxa"/>
            <w:vAlign w:val="bottom"/>
          </w:tcPr>
          <w:p w14:paraId="3DACF133" w14:textId="77777777" w:rsidR="000230E8" w:rsidRPr="00C2318B" w:rsidRDefault="000230E8" w:rsidP="000230E8">
            <w:pPr>
              <w:pStyle w:val="TableCell"/>
              <w:rPr>
                <w:sz w:val="24"/>
                <w:lang w:eastAsia="en-GB"/>
              </w:rPr>
            </w:pPr>
            <w:r w:rsidRPr="00C2318B">
              <w:rPr>
                <w:sz w:val="24"/>
                <w:lang w:eastAsia="en-GB"/>
              </w:rPr>
              <w:t>23,729</w:t>
            </w:r>
          </w:p>
        </w:tc>
        <w:tc>
          <w:tcPr>
            <w:tcW w:w="1500" w:type="dxa"/>
            <w:vAlign w:val="bottom"/>
          </w:tcPr>
          <w:p w14:paraId="2EADFA22" w14:textId="77777777" w:rsidR="000230E8" w:rsidRPr="00C2318B" w:rsidRDefault="000230E8" w:rsidP="000230E8">
            <w:pPr>
              <w:pStyle w:val="TableCell"/>
              <w:rPr>
                <w:sz w:val="24"/>
                <w:lang w:eastAsia="en-GB"/>
              </w:rPr>
            </w:pPr>
            <w:r w:rsidRPr="00C2318B">
              <w:rPr>
                <w:sz w:val="24"/>
                <w:lang w:eastAsia="en-GB"/>
              </w:rPr>
              <w:t>17,331</w:t>
            </w:r>
          </w:p>
        </w:tc>
      </w:tr>
      <w:tr w:rsidR="000230E8" w:rsidRPr="00C2318B" w14:paraId="5F3FE0E6" w14:textId="77777777" w:rsidTr="00983E44">
        <w:tblPrEx>
          <w:tblCellMar>
            <w:top w:w="0" w:type="dxa"/>
            <w:bottom w:w="0" w:type="dxa"/>
          </w:tblCellMar>
        </w:tblPrEx>
        <w:tc>
          <w:tcPr>
            <w:tcW w:w="4428" w:type="dxa"/>
            <w:shd w:val="clear" w:color="auto" w:fill="auto"/>
            <w:vAlign w:val="bottom"/>
          </w:tcPr>
          <w:p w14:paraId="38BEBCD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Táillí Comhdhála / Seimineáir </w:t>
            </w:r>
          </w:p>
        </w:tc>
        <w:tc>
          <w:tcPr>
            <w:tcW w:w="1500" w:type="dxa"/>
            <w:shd w:val="clear" w:color="auto" w:fill="auto"/>
            <w:vAlign w:val="bottom"/>
          </w:tcPr>
          <w:p w14:paraId="085ED5CE" w14:textId="77777777" w:rsidR="000230E8" w:rsidRPr="00C2318B" w:rsidRDefault="000230E8" w:rsidP="000230E8">
            <w:pPr>
              <w:pStyle w:val="TableCell"/>
              <w:rPr>
                <w:sz w:val="24"/>
                <w:lang w:eastAsia="en-GB"/>
              </w:rPr>
            </w:pPr>
          </w:p>
        </w:tc>
        <w:tc>
          <w:tcPr>
            <w:tcW w:w="1500" w:type="dxa"/>
            <w:vAlign w:val="bottom"/>
          </w:tcPr>
          <w:p w14:paraId="393CE992" w14:textId="77777777" w:rsidR="000230E8" w:rsidRPr="00C2318B" w:rsidRDefault="000230E8" w:rsidP="000230E8">
            <w:pPr>
              <w:pStyle w:val="TableCell"/>
              <w:rPr>
                <w:sz w:val="24"/>
                <w:lang w:eastAsia="en-GB"/>
              </w:rPr>
            </w:pPr>
            <w:r w:rsidRPr="00C2318B">
              <w:rPr>
                <w:sz w:val="24"/>
                <w:lang w:eastAsia="en-GB"/>
              </w:rPr>
              <w:t>5,022</w:t>
            </w:r>
          </w:p>
        </w:tc>
        <w:tc>
          <w:tcPr>
            <w:tcW w:w="1500" w:type="dxa"/>
            <w:vAlign w:val="bottom"/>
          </w:tcPr>
          <w:p w14:paraId="70D9668B" w14:textId="77777777" w:rsidR="000230E8" w:rsidRPr="00C2318B" w:rsidRDefault="000230E8" w:rsidP="000230E8">
            <w:pPr>
              <w:pStyle w:val="TableCell"/>
              <w:rPr>
                <w:sz w:val="24"/>
                <w:lang w:eastAsia="en-GB"/>
              </w:rPr>
            </w:pPr>
            <w:r w:rsidRPr="00C2318B">
              <w:rPr>
                <w:sz w:val="24"/>
                <w:lang w:eastAsia="en-GB"/>
              </w:rPr>
              <w:t>6,707</w:t>
            </w:r>
          </w:p>
        </w:tc>
      </w:tr>
      <w:tr w:rsidR="000230E8" w:rsidRPr="00C2318B" w14:paraId="3BB0DA56" w14:textId="77777777" w:rsidTr="00983E44">
        <w:tblPrEx>
          <w:tblCellMar>
            <w:top w:w="0" w:type="dxa"/>
            <w:bottom w:w="0" w:type="dxa"/>
          </w:tblCellMar>
        </w:tblPrEx>
        <w:tc>
          <w:tcPr>
            <w:tcW w:w="4428" w:type="dxa"/>
            <w:shd w:val="clear" w:color="auto" w:fill="auto"/>
            <w:vAlign w:val="bottom"/>
          </w:tcPr>
          <w:p w14:paraId="30A3C1E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Táillí &amp; Speansais an Údaráis </w:t>
            </w:r>
          </w:p>
        </w:tc>
        <w:tc>
          <w:tcPr>
            <w:tcW w:w="1500" w:type="dxa"/>
            <w:shd w:val="clear" w:color="auto" w:fill="auto"/>
            <w:vAlign w:val="bottom"/>
          </w:tcPr>
          <w:p w14:paraId="1551A4EA" w14:textId="77777777" w:rsidR="000230E8" w:rsidRPr="00C2318B" w:rsidRDefault="000230E8" w:rsidP="000230E8">
            <w:pPr>
              <w:pStyle w:val="TableCell"/>
              <w:rPr>
                <w:sz w:val="24"/>
                <w:lang w:eastAsia="en-GB"/>
              </w:rPr>
            </w:pPr>
            <w:r w:rsidRPr="00C2318B">
              <w:rPr>
                <w:sz w:val="24"/>
                <w:lang w:eastAsia="en-GB"/>
              </w:rPr>
              <w:t>6</w:t>
            </w:r>
          </w:p>
        </w:tc>
        <w:tc>
          <w:tcPr>
            <w:tcW w:w="1500" w:type="dxa"/>
            <w:vAlign w:val="bottom"/>
          </w:tcPr>
          <w:p w14:paraId="7830661E" w14:textId="77777777" w:rsidR="000230E8" w:rsidRPr="00C2318B" w:rsidRDefault="000230E8" w:rsidP="000230E8">
            <w:pPr>
              <w:pStyle w:val="TableCell"/>
              <w:rPr>
                <w:sz w:val="24"/>
                <w:lang w:eastAsia="en-GB"/>
              </w:rPr>
            </w:pPr>
            <w:r w:rsidRPr="00C2318B">
              <w:rPr>
                <w:sz w:val="24"/>
                <w:lang w:eastAsia="en-GB"/>
              </w:rPr>
              <w:t>85,721</w:t>
            </w:r>
          </w:p>
        </w:tc>
        <w:tc>
          <w:tcPr>
            <w:tcW w:w="1500" w:type="dxa"/>
            <w:vAlign w:val="bottom"/>
          </w:tcPr>
          <w:p w14:paraId="73CA872E" w14:textId="77777777" w:rsidR="000230E8" w:rsidRPr="00C2318B" w:rsidRDefault="000230E8" w:rsidP="000230E8">
            <w:pPr>
              <w:pStyle w:val="TableCell"/>
              <w:rPr>
                <w:sz w:val="24"/>
                <w:lang w:eastAsia="en-GB"/>
              </w:rPr>
            </w:pPr>
            <w:r w:rsidRPr="00C2318B">
              <w:rPr>
                <w:sz w:val="24"/>
                <w:lang w:eastAsia="en-GB"/>
              </w:rPr>
              <w:t>70,736</w:t>
            </w:r>
          </w:p>
        </w:tc>
      </w:tr>
      <w:tr w:rsidR="000230E8" w:rsidRPr="00C2318B" w14:paraId="1EFB7AF4" w14:textId="77777777" w:rsidTr="00983E44">
        <w:tblPrEx>
          <w:tblCellMar>
            <w:top w:w="0" w:type="dxa"/>
            <w:bottom w:w="0" w:type="dxa"/>
          </w:tblCellMar>
        </w:tblPrEx>
        <w:tc>
          <w:tcPr>
            <w:tcW w:w="4428" w:type="dxa"/>
            <w:shd w:val="clear" w:color="auto" w:fill="auto"/>
            <w:vAlign w:val="bottom"/>
          </w:tcPr>
          <w:p w14:paraId="0AB4DB0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Táille Iniúchta </w:t>
            </w:r>
          </w:p>
        </w:tc>
        <w:tc>
          <w:tcPr>
            <w:tcW w:w="1500" w:type="dxa"/>
            <w:shd w:val="clear" w:color="auto" w:fill="auto"/>
            <w:vAlign w:val="bottom"/>
          </w:tcPr>
          <w:p w14:paraId="57426CF5" w14:textId="77777777" w:rsidR="000230E8" w:rsidRPr="00C2318B" w:rsidRDefault="000230E8" w:rsidP="000230E8">
            <w:pPr>
              <w:pStyle w:val="TableCell"/>
              <w:rPr>
                <w:sz w:val="24"/>
                <w:lang w:eastAsia="en-GB"/>
              </w:rPr>
            </w:pPr>
          </w:p>
        </w:tc>
        <w:tc>
          <w:tcPr>
            <w:tcW w:w="1500" w:type="dxa"/>
            <w:vAlign w:val="bottom"/>
          </w:tcPr>
          <w:p w14:paraId="2A5AEAAB" w14:textId="77777777" w:rsidR="000230E8" w:rsidRPr="00C2318B" w:rsidRDefault="000230E8" w:rsidP="000230E8">
            <w:pPr>
              <w:pStyle w:val="TableCell"/>
              <w:rPr>
                <w:sz w:val="24"/>
                <w:lang w:eastAsia="en-GB"/>
              </w:rPr>
            </w:pPr>
            <w:r w:rsidRPr="00C2318B">
              <w:rPr>
                <w:sz w:val="24"/>
                <w:lang w:eastAsia="en-GB"/>
              </w:rPr>
              <w:t>17,240</w:t>
            </w:r>
          </w:p>
        </w:tc>
        <w:tc>
          <w:tcPr>
            <w:tcW w:w="1500" w:type="dxa"/>
            <w:vAlign w:val="bottom"/>
          </w:tcPr>
          <w:p w14:paraId="7CE958AA" w14:textId="77777777" w:rsidR="000230E8" w:rsidRPr="00C2318B" w:rsidRDefault="000230E8" w:rsidP="000230E8">
            <w:pPr>
              <w:pStyle w:val="TableCell"/>
              <w:rPr>
                <w:sz w:val="24"/>
                <w:lang w:eastAsia="en-GB"/>
              </w:rPr>
            </w:pPr>
            <w:r w:rsidRPr="00C2318B">
              <w:rPr>
                <w:sz w:val="24"/>
                <w:lang w:eastAsia="en-GB"/>
              </w:rPr>
              <w:t>18,620</w:t>
            </w:r>
          </w:p>
        </w:tc>
      </w:tr>
      <w:tr w:rsidR="000230E8" w:rsidRPr="00C2318B" w14:paraId="159951E4" w14:textId="77777777" w:rsidTr="00983E44">
        <w:tblPrEx>
          <w:tblCellMar>
            <w:top w:w="0" w:type="dxa"/>
            <w:bottom w:w="0" w:type="dxa"/>
          </w:tblCellMar>
        </w:tblPrEx>
        <w:tc>
          <w:tcPr>
            <w:tcW w:w="4428" w:type="dxa"/>
            <w:shd w:val="clear" w:color="auto" w:fill="auto"/>
            <w:vAlign w:val="bottom"/>
          </w:tcPr>
          <w:p w14:paraId="30A8AC99"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Ús / Muirir Bhainc </w:t>
            </w:r>
          </w:p>
        </w:tc>
        <w:tc>
          <w:tcPr>
            <w:tcW w:w="1500" w:type="dxa"/>
            <w:shd w:val="clear" w:color="auto" w:fill="auto"/>
            <w:vAlign w:val="bottom"/>
          </w:tcPr>
          <w:p w14:paraId="51F227C6" w14:textId="77777777" w:rsidR="000230E8" w:rsidRPr="00C2318B" w:rsidRDefault="000230E8" w:rsidP="000230E8">
            <w:pPr>
              <w:pStyle w:val="TableCell"/>
              <w:rPr>
                <w:sz w:val="24"/>
                <w:lang w:eastAsia="en-GB"/>
              </w:rPr>
            </w:pPr>
          </w:p>
        </w:tc>
        <w:tc>
          <w:tcPr>
            <w:tcW w:w="1500" w:type="dxa"/>
            <w:vAlign w:val="bottom"/>
          </w:tcPr>
          <w:p w14:paraId="51ECA7A0" w14:textId="77777777" w:rsidR="000230E8" w:rsidRPr="00C2318B" w:rsidRDefault="000230E8" w:rsidP="000230E8">
            <w:pPr>
              <w:pStyle w:val="TableCell"/>
              <w:rPr>
                <w:sz w:val="24"/>
                <w:lang w:eastAsia="en-GB"/>
              </w:rPr>
            </w:pPr>
            <w:r w:rsidRPr="00C2318B">
              <w:rPr>
                <w:sz w:val="24"/>
                <w:lang w:eastAsia="en-GB"/>
              </w:rPr>
              <w:t>585</w:t>
            </w:r>
          </w:p>
        </w:tc>
        <w:tc>
          <w:tcPr>
            <w:tcW w:w="1500" w:type="dxa"/>
            <w:vAlign w:val="bottom"/>
          </w:tcPr>
          <w:p w14:paraId="7EE79703" w14:textId="77777777" w:rsidR="000230E8" w:rsidRPr="00C2318B" w:rsidRDefault="000230E8" w:rsidP="000230E8">
            <w:pPr>
              <w:pStyle w:val="TableCell"/>
              <w:rPr>
                <w:sz w:val="24"/>
                <w:lang w:eastAsia="en-GB"/>
              </w:rPr>
            </w:pPr>
            <w:r w:rsidRPr="00C2318B">
              <w:rPr>
                <w:sz w:val="24"/>
                <w:lang w:eastAsia="en-GB"/>
              </w:rPr>
              <w:t>497</w:t>
            </w:r>
          </w:p>
        </w:tc>
      </w:tr>
      <w:tr w:rsidR="000230E8" w:rsidRPr="00C2318B" w14:paraId="4D8FE751" w14:textId="77777777" w:rsidTr="00983E44">
        <w:tblPrEx>
          <w:tblCellMar>
            <w:top w:w="0" w:type="dxa"/>
            <w:bottom w:w="0" w:type="dxa"/>
          </w:tblCellMar>
        </w:tblPrEx>
        <w:tc>
          <w:tcPr>
            <w:tcW w:w="4428" w:type="dxa"/>
            <w:shd w:val="clear" w:color="auto" w:fill="auto"/>
            <w:vAlign w:val="bottom"/>
          </w:tcPr>
          <w:p w14:paraId="35E75EC9"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Bialann/béilte</w:t>
            </w:r>
          </w:p>
        </w:tc>
        <w:tc>
          <w:tcPr>
            <w:tcW w:w="1500" w:type="dxa"/>
            <w:shd w:val="clear" w:color="auto" w:fill="auto"/>
            <w:vAlign w:val="bottom"/>
          </w:tcPr>
          <w:p w14:paraId="082C1F63" w14:textId="77777777" w:rsidR="000230E8" w:rsidRPr="00C2318B" w:rsidRDefault="000230E8" w:rsidP="000230E8">
            <w:pPr>
              <w:pStyle w:val="TableCell"/>
              <w:rPr>
                <w:sz w:val="24"/>
                <w:lang w:eastAsia="en-GB"/>
              </w:rPr>
            </w:pPr>
          </w:p>
        </w:tc>
        <w:tc>
          <w:tcPr>
            <w:tcW w:w="1500" w:type="dxa"/>
            <w:vAlign w:val="bottom"/>
          </w:tcPr>
          <w:p w14:paraId="1FBCCEB1" w14:textId="77777777" w:rsidR="000230E8" w:rsidRPr="00C2318B" w:rsidRDefault="000230E8" w:rsidP="000230E8">
            <w:pPr>
              <w:pStyle w:val="TableCell"/>
              <w:rPr>
                <w:sz w:val="24"/>
                <w:lang w:eastAsia="en-GB"/>
              </w:rPr>
            </w:pPr>
            <w:r w:rsidRPr="00C2318B">
              <w:rPr>
                <w:sz w:val="24"/>
                <w:lang w:eastAsia="en-GB"/>
              </w:rPr>
              <w:t>59,563</w:t>
            </w:r>
          </w:p>
        </w:tc>
        <w:tc>
          <w:tcPr>
            <w:tcW w:w="1500" w:type="dxa"/>
            <w:vAlign w:val="bottom"/>
          </w:tcPr>
          <w:p w14:paraId="295218D8" w14:textId="77777777" w:rsidR="000230E8" w:rsidRPr="00C2318B" w:rsidRDefault="000230E8" w:rsidP="000230E8">
            <w:pPr>
              <w:pStyle w:val="TableCell"/>
              <w:rPr>
                <w:sz w:val="24"/>
                <w:lang w:eastAsia="en-GB"/>
              </w:rPr>
            </w:pPr>
            <w:r w:rsidRPr="00C2318B">
              <w:rPr>
                <w:sz w:val="24"/>
                <w:lang w:eastAsia="en-GB"/>
              </w:rPr>
              <w:t>80,654</w:t>
            </w:r>
          </w:p>
        </w:tc>
      </w:tr>
      <w:tr w:rsidR="000230E8" w:rsidRPr="00C2318B" w14:paraId="54DA155E" w14:textId="77777777" w:rsidTr="00983E44">
        <w:tblPrEx>
          <w:tblCellMar>
            <w:top w:w="0" w:type="dxa"/>
            <w:bottom w:w="0" w:type="dxa"/>
          </w:tblCellMar>
        </w:tblPrEx>
        <w:tc>
          <w:tcPr>
            <w:tcW w:w="4428" w:type="dxa"/>
            <w:shd w:val="clear" w:color="auto" w:fill="auto"/>
            <w:vAlign w:val="bottom"/>
          </w:tcPr>
          <w:p w14:paraId="24A9E7E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Glanadh / Tí</w:t>
            </w:r>
          </w:p>
        </w:tc>
        <w:tc>
          <w:tcPr>
            <w:tcW w:w="1500" w:type="dxa"/>
            <w:shd w:val="clear" w:color="auto" w:fill="auto"/>
            <w:vAlign w:val="bottom"/>
          </w:tcPr>
          <w:p w14:paraId="2531EB06" w14:textId="77777777" w:rsidR="000230E8" w:rsidRPr="00C2318B" w:rsidRDefault="000230E8" w:rsidP="000230E8">
            <w:pPr>
              <w:pStyle w:val="TableCell"/>
              <w:rPr>
                <w:sz w:val="24"/>
                <w:lang w:eastAsia="en-GB"/>
              </w:rPr>
            </w:pPr>
          </w:p>
        </w:tc>
        <w:tc>
          <w:tcPr>
            <w:tcW w:w="1500" w:type="dxa"/>
            <w:vAlign w:val="bottom"/>
          </w:tcPr>
          <w:p w14:paraId="07120CD1" w14:textId="77777777" w:rsidR="000230E8" w:rsidRPr="00C2318B" w:rsidRDefault="000230E8" w:rsidP="000230E8">
            <w:pPr>
              <w:pStyle w:val="TableCell"/>
              <w:rPr>
                <w:sz w:val="24"/>
                <w:lang w:eastAsia="en-GB"/>
              </w:rPr>
            </w:pPr>
            <w:r w:rsidRPr="00C2318B">
              <w:rPr>
                <w:sz w:val="24"/>
                <w:lang w:eastAsia="en-GB"/>
              </w:rPr>
              <w:t>56,522</w:t>
            </w:r>
          </w:p>
        </w:tc>
        <w:tc>
          <w:tcPr>
            <w:tcW w:w="1500" w:type="dxa"/>
            <w:vAlign w:val="bottom"/>
          </w:tcPr>
          <w:p w14:paraId="5A8253EA" w14:textId="77777777" w:rsidR="000230E8" w:rsidRPr="00C2318B" w:rsidRDefault="000230E8" w:rsidP="000230E8">
            <w:pPr>
              <w:pStyle w:val="TableCell"/>
              <w:rPr>
                <w:sz w:val="24"/>
                <w:lang w:eastAsia="en-GB"/>
              </w:rPr>
            </w:pPr>
            <w:r w:rsidRPr="00C2318B">
              <w:rPr>
                <w:sz w:val="24"/>
                <w:lang w:eastAsia="en-GB"/>
              </w:rPr>
              <w:t>50,508</w:t>
            </w:r>
          </w:p>
        </w:tc>
      </w:tr>
      <w:tr w:rsidR="000230E8" w:rsidRPr="00C2318B" w14:paraId="159E1F81" w14:textId="77777777" w:rsidTr="00983E44">
        <w:tblPrEx>
          <w:tblCellMar>
            <w:top w:w="0" w:type="dxa"/>
            <w:bottom w:w="0" w:type="dxa"/>
          </w:tblCellMar>
        </w:tblPrEx>
        <w:tc>
          <w:tcPr>
            <w:tcW w:w="4428" w:type="dxa"/>
            <w:shd w:val="clear" w:color="auto" w:fill="auto"/>
            <w:vAlign w:val="bottom"/>
          </w:tcPr>
          <w:p w14:paraId="4D729D6D"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Bogearraí Ríomhaire Neamhchaipitiúil</w:t>
            </w:r>
          </w:p>
        </w:tc>
        <w:tc>
          <w:tcPr>
            <w:tcW w:w="1500" w:type="dxa"/>
            <w:shd w:val="clear" w:color="auto" w:fill="auto"/>
            <w:vAlign w:val="bottom"/>
          </w:tcPr>
          <w:p w14:paraId="410E361D" w14:textId="77777777" w:rsidR="000230E8" w:rsidRPr="00C2318B" w:rsidRDefault="000230E8" w:rsidP="000230E8">
            <w:pPr>
              <w:pStyle w:val="TableCell"/>
              <w:rPr>
                <w:sz w:val="24"/>
                <w:lang w:eastAsia="en-GB"/>
              </w:rPr>
            </w:pPr>
          </w:p>
        </w:tc>
        <w:tc>
          <w:tcPr>
            <w:tcW w:w="1500" w:type="dxa"/>
            <w:vAlign w:val="bottom"/>
          </w:tcPr>
          <w:p w14:paraId="593ED65E" w14:textId="77777777" w:rsidR="000230E8" w:rsidRPr="00C2318B" w:rsidRDefault="000230E8" w:rsidP="000230E8">
            <w:pPr>
              <w:pStyle w:val="TableCell"/>
              <w:rPr>
                <w:sz w:val="24"/>
                <w:lang w:eastAsia="en-GB"/>
              </w:rPr>
            </w:pPr>
            <w:r w:rsidRPr="00C2318B">
              <w:rPr>
                <w:sz w:val="24"/>
                <w:lang w:eastAsia="en-GB"/>
              </w:rPr>
              <w:t>11,211</w:t>
            </w:r>
          </w:p>
        </w:tc>
        <w:tc>
          <w:tcPr>
            <w:tcW w:w="1500" w:type="dxa"/>
            <w:vAlign w:val="bottom"/>
          </w:tcPr>
          <w:p w14:paraId="5AB2BA33" w14:textId="77777777" w:rsidR="000230E8" w:rsidRPr="00C2318B" w:rsidRDefault="000230E8" w:rsidP="000230E8">
            <w:pPr>
              <w:pStyle w:val="TableCell"/>
              <w:rPr>
                <w:sz w:val="24"/>
                <w:lang w:eastAsia="en-GB"/>
              </w:rPr>
            </w:pPr>
            <w:r w:rsidRPr="00C2318B">
              <w:rPr>
                <w:sz w:val="24"/>
                <w:lang w:eastAsia="en-GB"/>
              </w:rPr>
              <w:t>15,763</w:t>
            </w:r>
          </w:p>
        </w:tc>
      </w:tr>
      <w:tr w:rsidR="000230E8" w:rsidRPr="00C2318B" w14:paraId="01915906" w14:textId="77777777" w:rsidTr="00983E44">
        <w:tblPrEx>
          <w:tblCellMar>
            <w:top w:w="0" w:type="dxa"/>
            <w:bottom w:w="0" w:type="dxa"/>
          </w:tblCellMar>
        </w:tblPrEx>
        <w:tc>
          <w:tcPr>
            <w:tcW w:w="4428" w:type="dxa"/>
            <w:shd w:val="clear" w:color="auto" w:fill="auto"/>
            <w:vAlign w:val="bottom"/>
          </w:tcPr>
          <w:p w14:paraId="6E2B5DB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Soláthairtí ríomhaire </w:t>
            </w:r>
          </w:p>
        </w:tc>
        <w:tc>
          <w:tcPr>
            <w:tcW w:w="1500" w:type="dxa"/>
            <w:shd w:val="clear" w:color="auto" w:fill="auto"/>
            <w:vAlign w:val="bottom"/>
          </w:tcPr>
          <w:p w14:paraId="10B65A98" w14:textId="77777777" w:rsidR="000230E8" w:rsidRPr="00C2318B" w:rsidRDefault="000230E8" w:rsidP="000230E8">
            <w:pPr>
              <w:pStyle w:val="TableCell"/>
              <w:rPr>
                <w:sz w:val="24"/>
                <w:lang w:eastAsia="en-GB"/>
              </w:rPr>
            </w:pPr>
          </w:p>
        </w:tc>
        <w:tc>
          <w:tcPr>
            <w:tcW w:w="1500" w:type="dxa"/>
            <w:vAlign w:val="bottom"/>
          </w:tcPr>
          <w:p w14:paraId="3EBE4678" w14:textId="77777777" w:rsidR="000230E8" w:rsidRPr="00C2318B" w:rsidRDefault="000230E8" w:rsidP="000230E8">
            <w:pPr>
              <w:pStyle w:val="TableCell"/>
              <w:rPr>
                <w:sz w:val="24"/>
                <w:lang w:eastAsia="en-GB"/>
              </w:rPr>
            </w:pPr>
            <w:r w:rsidRPr="00C2318B">
              <w:rPr>
                <w:sz w:val="24"/>
                <w:lang w:eastAsia="en-GB"/>
              </w:rPr>
              <w:t>2,107</w:t>
            </w:r>
          </w:p>
        </w:tc>
        <w:tc>
          <w:tcPr>
            <w:tcW w:w="1500" w:type="dxa"/>
            <w:vAlign w:val="bottom"/>
          </w:tcPr>
          <w:p w14:paraId="24A24DDA" w14:textId="77777777" w:rsidR="000230E8" w:rsidRPr="00C2318B" w:rsidRDefault="000230E8" w:rsidP="000230E8">
            <w:pPr>
              <w:pStyle w:val="TableCell"/>
              <w:rPr>
                <w:sz w:val="24"/>
                <w:lang w:eastAsia="en-GB"/>
              </w:rPr>
            </w:pPr>
            <w:r w:rsidRPr="00C2318B">
              <w:rPr>
                <w:sz w:val="24"/>
                <w:lang w:eastAsia="en-GB"/>
              </w:rPr>
              <w:t>868</w:t>
            </w:r>
          </w:p>
        </w:tc>
      </w:tr>
      <w:tr w:rsidR="000230E8" w:rsidRPr="00C2318B" w14:paraId="4F7A6CFA" w14:textId="77777777" w:rsidTr="00983E44">
        <w:tblPrEx>
          <w:tblCellMar>
            <w:top w:w="0" w:type="dxa"/>
            <w:bottom w:w="0" w:type="dxa"/>
          </w:tblCellMar>
        </w:tblPrEx>
        <w:tc>
          <w:tcPr>
            <w:tcW w:w="4428" w:type="dxa"/>
            <w:shd w:val="clear" w:color="auto" w:fill="auto"/>
            <w:vAlign w:val="bottom"/>
          </w:tcPr>
          <w:p w14:paraId="4010F0D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Táillí comhairleachta</w:t>
            </w:r>
          </w:p>
        </w:tc>
        <w:tc>
          <w:tcPr>
            <w:tcW w:w="1500" w:type="dxa"/>
            <w:shd w:val="clear" w:color="auto" w:fill="auto"/>
            <w:vAlign w:val="bottom"/>
          </w:tcPr>
          <w:p w14:paraId="64F3D0F4" w14:textId="77777777" w:rsidR="000230E8" w:rsidRPr="00C2318B" w:rsidRDefault="000230E8" w:rsidP="000230E8">
            <w:pPr>
              <w:pStyle w:val="TableCell"/>
              <w:rPr>
                <w:sz w:val="24"/>
                <w:lang w:eastAsia="en-GB"/>
              </w:rPr>
            </w:pPr>
          </w:p>
        </w:tc>
        <w:tc>
          <w:tcPr>
            <w:tcW w:w="1500" w:type="dxa"/>
            <w:vAlign w:val="bottom"/>
          </w:tcPr>
          <w:p w14:paraId="78A40112" w14:textId="77777777" w:rsidR="000230E8" w:rsidRPr="00C2318B" w:rsidRDefault="000230E8" w:rsidP="000230E8">
            <w:pPr>
              <w:pStyle w:val="TableCell"/>
              <w:rPr>
                <w:sz w:val="24"/>
                <w:lang w:eastAsia="en-GB"/>
              </w:rPr>
            </w:pPr>
            <w:r w:rsidRPr="00C2318B">
              <w:rPr>
                <w:sz w:val="24"/>
                <w:lang w:eastAsia="en-GB"/>
              </w:rPr>
              <w:t>4,341</w:t>
            </w:r>
          </w:p>
        </w:tc>
        <w:tc>
          <w:tcPr>
            <w:tcW w:w="1500" w:type="dxa"/>
            <w:vAlign w:val="bottom"/>
          </w:tcPr>
          <w:p w14:paraId="46CA06FA" w14:textId="77777777" w:rsidR="000230E8" w:rsidRPr="00C2318B" w:rsidRDefault="000230E8" w:rsidP="000230E8">
            <w:pPr>
              <w:pStyle w:val="TableCell"/>
              <w:rPr>
                <w:sz w:val="24"/>
                <w:lang w:eastAsia="en-GB"/>
              </w:rPr>
            </w:pPr>
            <w:r w:rsidRPr="00C2318B">
              <w:rPr>
                <w:sz w:val="24"/>
                <w:lang w:eastAsia="en-GB"/>
              </w:rPr>
              <w:t>1,809</w:t>
            </w:r>
          </w:p>
        </w:tc>
      </w:tr>
      <w:tr w:rsidR="000230E8" w:rsidRPr="00C2318B" w14:paraId="285FA58B" w14:textId="77777777" w:rsidTr="00983E44">
        <w:tblPrEx>
          <w:tblCellMar>
            <w:top w:w="0" w:type="dxa"/>
            <w:bottom w:w="0" w:type="dxa"/>
          </w:tblCellMar>
        </w:tblPrEx>
        <w:tc>
          <w:tcPr>
            <w:tcW w:w="4428" w:type="dxa"/>
            <w:shd w:val="clear" w:color="auto" w:fill="auto"/>
            <w:vAlign w:val="bottom"/>
          </w:tcPr>
          <w:p w14:paraId="26B38997"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Teachtairí</w:t>
            </w:r>
          </w:p>
        </w:tc>
        <w:tc>
          <w:tcPr>
            <w:tcW w:w="1500" w:type="dxa"/>
            <w:shd w:val="clear" w:color="auto" w:fill="auto"/>
            <w:vAlign w:val="bottom"/>
          </w:tcPr>
          <w:p w14:paraId="50B2265E" w14:textId="77777777" w:rsidR="000230E8" w:rsidRPr="00C2318B" w:rsidRDefault="000230E8" w:rsidP="000230E8">
            <w:pPr>
              <w:pStyle w:val="TableCell"/>
              <w:rPr>
                <w:sz w:val="24"/>
                <w:lang w:eastAsia="en-GB"/>
              </w:rPr>
            </w:pPr>
          </w:p>
        </w:tc>
        <w:tc>
          <w:tcPr>
            <w:tcW w:w="1500" w:type="dxa"/>
            <w:vAlign w:val="bottom"/>
          </w:tcPr>
          <w:p w14:paraId="5D76CD0C" w14:textId="77777777" w:rsidR="000230E8" w:rsidRPr="00C2318B" w:rsidRDefault="000230E8" w:rsidP="000230E8">
            <w:pPr>
              <w:pStyle w:val="TableCell"/>
              <w:rPr>
                <w:sz w:val="24"/>
                <w:lang w:eastAsia="en-GB"/>
              </w:rPr>
            </w:pPr>
            <w:r w:rsidRPr="00C2318B">
              <w:rPr>
                <w:sz w:val="24"/>
                <w:lang w:eastAsia="en-GB"/>
              </w:rPr>
              <w:t>1,753</w:t>
            </w:r>
          </w:p>
        </w:tc>
        <w:tc>
          <w:tcPr>
            <w:tcW w:w="1500" w:type="dxa"/>
            <w:vAlign w:val="bottom"/>
          </w:tcPr>
          <w:p w14:paraId="31A52A97" w14:textId="77777777" w:rsidR="000230E8" w:rsidRPr="00C2318B" w:rsidRDefault="000230E8" w:rsidP="000230E8">
            <w:pPr>
              <w:pStyle w:val="TableCell"/>
              <w:rPr>
                <w:sz w:val="24"/>
                <w:lang w:eastAsia="en-GB"/>
              </w:rPr>
            </w:pPr>
            <w:r w:rsidRPr="00C2318B">
              <w:rPr>
                <w:sz w:val="24"/>
                <w:lang w:eastAsia="en-GB"/>
              </w:rPr>
              <w:t>2,863</w:t>
            </w:r>
          </w:p>
        </w:tc>
      </w:tr>
      <w:tr w:rsidR="000230E8" w:rsidRPr="00C2318B" w14:paraId="1C1D9BB5" w14:textId="77777777" w:rsidTr="00983E44">
        <w:tblPrEx>
          <w:tblCellMar>
            <w:top w:w="0" w:type="dxa"/>
            <w:bottom w:w="0" w:type="dxa"/>
          </w:tblCellMar>
        </w:tblPrEx>
        <w:tc>
          <w:tcPr>
            <w:tcW w:w="4428" w:type="dxa"/>
            <w:shd w:val="clear" w:color="auto" w:fill="auto"/>
            <w:vAlign w:val="bottom"/>
          </w:tcPr>
          <w:p w14:paraId="785E924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Gás / leictreachas</w:t>
            </w:r>
          </w:p>
        </w:tc>
        <w:tc>
          <w:tcPr>
            <w:tcW w:w="1500" w:type="dxa"/>
            <w:shd w:val="clear" w:color="auto" w:fill="auto"/>
            <w:vAlign w:val="bottom"/>
          </w:tcPr>
          <w:p w14:paraId="5F1F4E6A" w14:textId="77777777" w:rsidR="000230E8" w:rsidRPr="00C2318B" w:rsidRDefault="000230E8" w:rsidP="000230E8">
            <w:pPr>
              <w:pStyle w:val="TableCell"/>
              <w:rPr>
                <w:sz w:val="24"/>
                <w:lang w:eastAsia="en-GB"/>
              </w:rPr>
            </w:pPr>
          </w:p>
        </w:tc>
        <w:tc>
          <w:tcPr>
            <w:tcW w:w="1500" w:type="dxa"/>
            <w:vAlign w:val="bottom"/>
          </w:tcPr>
          <w:p w14:paraId="4F102C6C" w14:textId="77777777" w:rsidR="000230E8" w:rsidRPr="00C2318B" w:rsidRDefault="000230E8" w:rsidP="000230E8">
            <w:pPr>
              <w:pStyle w:val="TableCell"/>
              <w:rPr>
                <w:sz w:val="24"/>
                <w:lang w:eastAsia="en-GB"/>
              </w:rPr>
            </w:pPr>
            <w:r w:rsidRPr="00C2318B">
              <w:rPr>
                <w:sz w:val="24"/>
                <w:lang w:eastAsia="en-GB"/>
              </w:rPr>
              <w:t>39,002</w:t>
            </w:r>
          </w:p>
        </w:tc>
        <w:tc>
          <w:tcPr>
            <w:tcW w:w="1500" w:type="dxa"/>
            <w:vAlign w:val="bottom"/>
          </w:tcPr>
          <w:p w14:paraId="3A850500" w14:textId="77777777" w:rsidR="000230E8" w:rsidRPr="00C2318B" w:rsidRDefault="000230E8" w:rsidP="000230E8">
            <w:pPr>
              <w:pStyle w:val="TableCell"/>
              <w:rPr>
                <w:sz w:val="24"/>
                <w:lang w:eastAsia="en-GB"/>
              </w:rPr>
            </w:pPr>
            <w:r w:rsidRPr="00C2318B">
              <w:rPr>
                <w:sz w:val="24"/>
                <w:lang w:eastAsia="en-GB"/>
              </w:rPr>
              <w:t>41,234</w:t>
            </w:r>
          </w:p>
        </w:tc>
      </w:tr>
      <w:tr w:rsidR="000230E8" w:rsidRPr="00C2318B" w14:paraId="42BFF6B0" w14:textId="77777777" w:rsidTr="00983E44">
        <w:tblPrEx>
          <w:tblCellMar>
            <w:top w:w="0" w:type="dxa"/>
            <w:bottom w:w="0" w:type="dxa"/>
          </w:tblCellMar>
        </w:tblPrEx>
        <w:tc>
          <w:tcPr>
            <w:tcW w:w="4428" w:type="dxa"/>
            <w:shd w:val="clear" w:color="auto" w:fill="auto"/>
            <w:vAlign w:val="bottom"/>
          </w:tcPr>
          <w:p w14:paraId="36EB25E7"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Sláinte &amp; Sábháilteacht</w:t>
            </w:r>
          </w:p>
        </w:tc>
        <w:tc>
          <w:tcPr>
            <w:tcW w:w="1500" w:type="dxa"/>
            <w:shd w:val="clear" w:color="auto" w:fill="auto"/>
            <w:vAlign w:val="bottom"/>
          </w:tcPr>
          <w:p w14:paraId="7619DCC4" w14:textId="77777777" w:rsidR="000230E8" w:rsidRPr="00C2318B" w:rsidRDefault="000230E8" w:rsidP="000230E8">
            <w:pPr>
              <w:pStyle w:val="TableCell"/>
              <w:rPr>
                <w:sz w:val="24"/>
                <w:lang w:eastAsia="en-GB"/>
              </w:rPr>
            </w:pPr>
          </w:p>
        </w:tc>
        <w:tc>
          <w:tcPr>
            <w:tcW w:w="1500" w:type="dxa"/>
            <w:vAlign w:val="bottom"/>
          </w:tcPr>
          <w:p w14:paraId="593740D7" w14:textId="77777777" w:rsidR="000230E8" w:rsidRPr="00C2318B" w:rsidRDefault="000230E8" w:rsidP="000230E8">
            <w:pPr>
              <w:pStyle w:val="TableCell"/>
              <w:rPr>
                <w:sz w:val="24"/>
                <w:lang w:eastAsia="en-GB"/>
              </w:rPr>
            </w:pPr>
            <w:r w:rsidRPr="00C2318B">
              <w:rPr>
                <w:sz w:val="24"/>
                <w:lang w:eastAsia="en-GB"/>
              </w:rPr>
              <w:t>1,503</w:t>
            </w:r>
          </w:p>
        </w:tc>
        <w:tc>
          <w:tcPr>
            <w:tcW w:w="1500" w:type="dxa"/>
            <w:vAlign w:val="bottom"/>
          </w:tcPr>
          <w:p w14:paraId="37BF58D7" w14:textId="77777777" w:rsidR="000230E8" w:rsidRPr="00C2318B" w:rsidRDefault="000230E8" w:rsidP="000230E8">
            <w:pPr>
              <w:pStyle w:val="TableCell"/>
              <w:rPr>
                <w:sz w:val="24"/>
                <w:lang w:eastAsia="en-GB"/>
              </w:rPr>
            </w:pPr>
            <w:r w:rsidRPr="00C2318B">
              <w:rPr>
                <w:sz w:val="24"/>
                <w:lang w:eastAsia="en-GB"/>
              </w:rPr>
              <w:t>1,315</w:t>
            </w:r>
          </w:p>
        </w:tc>
      </w:tr>
      <w:tr w:rsidR="000230E8" w:rsidRPr="00C2318B" w14:paraId="364896F6" w14:textId="77777777" w:rsidTr="00983E44">
        <w:tblPrEx>
          <w:tblCellMar>
            <w:top w:w="0" w:type="dxa"/>
            <w:bottom w:w="0" w:type="dxa"/>
          </w:tblCellMar>
        </w:tblPrEx>
        <w:tc>
          <w:tcPr>
            <w:tcW w:w="4428" w:type="dxa"/>
            <w:shd w:val="clear" w:color="auto" w:fill="auto"/>
            <w:vAlign w:val="bottom"/>
          </w:tcPr>
          <w:p w14:paraId="59679BD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Árachas</w:t>
            </w:r>
          </w:p>
        </w:tc>
        <w:tc>
          <w:tcPr>
            <w:tcW w:w="1500" w:type="dxa"/>
            <w:shd w:val="clear" w:color="auto" w:fill="auto"/>
            <w:vAlign w:val="bottom"/>
          </w:tcPr>
          <w:p w14:paraId="76D1B7FA" w14:textId="77777777" w:rsidR="000230E8" w:rsidRPr="00C2318B" w:rsidRDefault="000230E8" w:rsidP="000230E8">
            <w:pPr>
              <w:pStyle w:val="TableCell"/>
              <w:rPr>
                <w:sz w:val="24"/>
                <w:lang w:eastAsia="en-GB"/>
              </w:rPr>
            </w:pPr>
          </w:p>
        </w:tc>
        <w:tc>
          <w:tcPr>
            <w:tcW w:w="1500" w:type="dxa"/>
            <w:vAlign w:val="bottom"/>
          </w:tcPr>
          <w:p w14:paraId="668BF937" w14:textId="77777777" w:rsidR="000230E8" w:rsidRPr="00C2318B" w:rsidRDefault="000230E8" w:rsidP="000230E8">
            <w:pPr>
              <w:pStyle w:val="TableCell"/>
              <w:rPr>
                <w:sz w:val="24"/>
                <w:lang w:eastAsia="en-GB"/>
              </w:rPr>
            </w:pPr>
            <w:r w:rsidRPr="00C2318B">
              <w:rPr>
                <w:sz w:val="24"/>
                <w:lang w:eastAsia="en-GB"/>
              </w:rPr>
              <w:t>14,380</w:t>
            </w:r>
          </w:p>
        </w:tc>
        <w:tc>
          <w:tcPr>
            <w:tcW w:w="1500" w:type="dxa"/>
            <w:vAlign w:val="bottom"/>
          </w:tcPr>
          <w:p w14:paraId="22E49583" w14:textId="77777777" w:rsidR="000230E8" w:rsidRPr="00C2318B" w:rsidRDefault="000230E8" w:rsidP="000230E8">
            <w:pPr>
              <w:pStyle w:val="TableCell"/>
              <w:rPr>
                <w:sz w:val="24"/>
                <w:lang w:eastAsia="en-GB"/>
              </w:rPr>
            </w:pPr>
            <w:r w:rsidRPr="00C2318B">
              <w:rPr>
                <w:sz w:val="24"/>
                <w:lang w:eastAsia="en-GB"/>
              </w:rPr>
              <w:t>14,509</w:t>
            </w:r>
          </w:p>
        </w:tc>
      </w:tr>
      <w:tr w:rsidR="000230E8" w:rsidRPr="00C2318B" w14:paraId="0D135A8B" w14:textId="77777777" w:rsidTr="00983E44">
        <w:tblPrEx>
          <w:tblCellMar>
            <w:top w:w="0" w:type="dxa"/>
            <w:bottom w:w="0" w:type="dxa"/>
          </w:tblCellMar>
        </w:tblPrEx>
        <w:tc>
          <w:tcPr>
            <w:tcW w:w="4428" w:type="dxa"/>
            <w:shd w:val="clear" w:color="auto" w:fill="auto"/>
            <w:vAlign w:val="bottom"/>
          </w:tcPr>
          <w:p w14:paraId="19D4231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Tacaíocht TF</w:t>
            </w:r>
          </w:p>
        </w:tc>
        <w:tc>
          <w:tcPr>
            <w:tcW w:w="1500" w:type="dxa"/>
            <w:shd w:val="clear" w:color="auto" w:fill="auto"/>
            <w:vAlign w:val="bottom"/>
          </w:tcPr>
          <w:p w14:paraId="7A526338" w14:textId="77777777" w:rsidR="000230E8" w:rsidRPr="00C2318B" w:rsidRDefault="000230E8" w:rsidP="000230E8">
            <w:pPr>
              <w:pStyle w:val="TableCell"/>
              <w:rPr>
                <w:sz w:val="24"/>
                <w:lang w:eastAsia="en-GB"/>
              </w:rPr>
            </w:pPr>
          </w:p>
        </w:tc>
        <w:tc>
          <w:tcPr>
            <w:tcW w:w="1500" w:type="dxa"/>
            <w:vAlign w:val="bottom"/>
          </w:tcPr>
          <w:p w14:paraId="45B55AF2" w14:textId="77777777" w:rsidR="000230E8" w:rsidRPr="00C2318B" w:rsidRDefault="000230E8" w:rsidP="000230E8">
            <w:pPr>
              <w:pStyle w:val="TableCell"/>
              <w:rPr>
                <w:sz w:val="24"/>
                <w:lang w:eastAsia="en-GB"/>
              </w:rPr>
            </w:pPr>
            <w:r w:rsidRPr="00C2318B">
              <w:rPr>
                <w:sz w:val="24"/>
                <w:lang w:eastAsia="en-GB"/>
              </w:rPr>
              <w:t>80,483</w:t>
            </w:r>
          </w:p>
        </w:tc>
        <w:tc>
          <w:tcPr>
            <w:tcW w:w="1500" w:type="dxa"/>
            <w:vAlign w:val="bottom"/>
          </w:tcPr>
          <w:p w14:paraId="596EDCA4" w14:textId="77777777" w:rsidR="000230E8" w:rsidRPr="00C2318B" w:rsidRDefault="000230E8" w:rsidP="000230E8">
            <w:pPr>
              <w:pStyle w:val="TableCell"/>
              <w:rPr>
                <w:sz w:val="24"/>
                <w:lang w:eastAsia="en-GB"/>
              </w:rPr>
            </w:pPr>
            <w:r w:rsidRPr="00C2318B">
              <w:rPr>
                <w:sz w:val="24"/>
                <w:lang w:eastAsia="en-GB"/>
              </w:rPr>
              <w:t>64,203</w:t>
            </w:r>
          </w:p>
        </w:tc>
      </w:tr>
      <w:tr w:rsidR="000230E8" w:rsidRPr="00C2318B" w14:paraId="5DA83CA9" w14:textId="77777777" w:rsidTr="00983E44">
        <w:tblPrEx>
          <w:tblCellMar>
            <w:top w:w="0" w:type="dxa"/>
            <w:bottom w:w="0" w:type="dxa"/>
          </w:tblCellMar>
        </w:tblPrEx>
        <w:tc>
          <w:tcPr>
            <w:tcW w:w="4428" w:type="dxa"/>
            <w:shd w:val="clear" w:color="auto" w:fill="auto"/>
            <w:vAlign w:val="bottom"/>
          </w:tcPr>
          <w:p w14:paraId="3A854D9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Ús as Íocaíocht Dheireanach </w:t>
            </w:r>
          </w:p>
        </w:tc>
        <w:tc>
          <w:tcPr>
            <w:tcW w:w="1500" w:type="dxa"/>
            <w:shd w:val="clear" w:color="auto" w:fill="auto"/>
            <w:vAlign w:val="bottom"/>
          </w:tcPr>
          <w:p w14:paraId="26FEF53F" w14:textId="77777777" w:rsidR="000230E8" w:rsidRPr="00C2318B" w:rsidRDefault="000230E8" w:rsidP="000230E8">
            <w:pPr>
              <w:pStyle w:val="TableCell"/>
              <w:rPr>
                <w:sz w:val="24"/>
                <w:lang w:eastAsia="en-GB"/>
              </w:rPr>
            </w:pPr>
          </w:p>
        </w:tc>
        <w:tc>
          <w:tcPr>
            <w:tcW w:w="1500" w:type="dxa"/>
            <w:vAlign w:val="bottom"/>
          </w:tcPr>
          <w:p w14:paraId="1E1345BC" w14:textId="77777777" w:rsidR="000230E8" w:rsidRPr="00C2318B" w:rsidRDefault="000230E8" w:rsidP="000230E8">
            <w:pPr>
              <w:pStyle w:val="TableCell"/>
              <w:rPr>
                <w:sz w:val="24"/>
                <w:lang w:eastAsia="en-GB"/>
              </w:rPr>
            </w:pPr>
            <w:r w:rsidRPr="00C2318B">
              <w:rPr>
                <w:sz w:val="24"/>
                <w:lang w:eastAsia="en-GB"/>
              </w:rPr>
              <w:t>66</w:t>
            </w:r>
          </w:p>
        </w:tc>
        <w:tc>
          <w:tcPr>
            <w:tcW w:w="1500" w:type="dxa"/>
            <w:vAlign w:val="bottom"/>
          </w:tcPr>
          <w:p w14:paraId="6466FA96" w14:textId="77777777" w:rsidR="000230E8" w:rsidRPr="00C2318B" w:rsidRDefault="000230E8" w:rsidP="000230E8">
            <w:pPr>
              <w:pStyle w:val="TableCell"/>
              <w:rPr>
                <w:sz w:val="24"/>
                <w:lang w:eastAsia="en-GB"/>
              </w:rPr>
            </w:pPr>
            <w:r w:rsidRPr="00C2318B">
              <w:rPr>
                <w:sz w:val="24"/>
                <w:lang w:eastAsia="en-GB"/>
              </w:rPr>
              <w:t>28</w:t>
            </w:r>
          </w:p>
        </w:tc>
      </w:tr>
      <w:tr w:rsidR="000230E8" w:rsidRPr="00C2318B" w14:paraId="77FDBFE3" w14:textId="77777777" w:rsidTr="00983E44">
        <w:tblPrEx>
          <w:tblCellMar>
            <w:top w:w="0" w:type="dxa"/>
            <w:bottom w:w="0" w:type="dxa"/>
          </w:tblCellMar>
        </w:tblPrEx>
        <w:tc>
          <w:tcPr>
            <w:tcW w:w="4428" w:type="dxa"/>
            <w:shd w:val="clear" w:color="auto" w:fill="auto"/>
            <w:vAlign w:val="bottom"/>
          </w:tcPr>
          <w:p w14:paraId="1A2BF60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Táillí Dlí/Gairmiúla </w:t>
            </w:r>
          </w:p>
        </w:tc>
        <w:tc>
          <w:tcPr>
            <w:tcW w:w="1500" w:type="dxa"/>
            <w:shd w:val="clear" w:color="auto" w:fill="auto"/>
            <w:vAlign w:val="bottom"/>
          </w:tcPr>
          <w:p w14:paraId="2389AA08" w14:textId="77777777" w:rsidR="000230E8" w:rsidRPr="00C2318B" w:rsidRDefault="000230E8" w:rsidP="000230E8">
            <w:pPr>
              <w:pStyle w:val="TableCell"/>
              <w:rPr>
                <w:sz w:val="24"/>
                <w:lang w:eastAsia="en-GB"/>
              </w:rPr>
            </w:pPr>
          </w:p>
        </w:tc>
        <w:tc>
          <w:tcPr>
            <w:tcW w:w="1500" w:type="dxa"/>
            <w:vAlign w:val="bottom"/>
          </w:tcPr>
          <w:p w14:paraId="734CBFAF" w14:textId="77777777" w:rsidR="000230E8" w:rsidRPr="00C2318B" w:rsidRDefault="000230E8" w:rsidP="000230E8">
            <w:pPr>
              <w:pStyle w:val="TableCell"/>
              <w:rPr>
                <w:sz w:val="24"/>
                <w:lang w:eastAsia="en-GB"/>
              </w:rPr>
            </w:pPr>
            <w:r w:rsidRPr="00C2318B">
              <w:rPr>
                <w:sz w:val="24"/>
                <w:lang w:eastAsia="en-GB"/>
              </w:rPr>
              <w:t>12,876</w:t>
            </w:r>
          </w:p>
        </w:tc>
        <w:tc>
          <w:tcPr>
            <w:tcW w:w="1500" w:type="dxa"/>
            <w:vAlign w:val="bottom"/>
          </w:tcPr>
          <w:p w14:paraId="6262810D" w14:textId="77777777" w:rsidR="000230E8" w:rsidRPr="00C2318B" w:rsidRDefault="000230E8" w:rsidP="000230E8">
            <w:pPr>
              <w:pStyle w:val="TableCell"/>
              <w:rPr>
                <w:sz w:val="24"/>
                <w:lang w:eastAsia="en-GB"/>
              </w:rPr>
            </w:pPr>
            <w:r w:rsidRPr="00C2318B">
              <w:rPr>
                <w:sz w:val="24"/>
                <w:lang w:eastAsia="en-GB"/>
              </w:rPr>
              <w:t>6,194</w:t>
            </w:r>
          </w:p>
        </w:tc>
      </w:tr>
      <w:tr w:rsidR="000230E8" w:rsidRPr="00C2318B" w14:paraId="52A1A870" w14:textId="77777777" w:rsidTr="00983E44">
        <w:tblPrEx>
          <w:tblCellMar>
            <w:top w:w="0" w:type="dxa"/>
            <w:bottom w:w="0" w:type="dxa"/>
          </w:tblCellMar>
        </w:tblPrEx>
        <w:tc>
          <w:tcPr>
            <w:tcW w:w="4428" w:type="dxa"/>
            <w:shd w:val="clear" w:color="auto" w:fill="auto"/>
            <w:vAlign w:val="bottom"/>
          </w:tcPr>
          <w:p w14:paraId="5CB7647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Cothabháil</w:t>
            </w:r>
          </w:p>
        </w:tc>
        <w:tc>
          <w:tcPr>
            <w:tcW w:w="1500" w:type="dxa"/>
            <w:shd w:val="clear" w:color="auto" w:fill="auto"/>
            <w:vAlign w:val="bottom"/>
          </w:tcPr>
          <w:p w14:paraId="0295425C" w14:textId="77777777" w:rsidR="000230E8" w:rsidRPr="00C2318B" w:rsidRDefault="000230E8" w:rsidP="000230E8">
            <w:pPr>
              <w:pStyle w:val="TableCell"/>
              <w:rPr>
                <w:sz w:val="24"/>
                <w:lang w:eastAsia="en-GB"/>
              </w:rPr>
            </w:pPr>
          </w:p>
        </w:tc>
        <w:tc>
          <w:tcPr>
            <w:tcW w:w="1500" w:type="dxa"/>
            <w:vAlign w:val="bottom"/>
          </w:tcPr>
          <w:p w14:paraId="331F67D7" w14:textId="77777777" w:rsidR="000230E8" w:rsidRPr="00C2318B" w:rsidRDefault="000230E8" w:rsidP="000230E8">
            <w:pPr>
              <w:pStyle w:val="TableCell"/>
              <w:rPr>
                <w:sz w:val="24"/>
                <w:lang w:eastAsia="en-GB"/>
              </w:rPr>
            </w:pPr>
            <w:r w:rsidRPr="00C2318B">
              <w:rPr>
                <w:sz w:val="24"/>
                <w:lang w:eastAsia="en-GB"/>
              </w:rPr>
              <w:t>65,164</w:t>
            </w:r>
          </w:p>
        </w:tc>
        <w:tc>
          <w:tcPr>
            <w:tcW w:w="1500" w:type="dxa"/>
            <w:vAlign w:val="bottom"/>
          </w:tcPr>
          <w:p w14:paraId="56DF6139" w14:textId="77777777" w:rsidR="000230E8" w:rsidRPr="00C2318B" w:rsidRDefault="000230E8" w:rsidP="000230E8">
            <w:pPr>
              <w:pStyle w:val="TableCell"/>
              <w:rPr>
                <w:sz w:val="24"/>
                <w:lang w:eastAsia="en-GB"/>
              </w:rPr>
            </w:pPr>
            <w:r w:rsidRPr="00C2318B">
              <w:rPr>
                <w:sz w:val="24"/>
                <w:lang w:eastAsia="en-GB"/>
              </w:rPr>
              <w:t>25,044</w:t>
            </w:r>
          </w:p>
        </w:tc>
      </w:tr>
      <w:tr w:rsidR="000230E8" w:rsidRPr="00C2318B" w14:paraId="6D895F01" w14:textId="77777777" w:rsidTr="00983E44">
        <w:tblPrEx>
          <w:tblCellMar>
            <w:top w:w="0" w:type="dxa"/>
            <w:bottom w:w="0" w:type="dxa"/>
          </w:tblCellMar>
        </w:tblPrEx>
        <w:tc>
          <w:tcPr>
            <w:tcW w:w="4428" w:type="dxa"/>
            <w:shd w:val="clear" w:color="auto" w:fill="auto"/>
            <w:vAlign w:val="bottom"/>
          </w:tcPr>
          <w:p w14:paraId="1EC7BDA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Troscán/trealamh oifige Neamhchaipitiúil </w:t>
            </w:r>
          </w:p>
        </w:tc>
        <w:tc>
          <w:tcPr>
            <w:tcW w:w="1500" w:type="dxa"/>
            <w:shd w:val="clear" w:color="auto" w:fill="auto"/>
            <w:vAlign w:val="bottom"/>
          </w:tcPr>
          <w:p w14:paraId="6FC2CDBC" w14:textId="77777777" w:rsidR="000230E8" w:rsidRPr="00C2318B" w:rsidRDefault="000230E8" w:rsidP="000230E8">
            <w:pPr>
              <w:pStyle w:val="TableCell"/>
              <w:rPr>
                <w:sz w:val="24"/>
                <w:lang w:eastAsia="en-GB"/>
              </w:rPr>
            </w:pPr>
          </w:p>
        </w:tc>
        <w:tc>
          <w:tcPr>
            <w:tcW w:w="1500" w:type="dxa"/>
            <w:vAlign w:val="bottom"/>
          </w:tcPr>
          <w:p w14:paraId="1F5B95FE" w14:textId="77777777" w:rsidR="000230E8" w:rsidRPr="00C2318B" w:rsidRDefault="000230E8" w:rsidP="000230E8">
            <w:pPr>
              <w:pStyle w:val="TableCell"/>
              <w:rPr>
                <w:sz w:val="24"/>
                <w:lang w:eastAsia="en-GB"/>
              </w:rPr>
            </w:pPr>
            <w:r w:rsidRPr="00C2318B">
              <w:rPr>
                <w:sz w:val="24"/>
                <w:lang w:eastAsia="en-GB"/>
              </w:rPr>
              <w:t>976</w:t>
            </w:r>
          </w:p>
        </w:tc>
        <w:tc>
          <w:tcPr>
            <w:tcW w:w="1500" w:type="dxa"/>
            <w:vAlign w:val="bottom"/>
          </w:tcPr>
          <w:p w14:paraId="1795EBF2" w14:textId="77777777" w:rsidR="000230E8" w:rsidRPr="00C2318B" w:rsidRDefault="000230E8" w:rsidP="000230E8">
            <w:pPr>
              <w:pStyle w:val="TableCell"/>
              <w:rPr>
                <w:sz w:val="24"/>
                <w:lang w:eastAsia="en-GB"/>
              </w:rPr>
            </w:pPr>
            <w:r w:rsidRPr="00C2318B">
              <w:rPr>
                <w:sz w:val="24"/>
                <w:lang w:eastAsia="en-GB"/>
              </w:rPr>
              <w:t>430</w:t>
            </w:r>
          </w:p>
        </w:tc>
      </w:tr>
      <w:tr w:rsidR="000230E8" w:rsidRPr="00C2318B" w14:paraId="4626BE07" w14:textId="77777777" w:rsidTr="00983E44">
        <w:tblPrEx>
          <w:tblCellMar>
            <w:top w:w="0" w:type="dxa"/>
            <w:bottom w:w="0" w:type="dxa"/>
          </w:tblCellMar>
        </w:tblPrEx>
        <w:tc>
          <w:tcPr>
            <w:tcW w:w="4428" w:type="dxa"/>
            <w:shd w:val="clear" w:color="auto" w:fill="auto"/>
            <w:vAlign w:val="bottom"/>
          </w:tcPr>
          <w:p w14:paraId="4A0E9D2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Soláthairtí oifige</w:t>
            </w:r>
          </w:p>
        </w:tc>
        <w:tc>
          <w:tcPr>
            <w:tcW w:w="1500" w:type="dxa"/>
            <w:shd w:val="clear" w:color="auto" w:fill="auto"/>
            <w:vAlign w:val="bottom"/>
          </w:tcPr>
          <w:p w14:paraId="2DAEC6E4" w14:textId="77777777" w:rsidR="000230E8" w:rsidRPr="00C2318B" w:rsidRDefault="000230E8" w:rsidP="000230E8">
            <w:pPr>
              <w:pStyle w:val="TableCell"/>
              <w:rPr>
                <w:sz w:val="24"/>
                <w:lang w:eastAsia="en-GB"/>
              </w:rPr>
            </w:pPr>
          </w:p>
        </w:tc>
        <w:tc>
          <w:tcPr>
            <w:tcW w:w="1500" w:type="dxa"/>
            <w:vAlign w:val="bottom"/>
          </w:tcPr>
          <w:p w14:paraId="2510F2BE" w14:textId="77777777" w:rsidR="000230E8" w:rsidRPr="00C2318B" w:rsidRDefault="000230E8" w:rsidP="000230E8">
            <w:pPr>
              <w:pStyle w:val="TableCell"/>
              <w:rPr>
                <w:sz w:val="24"/>
                <w:lang w:eastAsia="en-GB"/>
              </w:rPr>
            </w:pPr>
            <w:r w:rsidRPr="00C2318B">
              <w:rPr>
                <w:sz w:val="24"/>
                <w:lang w:eastAsia="en-GB"/>
              </w:rPr>
              <w:t>8,182</w:t>
            </w:r>
          </w:p>
        </w:tc>
        <w:tc>
          <w:tcPr>
            <w:tcW w:w="1500" w:type="dxa"/>
            <w:vAlign w:val="bottom"/>
          </w:tcPr>
          <w:p w14:paraId="163D3BAB" w14:textId="77777777" w:rsidR="000230E8" w:rsidRPr="00C2318B" w:rsidRDefault="000230E8" w:rsidP="000230E8">
            <w:pPr>
              <w:pStyle w:val="TableCell"/>
              <w:rPr>
                <w:sz w:val="24"/>
                <w:lang w:eastAsia="en-GB"/>
              </w:rPr>
            </w:pPr>
            <w:r w:rsidRPr="00C2318B">
              <w:rPr>
                <w:sz w:val="24"/>
                <w:lang w:eastAsia="en-GB"/>
              </w:rPr>
              <w:t>10,102</w:t>
            </w:r>
          </w:p>
        </w:tc>
      </w:tr>
      <w:tr w:rsidR="000230E8" w:rsidRPr="00C2318B" w14:paraId="22C9673B" w14:textId="77777777" w:rsidTr="00983E44">
        <w:tblPrEx>
          <w:tblCellMar>
            <w:top w:w="0" w:type="dxa"/>
            <w:bottom w:w="0" w:type="dxa"/>
          </w:tblCellMar>
        </w:tblPrEx>
        <w:tc>
          <w:tcPr>
            <w:tcW w:w="4428" w:type="dxa"/>
            <w:shd w:val="clear" w:color="auto" w:fill="auto"/>
            <w:vAlign w:val="bottom"/>
          </w:tcPr>
          <w:p w14:paraId="5754E12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Post agus Teileafóin</w:t>
            </w:r>
          </w:p>
        </w:tc>
        <w:tc>
          <w:tcPr>
            <w:tcW w:w="1500" w:type="dxa"/>
            <w:shd w:val="clear" w:color="auto" w:fill="auto"/>
            <w:vAlign w:val="bottom"/>
          </w:tcPr>
          <w:p w14:paraId="6E4E10AB" w14:textId="77777777" w:rsidR="000230E8" w:rsidRPr="00C2318B" w:rsidRDefault="000230E8" w:rsidP="000230E8">
            <w:pPr>
              <w:pStyle w:val="TableCell"/>
              <w:rPr>
                <w:sz w:val="24"/>
                <w:lang w:eastAsia="en-GB"/>
              </w:rPr>
            </w:pPr>
          </w:p>
        </w:tc>
        <w:tc>
          <w:tcPr>
            <w:tcW w:w="1500" w:type="dxa"/>
            <w:vAlign w:val="bottom"/>
          </w:tcPr>
          <w:p w14:paraId="43E27438" w14:textId="77777777" w:rsidR="000230E8" w:rsidRPr="00C2318B" w:rsidRDefault="000230E8" w:rsidP="000230E8">
            <w:pPr>
              <w:pStyle w:val="TableCell"/>
              <w:rPr>
                <w:sz w:val="24"/>
                <w:lang w:eastAsia="en-GB"/>
              </w:rPr>
            </w:pPr>
            <w:r w:rsidRPr="00C2318B">
              <w:rPr>
                <w:sz w:val="24"/>
                <w:lang w:eastAsia="en-GB"/>
              </w:rPr>
              <w:t>24,806</w:t>
            </w:r>
          </w:p>
        </w:tc>
        <w:tc>
          <w:tcPr>
            <w:tcW w:w="1500" w:type="dxa"/>
            <w:vAlign w:val="bottom"/>
          </w:tcPr>
          <w:p w14:paraId="61916B2C" w14:textId="77777777" w:rsidR="000230E8" w:rsidRPr="00C2318B" w:rsidRDefault="000230E8" w:rsidP="000230E8">
            <w:pPr>
              <w:pStyle w:val="TableCell"/>
              <w:rPr>
                <w:sz w:val="24"/>
                <w:lang w:eastAsia="en-GB"/>
              </w:rPr>
            </w:pPr>
            <w:r w:rsidRPr="00C2318B">
              <w:rPr>
                <w:sz w:val="24"/>
                <w:lang w:eastAsia="en-GB"/>
              </w:rPr>
              <w:t>33,766</w:t>
            </w:r>
          </w:p>
        </w:tc>
      </w:tr>
      <w:tr w:rsidR="000230E8" w:rsidRPr="00C2318B" w14:paraId="7AF3C13D" w14:textId="77777777" w:rsidTr="00983E44">
        <w:tblPrEx>
          <w:tblCellMar>
            <w:top w:w="0" w:type="dxa"/>
            <w:bottom w:w="0" w:type="dxa"/>
          </w:tblCellMar>
        </w:tblPrEx>
        <w:tc>
          <w:tcPr>
            <w:tcW w:w="4428" w:type="dxa"/>
            <w:shd w:val="clear" w:color="auto" w:fill="auto"/>
            <w:vAlign w:val="bottom"/>
          </w:tcPr>
          <w:p w14:paraId="2389F9A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Priontáil / fótachóipeáil </w:t>
            </w:r>
          </w:p>
        </w:tc>
        <w:tc>
          <w:tcPr>
            <w:tcW w:w="1500" w:type="dxa"/>
            <w:shd w:val="clear" w:color="auto" w:fill="auto"/>
            <w:vAlign w:val="bottom"/>
          </w:tcPr>
          <w:p w14:paraId="7F3B76D9" w14:textId="77777777" w:rsidR="000230E8" w:rsidRPr="00C2318B" w:rsidRDefault="000230E8" w:rsidP="000230E8">
            <w:pPr>
              <w:pStyle w:val="TableCell"/>
              <w:rPr>
                <w:sz w:val="24"/>
                <w:lang w:eastAsia="en-GB"/>
              </w:rPr>
            </w:pPr>
          </w:p>
        </w:tc>
        <w:tc>
          <w:tcPr>
            <w:tcW w:w="1500" w:type="dxa"/>
            <w:vAlign w:val="bottom"/>
          </w:tcPr>
          <w:p w14:paraId="274B545A" w14:textId="77777777" w:rsidR="000230E8" w:rsidRPr="00C2318B" w:rsidRDefault="000230E8" w:rsidP="000230E8">
            <w:pPr>
              <w:pStyle w:val="TableCell"/>
              <w:rPr>
                <w:sz w:val="24"/>
                <w:lang w:eastAsia="en-GB"/>
              </w:rPr>
            </w:pPr>
            <w:r w:rsidRPr="00C2318B">
              <w:rPr>
                <w:sz w:val="24"/>
                <w:lang w:eastAsia="en-GB"/>
              </w:rPr>
              <w:t>20,362</w:t>
            </w:r>
          </w:p>
        </w:tc>
        <w:tc>
          <w:tcPr>
            <w:tcW w:w="1500" w:type="dxa"/>
            <w:vAlign w:val="bottom"/>
          </w:tcPr>
          <w:p w14:paraId="0FEFBB5E" w14:textId="77777777" w:rsidR="000230E8" w:rsidRPr="00C2318B" w:rsidRDefault="000230E8" w:rsidP="000230E8">
            <w:pPr>
              <w:pStyle w:val="TableCell"/>
              <w:rPr>
                <w:sz w:val="24"/>
                <w:lang w:eastAsia="en-GB"/>
              </w:rPr>
            </w:pPr>
            <w:r w:rsidRPr="00C2318B">
              <w:rPr>
                <w:sz w:val="24"/>
                <w:lang w:eastAsia="en-GB"/>
              </w:rPr>
              <w:t>14,704</w:t>
            </w:r>
          </w:p>
        </w:tc>
      </w:tr>
      <w:tr w:rsidR="000230E8" w:rsidRPr="00C2318B" w14:paraId="40D62977" w14:textId="77777777" w:rsidTr="00983E44">
        <w:tblPrEx>
          <w:tblCellMar>
            <w:top w:w="0" w:type="dxa"/>
            <w:bottom w:w="0" w:type="dxa"/>
          </w:tblCellMar>
        </w:tblPrEx>
        <w:tc>
          <w:tcPr>
            <w:tcW w:w="4428" w:type="dxa"/>
            <w:shd w:val="clear" w:color="auto" w:fill="auto"/>
            <w:vAlign w:val="bottom"/>
          </w:tcPr>
          <w:p w14:paraId="744934E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Bainistíocht Priontála</w:t>
            </w:r>
          </w:p>
        </w:tc>
        <w:tc>
          <w:tcPr>
            <w:tcW w:w="1500" w:type="dxa"/>
            <w:shd w:val="clear" w:color="auto" w:fill="auto"/>
            <w:vAlign w:val="bottom"/>
          </w:tcPr>
          <w:p w14:paraId="37803400" w14:textId="77777777" w:rsidR="000230E8" w:rsidRPr="00C2318B" w:rsidRDefault="000230E8" w:rsidP="000230E8">
            <w:pPr>
              <w:pStyle w:val="TableCell"/>
              <w:rPr>
                <w:sz w:val="24"/>
                <w:lang w:eastAsia="en-GB"/>
              </w:rPr>
            </w:pPr>
          </w:p>
        </w:tc>
        <w:tc>
          <w:tcPr>
            <w:tcW w:w="1500" w:type="dxa"/>
            <w:vAlign w:val="bottom"/>
          </w:tcPr>
          <w:p w14:paraId="4C57BDFD" w14:textId="77777777" w:rsidR="000230E8" w:rsidRPr="00C2318B" w:rsidRDefault="000230E8" w:rsidP="000230E8">
            <w:pPr>
              <w:pStyle w:val="TableCell"/>
              <w:rPr>
                <w:sz w:val="24"/>
                <w:lang w:eastAsia="en-GB"/>
              </w:rPr>
            </w:pPr>
            <w:r w:rsidRPr="00C2318B">
              <w:rPr>
                <w:sz w:val="24"/>
                <w:lang w:eastAsia="en-GB"/>
              </w:rPr>
              <w:t>2,189</w:t>
            </w:r>
          </w:p>
        </w:tc>
        <w:tc>
          <w:tcPr>
            <w:tcW w:w="1500" w:type="dxa"/>
            <w:vAlign w:val="bottom"/>
          </w:tcPr>
          <w:p w14:paraId="5D207284" w14:textId="77777777" w:rsidR="000230E8" w:rsidRPr="00C2318B" w:rsidRDefault="000230E8" w:rsidP="000230E8">
            <w:pPr>
              <w:pStyle w:val="TableCell"/>
              <w:rPr>
                <w:sz w:val="24"/>
                <w:lang w:eastAsia="en-GB"/>
              </w:rPr>
            </w:pPr>
            <w:r w:rsidRPr="00C2318B">
              <w:rPr>
                <w:sz w:val="24"/>
                <w:lang w:eastAsia="en-GB"/>
              </w:rPr>
              <w:t>12,187</w:t>
            </w:r>
          </w:p>
        </w:tc>
      </w:tr>
      <w:tr w:rsidR="000230E8" w:rsidRPr="00C2318B" w14:paraId="0F9DDCC8" w14:textId="77777777" w:rsidTr="00983E44">
        <w:tblPrEx>
          <w:tblCellMar>
            <w:top w:w="0" w:type="dxa"/>
            <w:bottom w:w="0" w:type="dxa"/>
          </w:tblCellMar>
        </w:tblPrEx>
        <w:tc>
          <w:tcPr>
            <w:tcW w:w="4428" w:type="dxa"/>
            <w:shd w:val="clear" w:color="auto" w:fill="auto"/>
            <w:vAlign w:val="bottom"/>
          </w:tcPr>
          <w:p w14:paraId="7301893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Foilseacháin / Tréimhseacháin</w:t>
            </w:r>
          </w:p>
        </w:tc>
        <w:tc>
          <w:tcPr>
            <w:tcW w:w="1500" w:type="dxa"/>
            <w:shd w:val="clear" w:color="auto" w:fill="auto"/>
            <w:vAlign w:val="bottom"/>
          </w:tcPr>
          <w:p w14:paraId="1CF97AF7" w14:textId="77777777" w:rsidR="000230E8" w:rsidRPr="00C2318B" w:rsidRDefault="000230E8" w:rsidP="000230E8">
            <w:pPr>
              <w:pStyle w:val="TableCell"/>
              <w:rPr>
                <w:sz w:val="24"/>
                <w:lang w:eastAsia="en-GB"/>
              </w:rPr>
            </w:pPr>
          </w:p>
        </w:tc>
        <w:tc>
          <w:tcPr>
            <w:tcW w:w="1500" w:type="dxa"/>
            <w:vAlign w:val="bottom"/>
          </w:tcPr>
          <w:p w14:paraId="29EF1EF0" w14:textId="77777777" w:rsidR="000230E8" w:rsidRPr="00C2318B" w:rsidRDefault="000230E8" w:rsidP="000230E8">
            <w:pPr>
              <w:pStyle w:val="TableCell"/>
              <w:rPr>
                <w:sz w:val="24"/>
                <w:lang w:eastAsia="en-GB"/>
              </w:rPr>
            </w:pPr>
            <w:r w:rsidRPr="00C2318B">
              <w:rPr>
                <w:sz w:val="24"/>
                <w:lang w:eastAsia="en-GB"/>
              </w:rPr>
              <w:t>60</w:t>
            </w:r>
          </w:p>
        </w:tc>
        <w:tc>
          <w:tcPr>
            <w:tcW w:w="1500" w:type="dxa"/>
            <w:vAlign w:val="bottom"/>
          </w:tcPr>
          <w:p w14:paraId="5582A26C" w14:textId="77777777" w:rsidR="000230E8" w:rsidRPr="00C2318B" w:rsidRDefault="000230E8" w:rsidP="000230E8">
            <w:pPr>
              <w:pStyle w:val="TableCell"/>
              <w:rPr>
                <w:sz w:val="24"/>
                <w:lang w:eastAsia="en-GB"/>
              </w:rPr>
            </w:pPr>
            <w:r w:rsidRPr="00C2318B">
              <w:rPr>
                <w:sz w:val="24"/>
                <w:lang w:eastAsia="en-GB"/>
              </w:rPr>
              <w:t>239</w:t>
            </w:r>
          </w:p>
        </w:tc>
      </w:tr>
      <w:tr w:rsidR="000230E8" w:rsidRPr="00C2318B" w14:paraId="2DA52D88" w14:textId="77777777" w:rsidTr="00983E44">
        <w:tblPrEx>
          <w:tblCellMar>
            <w:top w:w="0" w:type="dxa"/>
            <w:bottom w:w="0" w:type="dxa"/>
          </w:tblCellMar>
        </w:tblPrEx>
        <w:tc>
          <w:tcPr>
            <w:tcW w:w="4428" w:type="dxa"/>
            <w:shd w:val="clear" w:color="auto" w:fill="auto"/>
            <w:vAlign w:val="bottom"/>
          </w:tcPr>
          <w:p w14:paraId="362BAC7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Rátaí </w:t>
            </w:r>
          </w:p>
        </w:tc>
        <w:tc>
          <w:tcPr>
            <w:tcW w:w="1500" w:type="dxa"/>
            <w:shd w:val="clear" w:color="auto" w:fill="auto"/>
            <w:vAlign w:val="bottom"/>
          </w:tcPr>
          <w:p w14:paraId="44831EFA" w14:textId="77777777" w:rsidR="000230E8" w:rsidRPr="00C2318B" w:rsidRDefault="000230E8" w:rsidP="000230E8">
            <w:pPr>
              <w:pStyle w:val="TableCell"/>
              <w:rPr>
                <w:sz w:val="24"/>
                <w:lang w:eastAsia="en-GB"/>
              </w:rPr>
            </w:pPr>
          </w:p>
        </w:tc>
        <w:tc>
          <w:tcPr>
            <w:tcW w:w="1500" w:type="dxa"/>
            <w:vAlign w:val="bottom"/>
          </w:tcPr>
          <w:p w14:paraId="754831F0" w14:textId="77777777" w:rsidR="000230E8" w:rsidRPr="00C2318B" w:rsidRDefault="000230E8" w:rsidP="000230E8">
            <w:pPr>
              <w:pStyle w:val="TableCell"/>
              <w:rPr>
                <w:sz w:val="24"/>
                <w:lang w:eastAsia="en-GB"/>
              </w:rPr>
            </w:pPr>
            <w:r w:rsidRPr="00C2318B">
              <w:rPr>
                <w:sz w:val="24"/>
                <w:lang w:eastAsia="en-GB"/>
              </w:rPr>
              <w:t>70,031</w:t>
            </w:r>
          </w:p>
        </w:tc>
        <w:tc>
          <w:tcPr>
            <w:tcW w:w="1500" w:type="dxa"/>
            <w:vAlign w:val="bottom"/>
          </w:tcPr>
          <w:p w14:paraId="6DB0AB36" w14:textId="77777777" w:rsidR="000230E8" w:rsidRPr="00C2318B" w:rsidRDefault="000230E8" w:rsidP="000230E8">
            <w:pPr>
              <w:pStyle w:val="TableCell"/>
              <w:rPr>
                <w:sz w:val="24"/>
                <w:lang w:eastAsia="en-GB"/>
              </w:rPr>
            </w:pPr>
            <w:r w:rsidRPr="00C2318B">
              <w:rPr>
                <w:sz w:val="24"/>
                <w:lang w:eastAsia="en-GB"/>
              </w:rPr>
              <w:t>70,459</w:t>
            </w:r>
          </w:p>
        </w:tc>
      </w:tr>
      <w:tr w:rsidR="000230E8" w:rsidRPr="00C2318B" w14:paraId="7D665C63" w14:textId="77777777" w:rsidTr="00983E44">
        <w:tblPrEx>
          <w:tblCellMar>
            <w:top w:w="0" w:type="dxa"/>
            <w:bottom w:w="0" w:type="dxa"/>
          </w:tblCellMar>
        </w:tblPrEx>
        <w:tc>
          <w:tcPr>
            <w:tcW w:w="4428" w:type="dxa"/>
            <w:shd w:val="clear" w:color="auto" w:fill="auto"/>
            <w:vAlign w:val="bottom"/>
          </w:tcPr>
          <w:p w14:paraId="34D0781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Uiríll</w:t>
            </w:r>
          </w:p>
        </w:tc>
        <w:tc>
          <w:tcPr>
            <w:tcW w:w="1500" w:type="dxa"/>
            <w:shd w:val="clear" w:color="auto" w:fill="auto"/>
            <w:vAlign w:val="bottom"/>
          </w:tcPr>
          <w:p w14:paraId="3C9B3730" w14:textId="77777777" w:rsidR="000230E8" w:rsidRPr="00C2318B" w:rsidRDefault="000230E8" w:rsidP="000230E8">
            <w:pPr>
              <w:pStyle w:val="TableCell"/>
              <w:rPr>
                <w:sz w:val="24"/>
                <w:lang w:eastAsia="en-GB"/>
              </w:rPr>
            </w:pPr>
          </w:p>
        </w:tc>
        <w:tc>
          <w:tcPr>
            <w:tcW w:w="1500" w:type="dxa"/>
            <w:vAlign w:val="bottom"/>
          </w:tcPr>
          <w:p w14:paraId="29A0EE73" w14:textId="77777777" w:rsidR="000230E8" w:rsidRPr="00C2318B" w:rsidRDefault="000230E8" w:rsidP="000230E8">
            <w:pPr>
              <w:pStyle w:val="TableCell"/>
              <w:rPr>
                <w:sz w:val="24"/>
                <w:lang w:eastAsia="en-GB"/>
              </w:rPr>
            </w:pPr>
            <w:r w:rsidRPr="00C2318B">
              <w:rPr>
                <w:sz w:val="24"/>
                <w:lang w:eastAsia="en-GB"/>
              </w:rPr>
              <w:t>112</w:t>
            </w:r>
          </w:p>
        </w:tc>
        <w:tc>
          <w:tcPr>
            <w:tcW w:w="1500" w:type="dxa"/>
            <w:vAlign w:val="bottom"/>
          </w:tcPr>
          <w:p w14:paraId="1DE88C98" w14:textId="77777777" w:rsidR="000230E8" w:rsidRPr="00C2318B" w:rsidRDefault="000230E8" w:rsidP="000230E8">
            <w:pPr>
              <w:pStyle w:val="TableCell"/>
              <w:rPr>
                <w:sz w:val="24"/>
                <w:lang w:eastAsia="en-GB"/>
              </w:rPr>
            </w:pPr>
            <w:r w:rsidRPr="00C2318B">
              <w:rPr>
                <w:sz w:val="24"/>
                <w:lang w:eastAsia="en-GB"/>
              </w:rPr>
              <w:t>0</w:t>
            </w:r>
          </w:p>
        </w:tc>
      </w:tr>
      <w:tr w:rsidR="000230E8" w:rsidRPr="00C2318B" w14:paraId="40B56D17" w14:textId="77777777" w:rsidTr="00983E44">
        <w:tblPrEx>
          <w:tblCellMar>
            <w:top w:w="0" w:type="dxa"/>
            <w:bottom w:w="0" w:type="dxa"/>
          </w:tblCellMar>
        </w:tblPrEx>
        <w:tc>
          <w:tcPr>
            <w:tcW w:w="4428" w:type="dxa"/>
            <w:shd w:val="clear" w:color="auto" w:fill="auto"/>
            <w:vAlign w:val="bottom"/>
          </w:tcPr>
          <w:p w14:paraId="5AF3328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Slándáil</w:t>
            </w:r>
          </w:p>
        </w:tc>
        <w:tc>
          <w:tcPr>
            <w:tcW w:w="1500" w:type="dxa"/>
            <w:shd w:val="clear" w:color="auto" w:fill="auto"/>
            <w:vAlign w:val="bottom"/>
          </w:tcPr>
          <w:p w14:paraId="3EE57879" w14:textId="77777777" w:rsidR="000230E8" w:rsidRPr="00C2318B" w:rsidRDefault="000230E8" w:rsidP="000230E8">
            <w:pPr>
              <w:pStyle w:val="TableCell"/>
              <w:rPr>
                <w:sz w:val="24"/>
                <w:lang w:eastAsia="en-GB"/>
              </w:rPr>
            </w:pPr>
          </w:p>
        </w:tc>
        <w:tc>
          <w:tcPr>
            <w:tcW w:w="1500" w:type="dxa"/>
            <w:vAlign w:val="bottom"/>
          </w:tcPr>
          <w:p w14:paraId="044B8C3B" w14:textId="77777777" w:rsidR="000230E8" w:rsidRPr="00C2318B" w:rsidRDefault="000230E8" w:rsidP="000230E8">
            <w:pPr>
              <w:pStyle w:val="TableCell"/>
              <w:rPr>
                <w:sz w:val="24"/>
                <w:lang w:eastAsia="en-GB"/>
              </w:rPr>
            </w:pPr>
            <w:r w:rsidRPr="00C2318B">
              <w:rPr>
                <w:sz w:val="24"/>
                <w:lang w:eastAsia="en-GB"/>
              </w:rPr>
              <w:t>17,531</w:t>
            </w:r>
          </w:p>
        </w:tc>
        <w:tc>
          <w:tcPr>
            <w:tcW w:w="1500" w:type="dxa"/>
            <w:vAlign w:val="bottom"/>
          </w:tcPr>
          <w:p w14:paraId="614F77D7" w14:textId="77777777" w:rsidR="000230E8" w:rsidRPr="00C2318B" w:rsidRDefault="000230E8" w:rsidP="000230E8">
            <w:pPr>
              <w:pStyle w:val="TableCell"/>
              <w:rPr>
                <w:sz w:val="24"/>
                <w:lang w:eastAsia="en-GB"/>
              </w:rPr>
            </w:pPr>
            <w:r w:rsidRPr="00C2318B">
              <w:rPr>
                <w:sz w:val="24"/>
                <w:lang w:eastAsia="en-GB"/>
              </w:rPr>
              <w:t>11,649</w:t>
            </w:r>
          </w:p>
        </w:tc>
      </w:tr>
      <w:tr w:rsidR="000230E8" w:rsidRPr="00C2318B" w14:paraId="7B92E7C6" w14:textId="77777777" w:rsidTr="00983E44">
        <w:tblPrEx>
          <w:tblCellMar>
            <w:top w:w="0" w:type="dxa"/>
            <w:bottom w:w="0" w:type="dxa"/>
          </w:tblCellMar>
        </w:tblPrEx>
        <w:tc>
          <w:tcPr>
            <w:tcW w:w="4428" w:type="dxa"/>
            <w:shd w:val="clear" w:color="auto" w:fill="auto"/>
            <w:vAlign w:val="bottom"/>
          </w:tcPr>
          <w:p w14:paraId="0B26DA1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Síntiúis / Tabhartais</w:t>
            </w:r>
          </w:p>
        </w:tc>
        <w:tc>
          <w:tcPr>
            <w:tcW w:w="1500" w:type="dxa"/>
            <w:shd w:val="clear" w:color="auto" w:fill="auto"/>
            <w:vAlign w:val="bottom"/>
          </w:tcPr>
          <w:p w14:paraId="6C8A13F9" w14:textId="77777777" w:rsidR="000230E8" w:rsidRPr="00C2318B" w:rsidRDefault="000230E8" w:rsidP="000230E8">
            <w:pPr>
              <w:pStyle w:val="TableCell"/>
              <w:rPr>
                <w:sz w:val="24"/>
                <w:lang w:eastAsia="en-GB"/>
              </w:rPr>
            </w:pPr>
          </w:p>
        </w:tc>
        <w:tc>
          <w:tcPr>
            <w:tcW w:w="1500" w:type="dxa"/>
            <w:vAlign w:val="bottom"/>
          </w:tcPr>
          <w:p w14:paraId="082D3351" w14:textId="77777777" w:rsidR="000230E8" w:rsidRPr="00C2318B" w:rsidRDefault="000230E8" w:rsidP="000230E8">
            <w:pPr>
              <w:pStyle w:val="TableCell"/>
              <w:rPr>
                <w:sz w:val="24"/>
                <w:lang w:eastAsia="en-GB"/>
              </w:rPr>
            </w:pPr>
            <w:r w:rsidRPr="00C2318B">
              <w:rPr>
                <w:sz w:val="24"/>
                <w:lang w:eastAsia="en-GB"/>
              </w:rPr>
              <w:t>21,857</w:t>
            </w:r>
          </w:p>
        </w:tc>
        <w:tc>
          <w:tcPr>
            <w:tcW w:w="1500" w:type="dxa"/>
            <w:vAlign w:val="bottom"/>
          </w:tcPr>
          <w:p w14:paraId="491667A4" w14:textId="77777777" w:rsidR="000230E8" w:rsidRPr="00C2318B" w:rsidRDefault="000230E8" w:rsidP="000230E8">
            <w:pPr>
              <w:pStyle w:val="TableCell"/>
              <w:rPr>
                <w:sz w:val="24"/>
                <w:lang w:eastAsia="en-GB"/>
              </w:rPr>
            </w:pPr>
            <w:r w:rsidRPr="00C2318B">
              <w:rPr>
                <w:sz w:val="24"/>
                <w:lang w:eastAsia="en-GB"/>
              </w:rPr>
              <w:t>11,290</w:t>
            </w:r>
          </w:p>
        </w:tc>
      </w:tr>
      <w:tr w:rsidR="000230E8" w:rsidRPr="00C2318B" w14:paraId="5C26C816" w14:textId="77777777" w:rsidTr="00983E44">
        <w:tblPrEx>
          <w:tblCellMar>
            <w:top w:w="0" w:type="dxa"/>
            <w:bottom w:w="0" w:type="dxa"/>
          </w:tblCellMar>
        </w:tblPrEx>
        <w:tc>
          <w:tcPr>
            <w:tcW w:w="4428" w:type="dxa"/>
            <w:shd w:val="clear" w:color="auto" w:fill="auto"/>
            <w:vAlign w:val="bottom"/>
          </w:tcPr>
          <w:p w14:paraId="4DD2980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Ilghnéitheach</w:t>
            </w:r>
          </w:p>
        </w:tc>
        <w:tc>
          <w:tcPr>
            <w:tcW w:w="1500" w:type="dxa"/>
            <w:shd w:val="clear" w:color="auto" w:fill="auto"/>
            <w:vAlign w:val="bottom"/>
          </w:tcPr>
          <w:p w14:paraId="231F438C" w14:textId="77777777" w:rsidR="000230E8" w:rsidRPr="00C2318B" w:rsidRDefault="000230E8" w:rsidP="000230E8">
            <w:pPr>
              <w:pStyle w:val="TableCell"/>
              <w:rPr>
                <w:sz w:val="24"/>
                <w:lang w:eastAsia="en-GB"/>
              </w:rPr>
            </w:pPr>
          </w:p>
        </w:tc>
        <w:tc>
          <w:tcPr>
            <w:tcW w:w="1500" w:type="dxa"/>
            <w:vAlign w:val="bottom"/>
          </w:tcPr>
          <w:p w14:paraId="016F2722" w14:textId="77777777" w:rsidR="000230E8" w:rsidRPr="00C2318B" w:rsidRDefault="000230E8" w:rsidP="000230E8">
            <w:pPr>
              <w:pStyle w:val="TableCell"/>
              <w:rPr>
                <w:sz w:val="24"/>
                <w:lang w:eastAsia="en-GB"/>
              </w:rPr>
            </w:pPr>
            <w:r w:rsidRPr="00C2318B">
              <w:rPr>
                <w:sz w:val="24"/>
                <w:lang w:eastAsia="en-GB"/>
              </w:rPr>
              <w:t>-488</w:t>
            </w:r>
          </w:p>
        </w:tc>
        <w:tc>
          <w:tcPr>
            <w:tcW w:w="1500" w:type="dxa"/>
            <w:vAlign w:val="bottom"/>
          </w:tcPr>
          <w:p w14:paraId="203CEB97" w14:textId="77777777" w:rsidR="000230E8" w:rsidRPr="00C2318B" w:rsidRDefault="000230E8" w:rsidP="000230E8">
            <w:pPr>
              <w:pStyle w:val="TableCell"/>
              <w:rPr>
                <w:sz w:val="24"/>
                <w:lang w:eastAsia="en-GB"/>
              </w:rPr>
            </w:pPr>
            <w:r w:rsidRPr="00C2318B">
              <w:rPr>
                <w:sz w:val="24"/>
                <w:lang w:eastAsia="en-GB"/>
              </w:rPr>
              <w:t>2,833</w:t>
            </w:r>
          </w:p>
        </w:tc>
      </w:tr>
      <w:tr w:rsidR="000230E8" w:rsidRPr="00C2318B" w14:paraId="23661706" w14:textId="77777777" w:rsidTr="00983E44">
        <w:tblPrEx>
          <w:tblCellMar>
            <w:top w:w="0" w:type="dxa"/>
            <w:bottom w:w="0" w:type="dxa"/>
          </w:tblCellMar>
        </w:tblPrEx>
        <w:tc>
          <w:tcPr>
            <w:tcW w:w="4428" w:type="dxa"/>
            <w:shd w:val="clear" w:color="auto" w:fill="auto"/>
            <w:vAlign w:val="bottom"/>
          </w:tcPr>
          <w:p w14:paraId="56D6DD3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Aistritheoirí / Ateangairí</w:t>
            </w:r>
          </w:p>
        </w:tc>
        <w:tc>
          <w:tcPr>
            <w:tcW w:w="1500" w:type="dxa"/>
            <w:shd w:val="clear" w:color="auto" w:fill="auto"/>
            <w:vAlign w:val="bottom"/>
          </w:tcPr>
          <w:p w14:paraId="0BF1EB84" w14:textId="77777777" w:rsidR="000230E8" w:rsidRPr="00C2318B" w:rsidRDefault="000230E8" w:rsidP="000230E8">
            <w:pPr>
              <w:pStyle w:val="TableCell"/>
              <w:rPr>
                <w:sz w:val="24"/>
                <w:lang w:eastAsia="en-GB"/>
              </w:rPr>
            </w:pPr>
          </w:p>
        </w:tc>
        <w:tc>
          <w:tcPr>
            <w:tcW w:w="1500" w:type="dxa"/>
            <w:vAlign w:val="bottom"/>
          </w:tcPr>
          <w:p w14:paraId="5AE4DA94" w14:textId="77777777" w:rsidR="000230E8" w:rsidRPr="00C2318B" w:rsidRDefault="000230E8" w:rsidP="000230E8">
            <w:pPr>
              <w:pStyle w:val="TableCell"/>
              <w:rPr>
                <w:sz w:val="24"/>
                <w:lang w:eastAsia="en-GB"/>
              </w:rPr>
            </w:pPr>
            <w:r w:rsidRPr="00C2318B">
              <w:rPr>
                <w:sz w:val="24"/>
                <w:lang w:eastAsia="en-GB"/>
              </w:rPr>
              <w:t>181</w:t>
            </w:r>
          </w:p>
        </w:tc>
        <w:tc>
          <w:tcPr>
            <w:tcW w:w="1500" w:type="dxa"/>
            <w:vAlign w:val="bottom"/>
          </w:tcPr>
          <w:p w14:paraId="18A23F60" w14:textId="77777777" w:rsidR="000230E8" w:rsidRPr="00C2318B" w:rsidRDefault="000230E8" w:rsidP="000230E8">
            <w:pPr>
              <w:pStyle w:val="TableCell"/>
              <w:rPr>
                <w:sz w:val="24"/>
                <w:lang w:eastAsia="en-GB"/>
              </w:rPr>
            </w:pPr>
            <w:r w:rsidRPr="00C2318B">
              <w:rPr>
                <w:sz w:val="24"/>
                <w:lang w:eastAsia="en-GB"/>
              </w:rPr>
              <w:t>0</w:t>
            </w:r>
          </w:p>
        </w:tc>
      </w:tr>
      <w:tr w:rsidR="000230E8" w:rsidRPr="00C2318B" w14:paraId="593D6446" w14:textId="77777777" w:rsidTr="00983E44">
        <w:tblPrEx>
          <w:tblCellMar>
            <w:top w:w="0" w:type="dxa"/>
            <w:bottom w:w="0" w:type="dxa"/>
          </w:tblCellMar>
        </w:tblPrEx>
        <w:tc>
          <w:tcPr>
            <w:tcW w:w="4428" w:type="dxa"/>
            <w:shd w:val="clear" w:color="auto" w:fill="auto"/>
            <w:vAlign w:val="bottom"/>
          </w:tcPr>
          <w:p w14:paraId="1E8E102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Cothabháil Teileafón</w:t>
            </w:r>
          </w:p>
        </w:tc>
        <w:tc>
          <w:tcPr>
            <w:tcW w:w="1500" w:type="dxa"/>
            <w:shd w:val="clear" w:color="auto" w:fill="auto"/>
            <w:vAlign w:val="bottom"/>
          </w:tcPr>
          <w:p w14:paraId="4B0E933D" w14:textId="77777777" w:rsidR="000230E8" w:rsidRPr="00C2318B" w:rsidRDefault="000230E8" w:rsidP="000230E8">
            <w:pPr>
              <w:pStyle w:val="TableCell"/>
              <w:rPr>
                <w:sz w:val="24"/>
                <w:lang w:eastAsia="en-GB"/>
              </w:rPr>
            </w:pPr>
          </w:p>
        </w:tc>
        <w:tc>
          <w:tcPr>
            <w:tcW w:w="1500" w:type="dxa"/>
            <w:vAlign w:val="bottom"/>
          </w:tcPr>
          <w:p w14:paraId="09337AA8" w14:textId="77777777" w:rsidR="000230E8" w:rsidRPr="00C2318B" w:rsidRDefault="000230E8" w:rsidP="000230E8">
            <w:pPr>
              <w:pStyle w:val="TableCell"/>
              <w:rPr>
                <w:sz w:val="24"/>
                <w:lang w:eastAsia="en-GB"/>
              </w:rPr>
            </w:pPr>
            <w:r w:rsidRPr="00C2318B">
              <w:rPr>
                <w:sz w:val="24"/>
                <w:lang w:eastAsia="en-GB"/>
              </w:rPr>
              <w:t>2,107</w:t>
            </w:r>
          </w:p>
        </w:tc>
        <w:tc>
          <w:tcPr>
            <w:tcW w:w="1500" w:type="dxa"/>
            <w:vAlign w:val="bottom"/>
          </w:tcPr>
          <w:p w14:paraId="16F53D4D" w14:textId="77777777" w:rsidR="000230E8" w:rsidRPr="00C2318B" w:rsidRDefault="000230E8" w:rsidP="000230E8">
            <w:pPr>
              <w:pStyle w:val="TableCell"/>
              <w:rPr>
                <w:sz w:val="24"/>
                <w:lang w:eastAsia="en-GB"/>
              </w:rPr>
            </w:pPr>
            <w:r w:rsidRPr="00C2318B">
              <w:rPr>
                <w:sz w:val="24"/>
                <w:lang w:eastAsia="en-GB"/>
              </w:rPr>
              <w:t>2,885</w:t>
            </w:r>
          </w:p>
        </w:tc>
      </w:tr>
      <w:tr w:rsidR="000230E8" w:rsidRPr="00C2318B" w14:paraId="34078D0E" w14:textId="77777777" w:rsidTr="00983E44">
        <w:tblPrEx>
          <w:tblCellMar>
            <w:top w:w="0" w:type="dxa"/>
            <w:bottom w:w="0" w:type="dxa"/>
          </w:tblCellMar>
        </w:tblPrEx>
        <w:tc>
          <w:tcPr>
            <w:tcW w:w="4428" w:type="dxa"/>
            <w:shd w:val="clear" w:color="auto" w:fill="auto"/>
            <w:vAlign w:val="bottom"/>
          </w:tcPr>
          <w:p w14:paraId="233CBF34" w14:textId="77777777" w:rsidR="000230E8" w:rsidRPr="00C2318B" w:rsidRDefault="000230E8" w:rsidP="000230E8">
            <w:pPr>
              <w:pStyle w:val="TableRowHead"/>
              <w:rPr>
                <w:rFonts w:ascii="Gill Sans" w:hAnsi="Gill Sans"/>
                <w:sz w:val="24"/>
                <w:lang w:eastAsia="en-GB"/>
              </w:rPr>
            </w:pPr>
          </w:p>
        </w:tc>
        <w:tc>
          <w:tcPr>
            <w:tcW w:w="1500" w:type="dxa"/>
            <w:shd w:val="clear" w:color="auto" w:fill="auto"/>
            <w:vAlign w:val="bottom"/>
          </w:tcPr>
          <w:p w14:paraId="6C7FE556" w14:textId="77777777" w:rsidR="000230E8" w:rsidRPr="00C2318B" w:rsidRDefault="000230E8" w:rsidP="000230E8">
            <w:pPr>
              <w:pStyle w:val="TableCell"/>
              <w:rPr>
                <w:sz w:val="24"/>
                <w:lang w:eastAsia="en-GB"/>
              </w:rPr>
            </w:pPr>
          </w:p>
        </w:tc>
        <w:tc>
          <w:tcPr>
            <w:tcW w:w="1500" w:type="dxa"/>
            <w:vAlign w:val="bottom"/>
          </w:tcPr>
          <w:p w14:paraId="018DFDF8" w14:textId="77777777" w:rsidR="000230E8" w:rsidRPr="00C2318B" w:rsidRDefault="000230E8" w:rsidP="000230E8">
            <w:pPr>
              <w:pStyle w:val="TableCell"/>
              <w:rPr>
                <w:sz w:val="24"/>
                <w:lang w:eastAsia="en-GB"/>
              </w:rPr>
            </w:pPr>
            <w:r w:rsidRPr="00C2318B">
              <w:rPr>
                <w:sz w:val="24"/>
                <w:lang w:eastAsia="en-GB"/>
              </w:rPr>
              <w:t>677,175</w:t>
            </w:r>
          </w:p>
        </w:tc>
        <w:tc>
          <w:tcPr>
            <w:tcW w:w="1500" w:type="dxa"/>
            <w:vAlign w:val="bottom"/>
          </w:tcPr>
          <w:p w14:paraId="3F54D1F5" w14:textId="77777777" w:rsidR="000230E8" w:rsidRPr="00C2318B" w:rsidRDefault="000230E8" w:rsidP="000230E8">
            <w:pPr>
              <w:pStyle w:val="TableCell"/>
              <w:rPr>
                <w:sz w:val="24"/>
                <w:lang w:eastAsia="en-GB"/>
              </w:rPr>
            </w:pPr>
            <w:r w:rsidRPr="00C2318B">
              <w:rPr>
                <w:sz w:val="24"/>
                <w:lang w:eastAsia="en-GB"/>
              </w:rPr>
              <w:t>618,039</w:t>
            </w:r>
          </w:p>
        </w:tc>
      </w:tr>
    </w:tbl>
    <w:p w14:paraId="20BB2A5B" w14:textId="77777777" w:rsidR="000230E8" w:rsidRPr="00C2318B" w:rsidRDefault="000230E8" w:rsidP="000230E8">
      <w:pPr>
        <w:pStyle w:val="Heading2"/>
        <w:rPr>
          <w:lang w:eastAsia="en-GB"/>
        </w:rPr>
      </w:pPr>
      <w:r w:rsidRPr="00C2318B">
        <w:rPr>
          <w:lang/>
        </w:rPr>
        <w:br/>
      </w:r>
      <w:bookmarkStart w:id="507" w:name="_Toc335836556"/>
      <w:r w:rsidRPr="00C2318B">
        <w:rPr>
          <w:lang w:eastAsia="en-GB"/>
        </w:rPr>
        <w:t>6. Táillí agus Speansais an Údaráis</w:t>
      </w:r>
      <w:bookmarkEnd w:id="507"/>
      <w:r w:rsidRPr="00C2318B">
        <w:rPr>
          <w:lang w:eastAsia="en-GB"/>
        </w:rPr>
        <w:t xml:space="preserve"> </w:t>
      </w:r>
    </w:p>
    <w:p w14:paraId="4754977C" w14:textId="77777777" w:rsidR="000230E8" w:rsidRPr="00C2318B" w:rsidRDefault="000230E8" w:rsidP="000230E8">
      <w:pPr>
        <w:rPr>
          <w:rFonts w:cs="Gill Sans"/>
          <w:lang w:eastAsia="en-GB"/>
        </w:rPr>
      </w:pPr>
      <w:r w:rsidRPr="00C2318B">
        <w:rPr>
          <w:lang w:eastAsia="en-GB"/>
        </w:rPr>
        <w:t xml:space="preserve">D’íocadh caiteachas de </w:t>
      </w:r>
      <w:r w:rsidRPr="00C2318B">
        <w:rPr>
          <w:rFonts w:ascii="Arial" w:hAnsi="Arial" w:cs="Arial"/>
          <w:lang w:eastAsia="en-GB"/>
        </w:rPr>
        <w:t>€</w:t>
      </w:r>
      <w:r w:rsidRPr="00C2318B">
        <w:rPr>
          <w:lang w:eastAsia="en-GB"/>
        </w:rPr>
        <w:t>73,316.75 (</w:t>
      </w:r>
      <w:r w:rsidRPr="00C2318B">
        <w:rPr>
          <w:rFonts w:ascii="Arial" w:hAnsi="Arial" w:cs="Arial"/>
          <w:lang w:eastAsia="en-GB"/>
        </w:rPr>
        <w:t>€</w:t>
      </w:r>
      <w:r w:rsidRPr="00C2318B">
        <w:rPr>
          <w:rFonts w:cs="Gill Sans"/>
          <w:lang w:eastAsia="en-GB"/>
        </w:rPr>
        <w:t>62,843 i 2010) i dtaobh Tháillí an Údaráis.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168"/>
        <w:gridCol w:w="1896"/>
        <w:gridCol w:w="1896"/>
        <w:gridCol w:w="1896"/>
      </w:tblGrid>
      <w:tr w:rsidR="000230E8" w:rsidRPr="00C2318B" w14:paraId="07381F26" w14:textId="77777777" w:rsidTr="00983E44">
        <w:tblPrEx>
          <w:tblCellMar>
            <w:top w:w="0" w:type="dxa"/>
            <w:bottom w:w="0" w:type="dxa"/>
          </w:tblCellMar>
        </w:tblPrEx>
        <w:trPr>
          <w:tblHeader/>
        </w:trPr>
        <w:tc>
          <w:tcPr>
            <w:tcW w:w="3168" w:type="dxa"/>
            <w:shd w:val="clear" w:color="auto" w:fill="auto"/>
          </w:tcPr>
          <w:p w14:paraId="13445341" w14:textId="77777777" w:rsidR="000230E8" w:rsidRPr="00C2318B" w:rsidRDefault="000230E8" w:rsidP="000230E8">
            <w:pPr>
              <w:pStyle w:val="TableHead"/>
              <w:rPr>
                <w:lang w:eastAsia="en-GB"/>
              </w:rPr>
            </w:pPr>
            <w:r w:rsidRPr="00C2318B">
              <w:rPr>
                <w:lang w:eastAsia="en-GB"/>
              </w:rPr>
              <w:lastRenderedPageBreak/>
              <w:t>Comhalta Údaráis</w:t>
            </w:r>
          </w:p>
        </w:tc>
        <w:tc>
          <w:tcPr>
            <w:tcW w:w="1896" w:type="dxa"/>
            <w:shd w:val="clear" w:color="auto" w:fill="auto"/>
          </w:tcPr>
          <w:p w14:paraId="3F3AAAF9" w14:textId="77777777" w:rsidR="000230E8" w:rsidRPr="00C2318B" w:rsidRDefault="000230E8" w:rsidP="000230E8">
            <w:pPr>
              <w:pStyle w:val="TableHead"/>
              <w:rPr>
                <w:lang w:eastAsia="en-GB"/>
              </w:rPr>
            </w:pPr>
            <w:r w:rsidRPr="00C2318B">
              <w:rPr>
                <w:lang w:eastAsia="en-GB"/>
              </w:rPr>
              <w:t xml:space="preserve">Táillí </w:t>
            </w:r>
          </w:p>
        </w:tc>
        <w:tc>
          <w:tcPr>
            <w:tcW w:w="1896" w:type="dxa"/>
            <w:shd w:val="clear" w:color="auto" w:fill="auto"/>
          </w:tcPr>
          <w:p w14:paraId="48BDDB70" w14:textId="77777777" w:rsidR="000230E8" w:rsidRPr="00C2318B" w:rsidRDefault="000230E8" w:rsidP="000230E8">
            <w:pPr>
              <w:pStyle w:val="TableHead"/>
              <w:rPr>
                <w:lang w:eastAsia="en-GB"/>
              </w:rPr>
            </w:pPr>
            <w:r w:rsidRPr="00C2318B">
              <w:rPr>
                <w:lang w:eastAsia="en-GB"/>
              </w:rPr>
              <w:t xml:space="preserve">Speansais a d’íocadh leis/léi nó thar a c(h)eann </w:t>
            </w:r>
          </w:p>
        </w:tc>
        <w:tc>
          <w:tcPr>
            <w:tcW w:w="1896" w:type="dxa"/>
            <w:shd w:val="clear" w:color="auto" w:fill="auto"/>
          </w:tcPr>
          <w:p w14:paraId="36982E61" w14:textId="77777777" w:rsidR="000230E8" w:rsidRPr="00C2318B" w:rsidRDefault="000230E8" w:rsidP="000230E8">
            <w:pPr>
              <w:pStyle w:val="TableHead"/>
              <w:rPr>
                <w:lang w:eastAsia="en-GB"/>
              </w:rPr>
            </w:pPr>
            <w:r w:rsidRPr="00C2318B">
              <w:rPr>
                <w:lang w:eastAsia="en-GB"/>
              </w:rPr>
              <w:t>Iomlán</w:t>
            </w:r>
          </w:p>
        </w:tc>
      </w:tr>
      <w:tr w:rsidR="000230E8" w:rsidRPr="00C2318B" w14:paraId="46A907F1" w14:textId="77777777" w:rsidTr="00983E44">
        <w:tblPrEx>
          <w:tblCellMar>
            <w:top w:w="0" w:type="dxa"/>
            <w:bottom w:w="0" w:type="dxa"/>
          </w:tblCellMar>
        </w:tblPrEx>
        <w:tc>
          <w:tcPr>
            <w:tcW w:w="3168" w:type="dxa"/>
            <w:shd w:val="clear" w:color="auto" w:fill="auto"/>
            <w:vAlign w:val="bottom"/>
          </w:tcPr>
          <w:p w14:paraId="0F0FBB77"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Peter McKevitt</w:t>
            </w:r>
          </w:p>
        </w:tc>
        <w:tc>
          <w:tcPr>
            <w:tcW w:w="1896" w:type="dxa"/>
            <w:shd w:val="clear" w:color="auto" w:fill="auto"/>
          </w:tcPr>
          <w:p w14:paraId="699782B8"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8,978.00</w:t>
            </w:r>
          </w:p>
        </w:tc>
        <w:tc>
          <w:tcPr>
            <w:tcW w:w="1896" w:type="dxa"/>
            <w:shd w:val="clear" w:color="auto" w:fill="auto"/>
          </w:tcPr>
          <w:p w14:paraId="747EB969"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761.80</w:t>
            </w:r>
          </w:p>
        </w:tc>
        <w:tc>
          <w:tcPr>
            <w:tcW w:w="1896" w:type="dxa"/>
            <w:shd w:val="clear" w:color="auto" w:fill="auto"/>
          </w:tcPr>
          <w:p w14:paraId="3C9BF8EA" w14:textId="77777777" w:rsidR="000230E8" w:rsidRPr="00C2318B" w:rsidRDefault="000230E8" w:rsidP="000230E8">
            <w:pPr>
              <w:pStyle w:val="TableCell"/>
              <w:rPr>
                <w:sz w:val="24"/>
                <w:lang w:eastAsia="en-GB"/>
              </w:rPr>
            </w:pPr>
          </w:p>
        </w:tc>
      </w:tr>
      <w:tr w:rsidR="000230E8" w:rsidRPr="00C2318B" w14:paraId="2992B98A" w14:textId="77777777" w:rsidTr="00983E44">
        <w:tblPrEx>
          <w:tblCellMar>
            <w:top w:w="0" w:type="dxa"/>
            <w:bottom w:w="0" w:type="dxa"/>
          </w:tblCellMar>
        </w:tblPrEx>
        <w:tc>
          <w:tcPr>
            <w:tcW w:w="3168" w:type="dxa"/>
            <w:shd w:val="clear" w:color="auto" w:fill="auto"/>
            <w:vAlign w:val="bottom"/>
          </w:tcPr>
          <w:p w14:paraId="5DA287B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Caroline Burrell</w:t>
            </w:r>
          </w:p>
        </w:tc>
        <w:tc>
          <w:tcPr>
            <w:tcW w:w="1896" w:type="dxa"/>
            <w:shd w:val="clear" w:color="auto" w:fill="auto"/>
          </w:tcPr>
          <w:p w14:paraId="3F3D1ED1"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26D41FA1"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312.28</w:t>
            </w:r>
          </w:p>
        </w:tc>
        <w:tc>
          <w:tcPr>
            <w:tcW w:w="1896" w:type="dxa"/>
            <w:shd w:val="clear" w:color="auto" w:fill="auto"/>
          </w:tcPr>
          <w:p w14:paraId="32CE25F3" w14:textId="77777777" w:rsidR="000230E8" w:rsidRPr="00C2318B" w:rsidRDefault="000230E8" w:rsidP="000230E8">
            <w:pPr>
              <w:pStyle w:val="TableCell"/>
              <w:rPr>
                <w:sz w:val="24"/>
                <w:lang w:eastAsia="en-GB"/>
              </w:rPr>
            </w:pPr>
          </w:p>
        </w:tc>
      </w:tr>
      <w:tr w:rsidR="000230E8" w:rsidRPr="00C2318B" w14:paraId="7F27F520" w14:textId="77777777" w:rsidTr="00983E44">
        <w:tblPrEx>
          <w:tblCellMar>
            <w:top w:w="0" w:type="dxa"/>
            <w:bottom w:w="0" w:type="dxa"/>
          </w:tblCellMar>
        </w:tblPrEx>
        <w:tc>
          <w:tcPr>
            <w:tcW w:w="3168" w:type="dxa"/>
            <w:shd w:val="clear" w:color="auto" w:fill="auto"/>
            <w:vAlign w:val="bottom"/>
          </w:tcPr>
          <w:p w14:paraId="7CE4A9F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Desmond Kenny</w:t>
            </w:r>
          </w:p>
        </w:tc>
        <w:tc>
          <w:tcPr>
            <w:tcW w:w="1896" w:type="dxa"/>
            <w:shd w:val="clear" w:color="auto" w:fill="auto"/>
          </w:tcPr>
          <w:p w14:paraId="6B584EFA"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35DAB126" w14:textId="77777777" w:rsidR="000230E8" w:rsidRPr="00C2318B" w:rsidRDefault="000230E8" w:rsidP="000230E8">
            <w:pPr>
              <w:pStyle w:val="TableCell"/>
              <w:rPr>
                <w:sz w:val="24"/>
                <w:lang w:eastAsia="en-GB"/>
              </w:rPr>
            </w:pPr>
            <w:r w:rsidRPr="00C2318B">
              <w:rPr>
                <w:sz w:val="24"/>
                <w:lang w:eastAsia="en-GB"/>
              </w:rPr>
              <w:t> </w:t>
            </w:r>
          </w:p>
        </w:tc>
        <w:tc>
          <w:tcPr>
            <w:tcW w:w="1896" w:type="dxa"/>
            <w:shd w:val="clear" w:color="auto" w:fill="auto"/>
          </w:tcPr>
          <w:p w14:paraId="21CAE10A" w14:textId="77777777" w:rsidR="000230E8" w:rsidRPr="00C2318B" w:rsidRDefault="000230E8" w:rsidP="000230E8">
            <w:pPr>
              <w:pStyle w:val="TableCell"/>
              <w:rPr>
                <w:sz w:val="24"/>
                <w:lang w:eastAsia="en-GB"/>
              </w:rPr>
            </w:pPr>
          </w:p>
        </w:tc>
      </w:tr>
      <w:tr w:rsidR="000230E8" w:rsidRPr="00C2318B" w14:paraId="2EC1A1DD" w14:textId="77777777" w:rsidTr="00983E44">
        <w:tblPrEx>
          <w:tblCellMar>
            <w:top w:w="0" w:type="dxa"/>
            <w:bottom w:w="0" w:type="dxa"/>
          </w:tblCellMar>
        </w:tblPrEx>
        <w:tc>
          <w:tcPr>
            <w:tcW w:w="3168" w:type="dxa"/>
            <w:shd w:val="clear" w:color="auto" w:fill="auto"/>
            <w:vAlign w:val="bottom"/>
          </w:tcPr>
          <w:p w14:paraId="3AF3CB2E"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Fiona Duignan</w:t>
            </w:r>
          </w:p>
        </w:tc>
        <w:tc>
          <w:tcPr>
            <w:tcW w:w="1896" w:type="dxa"/>
            <w:shd w:val="clear" w:color="auto" w:fill="auto"/>
          </w:tcPr>
          <w:p w14:paraId="35C6759C"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199AA99B" w14:textId="77777777" w:rsidR="000230E8" w:rsidRPr="00C2318B" w:rsidRDefault="000230E8" w:rsidP="000230E8">
            <w:pPr>
              <w:pStyle w:val="TableCell"/>
              <w:rPr>
                <w:sz w:val="24"/>
                <w:lang w:eastAsia="en-GB"/>
              </w:rPr>
            </w:pPr>
            <w:r w:rsidRPr="00C2318B">
              <w:rPr>
                <w:sz w:val="24"/>
                <w:lang w:eastAsia="en-GB"/>
              </w:rPr>
              <w:t> </w:t>
            </w:r>
          </w:p>
        </w:tc>
        <w:tc>
          <w:tcPr>
            <w:tcW w:w="1896" w:type="dxa"/>
            <w:shd w:val="clear" w:color="auto" w:fill="auto"/>
          </w:tcPr>
          <w:p w14:paraId="5D69612B" w14:textId="77777777" w:rsidR="000230E8" w:rsidRPr="00C2318B" w:rsidRDefault="000230E8" w:rsidP="000230E8">
            <w:pPr>
              <w:pStyle w:val="TableCell"/>
              <w:rPr>
                <w:sz w:val="24"/>
                <w:lang w:eastAsia="en-GB"/>
              </w:rPr>
            </w:pPr>
          </w:p>
        </w:tc>
      </w:tr>
      <w:tr w:rsidR="000230E8" w:rsidRPr="00C2318B" w14:paraId="5C5C8B87" w14:textId="77777777" w:rsidTr="00983E44">
        <w:tblPrEx>
          <w:tblCellMar>
            <w:top w:w="0" w:type="dxa"/>
            <w:bottom w:w="0" w:type="dxa"/>
          </w:tblCellMar>
        </w:tblPrEx>
        <w:tc>
          <w:tcPr>
            <w:tcW w:w="3168" w:type="dxa"/>
            <w:shd w:val="clear" w:color="auto" w:fill="auto"/>
            <w:vAlign w:val="bottom"/>
          </w:tcPr>
          <w:p w14:paraId="556B5CB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Joanne McCarthy</w:t>
            </w:r>
          </w:p>
        </w:tc>
        <w:tc>
          <w:tcPr>
            <w:tcW w:w="1896" w:type="dxa"/>
            <w:shd w:val="clear" w:color="auto" w:fill="auto"/>
          </w:tcPr>
          <w:p w14:paraId="12D00876"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51E14AA4" w14:textId="77777777" w:rsidR="000230E8" w:rsidRPr="00C2318B" w:rsidRDefault="000230E8" w:rsidP="000230E8">
            <w:pPr>
              <w:pStyle w:val="TableCell"/>
              <w:rPr>
                <w:sz w:val="24"/>
                <w:lang w:eastAsia="en-GB"/>
              </w:rPr>
            </w:pPr>
            <w:r w:rsidRPr="00C2318B">
              <w:rPr>
                <w:sz w:val="24"/>
                <w:lang w:eastAsia="en-GB"/>
              </w:rPr>
              <w:t> </w:t>
            </w:r>
          </w:p>
        </w:tc>
        <w:tc>
          <w:tcPr>
            <w:tcW w:w="1896" w:type="dxa"/>
            <w:shd w:val="clear" w:color="auto" w:fill="auto"/>
          </w:tcPr>
          <w:p w14:paraId="4AF9631F" w14:textId="77777777" w:rsidR="000230E8" w:rsidRPr="00C2318B" w:rsidRDefault="000230E8" w:rsidP="000230E8">
            <w:pPr>
              <w:pStyle w:val="TableCell"/>
              <w:rPr>
                <w:sz w:val="24"/>
                <w:lang w:eastAsia="en-GB"/>
              </w:rPr>
            </w:pPr>
          </w:p>
        </w:tc>
      </w:tr>
      <w:tr w:rsidR="000230E8" w:rsidRPr="00C2318B" w14:paraId="07A0E210" w14:textId="77777777" w:rsidTr="00983E44">
        <w:tblPrEx>
          <w:tblCellMar>
            <w:top w:w="0" w:type="dxa"/>
            <w:bottom w:w="0" w:type="dxa"/>
          </w:tblCellMar>
        </w:tblPrEx>
        <w:tc>
          <w:tcPr>
            <w:tcW w:w="3168" w:type="dxa"/>
            <w:shd w:val="clear" w:color="auto" w:fill="auto"/>
            <w:vAlign w:val="bottom"/>
          </w:tcPr>
          <w:p w14:paraId="6561B02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Mary Lavelle</w:t>
            </w:r>
          </w:p>
        </w:tc>
        <w:tc>
          <w:tcPr>
            <w:tcW w:w="1896" w:type="dxa"/>
            <w:shd w:val="clear" w:color="auto" w:fill="auto"/>
          </w:tcPr>
          <w:p w14:paraId="6FAEC604"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1EEF741A" w14:textId="77777777" w:rsidR="000230E8" w:rsidRPr="00C2318B" w:rsidRDefault="000230E8" w:rsidP="000230E8">
            <w:pPr>
              <w:pStyle w:val="TableCell"/>
              <w:rPr>
                <w:sz w:val="24"/>
                <w:lang w:eastAsia="en-GB"/>
              </w:rPr>
            </w:pPr>
            <w:r w:rsidRPr="00C2318B">
              <w:rPr>
                <w:sz w:val="24"/>
                <w:lang w:eastAsia="en-GB"/>
              </w:rPr>
              <w:t> </w:t>
            </w:r>
          </w:p>
        </w:tc>
        <w:tc>
          <w:tcPr>
            <w:tcW w:w="1896" w:type="dxa"/>
            <w:shd w:val="clear" w:color="auto" w:fill="auto"/>
          </w:tcPr>
          <w:p w14:paraId="6345CB9B" w14:textId="77777777" w:rsidR="000230E8" w:rsidRPr="00C2318B" w:rsidRDefault="000230E8" w:rsidP="000230E8">
            <w:pPr>
              <w:pStyle w:val="TableCell"/>
              <w:rPr>
                <w:sz w:val="24"/>
                <w:lang w:eastAsia="en-GB"/>
              </w:rPr>
            </w:pPr>
          </w:p>
        </w:tc>
      </w:tr>
      <w:tr w:rsidR="000230E8" w:rsidRPr="00C2318B" w14:paraId="79A15991" w14:textId="77777777" w:rsidTr="00983E44">
        <w:tblPrEx>
          <w:tblCellMar>
            <w:top w:w="0" w:type="dxa"/>
            <w:bottom w:w="0" w:type="dxa"/>
          </w:tblCellMar>
        </w:tblPrEx>
        <w:tc>
          <w:tcPr>
            <w:tcW w:w="3168" w:type="dxa"/>
            <w:shd w:val="clear" w:color="auto" w:fill="auto"/>
            <w:vAlign w:val="bottom"/>
          </w:tcPr>
          <w:p w14:paraId="420D30BE"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Tara Cunningham</w:t>
            </w:r>
          </w:p>
        </w:tc>
        <w:tc>
          <w:tcPr>
            <w:tcW w:w="1896" w:type="dxa"/>
            <w:shd w:val="clear" w:color="auto" w:fill="auto"/>
          </w:tcPr>
          <w:p w14:paraId="0F13B3F4"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01EB63B2"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1,489.79</w:t>
            </w:r>
          </w:p>
        </w:tc>
        <w:tc>
          <w:tcPr>
            <w:tcW w:w="1896" w:type="dxa"/>
            <w:shd w:val="clear" w:color="auto" w:fill="auto"/>
          </w:tcPr>
          <w:p w14:paraId="3E5C6527" w14:textId="77777777" w:rsidR="000230E8" w:rsidRPr="00C2318B" w:rsidRDefault="000230E8" w:rsidP="000230E8">
            <w:pPr>
              <w:pStyle w:val="TableCell"/>
              <w:rPr>
                <w:sz w:val="24"/>
                <w:lang w:eastAsia="en-GB"/>
              </w:rPr>
            </w:pPr>
          </w:p>
        </w:tc>
      </w:tr>
      <w:tr w:rsidR="000230E8" w:rsidRPr="00C2318B" w14:paraId="1DAFBE22" w14:textId="77777777" w:rsidTr="00983E44">
        <w:tblPrEx>
          <w:tblCellMar>
            <w:top w:w="0" w:type="dxa"/>
            <w:bottom w:w="0" w:type="dxa"/>
          </w:tblCellMar>
        </w:tblPrEx>
        <w:tc>
          <w:tcPr>
            <w:tcW w:w="3168" w:type="dxa"/>
            <w:shd w:val="clear" w:color="auto" w:fill="auto"/>
            <w:vAlign w:val="bottom"/>
          </w:tcPr>
          <w:p w14:paraId="3DF5FCB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Tony Bates</w:t>
            </w:r>
          </w:p>
        </w:tc>
        <w:tc>
          <w:tcPr>
            <w:tcW w:w="1896" w:type="dxa"/>
            <w:shd w:val="clear" w:color="auto" w:fill="auto"/>
          </w:tcPr>
          <w:p w14:paraId="20EC1D98"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1D381D66" w14:textId="77777777" w:rsidR="000230E8" w:rsidRPr="00C2318B" w:rsidRDefault="000230E8" w:rsidP="000230E8">
            <w:pPr>
              <w:pStyle w:val="TableCell"/>
              <w:rPr>
                <w:sz w:val="24"/>
                <w:lang w:eastAsia="en-GB"/>
              </w:rPr>
            </w:pPr>
            <w:r w:rsidRPr="00C2318B">
              <w:rPr>
                <w:sz w:val="24"/>
                <w:lang w:eastAsia="en-GB"/>
              </w:rPr>
              <w:t> </w:t>
            </w:r>
          </w:p>
        </w:tc>
        <w:tc>
          <w:tcPr>
            <w:tcW w:w="1896" w:type="dxa"/>
            <w:shd w:val="clear" w:color="auto" w:fill="auto"/>
          </w:tcPr>
          <w:p w14:paraId="0CCC88FB" w14:textId="77777777" w:rsidR="000230E8" w:rsidRPr="00C2318B" w:rsidRDefault="000230E8" w:rsidP="000230E8">
            <w:pPr>
              <w:pStyle w:val="TableCell"/>
              <w:rPr>
                <w:sz w:val="24"/>
                <w:lang w:eastAsia="en-GB"/>
              </w:rPr>
            </w:pPr>
          </w:p>
        </w:tc>
      </w:tr>
      <w:tr w:rsidR="000230E8" w:rsidRPr="00C2318B" w14:paraId="5239ED6A" w14:textId="77777777" w:rsidTr="00983E44">
        <w:tblPrEx>
          <w:tblCellMar>
            <w:top w:w="0" w:type="dxa"/>
            <w:bottom w:w="0" w:type="dxa"/>
          </w:tblCellMar>
        </w:tblPrEx>
        <w:tc>
          <w:tcPr>
            <w:tcW w:w="3168" w:type="dxa"/>
            <w:shd w:val="clear" w:color="auto" w:fill="auto"/>
            <w:vAlign w:val="bottom"/>
          </w:tcPr>
          <w:p w14:paraId="7A1DD39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Frank Cunneen</w:t>
            </w:r>
          </w:p>
        </w:tc>
        <w:tc>
          <w:tcPr>
            <w:tcW w:w="1896" w:type="dxa"/>
            <w:shd w:val="clear" w:color="auto" w:fill="auto"/>
          </w:tcPr>
          <w:p w14:paraId="654C8095"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42EDBDDA" w14:textId="77777777" w:rsidR="000230E8" w:rsidRPr="00C2318B" w:rsidRDefault="000230E8" w:rsidP="000230E8">
            <w:pPr>
              <w:pStyle w:val="TableCell"/>
              <w:rPr>
                <w:sz w:val="24"/>
                <w:lang w:eastAsia="en-GB"/>
              </w:rPr>
            </w:pPr>
            <w:r w:rsidRPr="00C2318B">
              <w:rPr>
                <w:sz w:val="24"/>
                <w:lang w:eastAsia="en-GB"/>
              </w:rPr>
              <w:t> </w:t>
            </w:r>
          </w:p>
        </w:tc>
        <w:tc>
          <w:tcPr>
            <w:tcW w:w="1896" w:type="dxa"/>
            <w:shd w:val="clear" w:color="auto" w:fill="auto"/>
          </w:tcPr>
          <w:p w14:paraId="35993959" w14:textId="77777777" w:rsidR="000230E8" w:rsidRPr="00C2318B" w:rsidRDefault="000230E8" w:rsidP="000230E8">
            <w:pPr>
              <w:pStyle w:val="TableCell"/>
              <w:rPr>
                <w:sz w:val="24"/>
                <w:lang w:eastAsia="en-GB"/>
              </w:rPr>
            </w:pPr>
          </w:p>
        </w:tc>
      </w:tr>
      <w:tr w:rsidR="000230E8" w:rsidRPr="00C2318B" w14:paraId="0D1A2E73" w14:textId="77777777" w:rsidTr="00983E44">
        <w:tblPrEx>
          <w:tblCellMar>
            <w:top w:w="0" w:type="dxa"/>
            <w:bottom w:w="0" w:type="dxa"/>
          </w:tblCellMar>
        </w:tblPrEx>
        <w:tc>
          <w:tcPr>
            <w:tcW w:w="3168" w:type="dxa"/>
            <w:shd w:val="clear" w:color="auto" w:fill="auto"/>
            <w:vAlign w:val="bottom"/>
          </w:tcPr>
          <w:p w14:paraId="1355CC6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David Joyce</w:t>
            </w:r>
          </w:p>
        </w:tc>
        <w:tc>
          <w:tcPr>
            <w:tcW w:w="1896" w:type="dxa"/>
            <w:shd w:val="clear" w:color="auto" w:fill="auto"/>
          </w:tcPr>
          <w:p w14:paraId="5D907864"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0A678BC4" w14:textId="77777777" w:rsidR="000230E8" w:rsidRPr="00C2318B" w:rsidRDefault="000230E8" w:rsidP="000230E8">
            <w:pPr>
              <w:pStyle w:val="TableCell"/>
              <w:rPr>
                <w:sz w:val="24"/>
                <w:lang w:eastAsia="en-GB"/>
              </w:rPr>
            </w:pPr>
            <w:r w:rsidRPr="00C2318B">
              <w:rPr>
                <w:sz w:val="24"/>
                <w:lang w:eastAsia="en-GB"/>
              </w:rPr>
              <w:t> </w:t>
            </w:r>
          </w:p>
        </w:tc>
        <w:tc>
          <w:tcPr>
            <w:tcW w:w="1896" w:type="dxa"/>
            <w:shd w:val="clear" w:color="auto" w:fill="auto"/>
          </w:tcPr>
          <w:p w14:paraId="4169A636" w14:textId="77777777" w:rsidR="000230E8" w:rsidRPr="00C2318B" w:rsidRDefault="000230E8" w:rsidP="000230E8">
            <w:pPr>
              <w:pStyle w:val="TableCell"/>
              <w:rPr>
                <w:sz w:val="24"/>
                <w:lang w:eastAsia="en-GB"/>
              </w:rPr>
            </w:pPr>
          </w:p>
        </w:tc>
      </w:tr>
      <w:tr w:rsidR="000230E8" w:rsidRPr="00C2318B" w14:paraId="691B4C8F" w14:textId="77777777" w:rsidTr="00983E44">
        <w:tblPrEx>
          <w:tblCellMar>
            <w:top w:w="0" w:type="dxa"/>
            <w:bottom w:w="0" w:type="dxa"/>
          </w:tblCellMar>
        </w:tblPrEx>
        <w:tc>
          <w:tcPr>
            <w:tcW w:w="3168" w:type="dxa"/>
            <w:shd w:val="clear" w:color="auto" w:fill="auto"/>
            <w:vAlign w:val="bottom"/>
          </w:tcPr>
          <w:p w14:paraId="4074BA8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James O'Grady</w:t>
            </w:r>
          </w:p>
        </w:tc>
        <w:tc>
          <w:tcPr>
            <w:tcW w:w="1896" w:type="dxa"/>
            <w:shd w:val="clear" w:color="auto" w:fill="auto"/>
          </w:tcPr>
          <w:p w14:paraId="5924DB8E"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5,985.00</w:t>
            </w:r>
          </w:p>
        </w:tc>
        <w:tc>
          <w:tcPr>
            <w:tcW w:w="1896" w:type="dxa"/>
            <w:shd w:val="clear" w:color="auto" w:fill="auto"/>
          </w:tcPr>
          <w:p w14:paraId="7607C2DB"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1,933.82</w:t>
            </w:r>
          </w:p>
        </w:tc>
        <w:tc>
          <w:tcPr>
            <w:tcW w:w="1896" w:type="dxa"/>
            <w:shd w:val="clear" w:color="auto" w:fill="auto"/>
          </w:tcPr>
          <w:p w14:paraId="22CB3775" w14:textId="77777777" w:rsidR="000230E8" w:rsidRPr="00C2318B" w:rsidRDefault="000230E8" w:rsidP="000230E8">
            <w:pPr>
              <w:pStyle w:val="TableCell"/>
              <w:rPr>
                <w:sz w:val="24"/>
                <w:lang w:eastAsia="en-GB"/>
              </w:rPr>
            </w:pPr>
          </w:p>
        </w:tc>
      </w:tr>
      <w:tr w:rsidR="000230E8" w:rsidRPr="00C2318B" w14:paraId="34937482" w14:textId="77777777" w:rsidTr="00983E44">
        <w:tblPrEx>
          <w:tblCellMar>
            <w:top w:w="0" w:type="dxa"/>
            <w:bottom w:w="0" w:type="dxa"/>
          </w:tblCellMar>
        </w:tblPrEx>
        <w:tc>
          <w:tcPr>
            <w:tcW w:w="3168" w:type="dxa"/>
            <w:shd w:val="clear" w:color="auto" w:fill="auto"/>
            <w:vAlign w:val="bottom"/>
          </w:tcPr>
          <w:p w14:paraId="5754E79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Donal Lawlor  (Cathaoirleach ar an gCoiste Iniúchta)</w:t>
            </w:r>
          </w:p>
        </w:tc>
        <w:tc>
          <w:tcPr>
            <w:tcW w:w="1896" w:type="dxa"/>
            <w:shd w:val="clear" w:color="auto" w:fill="auto"/>
          </w:tcPr>
          <w:p w14:paraId="6F462775"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4,488.75</w:t>
            </w:r>
          </w:p>
        </w:tc>
        <w:tc>
          <w:tcPr>
            <w:tcW w:w="1896" w:type="dxa"/>
            <w:shd w:val="clear" w:color="auto" w:fill="auto"/>
          </w:tcPr>
          <w:p w14:paraId="7164A0E6" w14:textId="77777777" w:rsidR="000230E8" w:rsidRPr="00C2318B" w:rsidRDefault="000230E8" w:rsidP="000230E8">
            <w:pPr>
              <w:pStyle w:val="TableCell"/>
              <w:rPr>
                <w:sz w:val="24"/>
                <w:lang w:eastAsia="en-GB"/>
              </w:rPr>
            </w:pPr>
            <w:r w:rsidRPr="00C2318B">
              <w:rPr>
                <w:sz w:val="24"/>
                <w:lang w:eastAsia="en-GB"/>
              </w:rPr>
              <w:t> </w:t>
            </w:r>
          </w:p>
        </w:tc>
        <w:tc>
          <w:tcPr>
            <w:tcW w:w="1896" w:type="dxa"/>
            <w:shd w:val="clear" w:color="auto" w:fill="auto"/>
          </w:tcPr>
          <w:p w14:paraId="3C7D78E3" w14:textId="77777777" w:rsidR="000230E8" w:rsidRPr="00C2318B" w:rsidRDefault="000230E8" w:rsidP="000230E8">
            <w:pPr>
              <w:pStyle w:val="TableCell"/>
              <w:rPr>
                <w:sz w:val="24"/>
                <w:lang w:eastAsia="en-GB"/>
              </w:rPr>
            </w:pPr>
          </w:p>
        </w:tc>
      </w:tr>
      <w:tr w:rsidR="000230E8" w:rsidRPr="00C2318B" w14:paraId="422F7D89" w14:textId="77777777" w:rsidTr="00983E44">
        <w:tblPrEx>
          <w:tblCellMar>
            <w:top w:w="0" w:type="dxa"/>
            <w:bottom w:w="0" w:type="dxa"/>
          </w:tblCellMar>
        </w:tblPrEx>
        <w:tc>
          <w:tcPr>
            <w:tcW w:w="3168" w:type="dxa"/>
            <w:shd w:val="clear" w:color="auto" w:fill="auto"/>
            <w:vAlign w:val="bottom"/>
          </w:tcPr>
          <w:p w14:paraId="17E9631D"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Iomlán</w:t>
            </w:r>
          </w:p>
        </w:tc>
        <w:tc>
          <w:tcPr>
            <w:tcW w:w="1896" w:type="dxa"/>
            <w:shd w:val="clear" w:color="auto" w:fill="auto"/>
          </w:tcPr>
          <w:p w14:paraId="6F8C18BD"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73,316.75</w:t>
            </w:r>
          </w:p>
        </w:tc>
        <w:tc>
          <w:tcPr>
            <w:tcW w:w="1896" w:type="dxa"/>
            <w:shd w:val="clear" w:color="auto" w:fill="auto"/>
          </w:tcPr>
          <w:p w14:paraId="6C9DF641"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4,497.69</w:t>
            </w:r>
          </w:p>
        </w:tc>
        <w:tc>
          <w:tcPr>
            <w:tcW w:w="1896" w:type="dxa"/>
            <w:shd w:val="clear" w:color="auto" w:fill="auto"/>
          </w:tcPr>
          <w:p w14:paraId="02FD1587"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77,814.44</w:t>
            </w:r>
          </w:p>
        </w:tc>
      </w:tr>
      <w:tr w:rsidR="000230E8" w:rsidRPr="00C2318B" w14:paraId="76D4F3D6" w14:textId="77777777" w:rsidTr="00983E44">
        <w:tblPrEx>
          <w:tblCellMar>
            <w:top w:w="0" w:type="dxa"/>
            <w:bottom w:w="0" w:type="dxa"/>
          </w:tblCellMar>
        </w:tblPrEx>
        <w:tc>
          <w:tcPr>
            <w:tcW w:w="3168" w:type="dxa"/>
            <w:shd w:val="clear" w:color="auto" w:fill="auto"/>
            <w:vAlign w:val="bottom"/>
          </w:tcPr>
          <w:p w14:paraId="32EFD208" w14:textId="77777777" w:rsidR="000230E8" w:rsidRPr="00C2318B" w:rsidRDefault="000230E8" w:rsidP="000230E8">
            <w:pPr>
              <w:pStyle w:val="TableRowHead"/>
              <w:rPr>
                <w:rFonts w:ascii="Gill Sans" w:hAnsi="Gill Sans"/>
                <w:sz w:val="24"/>
                <w:lang w:eastAsia="en-GB"/>
              </w:rPr>
            </w:pPr>
          </w:p>
        </w:tc>
        <w:tc>
          <w:tcPr>
            <w:tcW w:w="1896" w:type="dxa"/>
            <w:shd w:val="clear" w:color="auto" w:fill="auto"/>
          </w:tcPr>
          <w:p w14:paraId="35593E8B" w14:textId="77777777" w:rsidR="000230E8" w:rsidRPr="00C2318B" w:rsidRDefault="000230E8" w:rsidP="000230E8">
            <w:pPr>
              <w:pStyle w:val="TableCell"/>
              <w:rPr>
                <w:sz w:val="24"/>
                <w:lang w:eastAsia="en-GB"/>
              </w:rPr>
            </w:pPr>
          </w:p>
        </w:tc>
        <w:tc>
          <w:tcPr>
            <w:tcW w:w="1896" w:type="dxa"/>
            <w:shd w:val="clear" w:color="auto" w:fill="auto"/>
          </w:tcPr>
          <w:p w14:paraId="3BC138D5" w14:textId="77777777" w:rsidR="000230E8" w:rsidRPr="00C2318B" w:rsidRDefault="000230E8" w:rsidP="000230E8">
            <w:pPr>
              <w:pStyle w:val="TableCell"/>
              <w:rPr>
                <w:sz w:val="24"/>
                <w:lang w:eastAsia="en-GB"/>
              </w:rPr>
            </w:pPr>
          </w:p>
        </w:tc>
        <w:tc>
          <w:tcPr>
            <w:tcW w:w="1896" w:type="dxa"/>
            <w:shd w:val="clear" w:color="auto" w:fill="auto"/>
          </w:tcPr>
          <w:p w14:paraId="7EAE1127" w14:textId="77777777" w:rsidR="000230E8" w:rsidRPr="00C2318B" w:rsidRDefault="000230E8" w:rsidP="000230E8">
            <w:pPr>
              <w:pStyle w:val="TableCell"/>
              <w:rPr>
                <w:sz w:val="24"/>
                <w:lang w:eastAsia="en-GB"/>
              </w:rPr>
            </w:pPr>
          </w:p>
        </w:tc>
      </w:tr>
      <w:tr w:rsidR="000230E8" w:rsidRPr="00C2318B" w14:paraId="7289B16A" w14:textId="77777777" w:rsidTr="00983E44">
        <w:tblPrEx>
          <w:tblCellMar>
            <w:top w:w="0" w:type="dxa"/>
            <w:bottom w:w="0" w:type="dxa"/>
          </w:tblCellMar>
        </w:tblPrEx>
        <w:tc>
          <w:tcPr>
            <w:tcW w:w="3168" w:type="dxa"/>
            <w:shd w:val="clear" w:color="auto" w:fill="auto"/>
            <w:vAlign w:val="bottom"/>
          </w:tcPr>
          <w:p w14:paraId="629B3D8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ÁSPC Fostóra le haghaidh an Údaráis </w:t>
            </w:r>
          </w:p>
        </w:tc>
        <w:tc>
          <w:tcPr>
            <w:tcW w:w="1896" w:type="dxa"/>
            <w:shd w:val="clear" w:color="auto" w:fill="auto"/>
          </w:tcPr>
          <w:p w14:paraId="7893FCFE" w14:textId="77777777" w:rsidR="000230E8" w:rsidRPr="00C2318B" w:rsidRDefault="000230E8" w:rsidP="000230E8">
            <w:pPr>
              <w:pStyle w:val="TableCell"/>
              <w:rPr>
                <w:sz w:val="24"/>
                <w:lang w:eastAsia="en-GB"/>
              </w:rPr>
            </w:pPr>
          </w:p>
        </w:tc>
        <w:tc>
          <w:tcPr>
            <w:tcW w:w="1896" w:type="dxa"/>
            <w:shd w:val="clear" w:color="auto" w:fill="auto"/>
          </w:tcPr>
          <w:p w14:paraId="605D88C5" w14:textId="77777777" w:rsidR="000230E8" w:rsidRPr="00C2318B" w:rsidRDefault="000230E8" w:rsidP="000230E8">
            <w:pPr>
              <w:pStyle w:val="TableCell"/>
              <w:rPr>
                <w:sz w:val="24"/>
                <w:lang w:eastAsia="en-GB"/>
              </w:rPr>
            </w:pPr>
          </w:p>
        </w:tc>
        <w:tc>
          <w:tcPr>
            <w:tcW w:w="1896" w:type="dxa"/>
            <w:shd w:val="clear" w:color="auto" w:fill="auto"/>
          </w:tcPr>
          <w:p w14:paraId="7F54C800"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6,508.74</w:t>
            </w:r>
          </w:p>
        </w:tc>
      </w:tr>
      <w:tr w:rsidR="000230E8" w:rsidRPr="00C2318B" w14:paraId="5F5B0194" w14:textId="77777777" w:rsidTr="00983E44">
        <w:tblPrEx>
          <w:tblCellMar>
            <w:top w:w="0" w:type="dxa"/>
            <w:bottom w:w="0" w:type="dxa"/>
          </w:tblCellMar>
        </w:tblPrEx>
        <w:tc>
          <w:tcPr>
            <w:tcW w:w="3168" w:type="dxa"/>
            <w:shd w:val="clear" w:color="auto" w:fill="auto"/>
            <w:vAlign w:val="bottom"/>
          </w:tcPr>
          <w:p w14:paraId="276834C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Speansais Eile</w:t>
            </w:r>
          </w:p>
        </w:tc>
        <w:tc>
          <w:tcPr>
            <w:tcW w:w="1896" w:type="dxa"/>
            <w:shd w:val="clear" w:color="auto" w:fill="auto"/>
          </w:tcPr>
          <w:p w14:paraId="63BEA211" w14:textId="77777777" w:rsidR="000230E8" w:rsidRPr="00C2318B" w:rsidRDefault="000230E8" w:rsidP="000230E8">
            <w:pPr>
              <w:pStyle w:val="TableCell"/>
              <w:rPr>
                <w:sz w:val="24"/>
                <w:lang w:eastAsia="en-GB"/>
              </w:rPr>
            </w:pPr>
          </w:p>
        </w:tc>
        <w:tc>
          <w:tcPr>
            <w:tcW w:w="1896" w:type="dxa"/>
            <w:shd w:val="clear" w:color="auto" w:fill="auto"/>
          </w:tcPr>
          <w:p w14:paraId="235C6136" w14:textId="77777777" w:rsidR="000230E8" w:rsidRPr="00C2318B" w:rsidRDefault="000230E8" w:rsidP="000230E8">
            <w:pPr>
              <w:pStyle w:val="TableCell"/>
              <w:rPr>
                <w:sz w:val="24"/>
                <w:lang w:eastAsia="en-GB"/>
              </w:rPr>
            </w:pPr>
          </w:p>
        </w:tc>
        <w:tc>
          <w:tcPr>
            <w:tcW w:w="1896" w:type="dxa"/>
            <w:shd w:val="clear" w:color="auto" w:fill="auto"/>
          </w:tcPr>
          <w:p w14:paraId="2A0A11D6" w14:textId="77777777" w:rsidR="000230E8" w:rsidRPr="00C2318B" w:rsidRDefault="000230E8" w:rsidP="000230E8">
            <w:pPr>
              <w:pStyle w:val="TableCell"/>
              <w:rPr>
                <w:sz w:val="24"/>
                <w:lang w:eastAsia="en-GB"/>
              </w:rPr>
            </w:pPr>
            <w:r w:rsidRPr="00C2318B">
              <w:rPr>
                <w:rFonts w:ascii="Arial" w:hAnsi="Arial" w:cs="Arial"/>
                <w:sz w:val="24"/>
                <w:lang w:eastAsia="en-GB"/>
              </w:rPr>
              <w:t>€</w:t>
            </w:r>
            <w:r w:rsidRPr="00C2318B">
              <w:rPr>
                <w:sz w:val="24"/>
                <w:lang w:eastAsia="en-GB"/>
              </w:rPr>
              <w:t>1,398.43</w:t>
            </w:r>
          </w:p>
        </w:tc>
      </w:tr>
      <w:tr w:rsidR="000230E8" w:rsidRPr="00C2318B" w14:paraId="4265C68A" w14:textId="77777777" w:rsidTr="00983E44">
        <w:tblPrEx>
          <w:tblCellMar>
            <w:top w:w="0" w:type="dxa"/>
            <w:bottom w:w="0" w:type="dxa"/>
          </w:tblCellMar>
        </w:tblPrEx>
        <w:tc>
          <w:tcPr>
            <w:tcW w:w="3168" w:type="dxa"/>
            <w:shd w:val="clear" w:color="auto" w:fill="auto"/>
            <w:vAlign w:val="bottom"/>
          </w:tcPr>
          <w:p w14:paraId="41586581" w14:textId="77777777" w:rsidR="000230E8" w:rsidRPr="00C2318B" w:rsidRDefault="000230E8" w:rsidP="000230E8">
            <w:pPr>
              <w:spacing w:after="0"/>
              <w:rPr>
                <w:sz w:val="24"/>
                <w:lang w:eastAsia="en-GB"/>
              </w:rPr>
            </w:pPr>
          </w:p>
        </w:tc>
        <w:tc>
          <w:tcPr>
            <w:tcW w:w="1896" w:type="dxa"/>
            <w:shd w:val="clear" w:color="auto" w:fill="auto"/>
          </w:tcPr>
          <w:p w14:paraId="773ADE6D" w14:textId="77777777" w:rsidR="000230E8" w:rsidRPr="00C2318B" w:rsidRDefault="000230E8" w:rsidP="000230E8">
            <w:pPr>
              <w:pStyle w:val="TableCell"/>
              <w:rPr>
                <w:sz w:val="24"/>
                <w:lang w:eastAsia="en-GB"/>
              </w:rPr>
            </w:pPr>
          </w:p>
        </w:tc>
        <w:tc>
          <w:tcPr>
            <w:tcW w:w="1896" w:type="dxa"/>
            <w:shd w:val="clear" w:color="auto" w:fill="auto"/>
          </w:tcPr>
          <w:p w14:paraId="2873F043" w14:textId="77777777" w:rsidR="000230E8" w:rsidRPr="00C2318B" w:rsidRDefault="000230E8" w:rsidP="000230E8">
            <w:pPr>
              <w:pStyle w:val="TableCell"/>
              <w:rPr>
                <w:sz w:val="24"/>
                <w:lang w:eastAsia="en-GB"/>
              </w:rPr>
            </w:pPr>
          </w:p>
        </w:tc>
        <w:tc>
          <w:tcPr>
            <w:tcW w:w="1896" w:type="dxa"/>
            <w:shd w:val="clear" w:color="auto" w:fill="auto"/>
          </w:tcPr>
          <w:p w14:paraId="02D50D24" w14:textId="77777777" w:rsidR="000230E8" w:rsidRPr="00C2318B" w:rsidRDefault="000230E8" w:rsidP="000230E8">
            <w:pPr>
              <w:pStyle w:val="TableCell"/>
              <w:rPr>
                <w:sz w:val="24"/>
                <w:lang w:eastAsia="en-GB"/>
              </w:rPr>
            </w:pPr>
            <w:r w:rsidRPr="00C2318B">
              <w:rPr>
                <w:rFonts w:cs="Arial"/>
                <w:sz w:val="24"/>
                <w:lang w:eastAsia="en-GB"/>
              </w:rPr>
              <w:t>€</w:t>
            </w:r>
            <w:r w:rsidRPr="00C2318B">
              <w:rPr>
                <w:sz w:val="24"/>
                <w:lang w:eastAsia="en-GB"/>
              </w:rPr>
              <w:t>85,721.61</w:t>
            </w:r>
          </w:p>
        </w:tc>
      </w:tr>
    </w:tbl>
    <w:p w14:paraId="557E7945" w14:textId="77777777" w:rsidR="000230E8" w:rsidRPr="00C2318B" w:rsidRDefault="000230E8" w:rsidP="000230E8">
      <w:pPr>
        <w:pStyle w:val="Heading2"/>
        <w:rPr>
          <w:lang/>
        </w:rPr>
      </w:pPr>
      <w:r w:rsidRPr="00C2318B">
        <w:rPr>
          <w:rFonts w:cs="Times New Roman"/>
          <w:b w:val="0"/>
          <w:bCs w:val="0"/>
          <w:iCs w:val="0"/>
          <w:sz w:val="20"/>
          <w:szCs w:val="20"/>
          <w:lang/>
        </w:rPr>
        <w:br/>
      </w:r>
      <w:bookmarkStart w:id="508" w:name="_Toc335836557"/>
      <w:r w:rsidRPr="00C2318B">
        <w:rPr>
          <w:lang/>
        </w:rPr>
        <w:t>7. Sócmhainní Seasta</w:t>
      </w:r>
      <w:bookmarkEnd w:id="508"/>
      <w:r w:rsidRPr="00C2318B">
        <w:rPr>
          <w:lang/>
        </w:rPr>
        <w:br/>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808"/>
        <w:gridCol w:w="1665"/>
        <w:gridCol w:w="1575"/>
        <w:gridCol w:w="1440"/>
        <w:gridCol w:w="1440"/>
      </w:tblGrid>
      <w:tr w:rsidR="000230E8" w:rsidRPr="00C2318B" w14:paraId="759720B5" w14:textId="77777777" w:rsidTr="00983E44">
        <w:tblPrEx>
          <w:tblCellMar>
            <w:top w:w="0" w:type="dxa"/>
            <w:bottom w:w="0" w:type="dxa"/>
          </w:tblCellMar>
        </w:tblPrEx>
        <w:trPr>
          <w:tblHeader/>
        </w:trPr>
        <w:tc>
          <w:tcPr>
            <w:tcW w:w="2808" w:type="dxa"/>
            <w:shd w:val="clear" w:color="auto" w:fill="auto"/>
          </w:tcPr>
          <w:p w14:paraId="6FFF3470" w14:textId="77777777" w:rsidR="000230E8" w:rsidRPr="00C2318B" w:rsidRDefault="000230E8" w:rsidP="000230E8">
            <w:pPr>
              <w:pStyle w:val="TableHead"/>
              <w:jc w:val="right"/>
              <w:rPr>
                <w:lang/>
              </w:rPr>
            </w:pPr>
          </w:p>
        </w:tc>
        <w:tc>
          <w:tcPr>
            <w:tcW w:w="1665" w:type="dxa"/>
            <w:vAlign w:val="bottom"/>
          </w:tcPr>
          <w:p w14:paraId="2C8BADDE" w14:textId="77777777" w:rsidR="000230E8" w:rsidRPr="00C2318B" w:rsidRDefault="000230E8" w:rsidP="000230E8">
            <w:pPr>
              <w:pStyle w:val="TableHead"/>
              <w:rPr>
                <w:lang w:eastAsia="en-GB"/>
              </w:rPr>
            </w:pPr>
            <w:r w:rsidRPr="00C2318B">
              <w:rPr>
                <w:lang w:eastAsia="en-GB"/>
              </w:rPr>
              <w:t>Crua-earraí agus Bogearraí Ríomhaire</w:t>
            </w:r>
          </w:p>
        </w:tc>
        <w:tc>
          <w:tcPr>
            <w:tcW w:w="1575" w:type="dxa"/>
            <w:vAlign w:val="bottom"/>
          </w:tcPr>
          <w:p w14:paraId="0599D6D3" w14:textId="77777777" w:rsidR="000230E8" w:rsidRPr="00C2318B" w:rsidRDefault="000230E8" w:rsidP="000230E8">
            <w:pPr>
              <w:pStyle w:val="TableHead"/>
              <w:rPr>
                <w:lang w:eastAsia="en-GB"/>
              </w:rPr>
            </w:pPr>
            <w:r w:rsidRPr="00C2318B">
              <w:rPr>
                <w:lang w:eastAsia="en-GB"/>
              </w:rPr>
              <w:t xml:space="preserve">Troscán agus Trealamh Oifige </w:t>
            </w:r>
          </w:p>
        </w:tc>
        <w:tc>
          <w:tcPr>
            <w:tcW w:w="1440" w:type="dxa"/>
            <w:vAlign w:val="bottom"/>
          </w:tcPr>
          <w:p w14:paraId="79D30077" w14:textId="77777777" w:rsidR="000230E8" w:rsidRPr="00C2318B" w:rsidRDefault="000230E8" w:rsidP="000230E8">
            <w:pPr>
              <w:pStyle w:val="TableHead"/>
              <w:rPr>
                <w:lang w:eastAsia="en-GB"/>
              </w:rPr>
            </w:pPr>
            <w:r w:rsidRPr="00C2318B">
              <w:rPr>
                <w:lang w:eastAsia="en-GB"/>
              </w:rPr>
              <w:t>Áitreabh</w:t>
            </w:r>
          </w:p>
        </w:tc>
        <w:tc>
          <w:tcPr>
            <w:tcW w:w="1440" w:type="dxa"/>
            <w:vAlign w:val="bottom"/>
          </w:tcPr>
          <w:p w14:paraId="2EC5CEB1" w14:textId="77777777" w:rsidR="000230E8" w:rsidRPr="00C2318B" w:rsidRDefault="000230E8" w:rsidP="000230E8">
            <w:pPr>
              <w:pStyle w:val="TableHead"/>
              <w:rPr>
                <w:lang w:eastAsia="en-GB"/>
              </w:rPr>
            </w:pPr>
            <w:r w:rsidRPr="00C2318B">
              <w:rPr>
                <w:lang w:eastAsia="en-GB"/>
              </w:rPr>
              <w:t>Iomlán</w:t>
            </w:r>
          </w:p>
        </w:tc>
      </w:tr>
      <w:tr w:rsidR="000230E8" w:rsidRPr="00C2318B" w14:paraId="5319E596" w14:textId="77777777" w:rsidTr="00983E44">
        <w:tblPrEx>
          <w:tblCellMar>
            <w:top w:w="0" w:type="dxa"/>
            <w:bottom w:w="0" w:type="dxa"/>
          </w:tblCellMar>
        </w:tblPrEx>
        <w:tc>
          <w:tcPr>
            <w:tcW w:w="2808" w:type="dxa"/>
            <w:shd w:val="clear" w:color="auto" w:fill="auto"/>
          </w:tcPr>
          <w:p w14:paraId="41CEB9BD" w14:textId="77777777" w:rsidR="000230E8" w:rsidRPr="00C2318B" w:rsidRDefault="000230E8" w:rsidP="000230E8">
            <w:pPr>
              <w:pStyle w:val="TableRowHead"/>
              <w:rPr>
                <w:lang/>
              </w:rPr>
            </w:pPr>
          </w:p>
        </w:tc>
        <w:tc>
          <w:tcPr>
            <w:tcW w:w="1665" w:type="dxa"/>
            <w:vAlign w:val="bottom"/>
          </w:tcPr>
          <w:p w14:paraId="32B85669" w14:textId="77777777" w:rsidR="000230E8" w:rsidRPr="00C2318B" w:rsidRDefault="000230E8" w:rsidP="000230E8">
            <w:pPr>
              <w:spacing w:after="0"/>
              <w:jc w:val="right"/>
              <w:rPr>
                <w:sz w:val="24"/>
                <w:lang w:eastAsia="en-GB"/>
              </w:rPr>
            </w:pPr>
            <w:r w:rsidRPr="00C2318B">
              <w:rPr>
                <w:sz w:val="24"/>
                <w:lang w:eastAsia="en-GB"/>
              </w:rPr>
              <w:t xml:space="preserve">        </w:t>
            </w:r>
            <w:r w:rsidRPr="00C2318B">
              <w:rPr>
                <w:rFonts w:ascii="Arial" w:hAnsi="Arial" w:cs="Arial"/>
                <w:sz w:val="24"/>
                <w:lang w:eastAsia="en-GB"/>
              </w:rPr>
              <w:t>€</w:t>
            </w:r>
          </w:p>
        </w:tc>
        <w:tc>
          <w:tcPr>
            <w:tcW w:w="1575" w:type="dxa"/>
            <w:vAlign w:val="bottom"/>
          </w:tcPr>
          <w:p w14:paraId="64D7D04F" w14:textId="77777777" w:rsidR="000230E8" w:rsidRPr="00C2318B" w:rsidRDefault="000230E8" w:rsidP="000230E8">
            <w:pPr>
              <w:spacing w:after="0"/>
              <w:jc w:val="right"/>
              <w:rPr>
                <w:sz w:val="24"/>
                <w:lang w:eastAsia="en-GB"/>
              </w:rPr>
            </w:pPr>
            <w:r w:rsidRPr="00C2318B">
              <w:rPr>
                <w:sz w:val="24"/>
                <w:lang w:eastAsia="en-GB"/>
              </w:rPr>
              <w:t xml:space="preserve">        </w:t>
            </w:r>
            <w:r w:rsidRPr="00C2318B">
              <w:rPr>
                <w:rFonts w:ascii="Arial" w:hAnsi="Arial" w:cs="Arial"/>
                <w:sz w:val="24"/>
                <w:lang w:eastAsia="en-GB"/>
              </w:rPr>
              <w:t>€</w:t>
            </w:r>
          </w:p>
        </w:tc>
        <w:tc>
          <w:tcPr>
            <w:tcW w:w="1440" w:type="dxa"/>
            <w:vAlign w:val="bottom"/>
          </w:tcPr>
          <w:p w14:paraId="465F628E" w14:textId="77777777" w:rsidR="000230E8" w:rsidRPr="00C2318B" w:rsidRDefault="000230E8" w:rsidP="000230E8">
            <w:pPr>
              <w:spacing w:after="0"/>
              <w:jc w:val="right"/>
              <w:rPr>
                <w:sz w:val="24"/>
                <w:lang w:eastAsia="en-GB"/>
              </w:rPr>
            </w:pPr>
            <w:r w:rsidRPr="00C2318B">
              <w:rPr>
                <w:sz w:val="24"/>
                <w:lang w:eastAsia="en-GB"/>
              </w:rPr>
              <w:t xml:space="preserve">        </w:t>
            </w:r>
            <w:r w:rsidRPr="00C2318B">
              <w:rPr>
                <w:rFonts w:ascii="Arial" w:hAnsi="Arial" w:cs="Arial"/>
                <w:sz w:val="24"/>
                <w:lang w:eastAsia="en-GB"/>
              </w:rPr>
              <w:t>€</w:t>
            </w:r>
          </w:p>
        </w:tc>
        <w:tc>
          <w:tcPr>
            <w:tcW w:w="1440" w:type="dxa"/>
            <w:vAlign w:val="bottom"/>
          </w:tcPr>
          <w:p w14:paraId="5454C517" w14:textId="77777777" w:rsidR="000230E8" w:rsidRPr="00C2318B" w:rsidRDefault="000230E8" w:rsidP="000230E8">
            <w:pPr>
              <w:spacing w:after="0"/>
              <w:jc w:val="right"/>
              <w:rPr>
                <w:sz w:val="24"/>
                <w:lang w:eastAsia="en-GB"/>
              </w:rPr>
            </w:pPr>
            <w:r w:rsidRPr="00C2318B">
              <w:rPr>
                <w:sz w:val="24"/>
                <w:lang w:eastAsia="en-GB"/>
              </w:rPr>
              <w:t xml:space="preserve">        </w:t>
            </w:r>
            <w:r w:rsidRPr="00C2318B">
              <w:rPr>
                <w:rFonts w:ascii="Arial" w:hAnsi="Arial" w:cs="Arial"/>
                <w:sz w:val="24"/>
                <w:lang w:eastAsia="en-GB"/>
              </w:rPr>
              <w:t>€</w:t>
            </w:r>
          </w:p>
        </w:tc>
      </w:tr>
      <w:tr w:rsidR="000230E8" w:rsidRPr="00C2318B" w14:paraId="6E8D76E2" w14:textId="77777777" w:rsidTr="00983E44">
        <w:tblPrEx>
          <w:tblCellMar>
            <w:top w:w="0" w:type="dxa"/>
            <w:bottom w:w="0" w:type="dxa"/>
          </w:tblCellMar>
        </w:tblPrEx>
        <w:tc>
          <w:tcPr>
            <w:tcW w:w="8928" w:type="dxa"/>
            <w:gridSpan w:val="5"/>
            <w:shd w:val="clear" w:color="auto" w:fill="auto"/>
          </w:tcPr>
          <w:p w14:paraId="23898A5A" w14:textId="77777777" w:rsidR="000230E8" w:rsidRPr="00C2318B" w:rsidRDefault="000230E8" w:rsidP="000230E8">
            <w:pPr>
              <w:pStyle w:val="TableHead"/>
              <w:jc w:val="center"/>
              <w:rPr>
                <w:sz w:val="24"/>
                <w:lang w:eastAsia="en-GB"/>
              </w:rPr>
            </w:pPr>
            <w:r w:rsidRPr="00C2318B">
              <w:rPr>
                <w:sz w:val="24"/>
                <w:lang w:eastAsia="en-GB"/>
              </w:rPr>
              <w:t>Costas nó Luacháil</w:t>
            </w:r>
          </w:p>
        </w:tc>
      </w:tr>
      <w:tr w:rsidR="000230E8" w:rsidRPr="00C2318B" w14:paraId="20F7A5B1" w14:textId="77777777" w:rsidTr="00983E44">
        <w:tblPrEx>
          <w:tblCellMar>
            <w:top w:w="0" w:type="dxa"/>
            <w:bottom w:w="0" w:type="dxa"/>
          </w:tblCellMar>
        </w:tblPrEx>
        <w:tc>
          <w:tcPr>
            <w:tcW w:w="2808" w:type="dxa"/>
            <w:shd w:val="clear" w:color="auto" w:fill="auto"/>
            <w:vAlign w:val="bottom"/>
          </w:tcPr>
          <w:p w14:paraId="4416B449"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Iarmhéid ar an 1 Eanáir 2011</w:t>
            </w:r>
          </w:p>
        </w:tc>
        <w:tc>
          <w:tcPr>
            <w:tcW w:w="1665" w:type="dxa"/>
            <w:vAlign w:val="bottom"/>
          </w:tcPr>
          <w:p w14:paraId="360F3BD9" w14:textId="77777777" w:rsidR="000230E8" w:rsidRPr="00C2318B" w:rsidRDefault="000230E8" w:rsidP="000230E8">
            <w:pPr>
              <w:pStyle w:val="TableCell"/>
              <w:rPr>
                <w:sz w:val="24"/>
                <w:lang w:eastAsia="en-GB"/>
              </w:rPr>
            </w:pPr>
            <w:r w:rsidRPr="00C2318B">
              <w:rPr>
                <w:sz w:val="24"/>
                <w:lang w:eastAsia="en-GB"/>
              </w:rPr>
              <w:t xml:space="preserve">392,584 </w:t>
            </w:r>
          </w:p>
        </w:tc>
        <w:tc>
          <w:tcPr>
            <w:tcW w:w="1575" w:type="dxa"/>
            <w:vAlign w:val="bottom"/>
          </w:tcPr>
          <w:p w14:paraId="0177B9D2" w14:textId="77777777" w:rsidR="000230E8" w:rsidRPr="00C2318B" w:rsidRDefault="000230E8" w:rsidP="000230E8">
            <w:pPr>
              <w:pStyle w:val="TableCell"/>
              <w:rPr>
                <w:sz w:val="24"/>
                <w:lang w:eastAsia="en-GB"/>
              </w:rPr>
            </w:pPr>
            <w:r w:rsidRPr="00C2318B">
              <w:rPr>
                <w:sz w:val="24"/>
                <w:lang w:eastAsia="en-GB"/>
              </w:rPr>
              <w:t xml:space="preserve">312,425 </w:t>
            </w:r>
          </w:p>
        </w:tc>
        <w:tc>
          <w:tcPr>
            <w:tcW w:w="1440" w:type="dxa"/>
            <w:vAlign w:val="bottom"/>
          </w:tcPr>
          <w:p w14:paraId="6920536D" w14:textId="77777777" w:rsidR="000230E8" w:rsidRPr="00C2318B" w:rsidRDefault="000230E8" w:rsidP="000230E8">
            <w:pPr>
              <w:pStyle w:val="TableCell"/>
              <w:rPr>
                <w:sz w:val="24"/>
                <w:lang w:eastAsia="en-GB"/>
              </w:rPr>
            </w:pPr>
            <w:r w:rsidRPr="00C2318B">
              <w:rPr>
                <w:sz w:val="24"/>
                <w:lang w:eastAsia="en-GB"/>
              </w:rPr>
              <w:t xml:space="preserve">3,941,086 </w:t>
            </w:r>
          </w:p>
        </w:tc>
        <w:tc>
          <w:tcPr>
            <w:tcW w:w="1440" w:type="dxa"/>
            <w:vAlign w:val="bottom"/>
          </w:tcPr>
          <w:p w14:paraId="182D67E6" w14:textId="77777777" w:rsidR="000230E8" w:rsidRPr="00C2318B" w:rsidRDefault="000230E8" w:rsidP="000230E8">
            <w:pPr>
              <w:pStyle w:val="TableCell"/>
              <w:rPr>
                <w:sz w:val="24"/>
                <w:lang w:eastAsia="en-GB"/>
              </w:rPr>
            </w:pPr>
            <w:r w:rsidRPr="00C2318B">
              <w:rPr>
                <w:sz w:val="24"/>
                <w:lang w:eastAsia="en-GB"/>
              </w:rPr>
              <w:t xml:space="preserve">4,646,095 </w:t>
            </w:r>
          </w:p>
        </w:tc>
      </w:tr>
      <w:tr w:rsidR="000230E8" w:rsidRPr="00C2318B" w14:paraId="5C000F4F" w14:textId="77777777" w:rsidTr="00983E44">
        <w:tblPrEx>
          <w:tblCellMar>
            <w:top w:w="0" w:type="dxa"/>
            <w:bottom w:w="0" w:type="dxa"/>
          </w:tblCellMar>
        </w:tblPrEx>
        <w:tc>
          <w:tcPr>
            <w:tcW w:w="2808" w:type="dxa"/>
            <w:shd w:val="clear" w:color="auto" w:fill="auto"/>
            <w:vAlign w:val="bottom"/>
          </w:tcPr>
          <w:p w14:paraId="579C478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Breiseanna ar a gCostas</w:t>
            </w:r>
          </w:p>
        </w:tc>
        <w:tc>
          <w:tcPr>
            <w:tcW w:w="1665" w:type="dxa"/>
            <w:vAlign w:val="bottom"/>
          </w:tcPr>
          <w:p w14:paraId="2171B44E" w14:textId="77777777" w:rsidR="000230E8" w:rsidRPr="00C2318B" w:rsidRDefault="000230E8" w:rsidP="000230E8">
            <w:pPr>
              <w:pStyle w:val="TableCell"/>
              <w:rPr>
                <w:sz w:val="24"/>
                <w:lang w:eastAsia="en-GB"/>
              </w:rPr>
            </w:pPr>
            <w:r w:rsidRPr="00C2318B">
              <w:rPr>
                <w:sz w:val="24"/>
                <w:lang w:eastAsia="en-GB"/>
              </w:rPr>
              <w:t xml:space="preserve">7,950 </w:t>
            </w:r>
          </w:p>
        </w:tc>
        <w:tc>
          <w:tcPr>
            <w:tcW w:w="1575" w:type="dxa"/>
            <w:vAlign w:val="bottom"/>
          </w:tcPr>
          <w:p w14:paraId="221EE423" w14:textId="77777777" w:rsidR="000230E8" w:rsidRPr="00C2318B" w:rsidRDefault="000230E8" w:rsidP="000230E8">
            <w:pPr>
              <w:pStyle w:val="TableCell"/>
              <w:rPr>
                <w:sz w:val="24"/>
                <w:lang w:eastAsia="en-GB"/>
              </w:rPr>
            </w:pPr>
            <w:r w:rsidRPr="00C2318B">
              <w:rPr>
                <w:sz w:val="24"/>
                <w:lang w:eastAsia="en-GB"/>
              </w:rPr>
              <w:t xml:space="preserve">1,285 </w:t>
            </w:r>
          </w:p>
        </w:tc>
        <w:tc>
          <w:tcPr>
            <w:tcW w:w="1440" w:type="dxa"/>
            <w:vAlign w:val="bottom"/>
          </w:tcPr>
          <w:p w14:paraId="1622D75A" w14:textId="77777777" w:rsidR="000230E8" w:rsidRPr="00C2318B" w:rsidRDefault="000230E8" w:rsidP="000230E8">
            <w:pPr>
              <w:pStyle w:val="TableCell"/>
              <w:rPr>
                <w:sz w:val="24"/>
                <w:lang w:eastAsia="en-GB"/>
              </w:rPr>
            </w:pPr>
            <w:r w:rsidRPr="00C2318B">
              <w:rPr>
                <w:sz w:val="24"/>
                <w:lang w:eastAsia="en-GB"/>
              </w:rPr>
              <w:t xml:space="preserve">0 </w:t>
            </w:r>
          </w:p>
        </w:tc>
        <w:tc>
          <w:tcPr>
            <w:tcW w:w="1440" w:type="dxa"/>
            <w:vAlign w:val="bottom"/>
          </w:tcPr>
          <w:p w14:paraId="51AC59DB" w14:textId="77777777" w:rsidR="000230E8" w:rsidRPr="00C2318B" w:rsidRDefault="000230E8" w:rsidP="000230E8">
            <w:pPr>
              <w:pStyle w:val="TableCell"/>
              <w:rPr>
                <w:sz w:val="24"/>
                <w:lang w:eastAsia="en-GB"/>
              </w:rPr>
            </w:pPr>
            <w:r w:rsidRPr="00C2318B">
              <w:rPr>
                <w:sz w:val="24"/>
                <w:lang w:eastAsia="en-GB"/>
              </w:rPr>
              <w:t xml:space="preserve">9,235 </w:t>
            </w:r>
          </w:p>
        </w:tc>
      </w:tr>
      <w:tr w:rsidR="000230E8" w:rsidRPr="00C2318B" w14:paraId="524550F1" w14:textId="77777777" w:rsidTr="00983E44">
        <w:tblPrEx>
          <w:tblCellMar>
            <w:top w:w="0" w:type="dxa"/>
            <w:bottom w:w="0" w:type="dxa"/>
          </w:tblCellMar>
        </w:tblPrEx>
        <w:tc>
          <w:tcPr>
            <w:tcW w:w="2808" w:type="dxa"/>
            <w:shd w:val="clear" w:color="auto" w:fill="auto"/>
            <w:vAlign w:val="bottom"/>
          </w:tcPr>
          <w:p w14:paraId="095820F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Diúscairtí ar a gCostas</w:t>
            </w:r>
          </w:p>
        </w:tc>
        <w:tc>
          <w:tcPr>
            <w:tcW w:w="1665" w:type="dxa"/>
            <w:vAlign w:val="bottom"/>
          </w:tcPr>
          <w:p w14:paraId="14F67B34" w14:textId="77777777" w:rsidR="000230E8" w:rsidRPr="00C2318B" w:rsidRDefault="000230E8" w:rsidP="000230E8">
            <w:pPr>
              <w:pStyle w:val="TableCell"/>
              <w:rPr>
                <w:sz w:val="24"/>
                <w:lang w:eastAsia="en-GB"/>
              </w:rPr>
            </w:pPr>
            <w:r w:rsidRPr="00C2318B">
              <w:rPr>
                <w:sz w:val="24"/>
                <w:lang w:eastAsia="en-GB"/>
              </w:rPr>
              <w:t xml:space="preserve">0 </w:t>
            </w:r>
          </w:p>
        </w:tc>
        <w:tc>
          <w:tcPr>
            <w:tcW w:w="1575" w:type="dxa"/>
            <w:vAlign w:val="bottom"/>
          </w:tcPr>
          <w:p w14:paraId="4EE145F1" w14:textId="77777777" w:rsidR="000230E8" w:rsidRPr="00C2318B" w:rsidRDefault="000230E8" w:rsidP="000230E8">
            <w:pPr>
              <w:pStyle w:val="TableCell"/>
              <w:rPr>
                <w:sz w:val="24"/>
                <w:lang w:eastAsia="en-GB"/>
              </w:rPr>
            </w:pPr>
            <w:r w:rsidRPr="00C2318B">
              <w:rPr>
                <w:sz w:val="24"/>
                <w:lang w:eastAsia="en-GB"/>
              </w:rPr>
              <w:t xml:space="preserve">0 </w:t>
            </w:r>
          </w:p>
        </w:tc>
        <w:tc>
          <w:tcPr>
            <w:tcW w:w="1440" w:type="dxa"/>
            <w:vAlign w:val="bottom"/>
          </w:tcPr>
          <w:p w14:paraId="33451667" w14:textId="77777777" w:rsidR="000230E8" w:rsidRPr="00C2318B" w:rsidRDefault="000230E8" w:rsidP="000230E8">
            <w:pPr>
              <w:pStyle w:val="TableCell"/>
              <w:rPr>
                <w:sz w:val="24"/>
                <w:lang w:eastAsia="en-GB"/>
              </w:rPr>
            </w:pPr>
            <w:r w:rsidRPr="00C2318B">
              <w:rPr>
                <w:sz w:val="24"/>
                <w:lang w:eastAsia="en-GB"/>
              </w:rPr>
              <w:t xml:space="preserve">0 </w:t>
            </w:r>
          </w:p>
        </w:tc>
        <w:tc>
          <w:tcPr>
            <w:tcW w:w="1440" w:type="dxa"/>
            <w:vAlign w:val="bottom"/>
          </w:tcPr>
          <w:p w14:paraId="7C793DD0"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3E2952F9" w14:textId="77777777" w:rsidTr="00983E44">
        <w:tblPrEx>
          <w:tblCellMar>
            <w:top w:w="0" w:type="dxa"/>
            <w:bottom w:w="0" w:type="dxa"/>
          </w:tblCellMar>
        </w:tblPrEx>
        <w:tc>
          <w:tcPr>
            <w:tcW w:w="2808" w:type="dxa"/>
            <w:shd w:val="clear" w:color="auto" w:fill="auto"/>
            <w:vAlign w:val="bottom"/>
          </w:tcPr>
          <w:p w14:paraId="483F1B7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Iarmhéid ar an 31 Nollaig 2011</w:t>
            </w:r>
          </w:p>
        </w:tc>
        <w:tc>
          <w:tcPr>
            <w:tcW w:w="1665" w:type="dxa"/>
            <w:vAlign w:val="bottom"/>
          </w:tcPr>
          <w:p w14:paraId="380DB657" w14:textId="77777777" w:rsidR="000230E8" w:rsidRPr="00C2318B" w:rsidRDefault="000230E8" w:rsidP="000230E8">
            <w:pPr>
              <w:pStyle w:val="TableCell"/>
              <w:rPr>
                <w:sz w:val="24"/>
                <w:lang w:eastAsia="en-GB"/>
              </w:rPr>
            </w:pPr>
            <w:r w:rsidRPr="00C2318B">
              <w:rPr>
                <w:sz w:val="24"/>
                <w:lang w:eastAsia="en-GB"/>
              </w:rPr>
              <w:t xml:space="preserve">400,534 </w:t>
            </w:r>
          </w:p>
        </w:tc>
        <w:tc>
          <w:tcPr>
            <w:tcW w:w="1575" w:type="dxa"/>
            <w:vAlign w:val="bottom"/>
          </w:tcPr>
          <w:p w14:paraId="01190917" w14:textId="77777777" w:rsidR="000230E8" w:rsidRPr="00C2318B" w:rsidRDefault="000230E8" w:rsidP="000230E8">
            <w:pPr>
              <w:pStyle w:val="TableCell"/>
              <w:rPr>
                <w:sz w:val="24"/>
                <w:lang w:eastAsia="en-GB"/>
              </w:rPr>
            </w:pPr>
            <w:r w:rsidRPr="00C2318B">
              <w:rPr>
                <w:sz w:val="24"/>
                <w:lang w:eastAsia="en-GB"/>
              </w:rPr>
              <w:t xml:space="preserve">313,710 </w:t>
            </w:r>
          </w:p>
        </w:tc>
        <w:tc>
          <w:tcPr>
            <w:tcW w:w="1440" w:type="dxa"/>
            <w:vAlign w:val="bottom"/>
          </w:tcPr>
          <w:p w14:paraId="387E76E5" w14:textId="77777777" w:rsidR="000230E8" w:rsidRPr="00C2318B" w:rsidRDefault="000230E8" w:rsidP="000230E8">
            <w:pPr>
              <w:pStyle w:val="TableCell"/>
              <w:rPr>
                <w:sz w:val="24"/>
                <w:lang w:eastAsia="en-GB"/>
              </w:rPr>
            </w:pPr>
            <w:r w:rsidRPr="00C2318B">
              <w:rPr>
                <w:sz w:val="24"/>
                <w:lang w:eastAsia="en-GB"/>
              </w:rPr>
              <w:t xml:space="preserve">3,941,086 </w:t>
            </w:r>
          </w:p>
        </w:tc>
        <w:tc>
          <w:tcPr>
            <w:tcW w:w="1440" w:type="dxa"/>
            <w:vAlign w:val="bottom"/>
          </w:tcPr>
          <w:p w14:paraId="66A40A3A" w14:textId="77777777" w:rsidR="000230E8" w:rsidRPr="00C2318B" w:rsidRDefault="000230E8" w:rsidP="000230E8">
            <w:pPr>
              <w:pStyle w:val="TableCell"/>
              <w:rPr>
                <w:sz w:val="24"/>
                <w:lang w:eastAsia="en-GB"/>
              </w:rPr>
            </w:pPr>
            <w:r w:rsidRPr="00C2318B">
              <w:rPr>
                <w:sz w:val="24"/>
                <w:lang w:eastAsia="en-GB"/>
              </w:rPr>
              <w:t xml:space="preserve">4,655,330 </w:t>
            </w:r>
          </w:p>
        </w:tc>
      </w:tr>
      <w:tr w:rsidR="000230E8" w:rsidRPr="00C2318B" w14:paraId="6CE1F545" w14:textId="77777777" w:rsidTr="00983E44">
        <w:tblPrEx>
          <w:tblCellMar>
            <w:top w:w="0" w:type="dxa"/>
            <w:bottom w:w="0" w:type="dxa"/>
          </w:tblCellMar>
        </w:tblPrEx>
        <w:tc>
          <w:tcPr>
            <w:tcW w:w="8928" w:type="dxa"/>
            <w:gridSpan w:val="5"/>
            <w:shd w:val="clear" w:color="auto" w:fill="auto"/>
            <w:vAlign w:val="bottom"/>
          </w:tcPr>
          <w:p w14:paraId="5260F69E" w14:textId="77777777" w:rsidR="000230E8" w:rsidRPr="00C2318B" w:rsidRDefault="000230E8" w:rsidP="000230E8">
            <w:pPr>
              <w:pStyle w:val="TableHead"/>
              <w:jc w:val="center"/>
              <w:rPr>
                <w:sz w:val="24"/>
                <w:lang w:eastAsia="en-GB"/>
              </w:rPr>
            </w:pPr>
            <w:r w:rsidRPr="00C2318B">
              <w:rPr>
                <w:sz w:val="24"/>
                <w:lang w:eastAsia="en-GB"/>
              </w:rPr>
              <w:t>Dímheas Carntha</w:t>
            </w:r>
          </w:p>
        </w:tc>
      </w:tr>
      <w:tr w:rsidR="000230E8" w:rsidRPr="00C2318B" w14:paraId="739FDB15" w14:textId="77777777" w:rsidTr="00983E44">
        <w:tblPrEx>
          <w:tblCellMar>
            <w:top w:w="0" w:type="dxa"/>
            <w:bottom w:w="0" w:type="dxa"/>
          </w:tblCellMar>
        </w:tblPrEx>
        <w:tc>
          <w:tcPr>
            <w:tcW w:w="2808" w:type="dxa"/>
            <w:shd w:val="clear" w:color="auto" w:fill="auto"/>
            <w:vAlign w:val="bottom"/>
          </w:tcPr>
          <w:p w14:paraId="338B4B28"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lastRenderedPageBreak/>
              <w:t>Iarmhéid ar an 1 Eanáir 2011</w:t>
            </w:r>
          </w:p>
        </w:tc>
        <w:tc>
          <w:tcPr>
            <w:tcW w:w="1665" w:type="dxa"/>
            <w:vAlign w:val="bottom"/>
          </w:tcPr>
          <w:p w14:paraId="01CF1760" w14:textId="77777777" w:rsidR="000230E8" w:rsidRPr="00C2318B" w:rsidRDefault="000230E8" w:rsidP="000230E8">
            <w:pPr>
              <w:pStyle w:val="TableCell"/>
              <w:rPr>
                <w:sz w:val="24"/>
                <w:lang w:eastAsia="en-GB"/>
              </w:rPr>
            </w:pPr>
            <w:r w:rsidRPr="00C2318B">
              <w:rPr>
                <w:sz w:val="24"/>
                <w:lang w:eastAsia="en-GB"/>
              </w:rPr>
              <w:t xml:space="preserve">389,206 </w:t>
            </w:r>
          </w:p>
        </w:tc>
        <w:tc>
          <w:tcPr>
            <w:tcW w:w="1575" w:type="dxa"/>
            <w:vAlign w:val="bottom"/>
          </w:tcPr>
          <w:p w14:paraId="00C06930" w14:textId="77777777" w:rsidR="000230E8" w:rsidRPr="00C2318B" w:rsidRDefault="000230E8" w:rsidP="000230E8">
            <w:pPr>
              <w:pStyle w:val="TableCell"/>
              <w:rPr>
                <w:sz w:val="24"/>
                <w:lang w:eastAsia="en-GB"/>
              </w:rPr>
            </w:pPr>
            <w:r w:rsidRPr="00C2318B">
              <w:rPr>
                <w:sz w:val="24"/>
                <w:lang w:eastAsia="en-GB"/>
              </w:rPr>
              <w:t xml:space="preserve">296,599 </w:t>
            </w:r>
          </w:p>
        </w:tc>
        <w:tc>
          <w:tcPr>
            <w:tcW w:w="1440" w:type="dxa"/>
            <w:vAlign w:val="bottom"/>
          </w:tcPr>
          <w:p w14:paraId="70900977" w14:textId="77777777" w:rsidR="000230E8" w:rsidRPr="00C2318B" w:rsidRDefault="000230E8" w:rsidP="000230E8">
            <w:pPr>
              <w:pStyle w:val="TableCell"/>
              <w:rPr>
                <w:sz w:val="24"/>
                <w:lang w:eastAsia="en-GB"/>
              </w:rPr>
            </w:pPr>
            <w:r w:rsidRPr="00C2318B">
              <w:rPr>
                <w:sz w:val="24"/>
                <w:lang w:eastAsia="en-GB"/>
              </w:rPr>
              <w:t xml:space="preserve">848,325 </w:t>
            </w:r>
          </w:p>
        </w:tc>
        <w:tc>
          <w:tcPr>
            <w:tcW w:w="1440" w:type="dxa"/>
            <w:vAlign w:val="bottom"/>
          </w:tcPr>
          <w:p w14:paraId="60C7FF73" w14:textId="77777777" w:rsidR="000230E8" w:rsidRPr="00C2318B" w:rsidRDefault="000230E8" w:rsidP="000230E8">
            <w:pPr>
              <w:pStyle w:val="TableCell"/>
              <w:rPr>
                <w:sz w:val="24"/>
                <w:lang w:eastAsia="en-GB"/>
              </w:rPr>
            </w:pPr>
            <w:r w:rsidRPr="00C2318B">
              <w:rPr>
                <w:sz w:val="24"/>
                <w:lang w:eastAsia="en-GB"/>
              </w:rPr>
              <w:t xml:space="preserve">1,534,130 </w:t>
            </w:r>
          </w:p>
        </w:tc>
      </w:tr>
      <w:tr w:rsidR="000230E8" w:rsidRPr="00C2318B" w14:paraId="450D6577" w14:textId="77777777" w:rsidTr="00983E44">
        <w:tblPrEx>
          <w:tblCellMar>
            <w:top w:w="0" w:type="dxa"/>
            <w:bottom w:w="0" w:type="dxa"/>
          </w:tblCellMar>
        </w:tblPrEx>
        <w:tc>
          <w:tcPr>
            <w:tcW w:w="2808" w:type="dxa"/>
            <w:shd w:val="clear" w:color="auto" w:fill="auto"/>
            <w:vAlign w:val="bottom"/>
          </w:tcPr>
          <w:p w14:paraId="56A49B9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Muirearaithe le linn na bliana</w:t>
            </w:r>
          </w:p>
        </w:tc>
        <w:tc>
          <w:tcPr>
            <w:tcW w:w="1665" w:type="dxa"/>
            <w:vAlign w:val="bottom"/>
          </w:tcPr>
          <w:p w14:paraId="03F16CCA" w14:textId="77777777" w:rsidR="000230E8" w:rsidRPr="00C2318B" w:rsidRDefault="000230E8" w:rsidP="000230E8">
            <w:pPr>
              <w:pStyle w:val="TableCell"/>
              <w:rPr>
                <w:sz w:val="24"/>
                <w:lang w:eastAsia="en-GB"/>
              </w:rPr>
            </w:pPr>
            <w:r w:rsidRPr="00C2318B">
              <w:rPr>
                <w:sz w:val="24"/>
                <w:lang w:eastAsia="en-GB"/>
              </w:rPr>
              <w:t xml:space="preserve">4,108 </w:t>
            </w:r>
          </w:p>
        </w:tc>
        <w:tc>
          <w:tcPr>
            <w:tcW w:w="1575" w:type="dxa"/>
            <w:vAlign w:val="bottom"/>
          </w:tcPr>
          <w:p w14:paraId="5FE723B3" w14:textId="77777777" w:rsidR="000230E8" w:rsidRPr="00C2318B" w:rsidRDefault="000230E8" w:rsidP="000230E8">
            <w:pPr>
              <w:pStyle w:val="TableCell"/>
              <w:rPr>
                <w:sz w:val="24"/>
                <w:lang w:eastAsia="en-GB"/>
              </w:rPr>
            </w:pPr>
            <w:r w:rsidRPr="00C2318B">
              <w:rPr>
                <w:sz w:val="24"/>
                <w:lang w:eastAsia="en-GB"/>
              </w:rPr>
              <w:t xml:space="preserve">11,907 </w:t>
            </w:r>
          </w:p>
        </w:tc>
        <w:tc>
          <w:tcPr>
            <w:tcW w:w="1440" w:type="dxa"/>
            <w:vAlign w:val="bottom"/>
          </w:tcPr>
          <w:p w14:paraId="41516B36" w14:textId="77777777" w:rsidR="000230E8" w:rsidRPr="00C2318B" w:rsidRDefault="000230E8" w:rsidP="000230E8">
            <w:pPr>
              <w:pStyle w:val="TableCell"/>
              <w:rPr>
                <w:sz w:val="24"/>
                <w:lang w:eastAsia="en-GB"/>
              </w:rPr>
            </w:pPr>
            <w:r w:rsidRPr="00C2318B">
              <w:rPr>
                <w:sz w:val="24"/>
                <w:lang w:eastAsia="en-GB"/>
              </w:rPr>
              <w:t xml:space="preserve">77,319 </w:t>
            </w:r>
          </w:p>
        </w:tc>
        <w:tc>
          <w:tcPr>
            <w:tcW w:w="1440" w:type="dxa"/>
            <w:vAlign w:val="bottom"/>
          </w:tcPr>
          <w:p w14:paraId="6B8AC0A5" w14:textId="77777777" w:rsidR="000230E8" w:rsidRPr="00C2318B" w:rsidRDefault="000230E8" w:rsidP="000230E8">
            <w:pPr>
              <w:pStyle w:val="TableCell"/>
              <w:rPr>
                <w:sz w:val="24"/>
                <w:lang w:eastAsia="en-GB"/>
              </w:rPr>
            </w:pPr>
            <w:r w:rsidRPr="00C2318B">
              <w:rPr>
                <w:sz w:val="24"/>
                <w:lang w:eastAsia="en-GB"/>
              </w:rPr>
              <w:t xml:space="preserve">93,334 </w:t>
            </w:r>
          </w:p>
        </w:tc>
      </w:tr>
      <w:tr w:rsidR="000230E8" w:rsidRPr="00C2318B" w14:paraId="52EB67E5" w14:textId="77777777" w:rsidTr="00983E44">
        <w:tblPrEx>
          <w:tblCellMar>
            <w:top w:w="0" w:type="dxa"/>
            <w:bottom w:w="0" w:type="dxa"/>
          </w:tblCellMar>
        </w:tblPrEx>
        <w:tc>
          <w:tcPr>
            <w:tcW w:w="2808" w:type="dxa"/>
            <w:shd w:val="clear" w:color="auto" w:fill="auto"/>
            <w:vAlign w:val="bottom"/>
          </w:tcPr>
          <w:p w14:paraId="2DFA52E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Diúscairtí </w:t>
            </w:r>
          </w:p>
        </w:tc>
        <w:tc>
          <w:tcPr>
            <w:tcW w:w="1665" w:type="dxa"/>
            <w:vAlign w:val="bottom"/>
          </w:tcPr>
          <w:p w14:paraId="774A7AF8" w14:textId="77777777" w:rsidR="000230E8" w:rsidRPr="00C2318B" w:rsidRDefault="000230E8" w:rsidP="000230E8">
            <w:pPr>
              <w:pStyle w:val="TableCell"/>
              <w:rPr>
                <w:sz w:val="24"/>
                <w:lang w:eastAsia="en-GB"/>
              </w:rPr>
            </w:pPr>
            <w:r w:rsidRPr="00C2318B">
              <w:rPr>
                <w:sz w:val="24"/>
                <w:lang w:eastAsia="en-GB"/>
              </w:rPr>
              <w:t xml:space="preserve">0 </w:t>
            </w:r>
          </w:p>
        </w:tc>
        <w:tc>
          <w:tcPr>
            <w:tcW w:w="1575" w:type="dxa"/>
            <w:vAlign w:val="bottom"/>
          </w:tcPr>
          <w:p w14:paraId="7F5C783F" w14:textId="77777777" w:rsidR="000230E8" w:rsidRPr="00C2318B" w:rsidRDefault="000230E8" w:rsidP="000230E8">
            <w:pPr>
              <w:pStyle w:val="TableCell"/>
              <w:rPr>
                <w:sz w:val="24"/>
                <w:lang w:eastAsia="en-GB"/>
              </w:rPr>
            </w:pPr>
            <w:r w:rsidRPr="00C2318B">
              <w:rPr>
                <w:sz w:val="24"/>
                <w:lang w:eastAsia="en-GB"/>
              </w:rPr>
              <w:t xml:space="preserve">0 </w:t>
            </w:r>
          </w:p>
        </w:tc>
        <w:tc>
          <w:tcPr>
            <w:tcW w:w="1440" w:type="dxa"/>
            <w:vAlign w:val="bottom"/>
          </w:tcPr>
          <w:p w14:paraId="197E0858" w14:textId="77777777" w:rsidR="000230E8" w:rsidRPr="00C2318B" w:rsidRDefault="000230E8" w:rsidP="000230E8">
            <w:pPr>
              <w:pStyle w:val="TableCell"/>
              <w:rPr>
                <w:sz w:val="24"/>
                <w:lang w:eastAsia="en-GB"/>
              </w:rPr>
            </w:pPr>
            <w:r w:rsidRPr="00C2318B">
              <w:rPr>
                <w:sz w:val="24"/>
                <w:lang w:eastAsia="en-GB"/>
              </w:rPr>
              <w:t xml:space="preserve">0 </w:t>
            </w:r>
          </w:p>
        </w:tc>
        <w:tc>
          <w:tcPr>
            <w:tcW w:w="1440" w:type="dxa"/>
            <w:vAlign w:val="bottom"/>
          </w:tcPr>
          <w:p w14:paraId="1312CA66" w14:textId="77777777" w:rsidR="000230E8" w:rsidRPr="00C2318B" w:rsidRDefault="000230E8" w:rsidP="000230E8">
            <w:pPr>
              <w:pStyle w:val="TableCell"/>
              <w:rPr>
                <w:sz w:val="24"/>
                <w:lang w:eastAsia="en-GB"/>
              </w:rPr>
            </w:pPr>
            <w:r w:rsidRPr="00C2318B">
              <w:rPr>
                <w:sz w:val="24"/>
                <w:lang w:eastAsia="en-GB"/>
              </w:rPr>
              <w:t xml:space="preserve">0 </w:t>
            </w:r>
          </w:p>
        </w:tc>
      </w:tr>
      <w:tr w:rsidR="000230E8" w:rsidRPr="00C2318B" w14:paraId="176796D6" w14:textId="77777777" w:rsidTr="00983E44">
        <w:tblPrEx>
          <w:tblCellMar>
            <w:top w:w="0" w:type="dxa"/>
            <w:bottom w:w="0" w:type="dxa"/>
          </w:tblCellMar>
        </w:tblPrEx>
        <w:tc>
          <w:tcPr>
            <w:tcW w:w="2808" w:type="dxa"/>
            <w:shd w:val="clear" w:color="auto" w:fill="auto"/>
            <w:vAlign w:val="bottom"/>
          </w:tcPr>
          <w:p w14:paraId="2BFDA8E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Iarmhéid ar an 31Nollaig  2011</w:t>
            </w:r>
          </w:p>
        </w:tc>
        <w:tc>
          <w:tcPr>
            <w:tcW w:w="1665" w:type="dxa"/>
            <w:vAlign w:val="bottom"/>
          </w:tcPr>
          <w:p w14:paraId="3D45E1FD" w14:textId="77777777" w:rsidR="000230E8" w:rsidRPr="00C2318B" w:rsidRDefault="000230E8" w:rsidP="000230E8">
            <w:pPr>
              <w:pStyle w:val="TableCell"/>
              <w:rPr>
                <w:b/>
                <w:sz w:val="24"/>
                <w:lang w:eastAsia="en-GB"/>
              </w:rPr>
            </w:pPr>
            <w:r w:rsidRPr="00C2318B">
              <w:rPr>
                <w:b/>
                <w:sz w:val="24"/>
                <w:lang w:eastAsia="en-GB"/>
              </w:rPr>
              <w:t xml:space="preserve">393,314 </w:t>
            </w:r>
          </w:p>
        </w:tc>
        <w:tc>
          <w:tcPr>
            <w:tcW w:w="1575" w:type="dxa"/>
            <w:vAlign w:val="bottom"/>
          </w:tcPr>
          <w:p w14:paraId="3CFB7D9A" w14:textId="77777777" w:rsidR="000230E8" w:rsidRPr="00C2318B" w:rsidRDefault="000230E8" w:rsidP="000230E8">
            <w:pPr>
              <w:pStyle w:val="TableCell"/>
              <w:rPr>
                <w:b/>
                <w:sz w:val="24"/>
                <w:lang w:eastAsia="en-GB"/>
              </w:rPr>
            </w:pPr>
            <w:r w:rsidRPr="00C2318B">
              <w:rPr>
                <w:b/>
                <w:sz w:val="24"/>
                <w:lang w:eastAsia="en-GB"/>
              </w:rPr>
              <w:t xml:space="preserve">308,506 </w:t>
            </w:r>
          </w:p>
        </w:tc>
        <w:tc>
          <w:tcPr>
            <w:tcW w:w="1440" w:type="dxa"/>
            <w:vAlign w:val="bottom"/>
          </w:tcPr>
          <w:p w14:paraId="170E5CDB" w14:textId="77777777" w:rsidR="000230E8" w:rsidRPr="00C2318B" w:rsidRDefault="000230E8" w:rsidP="000230E8">
            <w:pPr>
              <w:pStyle w:val="TableCell"/>
              <w:rPr>
                <w:b/>
                <w:sz w:val="24"/>
                <w:lang w:eastAsia="en-GB"/>
              </w:rPr>
            </w:pPr>
            <w:r w:rsidRPr="00C2318B">
              <w:rPr>
                <w:b/>
                <w:sz w:val="24"/>
                <w:lang w:eastAsia="en-GB"/>
              </w:rPr>
              <w:t xml:space="preserve">925,644 </w:t>
            </w:r>
          </w:p>
        </w:tc>
        <w:tc>
          <w:tcPr>
            <w:tcW w:w="1440" w:type="dxa"/>
            <w:vAlign w:val="bottom"/>
          </w:tcPr>
          <w:p w14:paraId="1D0D0438" w14:textId="77777777" w:rsidR="000230E8" w:rsidRPr="00C2318B" w:rsidRDefault="000230E8" w:rsidP="000230E8">
            <w:pPr>
              <w:pStyle w:val="TableCell"/>
              <w:rPr>
                <w:b/>
                <w:sz w:val="24"/>
                <w:lang w:eastAsia="en-GB"/>
              </w:rPr>
            </w:pPr>
            <w:r w:rsidRPr="00C2318B">
              <w:rPr>
                <w:b/>
                <w:sz w:val="24"/>
                <w:lang w:eastAsia="en-GB"/>
              </w:rPr>
              <w:t xml:space="preserve">1,627,464 </w:t>
            </w:r>
          </w:p>
        </w:tc>
      </w:tr>
      <w:tr w:rsidR="000230E8" w:rsidRPr="00C2318B" w14:paraId="3F8EA675" w14:textId="77777777" w:rsidTr="00983E44">
        <w:tblPrEx>
          <w:tblCellMar>
            <w:top w:w="0" w:type="dxa"/>
            <w:bottom w:w="0" w:type="dxa"/>
          </w:tblCellMar>
        </w:tblPrEx>
        <w:tc>
          <w:tcPr>
            <w:tcW w:w="2808" w:type="dxa"/>
            <w:shd w:val="clear" w:color="auto" w:fill="auto"/>
            <w:vAlign w:val="bottom"/>
          </w:tcPr>
          <w:p w14:paraId="7C1255F2" w14:textId="77777777" w:rsidR="000230E8" w:rsidRPr="00C2318B" w:rsidRDefault="000230E8" w:rsidP="000230E8">
            <w:pPr>
              <w:pStyle w:val="TableRowHead"/>
              <w:rPr>
                <w:rFonts w:ascii="Gill Sans" w:hAnsi="Gill Sans"/>
                <w:bCs/>
                <w:sz w:val="24"/>
                <w:lang w:eastAsia="en-GB"/>
              </w:rPr>
            </w:pPr>
            <w:r w:rsidRPr="00C2318B">
              <w:rPr>
                <w:rFonts w:ascii="Gill Sans" w:hAnsi="Gill Sans"/>
                <w:bCs/>
                <w:sz w:val="24"/>
                <w:lang w:eastAsia="en-GB"/>
              </w:rPr>
              <w:t>Glanluach Leabhair - 31 Nollaig 2011</w:t>
            </w:r>
          </w:p>
        </w:tc>
        <w:tc>
          <w:tcPr>
            <w:tcW w:w="1665" w:type="dxa"/>
            <w:vAlign w:val="bottom"/>
          </w:tcPr>
          <w:p w14:paraId="66782CAF" w14:textId="77777777" w:rsidR="000230E8" w:rsidRPr="00C2318B" w:rsidRDefault="000230E8" w:rsidP="000230E8">
            <w:pPr>
              <w:pStyle w:val="TableCell"/>
              <w:rPr>
                <w:sz w:val="24"/>
                <w:lang w:eastAsia="en-GB"/>
              </w:rPr>
            </w:pPr>
            <w:r w:rsidRPr="00C2318B">
              <w:rPr>
                <w:sz w:val="24"/>
                <w:lang w:eastAsia="en-GB"/>
              </w:rPr>
              <w:t xml:space="preserve">7,220 </w:t>
            </w:r>
          </w:p>
        </w:tc>
        <w:tc>
          <w:tcPr>
            <w:tcW w:w="1575" w:type="dxa"/>
            <w:vAlign w:val="bottom"/>
          </w:tcPr>
          <w:p w14:paraId="2B571483" w14:textId="77777777" w:rsidR="000230E8" w:rsidRPr="00C2318B" w:rsidRDefault="000230E8" w:rsidP="000230E8">
            <w:pPr>
              <w:pStyle w:val="TableCell"/>
              <w:rPr>
                <w:sz w:val="24"/>
                <w:lang w:eastAsia="en-GB"/>
              </w:rPr>
            </w:pPr>
            <w:r w:rsidRPr="00C2318B">
              <w:rPr>
                <w:sz w:val="24"/>
                <w:lang w:eastAsia="en-GB"/>
              </w:rPr>
              <w:t xml:space="preserve">5,204 </w:t>
            </w:r>
          </w:p>
        </w:tc>
        <w:tc>
          <w:tcPr>
            <w:tcW w:w="1440" w:type="dxa"/>
            <w:vAlign w:val="bottom"/>
          </w:tcPr>
          <w:p w14:paraId="46BA9E63" w14:textId="77777777" w:rsidR="000230E8" w:rsidRPr="00C2318B" w:rsidRDefault="000230E8" w:rsidP="000230E8">
            <w:pPr>
              <w:pStyle w:val="TableCell"/>
              <w:rPr>
                <w:sz w:val="24"/>
                <w:lang w:eastAsia="en-GB"/>
              </w:rPr>
            </w:pPr>
            <w:r w:rsidRPr="00C2318B">
              <w:rPr>
                <w:sz w:val="24"/>
                <w:lang w:eastAsia="en-GB"/>
              </w:rPr>
              <w:t xml:space="preserve">3,015,442 </w:t>
            </w:r>
          </w:p>
        </w:tc>
        <w:tc>
          <w:tcPr>
            <w:tcW w:w="1440" w:type="dxa"/>
            <w:vAlign w:val="bottom"/>
          </w:tcPr>
          <w:p w14:paraId="005B09AB" w14:textId="77777777" w:rsidR="000230E8" w:rsidRPr="00C2318B" w:rsidRDefault="000230E8" w:rsidP="000230E8">
            <w:pPr>
              <w:pStyle w:val="TableCell"/>
              <w:rPr>
                <w:sz w:val="24"/>
                <w:lang w:eastAsia="en-GB"/>
              </w:rPr>
            </w:pPr>
            <w:r w:rsidRPr="00C2318B">
              <w:rPr>
                <w:sz w:val="24"/>
                <w:lang w:eastAsia="en-GB"/>
              </w:rPr>
              <w:t xml:space="preserve">3,027,866 </w:t>
            </w:r>
          </w:p>
        </w:tc>
      </w:tr>
      <w:tr w:rsidR="000230E8" w:rsidRPr="00C2318B" w14:paraId="5AD9A29B" w14:textId="77777777" w:rsidTr="00983E44">
        <w:tblPrEx>
          <w:tblCellMar>
            <w:top w:w="0" w:type="dxa"/>
            <w:bottom w:w="0" w:type="dxa"/>
          </w:tblCellMar>
        </w:tblPrEx>
        <w:tc>
          <w:tcPr>
            <w:tcW w:w="2808" w:type="dxa"/>
            <w:shd w:val="clear" w:color="auto" w:fill="auto"/>
            <w:vAlign w:val="bottom"/>
          </w:tcPr>
          <w:p w14:paraId="5E94BF54" w14:textId="77777777" w:rsidR="000230E8" w:rsidRPr="00C2318B" w:rsidRDefault="000230E8" w:rsidP="000230E8">
            <w:pPr>
              <w:pStyle w:val="TableRowHead"/>
              <w:rPr>
                <w:rFonts w:ascii="Gill Sans" w:hAnsi="Gill Sans"/>
                <w:bCs/>
                <w:sz w:val="24"/>
                <w:lang w:eastAsia="en-GB"/>
              </w:rPr>
            </w:pPr>
            <w:r w:rsidRPr="00C2318B">
              <w:rPr>
                <w:rFonts w:ascii="Gill Sans" w:hAnsi="Gill Sans"/>
                <w:bCs/>
                <w:sz w:val="24"/>
                <w:lang w:eastAsia="en-GB"/>
              </w:rPr>
              <w:t>Glanluach Leabhair - 31 Nollaig 2010</w:t>
            </w:r>
          </w:p>
        </w:tc>
        <w:tc>
          <w:tcPr>
            <w:tcW w:w="1665" w:type="dxa"/>
            <w:vAlign w:val="bottom"/>
          </w:tcPr>
          <w:p w14:paraId="0B7CE62A" w14:textId="77777777" w:rsidR="000230E8" w:rsidRPr="00C2318B" w:rsidRDefault="000230E8" w:rsidP="000230E8">
            <w:pPr>
              <w:pStyle w:val="TableCell"/>
              <w:rPr>
                <w:sz w:val="24"/>
                <w:lang w:eastAsia="en-GB"/>
              </w:rPr>
            </w:pPr>
            <w:r w:rsidRPr="00C2318B">
              <w:rPr>
                <w:sz w:val="24"/>
                <w:lang w:eastAsia="en-GB"/>
              </w:rPr>
              <w:t xml:space="preserve">3,378 </w:t>
            </w:r>
          </w:p>
        </w:tc>
        <w:tc>
          <w:tcPr>
            <w:tcW w:w="1575" w:type="dxa"/>
            <w:vAlign w:val="bottom"/>
          </w:tcPr>
          <w:p w14:paraId="51969B45" w14:textId="77777777" w:rsidR="000230E8" w:rsidRPr="00C2318B" w:rsidRDefault="000230E8" w:rsidP="000230E8">
            <w:pPr>
              <w:pStyle w:val="TableCell"/>
              <w:rPr>
                <w:sz w:val="24"/>
                <w:lang w:eastAsia="en-GB"/>
              </w:rPr>
            </w:pPr>
            <w:r w:rsidRPr="00C2318B">
              <w:rPr>
                <w:sz w:val="24"/>
                <w:lang w:eastAsia="en-GB"/>
              </w:rPr>
              <w:t xml:space="preserve">15,826 </w:t>
            </w:r>
          </w:p>
        </w:tc>
        <w:tc>
          <w:tcPr>
            <w:tcW w:w="1440" w:type="dxa"/>
            <w:vAlign w:val="bottom"/>
          </w:tcPr>
          <w:p w14:paraId="19CF80E2" w14:textId="77777777" w:rsidR="000230E8" w:rsidRPr="00C2318B" w:rsidRDefault="000230E8" w:rsidP="000230E8">
            <w:pPr>
              <w:pStyle w:val="TableCell"/>
              <w:rPr>
                <w:sz w:val="24"/>
                <w:lang w:eastAsia="en-GB"/>
              </w:rPr>
            </w:pPr>
            <w:r w:rsidRPr="00C2318B">
              <w:rPr>
                <w:sz w:val="24"/>
                <w:lang w:eastAsia="en-GB"/>
              </w:rPr>
              <w:t xml:space="preserve">3,092,761 </w:t>
            </w:r>
          </w:p>
        </w:tc>
        <w:tc>
          <w:tcPr>
            <w:tcW w:w="1440" w:type="dxa"/>
            <w:vAlign w:val="bottom"/>
          </w:tcPr>
          <w:p w14:paraId="48901746" w14:textId="77777777" w:rsidR="000230E8" w:rsidRPr="00C2318B" w:rsidRDefault="000230E8" w:rsidP="000230E8">
            <w:pPr>
              <w:pStyle w:val="TableCell"/>
              <w:rPr>
                <w:sz w:val="24"/>
                <w:lang w:eastAsia="en-GB"/>
              </w:rPr>
            </w:pPr>
            <w:r w:rsidRPr="00C2318B">
              <w:rPr>
                <w:sz w:val="24"/>
                <w:lang w:eastAsia="en-GB"/>
              </w:rPr>
              <w:t xml:space="preserve">3,111,965 </w:t>
            </w:r>
          </w:p>
        </w:tc>
      </w:tr>
    </w:tbl>
    <w:p w14:paraId="6A400DC4" w14:textId="77777777" w:rsidR="000230E8" w:rsidRPr="00C2318B" w:rsidRDefault="000230E8" w:rsidP="000230E8">
      <w:pPr>
        <w:rPr>
          <w:lang/>
        </w:rPr>
      </w:pPr>
      <w:r w:rsidRPr="00C2318B">
        <w:rPr>
          <w:lang/>
        </w:rPr>
        <w:br/>
        <w:t>Oibríonn an Bord a ghnó in áitreabh ag 25 Bóthar Chluaidh, Droichead na Dothra, Baile Átha Cliath a bhfuil sé ina úinéir air. Níl an Bord ina úinéir ar aon réadmhaoin eile agus ní léasaíonn sé aon réadmhaoin.</w:t>
      </w:r>
    </w:p>
    <w:p w14:paraId="365D02E7" w14:textId="77777777" w:rsidR="000230E8" w:rsidRPr="00C2318B" w:rsidRDefault="000230E8" w:rsidP="000230E8">
      <w:pPr>
        <w:pStyle w:val="Heading2"/>
        <w:rPr>
          <w:lang w:eastAsia="en-GB"/>
        </w:rPr>
      </w:pPr>
      <w:bookmarkStart w:id="509" w:name="_Toc335836558"/>
      <w:r w:rsidRPr="00C2318B">
        <w:rPr>
          <w:lang w:eastAsia="en-GB"/>
        </w:rPr>
        <w:t>8. Cuntas Caipitil</w:t>
      </w:r>
      <w:bookmarkEnd w:id="509"/>
      <w:r w:rsidRPr="00C2318B">
        <w:rPr>
          <w:lang w:eastAsia="en-GB"/>
        </w:rPr>
        <w:t xml:space="preserve"> </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248"/>
        <w:gridCol w:w="1080"/>
        <w:gridCol w:w="1764"/>
        <w:gridCol w:w="1764"/>
      </w:tblGrid>
      <w:tr w:rsidR="000230E8" w:rsidRPr="00C2318B" w14:paraId="6382EB23" w14:textId="77777777" w:rsidTr="00983E44">
        <w:tblPrEx>
          <w:tblCellMar>
            <w:top w:w="0" w:type="dxa"/>
            <w:bottom w:w="0" w:type="dxa"/>
          </w:tblCellMar>
        </w:tblPrEx>
        <w:trPr>
          <w:tblHeader/>
        </w:trPr>
        <w:tc>
          <w:tcPr>
            <w:tcW w:w="4248" w:type="dxa"/>
            <w:vAlign w:val="bottom"/>
          </w:tcPr>
          <w:p w14:paraId="29452492" w14:textId="77777777" w:rsidR="000230E8" w:rsidRPr="00C2318B" w:rsidRDefault="000230E8" w:rsidP="000230E8">
            <w:pPr>
              <w:spacing w:after="0"/>
              <w:rPr>
                <w:rFonts w:cs="Arial"/>
                <w:sz w:val="24"/>
                <w:lang w:eastAsia="en-GB"/>
              </w:rPr>
            </w:pPr>
          </w:p>
        </w:tc>
        <w:tc>
          <w:tcPr>
            <w:tcW w:w="1080" w:type="dxa"/>
            <w:vAlign w:val="bottom"/>
          </w:tcPr>
          <w:p w14:paraId="5C98C7E9" w14:textId="77777777" w:rsidR="000230E8" w:rsidRPr="00C2318B" w:rsidRDefault="000230E8" w:rsidP="000230E8">
            <w:pPr>
              <w:pStyle w:val="TableHead"/>
              <w:rPr>
                <w:lang w:eastAsia="en-GB"/>
              </w:rPr>
            </w:pPr>
            <w:r w:rsidRPr="00C2318B">
              <w:rPr>
                <w:lang w:eastAsia="en-GB"/>
              </w:rPr>
              <w:t>Nótaí</w:t>
            </w:r>
          </w:p>
        </w:tc>
        <w:tc>
          <w:tcPr>
            <w:tcW w:w="1764" w:type="dxa"/>
            <w:vAlign w:val="bottom"/>
          </w:tcPr>
          <w:p w14:paraId="6C3A0B6F" w14:textId="77777777" w:rsidR="000230E8" w:rsidRPr="00C2318B" w:rsidRDefault="000230E8" w:rsidP="000230E8">
            <w:pPr>
              <w:pStyle w:val="TableHead"/>
              <w:jc w:val="right"/>
              <w:rPr>
                <w:bCs/>
                <w:lang w:eastAsia="en-GB"/>
              </w:rPr>
            </w:pPr>
            <w:r w:rsidRPr="00C2318B">
              <w:rPr>
                <w:bCs/>
                <w:lang w:eastAsia="en-GB"/>
              </w:rPr>
              <w:t>2011</w:t>
            </w:r>
          </w:p>
        </w:tc>
        <w:tc>
          <w:tcPr>
            <w:tcW w:w="1764" w:type="dxa"/>
            <w:vAlign w:val="bottom"/>
          </w:tcPr>
          <w:p w14:paraId="09D5A0B5" w14:textId="77777777" w:rsidR="000230E8" w:rsidRPr="00C2318B" w:rsidRDefault="000230E8" w:rsidP="000230E8">
            <w:pPr>
              <w:pStyle w:val="TableHead"/>
              <w:jc w:val="right"/>
              <w:rPr>
                <w:bCs/>
                <w:lang w:eastAsia="en-GB"/>
              </w:rPr>
            </w:pPr>
            <w:r w:rsidRPr="00C2318B">
              <w:rPr>
                <w:bCs/>
                <w:lang w:eastAsia="en-GB"/>
              </w:rPr>
              <w:t>2010</w:t>
            </w:r>
          </w:p>
        </w:tc>
      </w:tr>
      <w:tr w:rsidR="000230E8" w:rsidRPr="00C2318B" w14:paraId="6A2C3CCE" w14:textId="77777777" w:rsidTr="00983E44">
        <w:tblPrEx>
          <w:tblCellMar>
            <w:top w:w="0" w:type="dxa"/>
            <w:bottom w:w="0" w:type="dxa"/>
          </w:tblCellMar>
        </w:tblPrEx>
        <w:tc>
          <w:tcPr>
            <w:tcW w:w="4248" w:type="dxa"/>
            <w:vAlign w:val="bottom"/>
          </w:tcPr>
          <w:p w14:paraId="30837E13" w14:textId="77777777" w:rsidR="000230E8" w:rsidRPr="00C2318B" w:rsidRDefault="000230E8" w:rsidP="000230E8">
            <w:pPr>
              <w:spacing w:after="0"/>
              <w:rPr>
                <w:rFonts w:cs="Arial"/>
                <w:sz w:val="24"/>
                <w:lang w:eastAsia="en-GB"/>
              </w:rPr>
            </w:pPr>
          </w:p>
        </w:tc>
        <w:tc>
          <w:tcPr>
            <w:tcW w:w="1080" w:type="dxa"/>
            <w:vAlign w:val="bottom"/>
          </w:tcPr>
          <w:p w14:paraId="3F886902" w14:textId="77777777" w:rsidR="000230E8" w:rsidRPr="00C2318B" w:rsidRDefault="000230E8" w:rsidP="000230E8">
            <w:pPr>
              <w:spacing w:after="0"/>
              <w:rPr>
                <w:rFonts w:cs="Arial"/>
                <w:sz w:val="24"/>
                <w:lang w:eastAsia="en-GB"/>
              </w:rPr>
            </w:pPr>
          </w:p>
        </w:tc>
        <w:tc>
          <w:tcPr>
            <w:tcW w:w="1764" w:type="dxa"/>
            <w:vAlign w:val="bottom"/>
          </w:tcPr>
          <w:p w14:paraId="6F313DDA"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p>
        </w:tc>
        <w:tc>
          <w:tcPr>
            <w:tcW w:w="1764" w:type="dxa"/>
            <w:vAlign w:val="bottom"/>
          </w:tcPr>
          <w:p w14:paraId="4F1EC303"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p>
        </w:tc>
      </w:tr>
      <w:tr w:rsidR="000230E8" w:rsidRPr="00C2318B" w14:paraId="50FEC55A" w14:textId="77777777" w:rsidTr="00983E44">
        <w:tblPrEx>
          <w:tblCellMar>
            <w:top w:w="0" w:type="dxa"/>
            <w:bottom w:w="0" w:type="dxa"/>
          </w:tblCellMar>
        </w:tblPrEx>
        <w:tc>
          <w:tcPr>
            <w:tcW w:w="4248" w:type="dxa"/>
            <w:vAlign w:val="bottom"/>
          </w:tcPr>
          <w:p w14:paraId="3E258832"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Iarmhéid ar an 1 Eanáir</w:t>
            </w:r>
          </w:p>
        </w:tc>
        <w:tc>
          <w:tcPr>
            <w:tcW w:w="1080" w:type="dxa"/>
            <w:vAlign w:val="bottom"/>
          </w:tcPr>
          <w:p w14:paraId="40E6CC71" w14:textId="77777777" w:rsidR="000230E8" w:rsidRPr="00C2318B" w:rsidRDefault="000230E8" w:rsidP="000230E8">
            <w:pPr>
              <w:spacing w:after="0"/>
              <w:rPr>
                <w:rFonts w:cs="Arial"/>
                <w:sz w:val="24"/>
                <w:lang w:eastAsia="en-GB"/>
              </w:rPr>
            </w:pPr>
          </w:p>
        </w:tc>
        <w:tc>
          <w:tcPr>
            <w:tcW w:w="1764" w:type="dxa"/>
            <w:vAlign w:val="bottom"/>
          </w:tcPr>
          <w:p w14:paraId="713DE290"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3,111,965 </w:t>
            </w:r>
          </w:p>
        </w:tc>
        <w:tc>
          <w:tcPr>
            <w:tcW w:w="1764" w:type="dxa"/>
            <w:vAlign w:val="bottom"/>
          </w:tcPr>
          <w:p w14:paraId="6E29B482"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3,205,216 </w:t>
            </w:r>
          </w:p>
        </w:tc>
      </w:tr>
      <w:tr w:rsidR="000230E8" w:rsidRPr="00C2318B" w14:paraId="0A431E2A" w14:textId="77777777" w:rsidTr="00983E44">
        <w:tblPrEx>
          <w:tblCellMar>
            <w:top w:w="0" w:type="dxa"/>
            <w:bottom w:w="0" w:type="dxa"/>
          </w:tblCellMar>
        </w:tblPrEx>
        <w:tc>
          <w:tcPr>
            <w:tcW w:w="8856" w:type="dxa"/>
            <w:gridSpan w:val="4"/>
            <w:vAlign w:val="bottom"/>
          </w:tcPr>
          <w:p w14:paraId="58E5FDB6" w14:textId="77777777" w:rsidR="000230E8" w:rsidRPr="00C2318B" w:rsidRDefault="000230E8" w:rsidP="000230E8">
            <w:pPr>
              <w:pStyle w:val="TableHead"/>
              <w:jc w:val="center"/>
              <w:rPr>
                <w:sz w:val="24"/>
                <w:lang w:eastAsia="en-GB"/>
              </w:rPr>
            </w:pPr>
            <w:r w:rsidRPr="00C2318B">
              <w:rPr>
                <w:sz w:val="24"/>
                <w:lang w:eastAsia="en-GB"/>
              </w:rPr>
              <w:t>Aistriú (chuig) / ón gCuntas Ioncaim agus Caiteachais</w:t>
            </w:r>
          </w:p>
        </w:tc>
      </w:tr>
      <w:tr w:rsidR="000230E8" w:rsidRPr="00C2318B" w14:paraId="6C91227E" w14:textId="77777777" w:rsidTr="00983E44">
        <w:tblPrEx>
          <w:tblCellMar>
            <w:top w:w="0" w:type="dxa"/>
            <w:bottom w:w="0" w:type="dxa"/>
          </w:tblCellMar>
        </w:tblPrEx>
        <w:tc>
          <w:tcPr>
            <w:tcW w:w="4248" w:type="dxa"/>
            <w:vAlign w:val="bottom"/>
          </w:tcPr>
          <w:p w14:paraId="4BE8EC1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Ioncam curtha i bhfeidhm chun sócmhainní seasta a cheannach </w:t>
            </w:r>
          </w:p>
        </w:tc>
        <w:tc>
          <w:tcPr>
            <w:tcW w:w="1080" w:type="dxa"/>
            <w:vAlign w:val="bottom"/>
          </w:tcPr>
          <w:p w14:paraId="41B5854C"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7 </w:t>
            </w:r>
          </w:p>
        </w:tc>
        <w:tc>
          <w:tcPr>
            <w:tcW w:w="1764" w:type="dxa"/>
            <w:vAlign w:val="bottom"/>
          </w:tcPr>
          <w:p w14:paraId="6BC779C4"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9,235 </w:t>
            </w:r>
          </w:p>
        </w:tc>
        <w:tc>
          <w:tcPr>
            <w:tcW w:w="1764" w:type="dxa"/>
            <w:vAlign w:val="bottom"/>
          </w:tcPr>
          <w:p w14:paraId="5E974724"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3,729 </w:t>
            </w:r>
          </w:p>
        </w:tc>
      </w:tr>
      <w:tr w:rsidR="000230E8" w:rsidRPr="00C2318B" w14:paraId="1548D107" w14:textId="77777777" w:rsidTr="00983E44">
        <w:tblPrEx>
          <w:tblCellMar>
            <w:top w:w="0" w:type="dxa"/>
            <w:bottom w:w="0" w:type="dxa"/>
          </w:tblCellMar>
        </w:tblPrEx>
        <w:tc>
          <w:tcPr>
            <w:tcW w:w="4248" w:type="dxa"/>
            <w:vAlign w:val="bottom"/>
          </w:tcPr>
          <w:p w14:paraId="16E523A0"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Amúchta le linn na bliana de réir dhímheas sócmhainní </w:t>
            </w:r>
          </w:p>
        </w:tc>
        <w:tc>
          <w:tcPr>
            <w:tcW w:w="1080" w:type="dxa"/>
            <w:vAlign w:val="bottom"/>
          </w:tcPr>
          <w:p w14:paraId="6F9481AC"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7 </w:t>
            </w:r>
          </w:p>
        </w:tc>
        <w:tc>
          <w:tcPr>
            <w:tcW w:w="1764" w:type="dxa"/>
            <w:vAlign w:val="bottom"/>
          </w:tcPr>
          <w:p w14:paraId="2F3F8771" w14:textId="77777777" w:rsidR="000230E8" w:rsidRPr="00C2318B" w:rsidRDefault="000230E8" w:rsidP="000230E8">
            <w:pPr>
              <w:spacing w:after="0"/>
              <w:jc w:val="right"/>
              <w:rPr>
                <w:rFonts w:cs="Arial"/>
                <w:sz w:val="24"/>
                <w:lang w:eastAsia="en-GB"/>
              </w:rPr>
            </w:pPr>
            <w:r w:rsidRPr="00C2318B">
              <w:rPr>
                <w:rFonts w:cs="Arial"/>
                <w:sz w:val="24"/>
                <w:lang w:eastAsia="en-GB"/>
              </w:rPr>
              <w:t>(93,334)</w:t>
            </w:r>
          </w:p>
        </w:tc>
        <w:tc>
          <w:tcPr>
            <w:tcW w:w="1764" w:type="dxa"/>
            <w:vAlign w:val="bottom"/>
          </w:tcPr>
          <w:p w14:paraId="333BB984" w14:textId="77777777" w:rsidR="000230E8" w:rsidRPr="00C2318B" w:rsidRDefault="000230E8" w:rsidP="000230E8">
            <w:pPr>
              <w:spacing w:after="0"/>
              <w:jc w:val="right"/>
              <w:rPr>
                <w:rFonts w:cs="Arial"/>
                <w:sz w:val="24"/>
                <w:lang w:eastAsia="en-GB"/>
              </w:rPr>
            </w:pPr>
            <w:r w:rsidRPr="00C2318B">
              <w:rPr>
                <w:rFonts w:cs="Arial"/>
                <w:sz w:val="24"/>
                <w:lang w:eastAsia="en-GB"/>
              </w:rPr>
              <w:t>(96,980)</w:t>
            </w:r>
          </w:p>
        </w:tc>
      </w:tr>
      <w:tr w:rsidR="000230E8" w:rsidRPr="00C2318B" w14:paraId="51BFC324" w14:textId="77777777" w:rsidTr="00983E44">
        <w:tblPrEx>
          <w:tblCellMar>
            <w:top w:w="0" w:type="dxa"/>
            <w:bottom w:w="0" w:type="dxa"/>
          </w:tblCellMar>
        </w:tblPrEx>
        <w:tc>
          <w:tcPr>
            <w:tcW w:w="4248" w:type="dxa"/>
            <w:vAlign w:val="bottom"/>
          </w:tcPr>
          <w:p w14:paraId="2587A561"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Scaoileadh ar Dhiúscairt Sócmhainní Seasta </w:t>
            </w:r>
          </w:p>
        </w:tc>
        <w:tc>
          <w:tcPr>
            <w:tcW w:w="1080" w:type="dxa"/>
            <w:vAlign w:val="bottom"/>
          </w:tcPr>
          <w:p w14:paraId="5FE037AE"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7 </w:t>
            </w:r>
          </w:p>
        </w:tc>
        <w:tc>
          <w:tcPr>
            <w:tcW w:w="1764" w:type="dxa"/>
            <w:vAlign w:val="bottom"/>
          </w:tcPr>
          <w:p w14:paraId="37C4E5F4"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0 </w:t>
            </w:r>
          </w:p>
        </w:tc>
        <w:tc>
          <w:tcPr>
            <w:tcW w:w="1764" w:type="dxa"/>
            <w:vAlign w:val="bottom"/>
          </w:tcPr>
          <w:p w14:paraId="17B69005"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0 </w:t>
            </w:r>
          </w:p>
        </w:tc>
      </w:tr>
      <w:tr w:rsidR="000230E8" w:rsidRPr="00C2318B" w14:paraId="167C4FA1" w14:textId="77777777" w:rsidTr="00983E44">
        <w:tblPrEx>
          <w:tblCellMar>
            <w:top w:w="0" w:type="dxa"/>
            <w:bottom w:w="0" w:type="dxa"/>
          </w:tblCellMar>
        </w:tblPrEx>
        <w:tc>
          <w:tcPr>
            <w:tcW w:w="4248" w:type="dxa"/>
            <w:vAlign w:val="bottom"/>
          </w:tcPr>
          <w:p w14:paraId="44AE262D" w14:textId="77777777" w:rsidR="000230E8" w:rsidRPr="00C2318B" w:rsidRDefault="000230E8" w:rsidP="000230E8">
            <w:pPr>
              <w:pStyle w:val="TableRowHead"/>
              <w:rPr>
                <w:rFonts w:ascii="Gill Sans" w:hAnsi="Gill Sans"/>
                <w:sz w:val="24"/>
                <w:lang w:eastAsia="en-GB"/>
              </w:rPr>
            </w:pPr>
          </w:p>
        </w:tc>
        <w:tc>
          <w:tcPr>
            <w:tcW w:w="1080" w:type="dxa"/>
            <w:vAlign w:val="bottom"/>
          </w:tcPr>
          <w:p w14:paraId="67FB6DFA" w14:textId="77777777" w:rsidR="000230E8" w:rsidRPr="00C2318B" w:rsidRDefault="000230E8" w:rsidP="000230E8">
            <w:pPr>
              <w:spacing w:after="0"/>
              <w:rPr>
                <w:rFonts w:cs="Arial"/>
                <w:sz w:val="24"/>
                <w:lang w:eastAsia="en-GB"/>
              </w:rPr>
            </w:pPr>
          </w:p>
        </w:tc>
        <w:tc>
          <w:tcPr>
            <w:tcW w:w="1764" w:type="dxa"/>
            <w:vAlign w:val="bottom"/>
          </w:tcPr>
          <w:p w14:paraId="33B703A9" w14:textId="77777777" w:rsidR="000230E8" w:rsidRPr="00C2318B" w:rsidRDefault="000230E8" w:rsidP="000230E8">
            <w:pPr>
              <w:spacing w:after="0"/>
              <w:jc w:val="right"/>
              <w:rPr>
                <w:rFonts w:cs="Arial"/>
                <w:sz w:val="24"/>
                <w:lang w:eastAsia="en-GB"/>
              </w:rPr>
            </w:pPr>
            <w:r w:rsidRPr="00C2318B">
              <w:rPr>
                <w:rFonts w:cs="Arial"/>
                <w:sz w:val="24"/>
                <w:lang w:eastAsia="en-GB"/>
              </w:rPr>
              <w:t>(84,099)</w:t>
            </w:r>
          </w:p>
        </w:tc>
        <w:tc>
          <w:tcPr>
            <w:tcW w:w="1764" w:type="dxa"/>
            <w:vAlign w:val="bottom"/>
          </w:tcPr>
          <w:p w14:paraId="0F143D32" w14:textId="77777777" w:rsidR="000230E8" w:rsidRPr="00C2318B" w:rsidRDefault="000230E8" w:rsidP="000230E8">
            <w:pPr>
              <w:spacing w:after="0"/>
              <w:jc w:val="right"/>
              <w:rPr>
                <w:rFonts w:cs="Arial"/>
                <w:sz w:val="24"/>
                <w:lang w:eastAsia="en-GB"/>
              </w:rPr>
            </w:pPr>
            <w:r w:rsidRPr="00C2318B">
              <w:rPr>
                <w:rFonts w:cs="Arial"/>
                <w:sz w:val="24"/>
                <w:lang w:eastAsia="en-GB"/>
              </w:rPr>
              <w:t>(93,251)</w:t>
            </w:r>
          </w:p>
        </w:tc>
      </w:tr>
      <w:tr w:rsidR="000230E8" w:rsidRPr="00C2318B" w14:paraId="2DCBE396" w14:textId="77777777" w:rsidTr="00983E44">
        <w:tblPrEx>
          <w:tblCellMar>
            <w:top w:w="0" w:type="dxa"/>
            <w:bottom w:w="0" w:type="dxa"/>
          </w:tblCellMar>
        </w:tblPrEx>
        <w:tc>
          <w:tcPr>
            <w:tcW w:w="4248" w:type="dxa"/>
            <w:vAlign w:val="bottom"/>
          </w:tcPr>
          <w:p w14:paraId="3A078A4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Iarmhéid ar an 31 Nollaig</w:t>
            </w:r>
          </w:p>
        </w:tc>
        <w:tc>
          <w:tcPr>
            <w:tcW w:w="1080" w:type="dxa"/>
            <w:vAlign w:val="bottom"/>
          </w:tcPr>
          <w:p w14:paraId="4E4FFDB6" w14:textId="77777777" w:rsidR="000230E8" w:rsidRPr="00C2318B" w:rsidRDefault="000230E8" w:rsidP="000230E8">
            <w:pPr>
              <w:spacing w:after="0"/>
              <w:rPr>
                <w:rFonts w:cs="Arial"/>
                <w:sz w:val="24"/>
                <w:lang w:eastAsia="en-GB"/>
              </w:rPr>
            </w:pPr>
          </w:p>
        </w:tc>
        <w:tc>
          <w:tcPr>
            <w:tcW w:w="1764" w:type="dxa"/>
            <w:vAlign w:val="bottom"/>
          </w:tcPr>
          <w:p w14:paraId="6DC512FE"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3,027,866 </w:t>
            </w:r>
          </w:p>
        </w:tc>
        <w:tc>
          <w:tcPr>
            <w:tcW w:w="1764" w:type="dxa"/>
            <w:vAlign w:val="bottom"/>
          </w:tcPr>
          <w:p w14:paraId="3C769F59"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3,111,965 </w:t>
            </w:r>
          </w:p>
        </w:tc>
      </w:tr>
    </w:tbl>
    <w:p w14:paraId="01E6CB8F" w14:textId="77777777" w:rsidR="000230E8" w:rsidRPr="00C2318B" w:rsidRDefault="000230E8" w:rsidP="000230E8">
      <w:pPr>
        <w:pStyle w:val="Heading2"/>
        <w:rPr>
          <w:lang/>
        </w:rPr>
      </w:pPr>
      <w:r w:rsidRPr="00C2318B">
        <w:rPr>
          <w:lang/>
        </w:rPr>
        <w:br/>
      </w:r>
      <w:bookmarkStart w:id="510" w:name="_Toc335836559"/>
      <w:r w:rsidRPr="00C2318B">
        <w:rPr>
          <w:lang/>
        </w:rPr>
        <w:t>9. Réiteach Shreabhadh Airgid</w:t>
      </w:r>
      <w:bookmarkEnd w:id="510"/>
      <w:r w:rsidRPr="00C2318B">
        <w:rPr>
          <w:lang/>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0230E8" w:rsidRPr="00C2318B" w14:paraId="2E04807F" w14:textId="77777777" w:rsidTr="00983E44">
        <w:tblPrEx>
          <w:tblCellMar>
            <w:top w:w="0" w:type="dxa"/>
            <w:bottom w:w="0" w:type="dxa"/>
          </w:tblCellMar>
        </w:tblPrEx>
        <w:trPr>
          <w:tblHeader/>
        </w:trPr>
        <w:tc>
          <w:tcPr>
            <w:tcW w:w="4788" w:type="dxa"/>
            <w:shd w:val="clear" w:color="auto" w:fill="auto"/>
          </w:tcPr>
          <w:p w14:paraId="0E1BED2B" w14:textId="77777777" w:rsidR="000230E8" w:rsidRPr="00C2318B" w:rsidRDefault="000230E8" w:rsidP="000230E8">
            <w:pPr>
              <w:pStyle w:val="TableHead"/>
              <w:jc w:val="right"/>
              <w:rPr>
                <w:lang/>
              </w:rPr>
            </w:pPr>
          </w:p>
        </w:tc>
        <w:tc>
          <w:tcPr>
            <w:tcW w:w="2034" w:type="dxa"/>
            <w:shd w:val="clear" w:color="auto" w:fill="auto"/>
            <w:vAlign w:val="bottom"/>
          </w:tcPr>
          <w:p w14:paraId="60663149" w14:textId="77777777" w:rsidR="000230E8" w:rsidRPr="00C2318B" w:rsidRDefault="000230E8" w:rsidP="000230E8">
            <w:pPr>
              <w:pStyle w:val="TableHead"/>
              <w:jc w:val="right"/>
              <w:rPr>
                <w:bCs/>
                <w:lang w:eastAsia="en-GB"/>
              </w:rPr>
            </w:pPr>
            <w:r w:rsidRPr="00C2318B">
              <w:rPr>
                <w:bCs/>
                <w:lang w:eastAsia="en-GB"/>
              </w:rPr>
              <w:t>2011</w:t>
            </w:r>
          </w:p>
        </w:tc>
        <w:tc>
          <w:tcPr>
            <w:tcW w:w="2034" w:type="dxa"/>
            <w:shd w:val="clear" w:color="auto" w:fill="auto"/>
            <w:vAlign w:val="bottom"/>
          </w:tcPr>
          <w:p w14:paraId="4B7DA3DF" w14:textId="77777777" w:rsidR="000230E8" w:rsidRPr="00C2318B" w:rsidRDefault="000230E8" w:rsidP="000230E8">
            <w:pPr>
              <w:pStyle w:val="TableHead"/>
              <w:jc w:val="right"/>
              <w:rPr>
                <w:bCs/>
                <w:lang w:eastAsia="en-GB"/>
              </w:rPr>
            </w:pPr>
            <w:r w:rsidRPr="00C2318B">
              <w:rPr>
                <w:bCs/>
                <w:lang w:eastAsia="en-GB"/>
              </w:rPr>
              <w:t>2010</w:t>
            </w:r>
          </w:p>
        </w:tc>
      </w:tr>
      <w:tr w:rsidR="000230E8" w:rsidRPr="00C2318B" w14:paraId="73092A6C" w14:textId="77777777" w:rsidTr="00983E44">
        <w:tblPrEx>
          <w:tblCellMar>
            <w:top w:w="0" w:type="dxa"/>
            <w:bottom w:w="0" w:type="dxa"/>
          </w:tblCellMar>
        </w:tblPrEx>
        <w:tc>
          <w:tcPr>
            <w:tcW w:w="4788" w:type="dxa"/>
            <w:shd w:val="clear" w:color="auto" w:fill="auto"/>
          </w:tcPr>
          <w:p w14:paraId="7DC263D8" w14:textId="77777777" w:rsidR="000230E8" w:rsidRPr="00C2318B" w:rsidRDefault="000230E8" w:rsidP="000230E8">
            <w:pPr>
              <w:pStyle w:val="TableRowHead"/>
              <w:rPr>
                <w:lang/>
              </w:rPr>
            </w:pPr>
          </w:p>
        </w:tc>
        <w:tc>
          <w:tcPr>
            <w:tcW w:w="2034" w:type="dxa"/>
            <w:shd w:val="clear" w:color="auto" w:fill="auto"/>
            <w:vAlign w:val="bottom"/>
          </w:tcPr>
          <w:p w14:paraId="257D6243"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p>
        </w:tc>
        <w:tc>
          <w:tcPr>
            <w:tcW w:w="2034" w:type="dxa"/>
            <w:shd w:val="clear" w:color="auto" w:fill="auto"/>
            <w:vAlign w:val="bottom"/>
          </w:tcPr>
          <w:p w14:paraId="562F6381"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p>
        </w:tc>
      </w:tr>
      <w:tr w:rsidR="000230E8" w:rsidRPr="00C2318B" w14:paraId="31791A64" w14:textId="77777777" w:rsidTr="00983E44">
        <w:tblPrEx>
          <w:tblCellMar>
            <w:top w:w="0" w:type="dxa"/>
            <w:bottom w:w="0" w:type="dxa"/>
          </w:tblCellMar>
        </w:tblPrEx>
        <w:tc>
          <w:tcPr>
            <w:tcW w:w="8856" w:type="dxa"/>
            <w:gridSpan w:val="3"/>
            <w:shd w:val="clear" w:color="auto" w:fill="auto"/>
          </w:tcPr>
          <w:p w14:paraId="41AD53EA" w14:textId="77777777" w:rsidR="000230E8" w:rsidRPr="00C2318B" w:rsidRDefault="000230E8" w:rsidP="000230E8">
            <w:pPr>
              <w:pStyle w:val="TableHead"/>
              <w:jc w:val="center"/>
              <w:rPr>
                <w:lang/>
              </w:rPr>
            </w:pPr>
            <w:r w:rsidRPr="00C2318B">
              <w:rPr>
                <w:lang/>
              </w:rPr>
              <w:t xml:space="preserve">9 (a) Réiteach an Easnaimh don Bhliain le Sreabhadh Airgid ó Ghníomhaíochtaí Oibriúcháin </w:t>
            </w:r>
          </w:p>
        </w:tc>
      </w:tr>
      <w:tr w:rsidR="000230E8" w:rsidRPr="00C2318B" w14:paraId="2D9A17ED" w14:textId="77777777" w:rsidTr="00983E44">
        <w:tblPrEx>
          <w:tblCellMar>
            <w:top w:w="0" w:type="dxa"/>
            <w:bottom w:w="0" w:type="dxa"/>
          </w:tblCellMar>
        </w:tblPrEx>
        <w:tc>
          <w:tcPr>
            <w:tcW w:w="4788" w:type="dxa"/>
            <w:shd w:val="clear" w:color="auto" w:fill="auto"/>
            <w:vAlign w:val="bottom"/>
          </w:tcPr>
          <w:p w14:paraId="0DF634C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lastRenderedPageBreak/>
              <w:t>Barrachas / (Easnamh) don tréimhse</w:t>
            </w:r>
          </w:p>
        </w:tc>
        <w:tc>
          <w:tcPr>
            <w:tcW w:w="2034" w:type="dxa"/>
            <w:shd w:val="clear" w:color="auto" w:fill="auto"/>
            <w:vAlign w:val="bottom"/>
          </w:tcPr>
          <w:p w14:paraId="3952ECCA" w14:textId="77777777" w:rsidR="000230E8" w:rsidRPr="00C2318B" w:rsidRDefault="000230E8" w:rsidP="000230E8">
            <w:pPr>
              <w:pStyle w:val="TableCell"/>
              <w:rPr>
                <w:sz w:val="24"/>
                <w:lang w:eastAsia="en-GB"/>
              </w:rPr>
            </w:pPr>
            <w:r w:rsidRPr="00C2318B">
              <w:rPr>
                <w:sz w:val="24"/>
                <w:lang w:eastAsia="en-GB"/>
              </w:rPr>
              <w:t>(16,606)</w:t>
            </w:r>
          </w:p>
        </w:tc>
        <w:tc>
          <w:tcPr>
            <w:tcW w:w="2034" w:type="dxa"/>
            <w:shd w:val="clear" w:color="auto" w:fill="auto"/>
            <w:vAlign w:val="bottom"/>
          </w:tcPr>
          <w:p w14:paraId="3D52D3F4" w14:textId="77777777" w:rsidR="000230E8" w:rsidRPr="00C2318B" w:rsidRDefault="000230E8" w:rsidP="000230E8">
            <w:pPr>
              <w:pStyle w:val="TableCell"/>
              <w:rPr>
                <w:sz w:val="24"/>
                <w:lang w:eastAsia="en-GB"/>
              </w:rPr>
            </w:pPr>
            <w:r w:rsidRPr="00C2318B">
              <w:rPr>
                <w:sz w:val="24"/>
                <w:lang w:eastAsia="en-GB"/>
              </w:rPr>
              <w:t xml:space="preserve">115,010 </w:t>
            </w:r>
          </w:p>
        </w:tc>
      </w:tr>
      <w:tr w:rsidR="000230E8" w:rsidRPr="00C2318B" w14:paraId="070D6ADA" w14:textId="77777777" w:rsidTr="00983E44">
        <w:tblPrEx>
          <w:tblCellMar>
            <w:top w:w="0" w:type="dxa"/>
            <w:bottom w:w="0" w:type="dxa"/>
          </w:tblCellMar>
        </w:tblPrEx>
        <w:tc>
          <w:tcPr>
            <w:tcW w:w="4788" w:type="dxa"/>
            <w:shd w:val="clear" w:color="auto" w:fill="auto"/>
            <w:vAlign w:val="bottom"/>
          </w:tcPr>
          <w:p w14:paraId="0B94A23D"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Leasú le haghaidh míreanna neamhoibriúcháin </w:t>
            </w:r>
          </w:p>
        </w:tc>
        <w:tc>
          <w:tcPr>
            <w:tcW w:w="2034" w:type="dxa"/>
            <w:shd w:val="clear" w:color="auto" w:fill="auto"/>
            <w:vAlign w:val="bottom"/>
          </w:tcPr>
          <w:p w14:paraId="6020A80B" w14:textId="77777777" w:rsidR="000230E8" w:rsidRPr="00C2318B" w:rsidRDefault="000230E8" w:rsidP="000230E8">
            <w:pPr>
              <w:pStyle w:val="TableCell"/>
              <w:rPr>
                <w:sz w:val="24"/>
                <w:lang w:eastAsia="en-GB"/>
              </w:rPr>
            </w:pPr>
          </w:p>
        </w:tc>
        <w:tc>
          <w:tcPr>
            <w:tcW w:w="2034" w:type="dxa"/>
            <w:shd w:val="clear" w:color="auto" w:fill="auto"/>
            <w:vAlign w:val="bottom"/>
          </w:tcPr>
          <w:p w14:paraId="5FDB9C70" w14:textId="77777777" w:rsidR="000230E8" w:rsidRPr="00C2318B" w:rsidRDefault="000230E8" w:rsidP="000230E8">
            <w:pPr>
              <w:pStyle w:val="TableCell"/>
              <w:rPr>
                <w:sz w:val="24"/>
                <w:lang w:eastAsia="en-GB"/>
              </w:rPr>
            </w:pPr>
          </w:p>
        </w:tc>
      </w:tr>
      <w:tr w:rsidR="000230E8" w:rsidRPr="00C2318B" w14:paraId="42A7BD65" w14:textId="77777777" w:rsidTr="00983E44">
        <w:tblPrEx>
          <w:tblCellMar>
            <w:top w:w="0" w:type="dxa"/>
            <w:bottom w:w="0" w:type="dxa"/>
          </w:tblCellMar>
        </w:tblPrEx>
        <w:tc>
          <w:tcPr>
            <w:tcW w:w="4788" w:type="dxa"/>
            <w:shd w:val="clear" w:color="auto" w:fill="auto"/>
            <w:vAlign w:val="bottom"/>
          </w:tcPr>
          <w:p w14:paraId="28C8F1D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Ús Infhaighte </w:t>
            </w:r>
          </w:p>
        </w:tc>
        <w:tc>
          <w:tcPr>
            <w:tcW w:w="2034" w:type="dxa"/>
            <w:shd w:val="clear" w:color="auto" w:fill="auto"/>
            <w:vAlign w:val="bottom"/>
          </w:tcPr>
          <w:p w14:paraId="3FF23A8A" w14:textId="77777777" w:rsidR="000230E8" w:rsidRPr="00C2318B" w:rsidRDefault="000230E8" w:rsidP="000230E8">
            <w:pPr>
              <w:pStyle w:val="TableCell"/>
              <w:rPr>
                <w:sz w:val="24"/>
                <w:lang w:eastAsia="en-GB"/>
              </w:rPr>
            </w:pPr>
            <w:r w:rsidRPr="00C2318B">
              <w:rPr>
                <w:sz w:val="24"/>
                <w:lang w:eastAsia="en-GB"/>
              </w:rPr>
              <w:t xml:space="preserve">0 </w:t>
            </w:r>
          </w:p>
        </w:tc>
        <w:tc>
          <w:tcPr>
            <w:tcW w:w="2034" w:type="dxa"/>
            <w:shd w:val="clear" w:color="auto" w:fill="auto"/>
            <w:vAlign w:val="bottom"/>
          </w:tcPr>
          <w:p w14:paraId="4ABCA8E2" w14:textId="77777777" w:rsidR="000230E8" w:rsidRPr="00C2318B" w:rsidRDefault="000230E8" w:rsidP="000230E8">
            <w:pPr>
              <w:pStyle w:val="TableCell"/>
              <w:rPr>
                <w:sz w:val="24"/>
                <w:lang w:eastAsia="en-GB"/>
              </w:rPr>
            </w:pPr>
            <w:r w:rsidRPr="00C2318B">
              <w:rPr>
                <w:sz w:val="24"/>
                <w:lang w:eastAsia="en-GB"/>
              </w:rPr>
              <w:t>(1)</w:t>
            </w:r>
          </w:p>
        </w:tc>
      </w:tr>
      <w:tr w:rsidR="000230E8" w:rsidRPr="00C2318B" w14:paraId="36C55EE8" w14:textId="77777777" w:rsidTr="00983E44">
        <w:tblPrEx>
          <w:tblCellMar>
            <w:top w:w="0" w:type="dxa"/>
            <w:bottom w:w="0" w:type="dxa"/>
          </w:tblCellMar>
        </w:tblPrEx>
        <w:tc>
          <w:tcPr>
            <w:tcW w:w="4788" w:type="dxa"/>
            <w:shd w:val="clear" w:color="auto" w:fill="auto"/>
            <w:vAlign w:val="bottom"/>
          </w:tcPr>
          <w:p w14:paraId="3819969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Gluaiseacht ar Chuntas Caipitil </w:t>
            </w:r>
          </w:p>
        </w:tc>
        <w:tc>
          <w:tcPr>
            <w:tcW w:w="2034" w:type="dxa"/>
            <w:shd w:val="clear" w:color="auto" w:fill="auto"/>
            <w:vAlign w:val="bottom"/>
          </w:tcPr>
          <w:p w14:paraId="48B41DD0" w14:textId="77777777" w:rsidR="000230E8" w:rsidRPr="00C2318B" w:rsidRDefault="000230E8" w:rsidP="000230E8">
            <w:pPr>
              <w:pStyle w:val="TableCell"/>
              <w:rPr>
                <w:sz w:val="24"/>
                <w:lang w:eastAsia="en-GB"/>
              </w:rPr>
            </w:pPr>
            <w:r w:rsidRPr="00C2318B">
              <w:rPr>
                <w:sz w:val="24"/>
                <w:lang w:eastAsia="en-GB"/>
              </w:rPr>
              <w:t>(84,099)</w:t>
            </w:r>
          </w:p>
        </w:tc>
        <w:tc>
          <w:tcPr>
            <w:tcW w:w="2034" w:type="dxa"/>
            <w:shd w:val="clear" w:color="auto" w:fill="auto"/>
            <w:vAlign w:val="bottom"/>
          </w:tcPr>
          <w:p w14:paraId="40E89C6A" w14:textId="77777777" w:rsidR="000230E8" w:rsidRPr="00C2318B" w:rsidRDefault="000230E8" w:rsidP="000230E8">
            <w:pPr>
              <w:pStyle w:val="TableCell"/>
              <w:rPr>
                <w:sz w:val="24"/>
                <w:lang w:eastAsia="en-GB"/>
              </w:rPr>
            </w:pPr>
            <w:r w:rsidRPr="00C2318B">
              <w:rPr>
                <w:sz w:val="24"/>
                <w:lang w:eastAsia="en-GB"/>
              </w:rPr>
              <w:t>(93,251)</w:t>
            </w:r>
          </w:p>
        </w:tc>
      </w:tr>
      <w:tr w:rsidR="000230E8" w:rsidRPr="00C2318B" w14:paraId="10F04DDE" w14:textId="77777777" w:rsidTr="00983E44">
        <w:tblPrEx>
          <w:tblCellMar>
            <w:top w:w="0" w:type="dxa"/>
            <w:bottom w:w="0" w:type="dxa"/>
          </w:tblCellMar>
        </w:tblPrEx>
        <w:tc>
          <w:tcPr>
            <w:tcW w:w="4788" w:type="dxa"/>
            <w:shd w:val="clear" w:color="auto" w:fill="auto"/>
            <w:vAlign w:val="bottom"/>
          </w:tcPr>
          <w:p w14:paraId="4CD6C04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Leasú le haghaidh míreanna neamhairgid</w:t>
            </w:r>
          </w:p>
        </w:tc>
        <w:tc>
          <w:tcPr>
            <w:tcW w:w="2034" w:type="dxa"/>
            <w:shd w:val="clear" w:color="auto" w:fill="auto"/>
            <w:vAlign w:val="bottom"/>
          </w:tcPr>
          <w:p w14:paraId="659C1187" w14:textId="77777777" w:rsidR="000230E8" w:rsidRPr="00C2318B" w:rsidRDefault="000230E8" w:rsidP="000230E8">
            <w:pPr>
              <w:pStyle w:val="TableCell"/>
              <w:rPr>
                <w:sz w:val="24"/>
                <w:lang w:eastAsia="en-GB"/>
              </w:rPr>
            </w:pPr>
          </w:p>
        </w:tc>
        <w:tc>
          <w:tcPr>
            <w:tcW w:w="2034" w:type="dxa"/>
            <w:shd w:val="clear" w:color="auto" w:fill="auto"/>
            <w:vAlign w:val="bottom"/>
          </w:tcPr>
          <w:p w14:paraId="2F5953CB" w14:textId="77777777" w:rsidR="000230E8" w:rsidRPr="00C2318B" w:rsidRDefault="000230E8" w:rsidP="000230E8">
            <w:pPr>
              <w:pStyle w:val="TableCell"/>
              <w:rPr>
                <w:sz w:val="24"/>
                <w:lang w:eastAsia="en-GB"/>
              </w:rPr>
            </w:pPr>
          </w:p>
        </w:tc>
      </w:tr>
      <w:tr w:rsidR="000230E8" w:rsidRPr="00C2318B" w14:paraId="007741D2" w14:textId="77777777" w:rsidTr="00983E44">
        <w:tblPrEx>
          <w:tblCellMar>
            <w:top w:w="0" w:type="dxa"/>
            <w:bottom w:w="0" w:type="dxa"/>
          </w:tblCellMar>
        </w:tblPrEx>
        <w:tc>
          <w:tcPr>
            <w:tcW w:w="4788" w:type="dxa"/>
            <w:shd w:val="clear" w:color="auto" w:fill="auto"/>
            <w:vAlign w:val="bottom"/>
          </w:tcPr>
          <w:p w14:paraId="6DE7FD2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Dímheas</w:t>
            </w:r>
          </w:p>
        </w:tc>
        <w:tc>
          <w:tcPr>
            <w:tcW w:w="2034" w:type="dxa"/>
            <w:shd w:val="clear" w:color="auto" w:fill="auto"/>
            <w:vAlign w:val="bottom"/>
          </w:tcPr>
          <w:p w14:paraId="77E8F579" w14:textId="77777777" w:rsidR="000230E8" w:rsidRPr="00C2318B" w:rsidRDefault="000230E8" w:rsidP="000230E8">
            <w:pPr>
              <w:pStyle w:val="TableCell"/>
              <w:rPr>
                <w:sz w:val="24"/>
                <w:lang w:eastAsia="en-GB"/>
              </w:rPr>
            </w:pPr>
            <w:r w:rsidRPr="00C2318B">
              <w:rPr>
                <w:sz w:val="24"/>
                <w:lang w:eastAsia="en-GB"/>
              </w:rPr>
              <w:t xml:space="preserve">93,334 </w:t>
            </w:r>
          </w:p>
        </w:tc>
        <w:tc>
          <w:tcPr>
            <w:tcW w:w="2034" w:type="dxa"/>
            <w:shd w:val="clear" w:color="auto" w:fill="auto"/>
            <w:vAlign w:val="bottom"/>
          </w:tcPr>
          <w:p w14:paraId="3F1E1779" w14:textId="77777777" w:rsidR="000230E8" w:rsidRPr="00C2318B" w:rsidRDefault="000230E8" w:rsidP="000230E8">
            <w:pPr>
              <w:pStyle w:val="TableCell"/>
              <w:rPr>
                <w:sz w:val="24"/>
                <w:lang w:eastAsia="en-GB"/>
              </w:rPr>
            </w:pPr>
            <w:r w:rsidRPr="00C2318B">
              <w:rPr>
                <w:sz w:val="24"/>
                <w:lang w:eastAsia="en-GB"/>
              </w:rPr>
              <w:t xml:space="preserve">96,980 </w:t>
            </w:r>
          </w:p>
        </w:tc>
      </w:tr>
      <w:tr w:rsidR="000230E8" w:rsidRPr="00C2318B" w14:paraId="27003BF5" w14:textId="77777777" w:rsidTr="00983E44">
        <w:tblPrEx>
          <w:tblCellMar>
            <w:top w:w="0" w:type="dxa"/>
            <w:bottom w:w="0" w:type="dxa"/>
          </w:tblCellMar>
        </w:tblPrEx>
        <w:tc>
          <w:tcPr>
            <w:tcW w:w="4788" w:type="dxa"/>
            <w:shd w:val="clear" w:color="auto" w:fill="auto"/>
            <w:vAlign w:val="bottom"/>
          </w:tcPr>
          <w:p w14:paraId="7A24C5FD"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Athrú ar Fhéichiúnaithe </w:t>
            </w:r>
          </w:p>
        </w:tc>
        <w:tc>
          <w:tcPr>
            <w:tcW w:w="2034" w:type="dxa"/>
            <w:shd w:val="clear" w:color="auto" w:fill="auto"/>
            <w:vAlign w:val="bottom"/>
          </w:tcPr>
          <w:p w14:paraId="6FCC7DA9" w14:textId="77777777" w:rsidR="000230E8" w:rsidRPr="00C2318B" w:rsidRDefault="000230E8" w:rsidP="000230E8">
            <w:pPr>
              <w:pStyle w:val="TableCell"/>
              <w:rPr>
                <w:sz w:val="24"/>
                <w:lang w:eastAsia="en-GB"/>
              </w:rPr>
            </w:pPr>
            <w:r w:rsidRPr="00C2318B">
              <w:rPr>
                <w:sz w:val="24"/>
                <w:lang w:eastAsia="en-GB"/>
              </w:rPr>
              <w:t>(58,609)</w:t>
            </w:r>
          </w:p>
        </w:tc>
        <w:tc>
          <w:tcPr>
            <w:tcW w:w="2034" w:type="dxa"/>
            <w:shd w:val="clear" w:color="auto" w:fill="auto"/>
            <w:vAlign w:val="bottom"/>
          </w:tcPr>
          <w:p w14:paraId="12FDA06D" w14:textId="77777777" w:rsidR="000230E8" w:rsidRPr="00C2318B" w:rsidRDefault="000230E8" w:rsidP="000230E8">
            <w:pPr>
              <w:pStyle w:val="TableCell"/>
              <w:rPr>
                <w:sz w:val="24"/>
                <w:lang w:eastAsia="en-GB"/>
              </w:rPr>
            </w:pPr>
            <w:r w:rsidRPr="00C2318B">
              <w:rPr>
                <w:sz w:val="24"/>
                <w:lang w:eastAsia="en-GB"/>
              </w:rPr>
              <w:t>(2,575)</w:t>
            </w:r>
          </w:p>
        </w:tc>
      </w:tr>
      <w:tr w:rsidR="000230E8" w:rsidRPr="00C2318B" w14:paraId="02307D33" w14:textId="77777777" w:rsidTr="00983E44">
        <w:tblPrEx>
          <w:tblCellMar>
            <w:top w:w="0" w:type="dxa"/>
            <w:bottom w:w="0" w:type="dxa"/>
          </w:tblCellMar>
        </w:tblPrEx>
        <w:tc>
          <w:tcPr>
            <w:tcW w:w="4788" w:type="dxa"/>
            <w:shd w:val="clear" w:color="auto" w:fill="auto"/>
            <w:vAlign w:val="bottom"/>
          </w:tcPr>
          <w:p w14:paraId="4F08EEF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Athrú ar Chreidiúnaithe</w:t>
            </w:r>
          </w:p>
        </w:tc>
        <w:tc>
          <w:tcPr>
            <w:tcW w:w="2034" w:type="dxa"/>
            <w:shd w:val="clear" w:color="auto" w:fill="auto"/>
            <w:vAlign w:val="bottom"/>
          </w:tcPr>
          <w:p w14:paraId="24C5103E" w14:textId="77777777" w:rsidR="000230E8" w:rsidRPr="00C2318B" w:rsidRDefault="000230E8" w:rsidP="000230E8">
            <w:pPr>
              <w:pStyle w:val="TableCell"/>
              <w:rPr>
                <w:sz w:val="24"/>
                <w:lang w:eastAsia="en-GB"/>
              </w:rPr>
            </w:pPr>
            <w:r w:rsidRPr="00C2318B">
              <w:rPr>
                <w:sz w:val="24"/>
                <w:lang w:eastAsia="en-GB"/>
              </w:rPr>
              <w:t xml:space="preserve">75,028 </w:t>
            </w:r>
          </w:p>
        </w:tc>
        <w:tc>
          <w:tcPr>
            <w:tcW w:w="2034" w:type="dxa"/>
            <w:shd w:val="clear" w:color="auto" w:fill="auto"/>
            <w:vAlign w:val="bottom"/>
          </w:tcPr>
          <w:p w14:paraId="370CD412" w14:textId="77777777" w:rsidR="000230E8" w:rsidRPr="00C2318B" w:rsidRDefault="000230E8" w:rsidP="000230E8">
            <w:pPr>
              <w:pStyle w:val="TableCell"/>
              <w:rPr>
                <w:sz w:val="24"/>
                <w:lang w:eastAsia="en-GB"/>
              </w:rPr>
            </w:pPr>
            <w:r w:rsidRPr="00C2318B">
              <w:rPr>
                <w:sz w:val="24"/>
                <w:lang w:eastAsia="en-GB"/>
              </w:rPr>
              <w:t>(143,200)</w:t>
            </w:r>
          </w:p>
        </w:tc>
      </w:tr>
      <w:tr w:rsidR="000230E8" w:rsidRPr="00C2318B" w14:paraId="2B4C4EBA" w14:textId="77777777" w:rsidTr="00983E44">
        <w:tblPrEx>
          <w:tblCellMar>
            <w:top w:w="0" w:type="dxa"/>
            <w:bottom w:w="0" w:type="dxa"/>
          </w:tblCellMar>
        </w:tblPrEx>
        <w:tc>
          <w:tcPr>
            <w:tcW w:w="4788" w:type="dxa"/>
            <w:shd w:val="clear" w:color="auto" w:fill="auto"/>
            <w:vAlign w:val="bottom"/>
          </w:tcPr>
          <w:p w14:paraId="193FCC0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Sreabhadh Airgid ó Ghníomhaíochtaí Oibriúcháin </w:t>
            </w:r>
          </w:p>
        </w:tc>
        <w:tc>
          <w:tcPr>
            <w:tcW w:w="2034" w:type="dxa"/>
            <w:shd w:val="clear" w:color="auto" w:fill="auto"/>
            <w:vAlign w:val="bottom"/>
          </w:tcPr>
          <w:p w14:paraId="3F82A207" w14:textId="77777777" w:rsidR="000230E8" w:rsidRPr="00C2318B" w:rsidRDefault="000230E8" w:rsidP="000230E8">
            <w:pPr>
              <w:pStyle w:val="TableCell"/>
              <w:rPr>
                <w:sz w:val="24"/>
                <w:lang w:eastAsia="en-GB"/>
              </w:rPr>
            </w:pPr>
            <w:r w:rsidRPr="00C2318B">
              <w:rPr>
                <w:sz w:val="24"/>
                <w:lang w:eastAsia="en-GB"/>
              </w:rPr>
              <w:t xml:space="preserve">9,048 </w:t>
            </w:r>
          </w:p>
        </w:tc>
        <w:tc>
          <w:tcPr>
            <w:tcW w:w="2034" w:type="dxa"/>
            <w:shd w:val="clear" w:color="auto" w:fill="auto"/>
            <w:vAlign w:val="bottom"/>
          </w:tcPr>
          <w:p w14:paraId="118EB898" w14:textId="77777777" w:rsidR="000230E8" w:rsidRPr="00C2318B" w:rsidRDefault="000230E8" w:rsidP="000230E8">
            <w:pPr>
              <w:pStyle w:val="TableCell"/>
              <w:rPr>
                <w:sz w:val="24"/>
                <w:lang w:eastAsia="en-GB"/>
              </w:rPr>
            </w:pPr>
            <w:r w:rsidRPr="00C2318B">
              <w:rPr>
                <w:sz w:val="24"/>
                <w:lang w:eastAsia="en-GB"/>
              </w:rPr>
              <w:t>(27,036)</w:t>
            </w:r>
          </w:p>
        </w:tc>
      </w:tr>
      <w:tr w:rsidR="000230E8" w:rsidRPr="00C2318B" w14:paraId="0608F86E" w14:textId="77777777" w:rsidTr="00983E44">
        <w:tblPrEx>
          <w:tblCellMar>
            <w:top w:w="0" w:type="dxa"/>
            <w:bottom w:w="0" w:type="dxa"/>
          </w:tblCellMar>
        </w:tblPrEx>
        <w:tc>
          <w:tcPr>
            <w:tcW w:w="8856" w:type="dxa"/>
            <w:gridSpan w:val="3"/>
            <w:shd w:val="clear" w:color="auto" w:fill="auto"/>
            <w:vAlign w:val="bottom"/>
          </w:tcPr>
          <w:p w14:paraId="2974EF31" w14:textId="77777777" w:rsidR="000230E8" w:rsidRPr="00C2318B" w:rsidRDefault="000230E8" w:rsidP="000230E8">
            <w:pPr>
              <w:pStyle w:val="TableHead"/>
              <w:jc w:val="center"/>
              <w:rPr>
                <w:lang w:eastAsia="en-GB"/>
              </w:rPr>
            </w:pPr>
            <w:r w:rsidRPr="00C2318B">
              <w:rPr>
                <w:lang w:eastAsia="en-GB"/>
              </w:rPr>
              <w:t xml:space="preserve">9(b) Réiteach Shreabhadh Airgid le Gluaiseacht i nGlanchistí </w:t>
            </w:r>
          </w:p>
        </w:tc>
      </w:tr>
      <w:tr w:rsidR="000230E8" w:rsidRPr="00C2318B" w14:paraId="3CA5F371" w14:textId="77777777" w:rsidTr="00983E44">
        <w:tblPrEx>
          <w:tblCellMar>
            <w:top w:w="0" w:type="dxa"/>
            <w:bottom w:w="0" w:type="dxa"/>
          </w:tblCellMar>
        </w:tblPrEx>
        <w:tc>
          <w:tcPr>
            <w:tcW w:w="4788" w:type="dxa"/>
            <w:shd w:val="clear" w:color="auto" w:fill="auto"/>
            <w:vAlign w:val="bottom"/>
          </w:tcPr>
          <w:p w14:paraId="212F4E5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Glanchistí ar an 31 Nollaig 2010</w:t>
            </w:r>
          </w:p>
        </w:tc>
        <w:tc>
          <w:tcPr>
            <w:tcW w:w="2034" w:type="dxa"/>
            <w:shd w:val="clear" w:color="auto" w:fill="auto"/>
            <w:vAlign w:val="bottom"/>
          </w:tcPr>
          <w:p w14:paraId="2EDCD976" w14:textId="77777777" w:rsidR="000230E8" w:rsidRPr="00C2318B" w:rsidRDefault="000230E8" w:rsidP="000230E8">
            <w:pPr>
              <w:pStyle w:val="TableCell"/>
              <w:rPr>
                <w:sz w:val="24"/>
                <w:lang w:eastAsia="en-GB"/>
              </w:rPr>
            </w:pPr>
            <w:r w:rsidRPr="00C2318B">
              <w:rPr>
                <w:sz w:val="24"/>
                <w:lang w:eastAsia="en-GB"/>
              </w:rPr>
              <w:t xml:space="preserve">301 </w:t>
            </w:r>
          </w:p>
        </w:tc>
        <w:tc>
          <w:tcPr>
            <w:tcW w:w="2034" w:type="dxa"/>
            <w:shd w:val="clear" w:color="auto" w:fill="auto"/>
            <w:vAlign w:val="bottom"/>
          </w:tcPr>
          <w:p w14:paraId="698F61C0" w14:textId="77777777" w:rsidR="000230E8" w:rsidRPr="00C2318B" w:rsidRDefault="000230E8" w:rsidP="000230E8">
            <w:pPr>
              <w:pStyle w:val="TableCell"/>
              <w:rPr>
                <w:sz w:val="24"/>
                <w:lang w:eastAsia="en-GB"/>
              </w:rPr>
            </w:pPr>
            <w:r w:rsidRPr="00C2318B">
              <w:rPr>
                <w:sz w:val="24"/>
                <w:lang w:eastAsia="en-GB"/>
              </w:rPr>
              <w:t xml:space="preserve">31,065 </w:t>
            </w:r>
          </w:p>
        </w:tc>
      </w:tr>
      <w:tr w:rsidR="000230E8" w:rsidRPr="00C2318B" w14:paraId="4B7EBE85" w14:textId="77777777" w:rsidTr="00983E44">
        <w:tblPrEx>
          <w:tblCellMar>
            <w:top w:w="0" w:type="dxa"/>
            <w:bottom w:w="0" w:type="dxa"/>
          </w:tblCellMar>
        </w:tblPrEx>
        <w:tc>
          <w:tcPr>
            <w:tcW w:w="4788" w:type="dxa"/>
            <w:shd w:val="clear" w:color="auto" w:fill="auto"/>
            <w:vAlign w:val="bottom"/>
          </w:tcPr>
          <w:p w14:paraId="45791715"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Laghdú ar Airgead</w:t>
            </w:r>
          </w:p>
        </w:tc>
        <w:tc>
          <w:tcPr>
            <w:tcW w:w="2034" w:type="dxa"/>
            <w:shd w:val="clear" w:color="auto" w:fill="auto"/>
            <w:vAlign w:val="bottom"/>
          </w:tcPr>
          <w:p w14:paraId="51776315" w14:textId="77777777" w:rsidR="000230E8" w:rsidRPr="00C2318B" w:rsidRDefault="000230E8" w:rsidP="000230E8">
            <w:pPr>
              <w:pStyle w:val="TableCell"/>
              <w:rPr>
                <w:sz w:val="24"/>
                <w:lang w:eastAsia="en-GB"/>
              </w:rPr>
            </w:pPr>
            <w:r w:rsidRPr="00C2318B">
              <w:rPr>
                <w:sz w:val="24"/>
                <w:lang w:eastAsia="en-GB"/>
              </w:rPr>
              <w:t>(187)</w:t>
            </w:r>
          </w:p>
        </w:tc>
        <w:tc>
          <w:tcPr>
            <w:tcW w:w="2034" w:type="dxa"/>
            <w:shd w:val="clear" w:color="auto" w:fill="auto"/>
            <w:vAlign w:val="bottom"/>
          </w:tcPr>
          <w:p w14:paraId="6C211064" w14:textId="77777777" w:rsidR="000230E8" w:rsidRPr="00C2318B" w:rsidRDefault="000230E8" w:rsidP="000230E8">
            <w:pPr>
              <w:pStyle w:val="TableCell"/>
              <w:rPr>
                <w:sz w:val="24"/>
                <w:lang w:eastAsia="en-GB"/>
              </w:rPr>
            </w:pPr>
            <w:r w:rsidRPr="00C2318B">
              <w:rPr>
                <w:sz w:val="24"/>
                <w:lang w:eastAsia="en-GB"/>
              </w:rPr>
              <w:t>(30,764)</w:t>
            </w:r>
          </w:p>
        </w:tc>
      </w:tr>
      <w:tr w:rsidR="000230E8" w:rsidRPr="00C2318B" w14:paraId="04A6AFCE" w14:textId="77777777" w:rsidTr="00983E44">
        <w:tblPrEx>
          <w:tblCellMar>
            <w:top w:w="0" w:type="dxa"/>
            <w:bottom w:w="0" w:type="dxa"/>
          </w:tblCellMar>
        </w:tblPrEx>
        <w:tc>
          <w:tcPr>
            <w:tcW w:w="4788" w:type="dxa"/>
            <w:shd w:val="clear" w:color="auto" w:fill="auto"/>
            <w:vAlign w:val="bottom"/>
          </w:tcPr>
          <w:p w14:paraId="585FC74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Glanchistí ar an 31 Nollaig 2011</w:t>
            </w:r>
          </w:p>
        </w:tc>
        <w:tc>
          <w:tcPr>
            <w:tcW w:w="2034" w:type="dxa"/>
            <w:shd w:val="clear" w:color="auto" w:fill="auto"/>
            <w:vAlign w:val="bottom"/>
          </w:tcPr>
          <w:p w14:paraId="6D6C3219" w14:textId="77777777" w:rsidR="000230E8" w:rsidRPr="00C2318B" w:rsidRDefault="000230E8" w:rsidP="000230E8">
            <w:pPr>
              <w:pStyle w:val="TableCell"/>
              <w:rPr>
                <w:sz w:val="24"/>
                <w:lang w:eastAsia="en-GB"/>
              </w:rPr>
            </w:pPr>
            <w:r w:rsidRPr="00C2318B">
              <w:rPr>
                <w:sz w:val="24"/>
                <w:lang w:eastAsia="en-GB"/>
              </w:rPr>
              <w:t xml:space="preserve">114 </w:t>
            </w:r>
          </w:p>
        </w:tc>
        <w:tc>
          <w:tcPr>
            <w:tcW w:w="2034" w:type="dxa"/>
            <w:shd w:val="clear" w:color="auto" w:fill="auto"/>
            <w:vAlign w:val="bottom"/>
          </w:tcPr>
          <w:p w14:paraId="6ACAE456" w14:textId="77777777" w:rsidR="000230E8" w:rsidRPr="00C2318B" w:rsidRDefault="000230E8" w:rsidP="000230E8">
            <w:pPr>
              <w:pStyle w:val="TableCell"/>
              <w:rPr>
                <w:sz w:val="24"/>
                <w:lang w:eastAsia="en-GB"/>
              </w:rPr>
            </w:pPr>
            <w:r w:rsidRPr="00C2318B">
              <w:rPr>
                <w:sz w:val="24"/>
                <w:lang w:eastAsia="en-GB"/>
              </w:rPr>
              <w:t xml:space="preserve">301 </w:t>
            </w:r>
          </w:p>
        </w:tc>
      </w:tr>
    </w:tbl>
    <w:p w14:paraId="09B32F5B" w14:textId="77777777" w:rsidR="000230E8" w:rsidRPr="00C2318B" w:rsidRDefault="000230E8" w:rsidP="000230E8">
      <w:pPr>
        <w:pStyle w:val="Heading2"/>
        <w:rPr>
          <w:lang w:eastAsia="en-GB"/>
        </w:rPr>
      </w:pPr>
      <w:r w:rsidRPr="00C2318B">
        <w:rPr>
          <w:lang/>
        </w:rPr>
        <w:br/>
      </w:r>
      <w:bookmarkStart w:id="511" w:name="_Toc335836560"/>
      <w:r w:rsidRPr="00C2318B">
        <w:rPr>
          <w:lang w:eastAsia="en-GB"/>
        </w:rPr>
        <w:t>10. Aoisliúntas</w:t>
      </w:r>
      <w:bookmarkEnd w:id="511"/>
      <w:r w:rsidRPr="00C2318B">
        <w:rPr>
          <w:lang w:eastAsia="en-GB"/>
        </w:rPr>
        <w:tab/>
      </w:r>
      <w:r w:rsidRPr="00C2318B">
        <w:rPr>
          <w:lang w:eastAsia="en-GB"/>
        </w:rPr>
        <w:tab/>
      </w:r>
      <w:r w:rsidRPr="00C2318B">
        <w:rPr>
          <w:lang w:eastAsia="en-GB"/>
        </w:rPr>
        <w:tab/>
      </w:r>
      <w:r w:rsidRPr="00C2318B">
        <w:rPr>
          <w:lang w:eastAsia="en-GB"/>
        </w:rPr>
        <w:tab/>
      </w:r>
      <w:r w:rsidRPr="00C2318B">
        <w:rPr>
          <w:lang w:eastAsia="en-GB"/>
        </w:rPr>
        <w:tab/>
      </w:r>
      <w:r w:rsidRPr="00C2318B">
        <w:rPr>
          <w:lang w:eastAsia="en-GB"/>
        </w:rPr>
        <w:tab/>
      </w:r>
    </w:p>
    <w:p w14:paraId="3A2C6E68" w14:textId="77777777" w:rsidR="000230E8" w:rsidRPr="00C2318B" w:rsidRDefault="000230E8" w:rsidP="000230E8">
      <w:pPr>
        <w:rPr>
          <w:lang w:eastAsia="en-GB"/>
        </w:rPr>
      </w:pPr>
      <w:r w:rsidRPr="00C2318B">
        <w:rPr>
          <w:lang w:eastAsia="en-GB"/>
        </w:rPr>
        <w:t xml:space="preserve">Faoin Acht um Údarás Náisiúnta Míchumais 1999, déanfaidh an tÚdarás le </w:t>
      </w:r>
      <w:r>
        <w:rPr>
          <w:lang w:eastAsia="en-GB"/>
        </w:rPr>
        <w:t>faomhadh an Aire Dlí agus Cirt agus</w:t>
      </w:r>
      <w:r w:rsidRPr="00C2318B">
        <w:rPr>
          <w:lang w:eastAsia="en-GB"/>
        </w:rPr>
        <w:t>Com</w:t>
      </w:r>
      <w:r>
        <w:rPr>
          <w:lang w:eastAsia="en-GB"/>
        </w:rPr>
        <w:t>hionannais</w:t>
      </w:r>
      <w:r w:rsidRPr="00C2318B">
        <w:rPr>
          <w:lang w:eastAsia="en-GB"/>
        </w:rPr>
        <w:t xml:space="preserve"> scéim nó scéimeanna chun sochair aoisliúntais a dheonú do bhaill foirne, lena n-áirítear Stiúrthóir an Údaráis, nó i dtaobh na mball foirne sin.</w:t>
      </w:r>
    </w:p>
    <w:p w14:paraId="55945609" w14:textId="77777777" w:rsidR="000230E8" w:rsidRPr="00C2318B" w:rsidRDefault="000230E8" w:rsidP="000230E8">
      <w:pPr>
        <w:rPr>
          <w:lang w:eastAsia="en-GB"/>
        </w:rPr>
      </w:pPr>
      <w:r w:rsidRPr="00C2318B">
        <w:rPr>
          <w:lang w:eastAsia="en-GB"/>
        </w:rPr>
        <w:t>Tá Samhailscéim dréachtaithe agus tá sí ar feitheam</w:t>
      </w:r>
      <w:r>
        <w:rPr>
          <w:lang w:eastAsia="en-GB"/>
        </w:rPr>
        <w:t xml:space="preserve">h faofa ón Roinn Dlí agus Cirt agus </w:t>
      </w:r>
      <w:r w:rsidRPr="00C2318B">
        <w:rPr>
          <w:lang w:eastAsia="en-GB"/>
        </w:rPr>
        <w:t>Comhionannais agus ón Roinn Airgeadais.</w:t>
      </w:r>
    </w:p>
    <w:p w14:paraId="36B57156" w14:textId="77777777" w:rsidR="000230E8" w:rsidRPr="00C2318B" w:rsidRDefault="000230E8" w:rsidP="000230E8">
      <w:pPr>
        <w:rPr>
          <w:lang w:eastAsia="en-GB"/>
        </w:rPr>
      </w:pPr>
      <w:r w:rsidRPr="00C2318B">
        <w:rPr>
          <w:lang w:eastAsia="en-GB"/>
        </w:rPr>
        <w:t xml:space="preserve">Oibríonn an tÚdarás Náisiúnta Míchumais scéimeanna sochar sainithe neamhchistithe nó scéimeanna aoisliúntais le haghaidh ball foirne. Íoctar teidlíochtaí a eascraíonn faoi na scéimeanna as ioncam reatha agus déantar iad a mhuirearú ar an gCuntas Ioncaim agus Caiteachais, glan ó ranníocaíochtaí aoisliúntais fostaí, sa bhliain ina dtagann siad chun bheith iníoctha. </w:t>
      </w:r>
    </w:p>
    <w:p w14:paraId="69C9B074" w14:textId="77777777" w:rsidR="000230E8" w:rsidRPr="00C2318B" w:rsidRDefault="000230E8" w:rsidP="000230E8">
      <w:pPr>
        <w:rPr>
          <w:lang w:eastAsia="en-GB"/>
        </w:rPr>
      </w:pPr>
      <w:r w:rsidRPr="00C2318B">
        <w:rPr>
          <w:lang w:eastAsia="en-GB"/>
        </w:rPr>
        <w:t>Is amhlaidh i láthair na huaire go bhfaigheann baill foirne a bhí ina gcomhaltaí den Bhord Náisiúnta Athshlánúcháin agus a théann ar scor, sochair Aoisliúntais faoi théarmaí Scéim Aoisliúntais an Rialtais Áitiúil. Maidir le baill foirne a bhí fostaithe ag an NDA tar éis a bhunaithe agus a théann ar scor, faigheann siad sochair scoir de réir théarmaí Scéim Aoisliúntais na nGníomhaireachtaí Sláinte Ainmnithe.</w:t>
      </w:r>
    </w:p>
    <w:p w14:paraId="79834587" w14:textId="77777777" w:rsidR="000230E8" w:rsidRPr="00C2318B" w:rsidRDefault="000230E8" w:rsidP="000230E8">
      <w:pPr>
        <w:pStyle w:val="Heading3"/>
        <w:rPr>
          <w:lang w:eastAsia="en-GB"/>
        </w:rPr>
      </w:pPr>
      <w:bookmarkStart w:id="512" w:name="_Toc335836561"/>
      <w:r w:rsidRPr="00C2318B">
        <w:rPr>
          <w:lang w:eastAsia="en-GB"/>
        </w:rPr>
        <w:t>(a) Scéim Pinsean</w:t>
      </w:r>
      <w:bookmarkEnd w:id="512"/>
    </w:p>
    <w:p w14:paraId="3C0F41C2" w14:textId="77777777" w:rsidR="000230E8" w:rsidRPr="00C2318B" w:rsidRDefault="000230E8" w:rsidP="000230E8">
      <w:pPr>
        <w:rPr>
          <w:lang w:eastAsia="en-GB"/>
        </w:rPr>
      </w:pPr>
      <w:r w:rsidRPr="00C2318B">
        <w:rPr>
          <w:lang w:eastAsia="en-GB"/>
        </w:rPr>
        <w:t xml:space="preserve">Tá na torthaí atá leagtha amach thíos bunaithe ar luacháil achtúireach ar dhliteanais i dtaobh na mball foirne seirbheála, scortha agus éagtha de chuid an NDA amhail an 31 Nollaig 2011. Rinneadh an luacháil sin ag achtúire </w:t>
      </w:r>
      <w:r w:rsidRPr="00C2318B">
        <w:rPr>
          <w:lang w:eastAsia="en-GB"/>
        </w:rPr>
        <w:lastRenderedPageBreak/>
        <w:t>neamhspleách cáilithe chun críocha an chaighdeáin chuntasaíochta, Caighdeán Uimh. 17 um Thuairisciú Airgeadais (FRS 17).</w:t>
      </w:r>
    </w:p>
    <w:p w14:paraId="305A70BE" w14:textId="77777777" w:rsidR="000230E8" w:rsidRPr="00C2318B" w:rsidRDefault="000230E8" w:rsidP="000230E8">
      <w:pPr>
        <w:rPr>
          <w:lang w:eastAsia="en-GB"/>
        </w:rPr>
      </w:pPr>
      <w:r w:rsidRPr="00C2318B">
        <w:rPr>
          <w:lang w:eastAsia="en-GB"/>
        </w:rPr>
        <w:t>Rinneadh an luacháil agus úsáid á baint as modh na n-aonad réamh-mheasta. Seo a leanas na toimhdí airgeadais a úsáideadh chun dliteanais scéime a ríomh:</w:t>
      </w:r>
    </w:p>
    <w:tbl>
      <w:tblPr>
        <w:tblW w:w="8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068"/>
        <w:gridCol w:w="2160"/>
        <w:gridCol w:w="2160"/>
      </w:tblGrid>
      <w:tr w:rsidR="000230E8" w:rsidRPr="00C2318B" w14:paraId="740A0FCB" w14:textId="77777777" w:rsidTr="00983E44">
        <w:tblPrEx>
          <w:tblCellMar>
            <w:top w:w="0" w:type="dxa"/>
            <w:bottom w:w="0" w:type="dxa"/>
          </w:tblCellMar>
        </w:tblPrEx>
        <w:trPr>
          <w:tblHeader/>
        </w:trPr>
        <w:tc>
          <w:tcPr>
            <w:tcW w:w="4068" w:type="dxa"/>
            <w:vAlign w:val="bottom"/>
          </w:tcPr>
          <w:p w14:paraId="18A3E485" w14:textId="77777777" w:rsidR="000230E8" w:rsidRPr="00C2318B" w:rsidRDefault="000230E8" w:rsidP="000230E8">
            <w:pPr>
              <w:spacing w:after="0"/>
              <w:rPr>
                <w:rFonts w:cs="Arial"/>
                <w:b/>
                <w:bCs/>
                <w:sz w:val="24"/>
                <w:lang w:eastAsia="en-GB"/>
              </w:rPr>
            </w:pPr>
          </w:p>
        </w:tc>
        <w:tc>
          <w:tcPr>
            <w:tcW w:w="2160" w:type="dxa"/>
            <w:vAlign w:val="bottom"/>
          </w:tcPr>
          <w:p w14:paraId="62827E55" w14:textId="77777777" w:rsidR="000230E8" w:rsidRPr="00C2318B" w:rsidRDefault="000230E8" w:rsidP="000230E8">
            <w:pPr>
              <w:pStyle w:val="TableHead"/>
              <w:jc w:val="right"/>
              <w:rPr>
                <w:lang w:eastAsia="en-GB"/>
              </w:rPr>
            </w:pPr>
            <w:r w:rsidRPr="00C2318B">
              <w:rPr>
                <w:lang w:eastAsia="en-GB"/>
              </w:rPr>
              <w:t>2011</w:t>
            </w:r>
          </w:p>
        </w:tc>
        <w:tc>
          <w:tcPr>
            <w:tcW w:w="2160" w:type="dxa"/>
            <w:vAlign w:val="bottom"/>
          </w:tcPr>
          <w:p w14:paraId="43356FAD" w14:textId="77777777" w:rsidR="000230E8" w:rsidRPr="00C2318B" w:rsidRDefault="000230E8" w:rsidP="000230E8">
            <w:pPr>
              <w:pStyle w:val="TableHead"/>
              <w:jc w:val="right"/>
              <w:rPr>
                <w:lang w:eastAsia="en-GB"/>
              </w:rPr>
            </w:pPr>
            <w:r w:rsidRPr="00C2318B">
              <w:rPr>
                <w:lang w:eastAsia="en-GB"/>
              </w:rPr>
              <w:t>2010</w:t>
            </w:r>
          </w:p>
        </w:tc>
      </w:tr>
      <w:tr w:rsidR="000230E8" w:rsidRPr="00C2318B" w14:paraId="6C86DE75" w14:textId="77777777" w:rsidTr="00983E44">
        <w:tblPrEx>
          <w:tblCellMar>
            <w:top w:w="0" w:type="dxa"/>
            <w:bottom w:w="0" w:type="dxa"/>
          </w:tblCellMar>
        </w:tblPrEx>
        <w:tc>
          <w:tcPr>
            <w:tcW w:w="4068" w:type="dxa"/>
            <w:vAlign w:val="bottom"/>
          </w:tcPr>
          <w:p w14:paraId="410CD7AE"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Ráta Lascaine</w:t>
            </w:r>
          </w:p>
        </w:tc>
        <w:tc>
          <w:tcPr>
            <w:tcW w:w="2160" w:type="dxa"/>
            <w:vAlign w:val="bottom"/>
          </w:tcPr>
          <w:p w14:paraId="24BB0EA5" w14:textId="77777777" w:rsidR="000230E8" w:rsidRPr="00C2318B" w:rsidRDefault="000230E8" w:rsidP="000230E8">
            <w:pPr>
              <w:pStyle w:val="TableCell"/>
              <w:rPr>
                <w:sz w:val="24"/>
                <w:lang w:eastAsia="en-GB"/>
              </w:rPr>
            </w:pPr>
            <w:r w:rsidRPr="00C2318B">
              <w:rPr>
                <w:sz w:val="24"/>
                <w:lang w:eastAsia="en-GB"/>
              </w:rPr>
              <w:t>5.5%</w:t>
            </w:r>
          </w:p>
        </w:tc>
        <w:tc>
          <w:tcPr>
            <w:tcW w:w="2160" w:type="dxa"/>
            <w:vAlign w:val="bottom"/>
          </w:tcPr>
          <w:p w14:paraId="372DA104" w14:textId="77777777" w:rsidR="000230E8" w:rsidRPr="00C2318B" w:rsidRDefault="000230E8" w:rsidP="000230E8">
            <w:pPr>
              <w:pStyle w:val="TableCell"/>
              <w:rPr>
                <w:sz w:val="24"/>
                <w:lang w:eastAsia="en-GB"/>
              </w:rPr>
            </w:pPr>
            <w:r w:rsidRPr="00C2318B">
              <w:rPr>
                <w:sz w:val="24"/>
                <w:lang w:eastAsia="en-GB"/>
              </w:rPr>
              <w:t>5.5%</w:t>
            </w:r>
          </w:p>
        </w:tc>
      </w:tr>
      <w:tr w:rsidR="000230E8" w:rsidRPr="00C2318B" w14:paraId="12846F1C" w14:textId="77777777" w:rsidTr="00983E44">
        <w:tblPrEx>
          <w:tblCellMar>
            <w:top w:w="0" w:type="dxa"/>
            <w:bottom w:w="0" w:type="dxa"/>
          </w:tblCellMar>
        </w:tblPrEx>
        <w:tc>
          <w:tcPr>
            <w:tcW w:w="4068" w:type="dxa"/>
            <w:vAlign w:val="bottom"/>
          </w:tcPr>
          <w:p w14:paraId="0D111DB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Toimhde maidir le méadú ar thuarastail </w:t>
            </w:r>
          </w:p>
        </w:tc>
        <w:tc>
          <w:tcPr>
            <w:tcW w:w="2160" w:type="dxa"/>
            <w:vAlign w:val="bottom"/>
          </w:tcPr>
          <w:p w14:paraId="64AD24C8" w14:textId="77777777" w:rsidR="000230E8" w:rsidRPr="00C2318B" w:rsidRDefault="000230E8" w:rsidP="000230E8">
            <w:pPr>
              <w:pStyle w:val="TableCell"/>
              <w:rPr>
                <w:sz w:val="24"/>
                <w:lang w:eastAsia="en-GB"/>
              </w:rPr>
            </w:pPr>
            <w:r w:rsidRPr="00C2318B">
              <w:rPr>
                <w:sz w:val="24"/>
                <w:lang w:eastAsia="en-GB"/>
              </w:rPr>
              <w:t>4%</w:t>
            </w:r>
          </w:p>
        </w:tc>
        <w:tc>
          <w:tcPr>
            <w:tcW w:w="2160" w:type="dxa"/>
            <w:vAlign w:val="bottom"/>
          </w:tcPr>
          <w:p w14:paraId="6168F4CE" w14:textId="77777777" w:rsidR="000230E8" w:rsidRPr="00C2318B" w:rsidRDefault="000230E8" w:rsidP="000230E8">
            <w:pPr>
              <w:pStyle w:val="TableCell"/>
              <w:rPr>
                <w:sz w:val="24"/>
                <w:lang w:eastAsia="en-GB"/>
              </w:rPr>
            </w:pPr>
            <w:r w:rsidRPr="00C2318B">
              <w:rPr>
                <w:sz w:val="24"/>
                <w:lang w:eastAsia="en-GB"/>
              </w:rPr>
              <w:t>4%</w:t>
            </w:r>
          </w:p>
        </w:tc>
      </w:tr>
      <w:tr w:rsidR="000230E8" w:rsidRPr="00C2318B" w14:paraId="025F6795" w14:textId="77777777" w:rsidTr="00983E44">
        <w:tblPrEx>
          <w:tblCellMar>
            <w:top w:w="0" w:type="dxa"/>
            <w:bottom w:w="0" w:type="dxa"/>
          </w:tblCellMar>
        </w:tblPrEx>
        <w:tc>
          <w:tcPr>
            <w:tcW w:w="4068" w:type="dxa"/>
            <w:vAlign w:val="bottom"/>
          </w:tcPr>
          <w:p w14:paraId="7DA74AB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Toimhde maidir le méadú ar phinsin </w:t>
            </w:r>
          </w:p>
        </w:tc>
        <w:tc>
          <w:tcPr>
            <w:tcW w:w="2160" w:type="dxa"/>
            <w:vAlign w:val="bottom"/>
          </w:tcPr>
          <w:p w14:paraId="15E9CAD0" w14:textId="77777777" w:rsidR="000230E8" w:rsidRPr="00C2318B" w:rsidRDefault="000230E8" w:rsidP="000230E8">
            <w:pPr>
              <w:pStyle w:val="TableCell"/>
              <w:rPr>
                <w:sz w:val="24"/>
                <w:lang w:eastAsia="en-GB"/>
              </w:rPr>
            </w:pPr>
            <w:r w:rsidRPr="00C2318B">
              <w:rPr>
                <w:sz w:val="24"/>
                <w:lang w:eastAsia="en-GB"/>
              </w:rPr>
              <w:t>4%</w:t>
            </w:r>
          </w:p>
        </w:tc>
        <w:tc>
          <w:tcPr>
            <w:tcW w:w="2160" w:type="dxa"/>
            <w:vAlign w:val="bottom"/>
          </w:tcPr>
          <w:p w14:paraId="451644EF" w14:textId="77777777" w:rsidR="000230E8" w:rsidRPr="00C2318B" w:rsidRDefault="000230E8" w:rsidP="000230E8">
            <w:pPr>
              <w:pStyle w:val="TableCell"/>
              <w:rPr>
                <w:sz w:val="24"/>
                <w:lang w:eastAsia="en-GB"/>
              </w:rPr>
            </w:pPr>
            <w:r w:rsidRPr="00C2318B">
              <w:rPr>
                <w:sz w:val="24"/>
                <w:lang w:eastAsia="en-GB"/>
              </w:rPr>
              <w:t>4%</w:t>
            </w:r>
          </w:p>
        </w:tc>
      </w:tr>
      <w:tr w:rsidR="000230E8" w:rsidRPr="00C2318B" w14:paraId="21BD92B2" w14:textId="77777777" w:rsidTr="00983E44">
        <w:tblPrEx>
          <w:tblCellMar>
            <w:top w:w="0" w:type="dxa"/>
            <w:bottom w:w="0" w:type="dxa"/>
          </w:tblCellMar>
        </w:tblPrEx>
        <w:tc>
          <w:tcPr>
            <w:tcW w:w="4068" w:type="dxa"/>
            <w:vAlign w:val="bottom"/>
          </w:tcPr>
          <w:p w14:paraId="2115820B"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Boilsciú praghsanna</w:t>
            </w:r>
          </w:p>
        </w:tc>
        <w:tc>
          <w:tcPr>
            <w:tcW w:w="2160" w:type="dxa"/>
            <w:vAlign w:val="bottom"/>
          </w:tcPr>
          <w:p w14:paraId="512A9B57" w14:textId="77777777" w:rsidR="000230E8" w:rsidRPr="00C2318B" w:rsidRDefault="000230E8" w:rsidP="000230E8">
            <w:pPr>
              <w:pStyle w:val="TableCell"/>
              <w:rPr>
                <w:sz w:val="24"/>
                <w:lang w:eastAsia="en-GB"/>
              </w:rPr>
            </w:pPr>
            <w:r w:rsidRPr="00C2318B">
              <w:rPr>
                <w:sz w:val="24"/>
                <w:lang w:eastAsia="en-GB"/>
              </w:rPr>
              <w:t>2%</w:t>
            </w:r>
          </w:p>
        </w:tc>
        <w:tc>
          <w:tcPr>
            <w:tcW w:w="2160" w:type="dxa"/>
            <w:vAlign w:val="bottom"/>
          </w:tcPr>
          <w:p w14:paraId="6A96440D" w14:textId="77777777" w:rsidR="000230E8" w:rsidRPr="00C2318B" w:rsidRDefault="000230E8" w:rsidP="000230E8">
            <w:pPr>
              <w:pStyle w:val="TableCell"/>
              <w:rPr>
                <w:sz w:val="24"/>
                <w:lang w:eastAsia="en-GB"/>
              </w:rPr>
            </w:pPr>
            <w:r w:rsidRPr="00C2318B">
              <w:rPr>
                <w:sz w:val="24"/>
                <w:lang w:eastAsia="en-GB"/>
              </w:rPr>
              <w:t>2%</w:t>
            </w:r>
          </w:p>
        </w:tc>
      </w:tr>
    </w:tbl>
    <w:p w14:paraId="00B186B1" w14:textId="77777777" w:rsidR="000230E8" w:rsidRPr="00C2318B" w:rsidRDefault="000230E8" w:rsidP="000230E8">
      <w:pPr>
        <w:rPr>
          <w:lang/>
        </w:rPr>
      </w:pPr>
      <w:r w:rsidRPr="00C2318B">
        <w:rPr>
          <w:lang/>
        </w:rPr>
        <w:br/>
        <w:t>Toisc go bhfuil na scéimeanna NDA neamhchistithe, ní choimeádtar aon sócmhainní i dtaobh dliteanas pinsean carntha de chuid bhaill foirne an NDA.</w:t>
      </w:r>
    </w:p>
    <w:p w14:paraId="3588E77A" w14:textId="77777777" w:rsidR="000230E8" w:rsidRPr="00C2318B" w:rsidRDefault="000230E8" w:rsidP="000230E8">
      <w:pPr>
        <w:pStyle w:val="TableTitle"/>
        <w:jc w:val="left"/>
        <w:rPr>
          <w:bCs/>
          <w:lang w:eastAsia="en-GB"/>
        </w:rPr>
      </w:pPr>
      <w:r w:rsidRPr="00C2318B">
        <w:rPr>
          <w:bCs/>
          <w:lang w:eastAsia="en-GB"/>
        </w:rPr>
        <w:t xml:space="preserve">(b) Glanchistiú Iarchurtha le haghaidh Pinsean i gCaitheamh na Bliana </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8"/>
        <w:gridCol w:w="1494"/>
        <w:gridCol w:w="1494"/>
      </w:tblGrid>
      <w:tr w:rsidR="000230E8" w:rsidRPr="00C2318B" w14:paraId="3C4C84F5" w14:textId="77777777" w:rsidTr="000230E8">
        <w:tblPrEx>
          <w:tblCellMar>
            <w:top w:w="0" w:type="dxa"/>
            <w:bottom w:w="0" w:type="dxa"/>
          </w:tblCellMar>
        </w:tblPrEx>
        <w:trPr>
          <w:tblHeader/>
        </w:trPr>
        <w:tc>
          <w:tcPr>
            <w:tcW w:w="5868" w:type="dxa"/>
            <w:shd w:val="clear" w:color="auto" w:fill="auto"/>
          </w:tcPr>
          <w:p w14:paraId="60250F7B" w14:textId="77777777" w:rsidR="000230E8" w:rsidRPr="00C2318B" w:rsidRDefault="000230E8" w:rsidP="000230E8">
            <w:pPr>
              <w:pStyle w:val="TableHead"/>
              <w:keepLines/>
              <w:jc w:val="right"/>
              <w:rPr>
                <w:lang w:eastAsia="en-GB"/>
              </w:rPr>
            </w:pPr>
          </w:p>
        </w:tc>
        <w:tc>
          <w:tcPr>
            <w:tcW w:w="1494" w:type="dxa"/>
          </w:tcPr>
          <w:p w14:paraId="08CFD706" w14:textId="77777777" w:rsidR="000230E8" w:rsidRPr="00C2318B" w:rsidRDefault="000230E8" w:rsidP="000230E8">
            <w:pPr>
              <w:pStyle w:val="TableHead"/>
              <w:keepLines/>
              <w:jc w:val="right"/>
              <w:rPr>
                <w:sz w:val="22"/>
                <w:szCs w:val="22"/>
                <w:lang/>
              </w:rPr>
            </w:pPr>
            <w:r w:rsidRPr="00C2318B">
              <w:rPr>
                <w:sz w:val="22"/>
                <w:szCs w:val="22"/>
                <w:lang/>
              </w:rPr>
              <w:t>2011</w:t>
            </w:r>
          </w:p>
        </w:tc>
        <w:tc>
          <w:tcPr>
            <w:tcW w:w="1494" w:type="dxa"/>
          </w:tcPr>
          <w:p w14:paraId="2878C5E4" w14:textId="77777777" w:rsidR="000230E8" w:rsidRPr="00C2318B" w:rsidRDefault="000230E8" w:rsidP="000230E8">
            <w:pPr>
              <w:pStyle w:val="TableHead"/>
              <w:keepLines/>
              <w:jc w:val="right"/>
              <w:rPr>
                <w:sz w:val="22"/>
                <w:szCs w:val="22"/>
                <w:lang/>
              </w:rPr>
            </w:pPr>
            <w:r w:rsidRPr="00C2318B">
              <w:rPr>
                <w:sz w:val="22"/>
                <w:szCs w:val="22"/>
                <w:lang/>
              </w:rPr>
              <w:t>2010</w:t>
            </w:r>
          </w:p>
        </w:tc>
      </w:tr>
      <w:tr w:rsidR="000230E8" w:rsidRPr="00C2318B" w14:paraId="77D6B104" w14:textId="77777777" w:rsidTr="000230E8">
        <w:tblPrEx>
          <w:tblCellMar>
            <w:top w:w="0" w:type="dxa"/>
            <w:bottom w:w="0" w:type="dxa"/>
          </w:tblCellMar>
        </w:tblPrEx>
        <w:tc>
          <w:tcPr>
            <w:tcW w:w="5868" w:type="dxa"/>
            <w:shd w:val="clear" w:color="auto" w:fill="auto"/>
          </w:tcPr>
          <w:p w14:paraId="5E958FA2" w14:textId="77777777" w:rsidR="000230E8" w:rsidRPr="00C2318B" w:rsidRDefault="000230E8" w:rsidP="000230E8">
            <w:pPr>
              <w:pStyle w:val="TableRowHead"/>
              <w:keepNext w:val="0"/>
              <w:keepLines/>
              <w:rPr>
                <w:lang w:eastAsia="en-GB"/>
              </w:rPr>
            </w:pPr>
          </w:p>
        </w:tc>
        <w:tc>
          <w:tcPr>
            <w:tcW w:w="1494" w:type="dxa"/>
            <w:vAlign w:val="bottom"/>
          </w:tcPr>
          <w:p w14:paraId="2AB41185" w14:textId="77777777" w:rsidR="000230E8" w:rsidRPr="00C2318B" w:rsidRDefault="000230E8" w:rsidP="000230E8">
            <w:pPr>
              <w:keepLines/>
              <w:spacing w:after="0"/>
              <w:jc w:val="right"/>
              <w:rPr>
                <w:rFonts w:cs="Arial"/>
                <w:b/>
                <w:bCs/>
                <w:sz w:val="22"/>
                <w:szCs w:val="22"/>
                <w:lang w:eastAsia="en-GB"/>
              </w:rPr>
            </w:pPr>
            <w:r w:rsidRPr="00C2318B">
              <w:rPr>
                <w:rFonts w:cs="Arial"/>
                <w:b/>
                <w:bCs/>
                <w:sz w:val="22"/>
                <w:szCs w:val="22"/>
                <w:lang w:eastAsia="en-GB"/>
              </w:rPr>
              <w:t xml:space="preserve">          </w:t>
            </w:r>
            <w:r w:rsidRPr="00C2318B">
              <w:rPr>
                <w:rFonts w:ascii="Arial" w:hAnsi="Arial" w:cs="Arial"/>
                <w:b/>
                <w:bCs/>
                <w:sz w:val="22"/>
                <w:szCs w:val="22"/>
                <w:lang w:eastAsia="en-GB"/>
              </w:rPr>
              <w:t>€</w:t>
            </w:r>
          </w:p>
        </w:tc>
        <w:tc>
          <w:tcPr>
            <w:tcW w:w="1494" w:type="dxa"/>
            <w:vAlign w:val="bottom"/>
          </w:tcPr>
          <w:p w14:paraId="5910E2B9" w14:textId="77777777" w:rsidR="000230E8" w:rsidRPr="00C2318B" w:rsidRDefault="000230E8" w:rsidP="000230E8">
            <w:pPr>
              <w:keepLines/>
              <w:spacing w:after="0"/>
              <w:jc w:val="right"/>
              <w:rPr>
                <w:rFonts w:cs="Arial"/>
                <w:b/>
                <w:bCs/>
                <w:sz w:val="22"/>
                <w:szCs w:val="22"/>
                <w:lang w:eastAsia="en-GB"/>
              </w:rPr>
            </w:pPr>
            <w:r w:rsidRPr="00C2318B">
              <w:rPr>
                <w:rFonts w:cs="Arial"/>
                <w:b/>
                <w:bCs/>
                <w:sz w:val="22"/>
                <w:szCs w:val="22"/>
                <w:lang w:eastAsia="en-GB"/>
              </w:rPr>
              <w:t xml:space="preserve">          </w:t>
            </w:r>
            <w:r w:rsidRPr="00C2318B">
              <w:rPr>
                <w:rFonts w:ascii="Arial" w:hAnsi="Arial" w:cs="Arial"/>
                <w:b/>
                <w:bCs/>
                <w:sz w:val="22"/>
                <w:szCs w:val="22"/>
                <w:lang w:eastAsia="en-GB"/>
              </w:rPr>
              <w:t>€</w:t>
            </w:r>
          </w:p>
        </w:tc>
      </w:tr>
      <w:tr w:rsidR="000230E8" w:rsidRPr="00C2318B" w14:paraId="6B4A80F1" w14:textId="77777777" w:rsidTr="000230E8">
        <w:tblPrEx>
          <w:tblCellMar>
            <w:top w:w="0" w:type="dxa"/>
            <w:bottom w:w="0" w:type="dxa"/>
          </w:tblCellMar>
        </w:tblPrEx>
        <w:tc>
          <w:tcPr>
            <w:tcW w:w="5868" w:type="dxa"/>
            <w:shd w:val="clear" w:color="auto" w:fill="auto"/>
            <w:vAlign w:val="bottom"/>
          </w:tcPr>
          <w:p w14:paraId="0251D02E" w14:textId="77777777" w:rsidR="000230E8" w:rsidRPr="00C63F26" w:rsidRDefault="000230E8" w:rsidP="000230E8">
            <w:pPr>
              <w:pStyle w:val="TableRowHead"/>
              <w:keepNext w:val="0"/>
              <w:keepLines/>
              <w:rPr>
                <w:rFonts w:ascii="Gill Sans" w:hAnsi="Gill Sans"/>
                <w:sz w:val="24"/>
                <w:lang w:eastAsia="en-GB"/>
              </w:rPr>
            </w:pPr>
            <w:r w:rsidRPr="00C63F26">
              <w:rPr>
                <w:rFonts w:ascii="Gill Sans" w:hAnsi="Gill Sans"/>
                <w:sz w:val="24"/>
                <w:lang w:eastAsia="en-GB"/>
              </w:rPr>
              <w:t xml:space="preserve">Cistiú inaisghabhála i dtaobh chostais phinsin na bliana reatha </w:t>
            </w:r>
          </w:p>
        </w:tc>
        <w:tc>
          <w:tcPr>
            <w:tcW w:w="1494" w:type="dxa"/>
            <w:vAlign w:val="bottom"/>
          </w:tcPr>
          <w:p w14:paraId="17AC3394" w14:textId="77777777" w:rsidR="000230E8" w:rsidRPr="00C2318B" w:rsidRDefault="000230E8" w:rsidP="000230E8">
            <w:pPr>
              <w:pStyle w:val="TableCell"/>
              <w:rPr>
                <w:sz w:val="24"/>
                <w:lang w:eastAsia="en-GB"/>
              </w:rPr>
            </w:pPr>
            <w:r w:rsidRPr="00C2318B">
              <w:rPr>
                <w:sz w:val="24"/>
                <w:lang w:eastAsia="en-GB"/>
              </w:rPr>
              <w:t xml:space="preserve">1,440,000 </w:t>
            </w:r>
          </w:p>
        </w:tc>
        <w:tc>
          <w:tcPr>
            <w:tcW w:w="1494" w:type="dxa"/>
            <w:vAlign w:val="bottom"/>
          </w:tcPr>
          <w:p w14:paraId="44437774" w14:textId="77777777" w:rsidR="000230E8" w:rsidRPr="00C2318B" w:rsidRDefault="000230E8" w:rsidP="000230E8">
            <w:pPr>
              <w:pStyle w:val="TableCell"/>
              <w:rPr>
                <w:sz w:val="24"/>
                <w:lang w:eastAsia="en-GB"/>
              </w:rPr>
            </w:pPr>
            <w:r w:rsidRPr="00C2318B">
              <w:rPr>
                <w:sz w:val="24"/>
                <w:lang w:eastAsia="en-GB"/>
              </w:rPr>
              <w:t xml:space="preserve">1,550,000 </w:t>
            </w:r>
          </w:p>
        </w:tc>
      </w:tr>
      <w:tr w:rsidR="000230E8" w:rsidRPr="00C2318B" w14:paraId="72B4BC95" w14:textId="77777777" w:rsidTr="000230E8">
        <w:tblPrEx>
          <w:tblCellMar>
            <w:top w:w="0" w:type="dxa"/>
            <w:bottom w:w="0" w:type="dxa"/>
          </w:tblCellMar>
        </w:tblPrEx>
        <w:tc>
          <w:tcPr>
            <w:tcW w:w="5868" w:type="dxa"/>
            <w:shd w:val="clear" w:color="auto" w:fill="auto"/>
            <w:vAlign w:val="bottom"/>
          </w:tcPr>
          <w:p w14:paraId="24419BA8" w14:textId="77777777" w:rsidR="000230E8" w:rsidRPr="00C63F26" w:rsidRDefault="000230E8" w:rsidP="000230E8">
            <w:pPr>
              <w:pStyle w:val="TableRowHead"/>
              <w:keepNext w:val="0"/>
              <w:keepLines/>
              <w:rPr>
                <w:rFonts w:ascii="Gill Sans" w:hAnsi="Gill Sans"/>
                <w:sz w:val="24"/>
                <w:lang w:eastAsia="en-GB"/>
              </w:rPr>
            </w:pPr>
            <w:r w:rsidRPr="00C63F26">
              <w:rPr>
                <w:rFonts w:ascii="Gill Sans" w:hAnsi="Gill Sans"/>
                <w:sz w:val="24"/>
                <w:lang w:eastAsia="en-GB"/>
              </w:rPr>
              <w:t>Deontais Stáit curtha i bhfeidhm chun pinsinéirí a íoc</w:t>
            </w:r>
          </w:p>
        </w:tc>
        <w:tc>
          <w:tcPr>
            <w:tcW w:w="1494" w:type="dxa"/>
            <w:vAlign w:val="bottom"/>
          </w:tcPr>
          <w:p w14:paraId="03FD4A7C" w14:textId="77777777" w:rsidR="000230E8" w:rsidRPr="00C2318B" w:rsidRDefault="000230E8" w:rsidP="000230E8">
            <w:pPr>
              <w:pStyle w:val="TableCell"/>
              <w:rPr>
                <w:sz w:val="24"/>
                <w:lang w:eastAsia="en-GB"/>
              </w:rPr>
            </w:pPr>
            <w:r w:rsidRPr="00C2318B">
              <w:rPr>
                <w:sz w:val="24"/>
                <w:lang w:eastAsia="en-GB"/>
              </w:rPr>
              <w:t>(</w:t>
            </w:r>
            <w:r w:rsidRPr="00092A32">
              <w:rPr>
                <w:sz w:val="24"/>
                <w:lang w:val="en-GB" w:eastAsia="en-GB"/>
              </w:rPr>
              <w:t>58</w:t>
            </w:r>
            <w:r>
              <w:rPr>
                <w:sz w:val="24"/>
                <w:lang w:val="en-GB" w:eastAsia="en-GB"/>
              </w:rPr>
              <w:t>0</w:t>
            </w:r>
            <w:r w:rsidRPr="00092A32">
              <w:rPr>
                <w:sz w:val="24"/>
                <w:lang w:val="en-GB" w:eastAsia="en-GB"/>
              </w:rPr>
              <w:t>,</w:t>
            </w:r>
            <w:r>
              <w:rPr>
                <w:sz w:val="24"/>
                <w:lang w:val="en-GB" w:eastAsia="en-GB"/>
              </w:rPr>
              <w:t>000</w:t>
            </w:r>
            <w:r w:rsidRPr="00C2318B">
              <w:rPr>
                <w:sz w:val="24"/>
                <w:lang w:eastAsia="en-GB"/>
              </w:rPr>
              <w:t>)</w:t>
            </w:r>
          </w:p>
        </w:tc>
        <w:tc>
          <w:tcPr>
            <w:tcW w:w="1494" w:type="dxa"/>
            <w:vAlign w:val="bottom"/>
          </w:tcPr>
          <w:p w14:paraId="271F3158" w14:textId="77777777" w:rsidR="000230E8" w:rsidRPr="00C2318B" w:rsidRDefault="000230E8" w:rsidP="000230E8">
            <w:pPr>
              <w:pStyle w:val="TableCell"/>
              <w:rPr>
                <w:sz w:val="24"/>
                <w:lang w:eastAsia="en-GB"/>
              </w:rPr>
            </w:pPr>
            <w:r w:rsidRPr="00C2318B">
              <w:rPr>
                <w:sz w:val="24"/>
                <w:lang w:eastAsia="en-GB"/>
              </w:rPr>
              <w:t>(536,272)</w:t>
            </w:r>
          </w:p>
        </w:tc>
      </w:tr>
      <w:tr w:rsidR="000230E8" w:rsidRPr="00C2318B" w14:paraId="21DE83B3" w14:textId="77777777" w:rsidTr="000230E8">
        <w:tblPrEx>
          <w:tblCellMar>
            <w:top w:w="0" w:type="dxa"/>
            <w:bottom w:w="0" w:type="dxa"/>
          </w:tblCellMar>
        </w:tblPrEx>
        <w:tc>
          <w:tcPr>
            <w:tcW w:w="5868" w:type="dxa"/>
            <w:shd w:val="clear" w:color="auto" w:fill="auto"/>
          </w:tcPr>
          <w:p w14:paraId="1AB38223" w14:textId="77777777" w:rsidR="000230E8" w:rsidRPr="00C2318B" w:rsidRDefault="000230E8" w:rsidP="000230E8">
            <w:pPr>
              <w:pStyle w:val="TableRowHead"/>
              <w:keepNext w:val="0"/>
              <w:keepLines/>
              <w:rPr>
                <w:lang w:eastAsia="en-GB"/>
              </w:rPr>
            </w:pPr>
          </w:p>
        </w:tc>
        <w:tc>
          <w:tcPr>
            <w:tcW w:w="1494" w:type="dxa"/>
            <w:vAlign w:val="bottom"/>
          </w:tcPr>
          <w:p w14:paraId="739442AB" w14:textId="77777777" w:rsidR="000230E8" w:rsidRPr="00C2318B" w:rsidRDefault="000230E8" w:rsidP="000230E8">
            <w:pPr>
              <w:pStyle w:val="TableCell"/>
              <w:rPr>
                <w:sz w:val="24"/>
                <w:lang w:eastAsia="en-GB"/>
              </w:rPr>
            </w:pPr>
            <w:r>
              <w:rPr>
                <w:sz w:val="24"/>
                <w:lang w:val="en-GB" w:eastAsia="en-GB"/>
              </w:rPr>
              <w:t>860,000</w:t>
            </w:r>
          </w:p>
        </w:tc>
        <w:tc>
          <w:tcPr>
            <w:tcW w:w="1494" w:type="dxa"/>
            <w:vAlign w:val="bottom"/>
          </w:tcPr>
          <w:p w14:paraId="19CE7EAD" w14:textId="77777777" w:rsidR="000230E8" w:rsidRPr="00C2318B" w:rsidRDefault="000230E8" w:rsidP="000230E8">
            <w:pPr>
              <w:pStyle w:val="TableCell"/>
              <w:rPr>
                <w:sz w:val="24"/>
                <w:lang w:eastAsia="en-GB"/>
              </w:rPr>
            </w:pPr>
            <w:r w:rsidRPr="00C2318B">
              <w:rPr>
                <w:sz w:val="24"/>
                <w:lang w:eastAsia="en-GB"/>
              </w:rPr>
              <w:t xml:space="preserve">1,013,728 </w:t>
            </w:r>
          </w:p>
        </w:tc>
      </w:tr>
    </w:tbl>
    <w:p w14:paraId="706F1D20" w14:textId="77777777" w:rsidR="000230E8" w:rsidRPr="00C2318B" w:rsidRDefault="000230E8" w:rsidP="000230E8">
      <w:pPr>
        <w:pStyle w:val="TableTitle"/>
        <w:jc w:val="left"/>
        <w:rPr>
          <w:lang/>
        </w:rPr>
      </w:pPr>
      <w:r w:rsidRPr="00C2318B">
        <w:rPr>
          <w:lang w:eastAsia="en-GB"/>
        </w:rPr>
        <w:br/>
        <w:t xml:space="preserve">(c) Anailís ar an méid muirearaithe ar bhrabús oibriúcháin faoi FRS 17 </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968"/>
        <w:gridCol w:w="1944"/>
        <w:gridCol w:w="1944"/>
      </w:tblGrid>
      <w:tr w:rsidR="000230E8" w:rsidRPr="00C2318B" w14:paraId="75AF60ED" w14:textId="77777777" w:rsidTr="000230E8">
        <w:tblPrEx>
          <w:tblCellMar>
            <w:top w:w="0" w:type="dxa"/>
            <w:bottom w:w="0" w:type="dxa"/>
          </w:tblCellMar>
        </w:tblPrEx>
        <w:tc>
          <w:tcPr>
            <w:tcW w:w="4968" w:type="dxa"/>
            <w:shd w:val="clear" w:color="auto" w:fill="auto"/>
          </w:tcPr>
          <w:p w14:paraId="71BD502E" w14:textId="77777777" w:rsidR="000230E8" w:rsidRPr="00C2318B" w:rsidRDefault="000230E8" w:rsidP="000230E8">
            <w:pPr>
              <w:pStyle w:val="TableRowHead"/>
              <w:rPr>
                <w:sz w:val="22"/>
                <w:szCs w:val="22"/>
                <w:lang w:eastAsia="en-GB"/>
              </w:rPr>
            </w:pPr>
          </w:p>
        </w:tc>
        <w:tc>
          <w:tcPr>
            <w:tcW w:w="1944" w:type="dxa"/>
          </w:tcPr>
          <w:p w14:paraId="06B9E2C9" w14:textId="77777777" w:rsidR="000230E8" w:rsidRPr="00C2318B" w:rsidRDefault="000230E8" w:rsidP="000230E8">
            <w:pPr>
              <w:pStyle w:val="TableHead"/>
              <w:keepLines/>
              <w:jc w:val="right"/>
              <w:rPr>
                <w:sz w:val="22"/>
                <w:szCs w:val="22"/>
                <w:lang/>
              </w:rPr>
            </w:pPr>
            <w:r w:rsidRPr="00C2318B">
              <w:rPr>
                <w:sz w:val="22"/>
                <w:szCs w:val="22"/>
                <w:lang/>
              </w:rPr>
              <w:t>2011</w:t>
            </w:r>
          </w:p>
        </w:tc>
        <w:tc>
          <w:tcPr>
            <w:tcW w:w="1944" w:type="dxa"/>
          </w:tcPr>
          <w:p w14:paraId="243DE60E" w14:textId="77777777" w:rsidR="000230E8" w:rsidRPr="00C2318B" w:rsidRDefault="000230E8" w:rsidP="000230E8">
            <w:pPr>
              <w:pStyle w:val="TableHead"/>
              <w:keepLines/>
              <w:jc w:val="right"/>
              <w:rPr>
                <w:sz w:val="22"/>
                <w:szCs w:val="22"/>
                <w:lang/>
              </w:rPr>
            </w:pPr>
            <w:r w:rsidRPr="00C2318B">
              <w:rPr>
                <w:sz w:val="22"/>
                <w:szCs w:val="22"/>
                <w:lang/>
              </w:rPr>
              <w:t>2010</w:t>
            </w:r>
          </w:p>
        </w:tc>
      </w:tr>
      <w:tr w:rsidR="000230E8" w:rsidRPr="00C2318B" w14:paraId="7D9B1A83" w14:textId="77777777" w:rsidTr="000230E8">
        <w:tblPrEx>
          <w:tblCellMar>
            <w:top w:w="0" w:type="dxa"/>
            <w:bottom w:w="0" w:type="dxa"/>
          </w:tblCellMar>
        </w:tblPrEx>
        <w:tc>
          <w:tcPr>
            <w:tcW w:w="4968" w:type="dxa"/>
            <w:shd w:val="clear" w:color="auto" w:fill="auto"/>
          </w:tcPr>
          <w:p w14:paraId="64266CFD" w14:textId="77777777" w:rsidR="000230E8" w:rsidRPr="00C2318B" w:rsidRDefault="000230E8" w:rsidP="000230E8">
            <w:pPr>
              <w:pStyle w:val="TableRowHead"/>
              <w:rPr>
                <w:sz w:val="22"/>
                <w:szCs w:val="22"/>
                <w:lang w:eastAsia="en-GB"/>
              </w:rPr>
            </w:pPr>
          </w:p>
        </w:tc>
        <w:tc>
          <w:tcPr>
            <w:tcW w:w="1944" w:type="dxa"/>
            <w:vAlign w:val="bottom"/>
          </w:tcPr>
          <w:p w14:paraId="313020B8" w14:textId="77777777" w:rsidR="000230E8" w:rsidRPr="00C2318B" w:rsidRDefault="000230E8" w:rsidP="000230E8">
            <w:pPr>
              <w:spacing w:after="0"/>
              <w:jc w:val="right"/>
              <w:rPr>
                <w:rFonts w:cs="Arial"/>
                <w:b/>
                <w:bCs/>
                <w:sz w:val="22"/>
                <w:szCs w:val="22"/>
                <w:lang w:eastAsia="en-GB"/>
              </w:rPr>
            </w:pPr>
            <w:r w:rsidRPr="00C2318B">
              <w:rPr>
                <w:rFonts w:cs="Arial"/>
                <w:b/>
                <w:bCs/>
                <w:sz w:val="22"/>
                <w:szCs w:val="22"/>
                <w:lang w:eastAsia="en-GB"/>
              </w:rPr>
              <w:t xml:space="preserve">          </w:t>
            </w:r>
            <w:r w:rsidRPr="00C2318B">
              <w:rPr>
                <w:rFonts w:ascii="Arial" w:hAnsi="Arial" w:cs="Arial"/>
                <w:b/>
                <w:bCs/>
                <w:sz w:val="22"/>
                <w:szCs w:val="22"/>
                <w:lang w:eastAsia="en-GB"/>
              </w:rPr>
              <w:t>€</w:t>
            </w:r>
          </w:p>
        </w:tc>
        <w:tc>
          <w:tcPr>
            <w:tcW w:w="1944" w:type="dxa"/>
            <w:vAlign w:val="bottom"/>
          </w:tcPr>
          <w:p w14:paraId="1E640185" w14:textId="77777777" w:rsidR="000230E8" w:rsidRPr="00C2318B" w:rsidRDefault="000230E8" w:rsidP="000230E8">
            <w:pPr>
              <w:spacing w:after="0"/>
              <w:jc w:val="right"/>
              <w:rPr>
                <w:rFonts w:cs="Arial"/>
                <w:b/>
                <w:bCs/>
                <w:sz w:val="22"/>
                <w:szCs w:val="22"/>
                <w:lang w:eastAsia="en-GB"/>
              </w:rPr>
            </w:pPr>
            <w:r w:rsidRPr="00C2318B">
              <w:rPr>
                <w:rFonts w:cs="Arial"/>
                <w:b/>
                <w:bCs/>
                <w:sz w:val="22"/>
                <w:szCs w:val="22"/>
                <w:lang w:eastAsia="en-GB"/>
              </w:rPr>
              <w:t xml:space="preserve">          </w:t>
            </w:r>
            <w:r w:rsidRPr="00C2318B">
              <w:rPr>
                <w:rFonts w:ascii="Arial" w:hAnsi="Arial" w:cs="Arial"/>
                <w:b/>
                <w:bCs/>
                <w:sz w:val="22"/>
                <w:szCs w:val="22"/>
                <w:lang w:eastAsia="en-GB"/>
              </w:rPr>
              <w:t>€</w:t>
            </w:r>
          </w:p>
        </w:tc>
      </w:tr>
      <w:tr w:rsidR="000230E8" w:rsidRPr="00C2318B" w14:paraId="63B945F4" w14:textId="77777777" w:rsidTr="000230E8">
        <w:tblPrEx>
          <w:tblCellMar>
            <w:top w:w="0" w:type="dxa"/>
            <w:bottom w:w="0" w:type="dxa"/>
          </w:tblCellMar>
        </w:tblPrEx>
        <w:tc>
          <w:tcPr>
            <w:tcW w:w="4968" w:type="dxa"/>
            <w:shd w:val="clear" w:color="auto" w:fill="auto"/>
            <w:vAlign w:val="bottom"/>
          </w:tcPr>
          <w:p w14:paraId="42551391" w14:textId="77777777" w:rsidR="000230E8" w:rsidRPr="00C63F26" w:rsidRDefault="000230E8" w:rsidP="000230E8">
            <w:pPr>
              <w:pStyle w:val="TableRowHead"/>
              <w:rPr>
                <w:rFonts w:ascii="Gill Sans" w:hAnsi="Gill Sans"/>
                <w:sz w:val="24"/>
                <w:lang w:eastAsia="en-GB"/>
              </w:rPr>
            </w:pPr>
            <w:r w:rsidRPr="00C63F26">
              <w:rPr>
                <w:rFonts w:ascii="Gill Sans" w:hAnsi="Gill Sans"/>
                <w:sz w:val="24"/>
                <w:lang w:eastAsia="en-GB"/>
              </w:rPr>
              <w:t>Costas seirbhíse reatha</w:t>
            </w:r>
          </w:p>
        </w:tc>
        <w:tc>
          <w:tcPr>
            <w:tcW w:w="1944" w:type="dxa"/>
            <w:vAlign w:val="bottom"/>
          </w:tcPr>
          <w:p w14:paraId="54DC84CE" w14:textId="77777777" w:rsidR="000230E8" w:rsidRPr="00C2318B" w:rsidRDefault="000230E8" w:rsidP="000230E8">
            <w:pPr>
              <w:pStyle w:val="TableCell"/>
              <w:rPr>
                <w:sz w:val="24"/>
                <w:lang w:eastAsia="en-GB"/>
              </w:rPr>
            </w:pPr>
            <w:r w:rsidRPr="00C2318B">
              <w:rPr>
                <w:sz w:val="24"/>
                <w:lang w:eastAsia="en-GB"/>
              </w:rPr>
              <w:t xml:space="preserve">500,000 </w:t>
            </w:r>
          </w:p>
        </w:tc>
        <w:tc>
          <w:tcPr>
            <w:tcW w:w="1944" w:type="dxa"/>
            <w:vAlign w:val="bottom"/>
          </w:tcPr>
          <w:p w14:paraId="2ADFB897" w14:textId="77777777" w:rsidR="000230E8" w:rsidRPr="00C2318B" w:rsidRDefault="000230E8" w:rsidP="000230E8">
            <w:pPr>
              <w:pStyle w:val="TableCell"/>
              <w:rPr>
                <w:sz w:val="24"/>
                <w:lang w:eastAsia="en-GB"/>
              </w:rPr>
            </w:pPr>
            <w:r w:rsidRPr="00C2318B">
              <w:rPr>
                <w:sz w:val="24"/>
                <w:lang w:eastAsia="en-GB"/>
              </w:rPr>
              <w:t xml:space="preserve">550,000 </w:t>
            </w:r>
          </w:p>
        </w:tc>
      </w:tr>
      <w:tr w:rsidR="000230E8" w:rsidRPr="00C2318B" w14:paraId="13576B4B" w14:textId="77777777" w:rsidTr="000230E8">
        <w:tblPrEx>
          <w:tblCellMar>
            <w:top w:w="0" w:type="dxa"/>
            <w:bottom w:w="0" w:type="dxa"/>
          </w:tblCellMar>
        </w:tblPrEx>
        <w:tc>
          <w:tcPr>
            <w:tcW w:w="4968" w:type="dxa"/>
            <w:shd w:val="clear" w:color="auto" w:fill="auto"/>
            <w:vAlign w:val="bottom"/>
          </w:tcPr>
          <w:p w14:paraId="55BD9E52" w14:textId="77777777" w:rsidR="000230E8" w:rsidRPr="00C63F26" w:rsidRDefault="000230E8" w:rsidP="000230E8">
            <w:pPr>
              <w:pStyle w:val="TableRowHead"/>
              <w:rPr>
                <w:rFonts w:ascii="Gill Sans" w:hAnsi="Gill Sans"/>
                <w:sz w:val="24"/>
                <w:lang w:eastAsia="en-GB"/>
              </w:rPr>
            </w:pPr>
            <w:r w:rsidRPr="00C63F26">
              <w:rPr>
                <w:rFonts w:ascii="Gill Sans" w:hAnsi="Gill Sans"/>
                <w:sz w:val="24"/>
                <w:lang w:eastAsia="en-GB"/>
              </w:rPr>
              <w:t xml:space="preserve">Méadú ar dhliteanais scéime pinsin </w:t>
            </w:r>
          </w:p>
        </w:tc>
        <w:tc>
          <w:tcPr>
            <w:tcW w:w="1944" w:type="dxa"/>
            <w:vAlign w:val="bottom"/>
          </w:tcPr>
          <w:p w14:paraId="666F9338" w14:textId="77777777" w:rsidR="000230E8" w:rsidRPr="00C2318B" w:rsidRDefault="000230E8" w:rsidP="000230E8">
            <w:pPr>
              <w:pStyle w:val="TableCell"/>
              <w:rPr>
                <w:sz w:val="24"/>
                <w:lang w:eastAsia="en-GB"/>
              </w:rPr>
            </w:pPr>
            <w:r w:rsidRPr="00C2318B">
              <w:rPr>
                <w:sz w:val="24"/>
                <w:lang w:eastAsia="en-GB"/>
              </w:rPr>
              <w:t xml:space="preserve">940,000 </w:t>
            </w:r>
          </w:p>
        </w:tc>
        <w:tc>
          <w:tcPr>
            <w:tcW w:w="1944" w:type="dxa"/>
            <w:vAlign w:val="bottom"/>
          </w:tcPr>
          <w:p w14:paraId="616FA69B" w14:textId="77777777" w:rsidR="000230E8" w:rsidRPr="00C2318B" w:rsidRDefault="000230E8" w:rsidP="000230E8">
            <w:pPr>
              <w:pStyle w:val="TableCell"/>
              <w:rPr>
                <w:sz w:val="24"/>
                <w:lang w:eastAsia="en-GB"/>
              </w:rPr>
            </w:pPr>
            <w:r w:rsidRPr="00C2318B">
              <w:rPr>
                <w:sz w:val="24"/>
                <w:lang w:eastAsia="en-GB"/>
              </w:rPr>
              <w:t xml:space="preserve">1,000,000 </w:t>
            </w:r>
          </w:p>
        </w:tc>
      </w:tr>
      <w:tr w:rsidR="000230E8" w:rsidRPr="00C2318B" w14:paraId="238F5CBE" w14:textId="77777777" w:rsidTr="000230E8">
        <w:tblPrEx>
          <w:tblCellMar>
            <w:top w:w="0" w:type="dxa"/>
            <w:bottom w:w="0" w:type="dxa"/>
          </w:tblCellMar>
        </w:tblPrEx>
        <w:tc>
          <w:tcPr>
            <w:tcW w:w="4968" w:type="dxa"/>
            <w:shd w:val="clear" w:color="auto" w:fill="auto"/>
            <w:vAlign w:val="bottom"/>
          </w:tcPr>
          <w:p w14:paraId="1BBBCDB4" w14:textId="77777777" w:rsidR="000230E8" w:rsidRPr="00C63F26" w:rsidRDefault="000230E8" w:rsidP="000230E8">
            <w:pPr>
              <w:pStyle w:val="TableRowHead"/>
              <w:rPr>
                <w:rFonts w:ascii="Gill Sans" w:hAnsi="Gill Sans"/>
                <w:sz w:val="24"/>
                <w:lang w:eastAsia="en-GB"/>
              </w:rPr>
            </w:pPr>
            <w:r w:rsidRPr="00C63F26">
              <w:rPr>
                <w:rFonts w:ascii="Gill Sans" w:hAnsi="Gill Sans"/>
                <w:sz w:val="24"/>
                <w:lang w:eastAsia="en-GB"/>
              </w:rPr>
              <w:t>Ranníocaíocht fostaí</w:t>
            </w:r>
          </w:p>
        </w:tc>
        <w:tc>
          <w:tcPr>
            <w:tcW w:w="1944" w:type="dxa"/>
            <w:vAlign w:val="bottom"/>
          </w:tcPr>
          <w:p w14:paraId="0ECF2160" w14:textId="77777777" w:rsidR="000230E8" w:rsidRPr="00C2318B" w:rsidRDefault="000230E8" w:rsidP="000230E8">
            <w:pPr>
              <w:pStyle w:val="TableCell"/>
              <w:rPr>
                <w:sz w:val="24"/>
                <w:lang w:eastAsia="en-GB"/>
              </w:rPr>
            </w:pPr>
            <w:r w:rsidRPr="00C2318B">
              <w:rPr>
                <w:sz w:val="24"/>
                <w:lang w:eastAsia="en-GB"/>
              </w:rPr>
              <w:t>(127,998)</w:t>
            </w:r>
          </w:p>
        </w:tc>
        <w:tc>
          <w:tcPr>
            <w:tcW w:w="1944" w:type="dxa"/>
            <w:vAlign w:val="bottom"/>
          </w:tcPr>
          <w:p w14:paraId="3B400F15" w14:textId="77777777" w:rsidR="000230E8" w:rsidRPr="00C2318B" w:rsidRDefault="000230E8" w:rsidP="000230E8">
            <w:pPr>
              <w:pStyle w:val="TableCell"/>
              <w:rPr>
                <w:sz w:val="24"/>
                <w:lang w:eastAsia="en-GB"/>
              </w:rPr>
            </w:pPr>
            <w:r w:rsidRPr="00C2318B">
              <w:rPr>
                <w:sz w:val="24"/>
                <w:lang w:eastAsia="en-GB"/>
              </w:rPr>
              <w:t>(142,720)</w:t>
            </w:r>
          </w:p>
        </w:tc>
      </w:tr>
      <w:tr w:rsidR="000230E8" w:rsidRPr="00C2318B" w14:paraId="284B11CF" w14:textId="77777777" w:rsidTr="000230E8">
        <w:tblPrEx>
          <w:tblCellMar>
            <w:top w:w="0" w:type="dxa"/>
            <w:bottom w:w="0" w:type="dxa"/>
          </w:tblCellMar>
        </w:tblPrEx>
        <w:tc>
          <w:tcPr>
            <w:tcW w:w="4968" w:type="dxa"/>
            <w:shd w:val="clear" w:color="auto" w:fill="auto"/>
            <w:vAlign w:val="bottom"/>
          </w:tcPr>
          <w:p w14:paraId="4DE59CC5" w14:textId="77777777" w:rsidR="000230E8" w:rsidRPr="00C63F26" w:rsidRDefault="000230E8" w:rsidP="000230E8">
            <w:pPr>
              <w:pStyle w:val="TableRowHead"/>
              <w:rPr>
                <w:rFonts w:ascii="Gill Sans" w:hAnsi="Gill Sans"/>
                <w:sz w:val="24"/>
                <w:lang w:eastAsia="en-GB"/>
              </w:rPr>
            </w:pPr>
            <w:r w:rsidRPr="00C63F26">
              <w:rPr>
                <w:rFonts w:ascii="Gill Sans" w:hAnsi="Gill Sans"/>
                <w:sz w:val="24"/>
                <w:lang w:eastAsia="en-GB"/>
              </w:rPr>
              <w:t xml:space="preserve">Costas iarsheirbhíse </w:t>
            </w:r>
          </w:p>
        </w:tc>
        <w:tc>
          <w:tcPr>
            <w:tcW w:w="1944" w:type="dxa"/>
            <w:vAlign w:val="bottom"/>
          </w:tcPr>
          <w:p w14:paraId="7CBC10CC" w14:textId="77777777" w:rsidR="000230E8" w:rsidRPr="00C2318B" w:rsidRDefault="000230E8" w:rsidP="000230E8">
            <w:pPr>
              <w:pStyle w:val="TableCell"/>
              <w:rPr>
                <w:sz w:val="24"/>
                <w:lang w:eastAsia="en-GB"/>
              </w:rPr>
            </w:pPr>
            <w:r w:rsidRPr="00C2318B">
              <w:rPr>
                <w:sz w:val="24"/>
                <w:lang w:eastAsia="en-GB"/>
              </w:rPr>
              <w:t xml:space="preserve">            -     </w:t>
            </w:r>
          </w:p>
        </w:tc>
        <w:tc>
          <w:tcPr>
            <w:tcW w:w="1944" w:type="dxa"/>
            <w:vAlign w:val="bottom"/>
          </w:tcPr>
          <w:p w14:paraId="55DD5D24" w14:textId="77777777" w:rsidR="000230E8" w:rsidRPr="00C2318B" w:rsidRDefault="000230E8" w:rsidP="000230E8">
            <w:pPr>
              <w:pStyle w:val="TableCell"/>
              <w:rPr>
                <w:sz w:val="24"/>
                <w:lang w:eastAsia="en-GB"/>
              </w:rPr>
            </w:pPr>
            <w:r w:rsidRPr="00C2318B">
              <w:rPr>
                <w:sz w:val="24"/>
                <w:lang w:eastAsia="en-GB"/>
              </w:rPr>
              <w:t xml:space="preserve">            -     </w:t>
            </w:r>
          </w:p>
        </w:tc>
      </w:tr>
      <w:tr w:rsidR="000230E8" w:rsidRPr="00C2318B" w14:paraId="1B945F43" w14:textId="77777777" w:rsidTr="000230E8">
        <w:tblPrEx>
          <w:tblCellMar>
            <w:top w:w="0" w:type="dxa"/>
            <w:bottom w:w="0" w:type="dxa"/>
          </w:tblCellMar>
        </w:tblPrEx>
        <w:tc>
          <w:tcPr>
            <w:tcW w:w="4968" w:type="dxa"/>
            <w:shd w:val="clear" w:color="auto" w:fill="auto"/>
            <w:vAlign w:val="bottom"/>
          </w:tcPr>
          <w:p w14:paraId="62F702F8" w14:textId="77777777" w:rsidR="000230E8" w:rsidRPr="00C63F26" w:rsidRDefault="000230E8" w:rsidP="000230E8">
            <w:pPr>
              <w:pStyle w:val="TableRowHead"/>
              <w:rPr>
                <w:rFonts w:ascii="Gill Sans" w:hAnsi="Gill Sans"/>
                <w:sz w:val="24"/>
                <w:lang w:eastAsia="en-GB"/>
              </w:rPr>
            </w:pPr>
            <w:r w:rsidRPr="00C63F26">
              <w:rPr>
                <w:rFonts w:ascii="Gill Sans" w:hAnsi="Gill Sans"/>
                <w:sz w:val="24"/>
                <w:lang w:eastAsia="en-GB"/>
              </w:rPr>
              <w:t>Muirear oibriúcháin iomlán</w:t>
            </w:r>
          </w:p>
        </w:tc>
        <w:tc>
          <w:tcPr>
            <w:tcW w:w="1944" w:type="dxa"/>
            <w:vAlign w:val="bottom"/>
          </w:tcPr>
          <w:p w14:paraId="3939DCF4" w14:textId="77777777" w:rsidR="000230E8" w:rsidRPr="00C2318B" w:rsidRDefault="000230E8" w:rsidP="000230E8">
            <w:pPr>
              <w:pStyle w:val="TableCell"/>
              <w:rPr>
                <w:sz w:val="24"/>
                <w:lang w:eastAsia="en-GB"/>
              </w:rPr>
            </w:pPr>
            <w:r w:rsidRPr="00C2318B">
              <w:rPr>
                <w:sz w:val="24"/>
                <w:lang w:eastAsia="en-GB"/>
              </w:rPr>
              <w:t xml:space="preserve">1,312,002 </w:t>
            </w:r>
          </w:p>
        </w:tc>
        <w:tc>
          <w:tcPr>
            <w:tcW w:w="1944" w:type="dxa"/>
            <w:vAlign w:val="bottom"/>
          </w:tcPr>
          <w:p w14:paraId="7BDE55F4" w14:textId="77777777" w:rsidR="000230E8" w:rsidRPr="00C2318B" w:rsidRDefault="000230E8" w:rsidP="000230E8">
            <w:pPr>
              <w:pStyle w:val="TableCell"/>
              <w:rPr>
                <w:sz w:val="24"/>
                <w:lang w:eastAsia="en-GB"/>
              </w:rPr>
            </w:pPr>
            <w:r w:rsidRPr="00C2318B">
              <w:rPr>
                <w:sz w:val="24"/>
                <w:lang w:eastAsia="en-GB"/>
              </w:rPr>
              <w:t xml:space="preserve">1,407,280 </w:t>
            </w:r>
          </w:p>
        </w:tc>
      </w:tr>
    </w:tbl>
    <w:p w14:paraId="26175D4A" w14:textId="77777777" w:rsidR="000230E8" w:rsidRPr="00C2318B" w:rsidRDefault="000230E8" w:rsidP="00C63F26">
      <w:pPr>
        <w:pStyle w:val="Heading4"/>
        <w:rPr>
          <w:lang w:eastAsia="en-GB"/>
        </w:rPr>
      </w:pPr>
      <w:r w:rsidRPr="00C2318B">
        <w:rPr>
          <w:lang w:eastAsia="en-GB"/>
        </w:rPr>
        <w:br/>
      </w:r>
      <w:bookmarkStart w:id="513" w:name="_Toc335836562"/>
      <w:r w:rsidRPr="00C2318B">
        <w:rPr>
          <w:lang w:eastAsia="en-GB"/>
        </w:rPr>
        <w:t>(d) Sócmhainn Cistithe Iarchurtha le haghaidh Pinsean</w:t>
      </w:r>
      <w:bookmarkEnd w:id="513"/>
      <w:r w:rsidRPr="00C2318B">
        <w:rPr>
          <w:lang w:eastAsia="en-GB"/>
        </w:rPr>
        <w:t xml:space="preserve"> </w:t>
      </w:r>
    </w:p>
    <w:p w14:paraId="6962B274" w14:textId="77777777" w:rsidR="000230E8" w:rsidRPr="00C2318B" w:rsidRDefault="000230E8" w:rsidP="000230E8">
      <w:pPr>
        <w:rPr>
          <w:lang w:eastAsia="en-GB"/>
        </w:rPr>
      </w:pPr>
      <w:r w:rsidRPr="00C2318B">
        <w:rPr>
          <w:lang w:eastAsia="en-GB"/>
        </w:rPr>
        <w:t xml:space="preserve">Aithníonn an Údarás Náisiúnta Míchumais na suimeanna seo mar shócmhainn ag freagairt don dliteanas neamhchistithe iarchurtha do phinsin ar bhonn an tacair de thoimhdí ar a ndéantar cur síos thuas agus ar theagmhais áirithe san am atá thart. Coimsíonn na teagmhais seo an bonn reachtúil do bhunú na scéime aoisliúntais, an polasaí agus an cleachtas atá ann faoi láthair maidir le cistiú pinsean seirbhíse poiblí ag áireamh rannaíocaíochtaí ag fostuithe agus próiseas na meastachán bliantiúla. Cé nach ann do chomhaontú foirmeálta maidir les na sainsuimeanna seo </w:t>
      </w:r>
      <w:r w:rsidRPr="00C2318B">
        <w:rPr>
          <w:lang w:eastAsia="en-GB"/>
        </w:rPr>
        <w:lastRenderedPageBreak/>
        <w:t xml:space="preserve">leis an </w:t>
      </w:r>
      <w:r>
        <w:rPr>
          <w:lang w:eastAsia="en-GB"/>
        </w:rPr>
        <w:t>Roinn Dlí agus Cirt agus Comhio</w:t>
      </w:r>
      <w:r w:rsidRPr="00C2318B">
        <w:rPr>
          <w:lang w:eastAsia="en-GB"/>
        </w:rPr>
        <w:t>nan</w:t>
      </w:r>
      <w:r>
        <w:rPr>
          <w:lang w:eastAsia="en-GB"/>
        </w:rPr>
        <w:t>n</w:t>
      </w:r>
      <w:r w:rsidRPr="00C2318B">
        <w:rPr>
          <w:lang w:eastAsia="en-GB"/>
        </w:rPr>
        <w:t>ais, tá an tÚdarás Náisiúnta Míchumais gan aon fhianaise ná leanfar air sholáthar suimeanna dá leithéid sin ag teacht leis an gcleachtas reatha. Tháinig an tsóchmhainn chistíochta iarchurtha do phinsin mar a bhí ar an 31 Nollaig 2011 go €16.7 milliún geall leis (2010: €17.1 milliún).</w:t>
      </w:r>
    </w:p>
    <w:p w14:paraId="0A64EC6D" w14:textId="77777777" w:rsidR="000230E8" w:rsidRPr="00C2318B" w:rsidRDefault="000230E8" w:rsidP="000230E8">
      <w:pPr>
        <w:pStyle w:val="TableTitle"/>
        <w:jc w:val="left"/>
        <w:rPr>
          <w:lang/>
        </w:rPr>
      </w:pPr>
      <w:r w:rsidRPr="00C2318B">
        <w:rPr>
          <w:lang w:eastAsia="en-GB"/>
        </w:rPr>
        <w:t>(e) Gluaiseacht san easnamh le linn na bliana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888"/>
        <w:gridCol w:w="2484"/>
        <w:gridCol w:w="2484"/>
      </w:tblGrid>
      <w:tr w:rsidR="000230E8" w:rsidRPr="00C2318B" w14:paraId="3424675A" w14:textId="77777777" w:rsidTr="000230E8">
        <w:tblPrEx>
          <w:tblCellMar>
            <w:top w:w="0" w:type="dxa"/>
            <w:bottom w:w="0" w:type="dxa"/>
          </w:tblCellMar>
        </w:tblPrEx>
        <w:trPr>
          <w:tblHeader/>
        </w:trPr>
        <w:tc>
          <w:tcPr>
            <w:tcW w:w="3888" w:type="dxa"/>
            <w:shd w:val="clear" w:color="auto" w:fill="auto"/>
          </w:tcPr>
          <w:p w14:paraId="5CCED4BB" w14:textId="77777777" w:rsidR="000230E8" w:rsidRPr="00C2318B" w:rsidRDefault="000230E8" w:rsidP="000230E8">
            <w:pPr>
              <w:pStyle w:val="TableHead"/>
              <w:widowControl w:val="0"/>
              <w:jc w:val="right"/>
              <w:rPr>
                <w:lang/>
              </w:rPr>
            </w:pPr>
          </w:p>
        </w:tc>
        <w:tc>
          <w:tcPr>
            <w:tcW w:w="2484" w:type="dxa"/>
            <w:shd w:val="clear" w:color="auto" w:fill="auto"/>
            <w:vAlign w:val="bottom"/>
          </w:tcPr>
          <w:p w14:paraId="05C4008D" w14:textId="77777777" w:rsidR="000230E8" w:rsidRPr="00C2318B" w:rsidRDefault="000230E8" w:rsidP="000230E8">
            <w:pPr>
              <w:spacing w:after="0"/>
              <w:jc w:val="right"/>
              <w:rPr>
                <w:rFonts w:cs="Arial"/>
                <w:b/>
                <w:bCs/>
                <w:sz w:val="24"/>
                <w:lang w:eastAsia="en-GB"/>
              </w:rPr>
            </w:pPr>
            <w:r w:rsidRPr="00C2318B">
              <w:rPr>
                <w:rFonts w:cs="Arial"/>
                <w:b/>
                <w:bCs/>
                <w:sz w:val="24"/>
                <w:lang w:eastAsia="en-GB"/>
              </w:rPr>
              <w:t>2011</w:t>
            </w:r>
          </w:p>
        </w:tc>
        <w:tc>
          <w:tcPr>
            <w:tcW w:w="2484" w:type="dxa"/>
            <w:shd w:val="clear" w:color="auto" w:fill="auto"/>
            <w:vAlign w:val="bottom"/>
          </w:tcPr>
          <w:p w14:paraId="4B55C2F1" w14:textId="77777777" w:rsidR="000230E8" w:rsidRPr="00C2318B" w:rsidRDefault="000230E8" w:rsidP="000230E8">
            <w:pPr>
              <w:spacing w:after="0"/>
              <w:jc w:val="right"/>
              <w:rPr>
                <w:rFonts w:cs="Arial"/>
                <w:b/>
                <w:bCs/>
                <w:sz w:val="24"/>
                <w:lang w:eastAsia="en-GB"/>
              </w:rPr>
            </w:pPr>
            <w:r w:rsidRPr="00C2318B">
              <w:rPr>
                <w:rFonts w:cs="Arial"/>
                <w:b/>
                <w:bCs/>
                <w:sz w:val="24"/>
                <w:lang w:eastAsia="en-GB"/>
              </w:rPr>
              <w:t>2010</w:t>
            </w:r>
          </w:p>
        </w:tc>
      </w:tr>
      <w:tr w:rsidR="000230E8" w:rsidRPr="00C2318B" w14:paraId="220641C5" w14:textId="77777777" w:rsidTr="000230E8">
        <w:tblPrEx>
          <w:tblCellMar>
            <w:top w:w="0" w:type="dxa"/>
            <w:bottom w:w="0" w:type="dxa"/>
          </w:tblCellMar>
        </w:tblPrEx>
        <w:tc>
          <w:tcPr>
            <w:tcW w:w="3888" w:type="dxa"/>
            <w:shd w:val="clear" w:color="auto" w:fill="auto"/>
          </w:tcPr>
          <w:p w14:paraId="739DAC54" w14:textId="77777777" w:rsidR="000230E8" w:rsidRPr="00C2318B" w:rsidRDefault="000230E8" w:rsidP="000230E8">
            <w:pPr>
              <w:pStyle w:val="TableRowHead"/>
              <w:keepNext w:val="0"/>
              <w:widowControl w:val="0"/>
              <w:rPr>
                <w:lang/>
              </w:rPr>
            </w:pPr>
          </w:p>
        </w:tc>
        <w:tc>
          <w:tcPr>
            <w:tcW w:w="2484" w:type="dxa"/>
            <w:shd w:val="clear" w:color="auto" w:fill="auto"/>
            <w:vAlign w:val="bottom"/>
          </w:tcPr>
          <w:p w14:paraId="02E8FB0B"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             </w:t>
            </w:r>
            <w:r w:rsidRPr="00C2318B">
              <w:rPr>
                <w:rFonts w:ascii="Arial" w:hAnsi="Arial" w:cs="Arial"/>
                <w:sz w:val="24"/>
                <w:lang w:eastAsia="en-GB"/>
              </w:rPr>
              <w:t>€</w:t>
            </w:r>
          </w:p>
        </w:tc>
        <w:tc>
          <w:tcPr>
            <w:tcW w:w="2484" w:type="dxa"/>
            <w:shd w:val="clear" w:color="auto" w:fill="auto"/>
            <w:vAlign w:val="bottom"/>
          </w:tcPr>
          <w:p w14:paraId="3EF39775" w14:textId="77777777" w:rsidR="000230E8" w:rsidRPr="00C2318B" w:rsidRDefault="000230E8" w:rsidP="000230E8">
            <w:pPr>
              <w:spacing w:after="0"/>
              <w:jc w:val="right"/>
              <w:rPr>
                <w:rFonts w:cs="Arial"/>
                <w:sz w:val="24"/>
                <w:lang w:eastAsia="en-GB"/>
              </w:rPr>
            </w:pPr>
            <w:r w:rsidRPr="00C2318B">
              <w:rPr>
                <w:rFonts w:cs="Arial"/>
                <w:sz w:val="24"/>
                <w:lang w:eastAsia="en-GB"/>
              </w:rPr>
              <w:t xml:space="preserve">             </w:t>
            </w:r>
            <w:r w:rsidRPr="00C2318B">
              <w:rPr>
                <w:rFonts w:ascii="Arial" w:hAnsi="Arial" w:cs="Arial"/>
                <w:sz w:val="24"/>
                <w:lang w:eastAsia="en-GB"/>
              </w:rPr>
              <w:t>€</w:t>
            </w:r>
          </w:p>
        </w:tc>
      </w:tr>
      <w:tr w:rsidR="000230E8" w:rsidRPr="00C2318B" w14:paraId="7CB09C8F" w14:textId="77777777" w:rsidTr="000230E8">
        <w:tblPrEx>
          <w:tblCellMar>
            <w:top w:w="0" w:type="dxa"/>
            <w:bottom w:w="0" w:type="dxa"/>
          </w:tblCellMar>
        </w:tblPrEx>
        <w:trPr>
          <w:trHeight w:val="71"/>
        </w:trPr>
        <w:tc>
          <w:tcPr>
            <w:tcW w:w="3888" w:type="dxa"/>
            <w:shd w:val="clear" w:color="auto" w:fill="auto"/>
            <w:vAlign w:val="bottom"/>
          </w:tcPr>
          <w:p w14:paraId="6515DA03" w14:textId="77777777" w:rsidR="000230E8" w:rsidRPr="00C63F26" w:rsidRDefault="000230E8" w:rsidP="000230E8">
            <w:pPr>
              <w:pStyle w:val="TableRowHead"/>
              <w:keepNext w:val="0"/>
              <w:widowControl w:val="0"/>
              <w:rPr>
                <w:rFonts w:ascii="Gill Sans" w:hAnsi="Gill Sans"/>
                <w:sz w:val="24"/>
                <w:lang w:eastAsia="en-GB"/>
              </w:rPr>
            </w:pPr>
            <w:r w:rsidRPr="00C63F26">
              <w:rPr>
                <w:rFonts w:ascii="Gill Sans" w:hAnsi="Gill Sans"/>
                <w:sz w:val="24"/>
                <w:lang w:eastAsia="en-GB"/>
              </w:rPr>
              <w:t xml:space="preserve">Dliteanas Scéime ar an 1 Eanáir </w:t>
            </w:r>
          </w:p>
        </w:tc>
        <w:tc>
          <w:tcPr>
            <w:tcW w:w="2484" w:type="dxa"/>
            <w:shd w:val="clear" w:color="auto" w:fill="auto"/>
            <w:vAlign w:val="bottom"/>
          </w:tcPr>
          <w:p w14:paraId="12598ED1"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r w:rsidRPr="00C2318B">
              <w:rPr>
                <w:rFonts w:cs="Gill Sans"/>
                <w:sz w:val="24"/>
                <w:lang w:eastAsia="en-GB"/>
              </w:rPr>
              <w:t xml:space="preserve">17,100,000 </w:t>
            </w:r>
          </w:p>
        </w:tc>
        <w:tc>
          <w:tcPr>
            <w:tcW w:w="2484" w:type="dxa"/>
            <w:shd w:val="clear" w:color="auto" w:fill="auto"/>
            <w:vAlign w:val="bottom"/>
          </w:tcPr>
          <w:p w14:paraId="10C8A6B8"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r w:rsidRPr="00C2318B">
              <w:rPr>
                <w:rFonts w:cs="Gill Sans"/>
                <w:sz w:val="24"/>
                <w:lang w:eastAsia="en-GB"/>
              </w:rPr>
              <w:t xml:space="preserve">18,500,000 </w:t>
            </w:r>
          </w:p>
        </w:tc>
      </w:tr>
      <w:tr w:rsidR="000230E8" w:rsidRPr="00C2318B" w14:paraId="3486EE3C" w14:textId="77777777" w:rsidTr="000230E8">
        <w:tblPrEx>
          <w:tblCellMar>
            <w:top w:w="0" w:type="dxa"/>
            <w:bottom w:w="0" w:type="dxa"/>
          </w:tblCellMar>
        </w:tblPrEx>
        <w:tc>
          <w:tcPr>
            <w:tcW w:w="3888" w:type="dxa"/>
            <w:shd w:val="clear" w:color="auto" w:fill="auto"/>
            <w:vAlign w:val="bottom"/>
          </w:tcPr>
          <w:p w14:paraId="1E73113D" w14:textId="77777777" w:rsidR="000230E8" w:rsidRPr="00C63F26" w:rsidRDefault="000230E8" w:rsidP="000230E8">
            <w:pPr>
              <w:pStyle w:val="TableRowHead"/>
              <w:keepNext w:val="0"/>
              <w:widowControl w:val="0"/>
              <w:rPr>
                <w:rFonts w:ascii="Gill Sans" w:hAnsi="Gill Sans"/>
                <w:sz w:val="24"/>
                <w:lang w:eastAsia="en-GB"/>
              </w:rPr>
            </w:pPr>
            <w:r w:rsidRPr="00C63F26">
              <w:rPr>
                <w:rFonts w:ascii="Gill Sans" w:hAnsi="Gill Sans"/>
                <w:sz w:val="24"/>
                <w:lang w:eastAsia="en-GB"/>
              </w:rPr>
              <w:t>Costas seirbhíse reatha</w:t>
            </w:r>
          </w:p>
        </w:tc>
        <w:tc>
          <w:tcPr>
            <w:tcW w:w="2484" w:type="dxa"/>
            <w:shd w:val="clear" w:color="auto" w:fill="auto"/>
            <w:vAlign w:val="bottom"/>
          </w:tcPr>
          <w:p w14:paraId="3F690B3B"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r w:rsidRPr="00C2318B">
              <w:rPr>
                <w:rFonts w:cs="Gill Sans"/>
                <w:sz w:val="24"/>
                <w:lang w:eastAsia="en-GB"/>
              </w:rPr>
              <w:t xml:space="preserve">500,000 </w:t>
            </w:r>
          </w:p>
        </w:tc>
        <w:tc>
          <w:tcPr>
            <w:tcW w:w="2484" w:type="dxa"/>
            <w:shd w:val="clear" w:color="auto" w:fill="auto"/>
            <w:vAlign w:val="bottom"/>
          </w:tcPr>
          <w:p w14:paraId="3BE0A782"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r w:rsidRPr="00C2318B">
              <w:rPr>
                <w:rFonts w:cs="Gill Sans"/>
                <w:sz w:val="24"/>
                <w:lang w:eastAsia="en-GB"/>
              </w:rPr>
              <w:t xml:space="preserve">550,000 </w:t>
            </w:r>
          </w:p>
        </w:tc>
      </w:tr>
      <w:tr w:rsidR="000230E8" w:rsidRPr="00C2318B" w14:paraId="4CA9F9C1" w14:textId="77777777" w:rsidTr="000230E8">
        <w:tblPrEx>
          <w:tblCellMar>
            <w:top w:w="0" w:type="dxa"/>
            <w:bottom w:w="0" w:type="dxa"/>
          </w:tblCellMar>
        </w:tblPrEx>
        <w:tc>
          <w:tcPr>
            <w:tcW w:w="3888" w:type="dxa"/>
            <w:shd w:val="clear" w:color="auto" w:fill="auto"/>
            <w:vAlign w:val="bottom"/>
          </w:tcPr>
          <w:p w14:paraId="376E3CA1" w14:textId="77777777" w:rsidR="000230E8" w:rsidRPr="00C63F26" w:rsidRDefault="000230E8" w:rsidP="000230E8">
            <w:pPr>
              <w:pStyle w:val="TableRowHead"/>
              <w:keepNext w:val="0"/>
              <w:widowControl w:val="0"/>
              <w:rPr>
                <w:rFonts w:ascii="Gill Sans" w:hAnsi="Gill Sans"/>
                <w:sz w:val="24"/>
                <w:lang w:eastAsia="en-GB"/>
              </w:rPr>
            </w:pPr>
            <w:r w:rsidRPr="00C63F26">
              <w:rPr>
                <w:rFonts w:ascii="Gill Sans" w:hAnsi="Gill Sans"/>
                <w:sz w:val="24"/>
                <w:lang w:eastAsia="en-GB"/>
              </w:rPr>
              <w:t>Ús ar dhliteanais scéime</w:t>
            </w:r>
          </w:p>
        </w:tc>
        <w:tc>
          <w:tcPr>
            <w:tcW w:w="2484" w:type="dxa"/>
            <w:shd w:val="clear" w:color="auto" w:fill="auto"/>
            <w:vAlign w:val="bottom"/>
          </w:tcPr>
          <w:p w14:paraId="1B18B53F"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r w:rsidRPr="00C2318B">
              <w:rPr>
                <w:rFonts w:cs="Gill Sans"/>
                <w:sz w:val="24"/>
                <w:lang w:eastAsia="en-GB"/>
              </w:rPr>
              <w:t xml:space="preserve">940,000 </w:t>
            </w:r>
          </w:p>
        </w:tc>
        <w:tc>
          <w:tcPr>
            <w:tcW w:w="2484" w:type="dxa"/>
            <w:shd w:val="clear" w:color="auto" w:fill="auto"/>
            <w:vAlign w:val="bottom"/>
          </w:tcPr>
          <w:p w14:paraId="1DEDF3AD" w14:textId="77777777" w:rsidR="000230E8" w:rsidRPr="00C2318B" w:rsidRDefault="000230E8" w:rsidP="000230E8">
            <w:pPr>
              <w:spacing w:after="0"/>
              <w:jc w:val="right"/>
              <w:rPr>
                <w:rFonts w:cs="Arial"/>
                <w:sz w:val="24"/>
                <w:lang w:eastAsia="en-GB"/>
              </w:rPr>
            </w:pPr>
            <w:r w:rsidRPr="00C2318B">
              <w:rPr>
                <w:rFonts w:ascii="Arial" w:hAnsi="Arial" w:cs="Arial"/>
                <w:sz w:val="24"/>
                <w:lang w:eastAsia="en-GB"/>
              </w:rPr>
              <w:t>€</w:t>
            </w:r>
            <w:r w:rsidRPr="00C2318B">
              <w:rPr>
                <w:rFonts w:cs="Gill Sans"/>
                <w:sz w:val="24"/>
                <w:lang w:eastAsia="en-GB"/>
              </w:rPr>
              <w:t xml:space="preserve">1,000,000 </w:t>
            </w:r>
          </w:p>
        </w:tc>
      </w:tr>
      <w:tr w:rsidR="000230E8" w:rsidRPr="00C2318B" w14:paraId="4D8B833B" w14:textId="77777777" w:rsidTr="000230E8">
        <w:tblPrEx>
          <w:tblCellMar>
            <w:top w:w="0" w:type="dxa"/>
            <w:bottom w:w="0" w:type="dxa"/>
          </w:tblCellMar>
        </w:tblPrEx>
        <w:tc>
          <w:tcPr>
            <w:tcW w:w="3888" w:type="dxa"/>
            <w:shd w:val="clear" w:color="auto" w:fill="auto"/>
            <w:vAlign w:val="bottom"/>
          </w:tcPr>
          <w:p w14:paraId="2FDF4D03" w14:textId="77777777" w:rsidR="000230E8" w:rsidRPr="00C63F26" w:rsidRDefault="000230E8" w:rsidP="000230E8">
            <w:pPr>
              <w:pStyle w:val="TableRowHead"/>
              <w:keepNext w:val="0"/>
              <w:widowControl w:val="0"/>
              <w:rPr>
                <w:rFonts w:ascii="Gill Sans" w:hAnsi="Gill Sans"/>
                <w:sz w:val="24"/>
                <w:lang w:eastAsia="en-GB"/>
              </w:rPr>
            </w:pPr>
            <w:r w:rsidRPr="00C63F26">
              <w:rPr>
                <w:rFonts w:ascii="Gill Sans" w:hAnsi="Gill Sans"/>
                <w:sz w:val="24"/>
                <w:lang w:eastAsia="en-GB"/>
              </w:rPr>
              <w:t>Sochair iníoctha</w:t>
            </w:r>
          </w:p>
        </w:tc>
        <w:tc>
          <w:tcPr>
            <w:tcW w:w="2484" w:type="dxa"/>
            <w:shd w:val="clear" w:color="auto" w:fill="auto"/>
            <w:vAlign w:val="bottom"/>
          </w:tcPr>
          <w:p w14:paraId="249A3526" w14:textId="77777777" w:rsidR="000230E8" w:rsidRPr="00C2318B" w:rsidRDefault="000230E8" w:rsidP="000230E8">
            <w:pPr>
              <w:spacing w:after="0"/>
              <w:jc w:val="right"/>
              <w:rPr>
                <w:rFonts w:cs="Arial"/>
                <w:sz w:val="24"/>
                <w:lang w:eastAsia="en-GB"/>
              </w:rPr>
            </w:pPr>
            <w:r w:rsidRPr="00C2318B">
              <w:rPr>
                <w:rFonts w:cs="Arial"/>
                <w:sz w:val="24"/>
                <w:lang w:eastAsia="en-GB"/>
              </w:rPr>
              <w:t>(</w:t>
            </w:r>
            <w:r w:rsidRPr="00C2318B">
              <w:rPr>
                <w:rFonts w:ascii="Arial" w:hAnsi="Arial" w:cs="Arial"/>
                <w:sz w:val="24"/>
                <w:lang w:eastAsia="en-GB"/>
              </w:rPr>
              <w:t>€</w:t>
            </w:r>
            <w:r w:rsidRPr="00C2318B">
              <w:rPr>
                <w:rFonts w:cs="Gill Sans"/>
                <w:sz w:val="24"/>
                <w:lang w:eastAsia="en-GB"/>
              </w:rPr>
              <w:t>580,000)</w:t>
            </w:r>
          </w:p>
        </w:tc>
        <w:tc>
          <w:tcPr>
            <w:tcW w:w="2484" w:type="dxa"/>
            <w:shd w:val="clear" w:color="auto" w:fill="auto"/>
            <w:vAlign w:val="bottom"/>
          </w:tcPr>
          <w:p w14:paraId="4AF5AA1A" w14:textId="77777777" w:rsidR="000230E8" w:rsidRPr="00C2318B" w:rsidRDefault="000230E8" w:rsidP="000230E8">
            <w:pPr>
              <w:spacing w:after="0"/>
              <w:jc w:val="right"/>
              <w:rPr>
                <w:rFonts w:cs="Arial"/>
                <w:sz w:val="24"/>
                <w:lang w:eastAsia="en-GB"/>
              </w:rPr>
            </w:pPr>
            <w:r w:rsidRPr="00C2318B">
              <w:rPr>
                <w:rFonts w:cs="Arial"/>
                <w:sz w:val="24"/>
                <w:lang w:eastAsia="en-GB"/>
              </w:rPr>
              <w:t>(</w:t>
            </w:r>
            <w:r w:rsidRPr="00C2318B">
              <w:rPr>
                <w:rFonts w:ascii="Arial" w:hAnsi="Arial" w:cs="Arial"/>
                <w:sz w:val="24"/>
                <w:lang w:eastAsia="en-GB"/>
              </w:rPr>
              <w:t>€</w:t>
            </w:r>
            <w:r w:rsidRPr="00C2318B">
              <w:rPr>
                <w:rFonts w:cs="Gill Sans"/>
                <w:sz w:val="24"/>
                <w:lang w:eastAsia="en-GB"/>
              </w:rPr>
              <w:t>531,000)</w:t>
            </w:r>
          </w:p>
        </w:tc>
      </w:tr>
      <w:tr w:rsidR="000230E8" w:rsidRPr="00C2318B" w14:paraId="6235F9C2" w14:textId="77777777" w:rsidTr="000230E8">
        <w:tblPrEx>
          <w:tblCellMar>
            <w:top w:w="0" w:type="dxa"/>
            <w:bottom w:w="0" w:type="dxa"/>
          </w:tblCellMar>
        </w:tblPrEx>
        <w:tc>
          <w:tcPr>
            <w:tcW w:w="3888" w:type="dxa"/>
            <w:shd w:val="clear" w:color="auto" w:fill="auto"/>
            <w:vAlign w:val="bottom"/>
          </w:tcPr>
          <w:p w14:paraId="7C365BD3" w14:textId="77777777" w:rsidR="000230E8" w:rsidRPr="00C63F26" w:rsidRDefault="000230E8" w:rsidP="000230E8">
            <w:pPr>
              <w:pStyle w:val="TableRowHead"/>
              <w:keepNext w:val="0"/>
              <w:widowControl w:val="0"/>
              <w:rPr>
                <w:rFonts w:ascii="Gill Sans" w:hAnsi="Gill Sans"/>
                <w:sz w:val="24"/>
                <w:lang w:eastAsia="en-GB"/>
              </w:rPr>
            </w:pPr>
            <w:r w:rsidRPr="00C63F26">
              <w:rPr>
                <w:rFonts w:ascii="Gill Sans" w:hAnsi="Gill Sans"/>
                <w:sz w:val="24"/>
                <w:lang w:eastAsia="en-GB"/>
              </w:rPr>
              <w:t xml:space="preserve">Caillteanas achtúireach aitheanta sa RIGCA </w:t>
            </w:r>
          </w:p>
        </w:tc>
        <w:tc>
          <w:tcPr>
            <w:tcW w:w="2484" w:type="dxa"/>
            <w:shd w:val="clear" w:color="auto" w:fill="auto"/>
            <w:vAlign w:val="bottom"/>
          </w:tcPr>
          <w:p w14:paraId="4C6DB559" w14:textId="77777777" w:rsidR="000230E8" w:rsidRPr="00C2318B" w:rsidRDefault="000230E8" w:rsidP="000230E8">
            <w:pPr>
              <w:spacing w:after="0"/>
              <w:jc w:val="right"/>
              <w:rPr>
                <w:rFonts w:cs="Arial"/>
                <w:sz w:val="24"/>
                <w:lang w:eastAsia="en-GB"/>
              </w:rPr>
            </w:pPr>
            <w:r w:rsidRPr="00C2318B">
              <w:rPr>
                <w:rFonts w:cs="Arial"/>
                <w:sz w:val="24"/>
                <w:lang w:eastAsia="en-GB"/>
              </w:rPr>
              <w:t>(</w:t>
            </w:r>
            <w:r w:rsidRPr="00C2318B">
              <w:rPr>
                <w:rFonts w:ascii="Arial" w:hAnsi="Arial" w:cs="Arial"/>
                <w:sz w:val="24"/>
                <w:lang w:eastAsia="en-GB"/>
              </w:rPr>
              <w:t>€</w:t>
            </w:r>
            <w:r w:rsidRPr="00C2318B">
              <w:rPr>
                <w:rFonts w:cs="Gill Sans"/>
                <w:sz w:val="24"/>
                <w:lang w:eastAsia="en-GB"/>
              </w:rPr>
              <w:t>1,260,000)</w:t>
            </w:r>
          </w:p>
        </w:tc>
        <w:tc>
          <w:tcPr>
            <w:tcW w:w="2484" w:type="dxa"/>
            <w:shd w:val="clear" w:color="auto" w:fill="auto"/>
            <w:vAlign w:val="bottom"/>
          </w:tcPr>
          <w:p w14:paraId="27D2EF60" w14:textId="77777777" w:rsidR="000230E8" w:rsidRPr="00C2318B" w:rsidRDefault="000230E8" w:rsidP="000230E8">
            <w:pPr>
              <w:spacing w:after="0"/>
              <w:jc w:val="right"/>
              <w:rPr>
                <w:rFonts w:cs="Arial"/>
                <w:sz w:val="24"/>
                <w:lang w:eastAsia="en-GB"/>
              </w:rPr>
            </w:pPr>
            <w:r w:rsidRPr="00C2318B">
              <w:rPr>
                <w:rFonts w:cs="Arial"/>
                <w:sz w:val="24"/>
                <w:lang w:eastAsia="en-GB"/>
              </w:rPr>
              <w:t>(</w:t>
            </w:r>
            <w:r w:rsidRPr="00C2318B">
              <w:rPr>
                <w:rFonts w:ascii="Arial" w:hAnsi="Arial" w:cs="Arial"/>
                <w:sz w:val="24"/>
                <w:lang w:eastAsia="en-GB"/>
              </w:rPr>
              <w:t>€</w:t>
            </w:r>
            <w:r w:rsidRPr="00C2318B">
              <w:rPr>
                <w:rFonts w:cs="Gill Sans"/>
                <w:sz w:val="24"/>
                <w:lang w:eastAsia="en-GB"/>
              </w:rPr>
              <w:t>2,419,000)</w:t>
            </w:r>
          </w:p>
        </w:tc>
      </w:tr>
      <w:tr w:rsidR="000230E8" w:rsidRPr="00C2318B" w14:paraId="7313450E" w14:textId="77777777" w:rsidTr="000230E8">
        <w:tblPrEx>
          <w:tblCellMar>
            <w:top w:w="0" w:type="dxa"/>
            <w:bottom w:w="0" w:type="dxa"/>
          </w:tblCellMar>
        </w:tblPrEx>
        <w:tc>
          <w:tcPr>
            <w:tcW w:w="3888" w:type="dxa"/>
            <w:shd w:val="clear" w:color="auto" w:fill="auto"/>
            <w:vAlign w:val="bottom"/>
          </w:tcPr>
          <w:p w14:paraId="4BBB770B" w14:textId="77777777" w:rsidR="000230E8" w:rsidRPr="00C63F26" w:rsidRDefault="000230E8" w:rsidP="000230E8">
            <w:pPr>
              <w:pStyle w:val="TableRowHead"/>
              <w:keepNext w:val="0"/>
              <w:widowControl w:val="0"/>
              <w:rPr>
                <w:rFonts w:ascii="Gill Sans" w:hAnsi="Gill Sans"/>
                <w:sz w:val="24"/>
                <w:lang w:eastAsia="en-GB"/>
              </w:rPr>
            </w:pPr>
            <w:r w:rsidRPr="00C63F26">
              <w:rPr>
                <w:rFonts w:ascii="Gill Sans" w:hAnsi="Gill Sans"/>
                <w:sz w:val="24"/>
                <w:lang w:eastAsia="en-GB"/>
              </w:rPr>
              <w:t>Dliteanas Pinsin</w:t>
            </w:r>
          </w:p>
        </w:tc>
        <w:tc>
          <w:tcPr>
            <w:tcW w:w="2484" w:type="dxa"/>
            <w:shd w:val="clear" w:color="auto" w:fill="auto"/>
            <w:vAlign w:val="bottom"/>
          </w:tcPr>
          <w:p w14:paraId="71D2CC97" w14:textId="77777777" w:rsidR="000230E8" w:rsidRPr="00C2318B" w:rsidRDefault="000230E8" w:rsidP="000230E8">
            <w:pPr>
              <w:spacing w:after="0"/>
              <w:jc w:val="right"/>
              <w:rPr>
                <w:rFonts w:cs="Arial"/>
                <w:b/>
                <w:sz w:val="24"/>
                <w:lang w:eastAsia="en-GB"/>
              </w:rPr>
            </w:pPr>
            <w:r w:rsidRPr="00C2318B">
              <w:rPr>
                <w:rFonts w:ascii="Arial" w:hAnsi="Arial" w:cs="Arial"/>
                <w:b/>
                <w:sz w:val="24"/>
                <w:lang w:eastAsia="en-GB"/>
              </w:rPr>
              <w:t>€</w:t>
            </w:r>
            <w:r w:rsidRPr="00C2318B">
              <w:rPr>
                <w:rFonts w:cs="Gill Sans"/>
                <w:b/>
                <w:sz w:val="24"/>
                <w:lang w:eastAsia="en-GB"/>
              </w:rPr>
              <w:t xml:space="preserve">16,700,000 </w:t>
            </w:r>
          </w:p>
        </w:tc>
        <w:tc>
          <w:tcPr>
            <w:tcW w:w="2484" w:type="dxa"/>
            <w:shd w:val="clear" w:color="auto" w:fill="auto"/>
            <w:vAlign w:val="bottom"/>
          </w:tcPr>
          <w:p w14:paraId="3EFFB6C4" w14:textId="77777777" w:rsidR="000230E8" w:rsidRPr="00C2318B" w:rsidRDefault="000230E8" w:rsidP="000230E8">
            <w:pPr>
              <w:spacing w:after="0"/>
              <w:jc w:val="right"/>
              <w:rPr>
                <w:rFonts w:cs="Arial"/>
                <w:b/>
                <w:sz w:val="24"/>
                <w:lang w:eastAsia="en-GB"/>
              </w:rPr>
            </w:pPr>
            <w:r w:rsidRPr="00C2318B">
              <w:rPr>
                <w:rFonts w:ascii="Arial" w:hAnsi="Arial" w:cs="Arial"/>
                <w:b/>
                <w:sz w:val="24"/>
                <w:lang w:eastAsia="en-GB"/>
              </w:rPr>
              <w:t>€</w:t>
            </w:r>
            <w:r w:rsidRPr="00C2318B">
              <w:rPr>
                <w:rFonts w:cs="Gill Sans"/>
                <w:b/>
                <w:sz w:val="24"/>
                <w:lang w:eastAsia="en-GB"/>
              </w:rPr>
              <w:t xml:space="preserve">17,100,000 </w:t>
            </w:r>
          </w:p>
        </w:tc>
      </w:tr>
    </w:tbl>
    <w:p w14:paraId="454D31B5" w14:textId="77777777" w:rsidR="000230E8" w:rsidRPr="00C2318B" w:rsidRDefault="000230E8" w:rsidP="000230E8">
      <w:pPr>
        <w:pStyle w:val="TableTitle"/>
        <w:jc w:val="left"/>
        <w:rPr>
          <w:lang w:eastAsia="en-GB"/>
        </w:rPr>
      </w:pPr>
      <w:r w:rsidRPr="00C2318B">
        <w:rPr>
          <w:lang/>
        </w:rPr>
        <w:br/>
      </w:r>
      <w:r w:rsidRPr="00C2318B">
        <w:rPr>
          <w:lang w:eastAsia="en-GB"/>
        </w:rPr>
        <w:t xml:space="preserve">Stair na ngnóthachan agus na gcaillteanas ó thaithí </w:t>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988"/>
        <w:gridCol w:w="1485"/>
        <w:gridCol w:w="1485"/>
        <w:gridCol w:w="1485"/>
        <w:gridCol w:w="1485"/>
      </w:tblGrid>
      <w:tr w:rsidR="000230E8" w:rsidRPr="00C2318B" w14:paraId="5C1A15E4" w14:textId="77777777" w:rsidTr="000230E8">
        <w:tblPrEx>
          <w:tblCellMar>
            <w:top w:w="0" w:type="dxa"/>
            <w:bottom w:w="0" w:type="dxa"/>
          </w:tblCellMar>
        </w:tblPrEx>
        <w:trPr>
          <w:tblHeader/>
        </w:trPr>
        <w:tc>
          <w:tcPr>
            <w:tcW w:w="8928" w:type="dxa"/>
            <w:gridSpan w:val="5"/>
            <w:shd w:val="clear" w:color="auto" w:fill="auto"/>
          </w:tcPr>
          <w:p w14:paraId="3D78BDE7" w14:textId="77777777" w:rsidR="000230E8" w:rsidRPr="00C2318B" w:rsidRDefault="000230E8" w:rsidP="00C63F26">
            <w:pPr>
              <w:pStyle w:val="TableHead"/>
              <w:rPr>
                <w:lang w:eastAsia="en-GB"/>
              </w:rPr>
            </w:pPr>
            <w:r w:rsidRPr="00C2318B">
              <w:rPr>
                <w:lang w:eastAsia="en-GB"/>
              </w:rPr>
              <w:t xml:space="preserve">(Gnóthachain)/caillteanais ó thaithí ar dhliteanas scéime </w:t>
            </w:r>
          </w:p>
        </w:tc>
      </w:tr>
      <w:tr w:rsidR="000230E8" w:rsidRPr="00C2318B" w14:paraId="4B0704CB" w14:textId="77777777" w:rsidTr="000230E8">
        <w:tblPrEx>
          <w:tblCellMar>
            <w:top w:w="0" w:type="dxa"/>
            <w:bottom w:w="0" w:type="dxa"/>
          </w:tblCellMar>
        </w:tblPrEx>
        <w:trPr>
          <w:tblHeader/>
        </w:trPr>
        <w:tc>
          <w:tcPr>
            <w:tcW w:w="2988" w:type="dxa"/>
            <w:shd w:val="clear" w:color="auto" w:fill="auto"/>
          </w:tcPr>
          <w:p w14:paraId="6FC6B6E6" w14:textId="77777777" w:rsidR="000230E8" w:rsidRPr="00C2318B" w:rsidRDefault="000230E8" w:rsidP="000230E8">
            <w:pPr>
              <w:pStyle w:val="TableHead"/>
              <w:keepNext/>
              <w:widowControl w:val="0"/>
              <w:jc w:val="right"/>
              <w:rPr>
                <w:sz w:val="22"/>
                <w:szCs w:val="22"/>
                <w:lang/>
              </w:rPr>
            </w:pPr>
          </w:p>
        </w:tc>
        <w:tc>
          <w:tcPr>
            <w:tcW w:w="1485" w:type="dxa"/>
            <w:shd w:val="clear" w:color="auto" w:fill="auto"/>
            <w:vAlign w:val="bottom"/>
          </w:tcPr>
          <w:p w14:paraId="3563850D" w14:textId="77777777" w:rsidR="000230E8" w:rsidRPr="00C2318B" w:rsidRDefault="000230E8" w:rsidP="000230E8">
            <w:pPr>
              <w:pStyle w:val="TableHead"/>
              <w:jc w:val="right"/>
              <w:rPr>
                <w:sz w:val="24"/>
                <w:lang w:eastAsia="en-GB"/>
              </w:rPr>
            </w:pPr>
            <w:r w:rsidRPr="00C2318B">
              <w:rPr>
                <w:sz w:val="24"/>
                <w:lang w:eastAsia="en-GB"/>
              </w:rPr>
              <w:t>2011</w:t>
            </w:r>
          </w:p>
        </w:tc>
        <w:tc>
          <w:tcPr>
            <w:tcW w:w="1485" w:type="dxa"/>
            <w:shd w:val="clear" w:color="auto" w:fill="auto"/>
            <w:vAlign w:val="bottom"/>
          </w:tcPr>
          <w:p w14:paraId="45F401FD" w14:textId="77777777" w:rsidR="000230E8" w:rsidRPr="00C2318B" w:rsidRDefault="000230E8" w:rsidP="000230E8">
            <w:pPr>
              <w:pStyle w:val="TableHead"/>
              <w:jc w:val="right"/>
              <w:rPr>
                <w:sz w:val="24"/>
                <w:lang w:eastAsia="en-GB"/>
              </w:rPr>
            </w:pPr>
            <w:r w:rsidRPr="00C2318B">
              <w:rPr>
                <w:sz w:val="24"/>
                <w:lang w:eastAsia="en-GB"/>
              </w:rPr>
              <w:t>2010</w:t>
            </w:r>
          </w:p>
        </w:tc>
        <w:tc>
          <w:tcPr>
            <w:tcW w:w="1485" w:type="dxa"/>
            <w:shd w:val="clear" w:color="auto" w:fill="auto"/>
            <w:vAlign w:val="bottom"/>
          </w:tcPr>
          <w:p w14:paraId="3CFD1E94" w14:textId="77777777" w:rsidR="000230E8" w:rsidRPr="00C2318B" w:rsidRDefault="000230E8" w:rsidP="000230E8">
            <w:pPr>
              <w:pStyle w:val="TableHead"/>
              <w:jc w:val="right"/>
              <w:rPr>
                <w:sz w:val="24"/>
                <w:lang w:eastAsia="en-GB"/>
              </w:rPr>
            </w:pPr>
            <w:r w:rsidRPr="00C2318B">
              <w:rPr>
                <w:sz w:val="24"/>
                <w:lang w:eastAsia="en-GB"/>
              </w:rPr>
              <w:t>2009</w:t>
            </w:r>
          </w:p>
        </w:tc>
        <w:tc>
          <w:tcPr>
            <w:tcW w:w="1485" w:type="dxa"/>
            <w:shd w:val="clear" w:color="auto" w:fill="auto"/>
            <w:vAlign w:val="bottom"/>
          </w:tcPr>
          <w:p w14:paraId="558ADB2C" w14:textId="77777777" w:rsidR="000230E8" w:rsidRPr="00C2318B" w:rsidRDefault="000230E8" w:rsidP="000230E8">
            <w:pPr>
              <w:pStyle w:val="TableHead"/>
              <w:jc w:val="right"/>
              <w:rPr>
                <w:sz w:val="24"/>
                <w:lang w:eastAsia="en-GB"/>
              </w:rPr>
            </w:pPr>
            <w:r w:rsidRPr="00C2318B">
              <w:rPr>
                <w:sz w:val="24"/>
                <w:lang w:eastAsia="en-GB"/>
              </w:rPr>
              <w:t>2008</w:t>
            </w:r>
          </w:p>
        </w:tc>
      </w:tr>
      <w:tr w:rsidR="000230E8" w:rsidRPr="00C2318B" w14:paraId="2B5EBEEE" w14:textId="77777777" w:rsidTr="000230E8">
        <w:tblPrEx>
          <w:tblCellMar>
            <w:top w:w="0" w:type="dxa"/>
            <w:bottom w:w="0" w:type="dxa"/>
          </w:tblCellMar>
        </w:tblPrEx>
        <w:tc>
          <w:tcPr>
            <w:tcW w:w="2988" w:type="dxa"/>
            <w:shd w:val="clear" w:color="auto" w:fill="auto"/>
            <w:vAlign w:val="bottom"/>
          </w:tcPr>
          <w:p w14:paraId="674FC978" w14:textId="77777777" w:rsidR="000230E8" w:rsidRPr="00C63F26" w:rsidRDefault="00C63F26" w:rsidP="00C63F26">
            <w:pPr>
              <w:pStyle w:val="TableRowHead"/>
              <w:rPr>
                <w:rFonts w:ascii="Gill Sans" w:hAnsi="Gill Sans"/>
                <w:sz w:val="24"/>
                <w:lang w:eastAsia="en-GB"/>
              </w:rPr>
            </w:pPr>
            <w:r w:rsidRPr="00C63F26">
              <w:rPr>
                <w:rFonts w:ascii="Gill Sans" w:hAnsi="Gill Sans"/>
                <w:sz w:val="24"/>
                <w:lang w:eastAsia="en-GB"/>
              </w:rPr>
              <w:t>M</w:t>
            </w:r>
            <w:r w:rsidR="000230E8" w:rsidRPr="00C63F26">
              <w:rPr>
                <w:rFonts w:ascii="Gill Sans" w:hAnsi="Gill Sans"/>
                <w:sz w:val="24"/>
                <w:lang w:eastAsia="en-GB"/>
              </w:rPr>
              <w:t>éid</w:t>
            </w:r>
          </w:p>
        </w:tc>
        <w:tc>
          <w:tcPr>
            <w:tcW w:w="1485" w:type="dxa"/>
            <w:shd w:val="clear" w:color="auto" w:fill="auto"/>
            <w:vAlign w:val="bottom"/>
          </w:tcPr>
          <w:p w14:paraId="7AF0E5BE" w14:textId="77777777" w:rsidR="000230E8" w:rsidRPr="00C2318B" w:rsidRDefault="000230E8" w:rsidP="000230E8">
            <w:pPr>
              <w:pStyle w:val="TableCell"/>
              <w:rPr>
                <w:rFonts w:cs="Gill Sans"/>
                <w:sz w:val="24"/>
                <w:lang w:eastAsia="en-GB"/>
              </w:rPr>
            </w:pPr>
            <w:r w:rsidRPr="00C2318B">
              <w:rPr>
                <w:sz w:val="24"/>
                <w:lang w:eastAsia="en-GB"/>
              </w:rPr>
              <w:t>(</w:t>
            </w:r>
            <w:r w:rsidRPr="00C2318B">
              <w:rPr>
                <w:rFonts w:ascii="Arial" w:hAnsi="Arial" w:cs="Arial"/>
                <w:sz w:val="24"/>
                <w:lang w:eastAsia="en-GB"/>
              </w:rPr>
              <w:t>€</w:t>
            </w:r>
            <w:r w:rsidRPr="00C2318B">
              <w:rPr>
                <w:rFonts w:cs="Gill Sans"/>
                <w:sz w:val="24"/>
                <w:lang w:eastAsia="en-GB"/>
              </w:rPr>
              <w:t>1,260,000)</w:t>
            </w:r>
          </w:p>
        </w:tc>
        <w:tc>
          <w:tcPr>
            <w:tcW w:w="1485" w:type="dxa"/>
            <w:shd w:val="clear" w:color="auto" w:fill="auto"/>
            <w:vAlign w:val="bottom"/>
          </w:tcPr>
          <w:p w14:paraId="06AAB279" w14:textId="77777777" w:rsidR="000230E8" w:rsidRPr="00C2318B" w:rsidRDefault="000230E8" w:rsidP="000230E8">
            <w:pPr>
              <w:pStyle w:val="TableCell"/>
              <w:rPr>
                <w:sz w:val="24"/>
                <w:lang w:eastAsia="en-GB"/>
              </w:rPr>
            </w:pPr>
            <w:r w:rsidRPr="00C2318B">
              <w:rPr>
                <w:sz w:val="24"/>
                <w:lang w:eastAsia="en-GB"/>
              </w:rPr>
              <w:t>(</w:t>
            </w:r>
            <w:r w:rsidRPr="00C2318B">
              <w:rPr>
                <w:rFonts w:ascii="Arial" w:hAnsi="Arial" w:cs="Arial"/>
                <w:sz w:val="24"/>
                <w:lang w:eastAsia="en-GB"/>
              </w:rPr>
              <w:t>€</w:t>
            </w:r>
            <w:r w:rsidRPr="00C2318B">
              <w:rPr>
                <w:rFonts w:cs="Gill Sans"/>
                <w:sz w:val="24"/>
                <w:lang w:eastAsia="en-GB"/>
              </w:rPr>
              <w:t>2,419,000)</w:t>
            </w:r>
          </w:p>
        </w:tc>
        <w:tc>
          <w:tcPr>
            <w:tcW w:w="1485" w:type="dxa"/>
            <w:shd w:val="clear" w:color="auto" w:fill="auto"/>
            <w:vAlign w:val="bottom"/>
          </w:tcPr>
          <w:p w14:paraId="5D8D7697" w14:textId="77777777" w:rsidR="000230E8" w:rsidRPr="00C2318B" w:rsidRDefault="000230E8" w:rsidP="000230E8">
            <w:pPr>
              <w:pStyle w:val="TableCell"/>
              <w:rPr>
                <w:sz w:val="24"/>
                <w:lang w:eastAsia="en-GB"/>
              </w:rPr>
            </w:pPr>
            <w:r w:rsidRPr="00C2318B">
              <w:rPr>
                <w:sz w:val="24"/>
                <w:lang w:eastAsia="en-GB"/>
              </w:rPr>
              <w:t>(</w:t>
            </w:r>
            <w:r w:rsidRPr="00C2318B">
              <w:rPr>
                <w:rFonts w:ascii="Arial" w:hAnsi="Arial" w:cs="Arial"/>
                <w:sz w:val="24"/>
                <w:lang w:eastAsia="en-GB"/>
              </w:rPr>
              <w:t>€</w:t>
            </w:r>
            <w:r w:rsidRPr="00C2318B">
              <w:rPr>
                <w:rFonts w:cs="Gill Sans"/>
                <w:sz w:val="24"/>
                <w:lang w:eastAsia="en-GB"/>
              </w:rPr>
              <w:t>300,000)</w:t>
            </w:r>
          </w:p>
        </w:tc>
        <w:tc>
          <w:tcPr>
            <w:tcW w:w="1485" w:type="dxa"/>
            <w:shd w:val="clear" w:color="auto" w:fill="auto"/>
            <w:vAlign w:val="bottom"/>
          </w:tcPr>
          <w:p w14:paraId="170B6642" w14:textId="77777777" w:rsidR="000230E8" w:rsidRPr="00C2318B" w:rsidRDefault="000230E8" w:rsidP="000230E8">
            <w:pPr>
              <w:pStyle w:val="TableCell"/>
              <w:rPr>
                <w:sz w:val="24"/>
                <w:lang w:eastAsia="en-GB"/>
              </w:rPr>
            </w:pPr>
            <w:r w:rsidRPr="00C2318B">
              <w:rPr>
                <w:sz w:val="24"/>
                <w:lang w:eastAsia="en-GB"/>
              </w:rPr>
              <w:t xml:space="preserve">245,000 </w:t>
            </w:r>
          </w:p>
        </w:tc>
      </w:tr>
      <w:tr w:rsidR="000230E8" w:rsidRPr="00C2318B" w14:paraId="1CE55F2F" w14:textId="77777777" w:rsidTr="000230E8">
        <w:tblPrEx>
          <w:tblCellMar>
            <w:top w:w="0" w:type="dxa"/>
            <w:bottom w:w="0" w:type="dxa"/>
          </w:tblCellMar>
        </w:tblPrEx>
        <w:tc>
          <w:tcPr>
            <w:tcW w:w="2988" w:type="dxa"/>
            <w:shd w:val="clear" w:color="auto" w:fill="auto"/>
            <w:vAlign w:val="bottom"/>
          </w:tcPr>
          <w:p w14:paraId="6CCF78D7" w14:textId="77777777" w:rsidR="000230E8" w:rsidRPr="00C63F26" w:rsidRDefault="000230E8" w:rsidP="00C63F26">
            <w:pPr>
              <w:pStyle w:val="TableRowHead"/>
              <w:rPr>
                <w:rFonts w:ascii="Gill Sans" w:hAnsi="Gill Sans"/>
                <w:sz w:val="24"/>
                <w:lang w:eastAsia="en-GB"/>
              </w:rPr>
            </w:pPr>
            <w:r w:rsidRPr="00C63F26">
              <w:rPr>
                <w:rFonts w:ascii="Gill Sans" w:hAnsi="Gill Sans"/>
                <w:sz w:val="24"/>
                <w:lang w:eastAsia="en-GB"/>
              </w:rPr>
              <w:t>céatadán de luach reatha na ndliteanas scéime</w:t>
            </w:r>
          </w:p>
        </w:tc>
        <w:tc>
          <w:tcPr>
            <w:tcW w:w="1485" w:type="dxa"/>
            <w:shd w:val="clear" w:color="auto" w:fill="auto"/>
            <w:vAlign w:val="bottom"/>
          </w:tcPr>
          <w:p w14:paraId="6E5BBBC6" w14:textId="77777777" w:rsidR="000230E8" w:rsidRPr="00C2318B" w:rsidRDefault="000230E8" w:rsidP="000230E8">
            <w:pPr>
              <w:pStyle w:val="TableCell"/>
              <w:rPr>
                <w:sz w:val="24"/>
                <w:lang w:eastAsia="en-GB"/>
              </w:rPr>
            </w:pPr>
            <w:r w:rsidRPr="00C2318B">
              <w:rPr>
                <w:sz w:val="24"/>
                <w:lang w:eastAsia="en-GB"/>
              </w:rPr>
              <w:t>(8%)</w:t>
            </w:r>
          </w:p>
        </w:tc>
        <w:tc>
          <w:tcPr>
            <w:tcW w:w="1485" w:type="dxa"/>
            <w:shd w:val="clear" w:color="auto" w:fill="auto"/>
            <w:vAlign w:val="bottom"/>
          </w:tcPr>
          <w:p w14:paraId="503F9BE1" w14:textId="77777777" w:rsidR="000230E8" w:rsidRPr="00C2318B" w:rsidRDefault="000230E8" w:rsidP="000230E8">
            <w:pPr>
              <w:pStyle w:val="TableCell"/>
              <w:rPr>
                <w:sz w:val="24"/>
                <w:lang w:eastAsia="en-GB"/>
              </w:rPr>
            </w:pPr>
            <w:r w:rsidRPr="00C2318B">
              <w:rPr>
                <w:sz w:val="24"/>
                <w:lang w:eastAsia="en-GB"/>
              </w:rPr>
              <w:t>(14%)</w:t>
            </w:r>
          </w:p>
        </w:tc>
        <w:tc>
          <w:tcPr>
            <w:tcW w:w="1485" w:type="dxa"/>
            <w:shd w:val="clear" w:color="auto" w:fill="auto"/>
            <w:vAlign w:val="bottom"/>
          </w:tcPr>
          <w:p w14:paraId="334BF7CE" w14:textId="77777777" w:rsidR="000230E8" w:rsidRPr="00C2318B" w:rsidRDefault="000230E8" w:rsidP="000230E8">
            <w:pPr>
              <w:pStyle w:val="TableCell"/>
              <w:rPr>
                <w:sz w:val="24"/>
                <w:lang w:eastAsia="en-GB"/>
              </w:rPr>
            </w:pPr>
            <w:r w:rsidRPr="00C2318B">
              <w:rPr>
                <w:sz w:val="24"/>
                <w:lang w:eastAsia="en-GB"/>
              </w:rPr>
              <w:t>-2.0%</w:t>
            </w:r>
          </w:p>
        </w:tc>
        <w:tc>
          <w:tcPr>
            <w:tcW w:w="1485" w:type="dxa"/>
            <w:shd w:val="clear" w:color="auto" w:fill="auto"/>
            <w:vAlign w:val="bottom"/>
          </w:tcPr>
          <w:p w14:paraId="046E775A" w14:textId="77777777" w:rsidR="000230E8" w:rsidRPr="00C2318B" w:rsidRDefault="000230E8" w:rsidP="000230E8">
            <w:pPr>
              <w:pStyle w:val="TableCell"/>
              <w:rPr>
                <w:sz w:val="24"/>
                <w:lang w:eastAsia="en-GB"/>
              </w:rPr>
            </w:pPr>
            <w:r w:rsidRPr="00C2318B">
              <w:rPr>
                <w:sz w:val="24"/>
                <w:lang w:eastAsia="en-GB"/>
              </w:rPr>
              <w:t>2%</w:t>
            </w:r>
          </w:p>
        </w:tc>
      </w:tr>
    </w:tbl>
    <w:p w14:paraId="26815D5A" w14:textId="77777777" w:rsidR="000230E8" w:rsidRPr="00C2318B" w:rsidRDefault="000230E8" w:rsidP="00C63F26">
      <w:pPr>
        <w:pStyle w:val="Heading4"/>
        <w:rPr>
          <w:lang w:eastAsia="en-GB"/>
        </w:rPr>
      </w:pPr>
      <w:r w:rsidRPr="00C2318B">
        <w:rPr>
          <w:lang w:eastAsia="en-GB"/>
        </w:rPr>
        <w:br/>
      </w:r>
      <w:bookmarkStart w:id="514" w:name="_Toc335836563"/>
      <w:r w:rsidRPr="00C2318B">
        <w:rPr>
          <w:lang w:eastAsia="en-GB"/>
        </w:rPr>
        <w:t>Ranníocaíochtaí Thobhach Pinsin</w:t>
      </w:r>
      <w:bookmarkEnd w:id="514"/>
      <w:r w:rsidRPr="00C2318B">
        <w:rPr>
          <w:lang w:eastAsia="en-GB"/>
        </w:rPr>
        <w:t xml:space="preserve"> </w:t>
      </w:r>
    </w:p>
    <w:p w14:paraId="4BE6FFEA" w14:textId="77777777" w:rsidR="000230E8" w:rsidRPr="00C2318B" w:rsidRDefault="000230E8" w:rsidP="000230E8">
      <w:pPr>
        <w:rPr>
          <w:lang w:eastAsia="en-GB"/>
        </w:rPr>
      </w:pPr>
      <w:r w:rsidRPr="00C2318B">
        <w:rPr>
          <w:rFonts w:cs="Arial"/>
          <w:lang/>
        </w:rPr>
        <w:t>Asbhaineadh €</w:t>
      </w:r>
      <w:r w:rsidRPr="00C2318B">
        <w:rPr>
          <w:rFonts w:cs="Gill Sans"/>
          <w:lang/>
        </w:rPr>
        <w:t>1</w:t>
      </w:r>
      <w:r w:rsidRPr="00C2318B">
        <w:rPr>
          <w:lang/>
        </w:rPr>
        <w:t xml:space="preserve">22,791 ó bhaill foirne mar thobhach pinsin agus choimeád an Roinn Dlí agus Cirt agus </w:t>
      </w:r>
      <w:r>
        <w:rPr>
          <w:lang/>
        </w:rPr>
        <w:t>Comhionannais</w:t>
      </w:r>
      <w:r w:rsidRPr="00C2318B">
        <w:rPr>
          <w:lang/>
        </w:rPr>
        <w:t xml:space="preserve"> é</w:t>
      </w:r>
      <w:r w:rsidRPr="00C2318B">
        <w:rPr>
          <w:lang w:eastAsia="en-GB"/>
        </w:rPr>
        <w:t>.</w:t>
      </w:r>
    </w:p>
    <w:p w14:paraId="77F49304" w14:textId="77777777" w:rsidR="000230E8" w:rsidRPr="00C2318B" w:rsidRDefault="000230E8" w:rsidP="000230E8">
      <w:pPr>
        <w:pStyle w:val="TableTitle"/>
        <w:jc w:val="left"/>
        <w:rPr>
          <w:lang w:eastAsia="en-GB"/>
        </w:rPr>
      </w:pPr>
      <w:r w:rsidRPr="00C2318B">
        <w:rPr>
          <w:lang w:eastAsia="en-GB"/>
        </w:rPr>
        <w:lastRenderedPageBreak/>
        <w:t>11. Creidiúnaithe agus Fabhruithe</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0230E8" w:rsidRPr="00C2318B" w14:paraId="2B51C215" w14:textId="77777777" w:rsidTr="000230E8">
        <w:tblPrEx>
          <w:tblCellMar>
            <w:top w:w="0" w:type="dxa"/>
            <w:bottom w:w="0" w:type="dxa"/>
          </w:tblCellMar>
        </w:tblPrEx>
        <w:trPr>
          <w:tblHeader/>
        </w:trPr>
        <w:tc>
          <w:tcPr>
            <w:tcW w:w="4788" w:type="dxa"/>
            <w:shd w:val="clear" w:color="auto" w:fill="auto"/>
          </w:tcPr>
          <w:p w14:paraId="7CB8E694" w14:textId="77777777" w:rsidR="000230E8" w:rsidRPr="00C2318B" w:rsidRDefault="000230E8" w:rsidP="000230E8">
            <w:pPr>
              <w:pStyle w:val="TableHead"/>
              <w:jc w:val="right"/>
              <w:rPr>
                <w:lang/>
              </w:rPr>
            </w:pPr>
          </w:p>
        </w:tc>
        <w:tc>
          <w:tcPr>
            <w:tcW w:w="2034" w:type="dxa"/>
            <w:vAlign w:val="bottom"/>
          </w:tcPr>
          <w:p w14:paraId="5C72ABC8" w14:textId="77777777" w:rsidR="000230E8" w:rsidRPr="00C2318B" w:rsidRDefault="000230E8" w:rsidP="000230E8">
            <w:pPr>
              <w:pStyle w:val="TableHead"/>
              <w:jc w:val="right"/>
              <w:rPr>
                <w:sz w:val="24"/>
                <w:lang w:eastAsia="en-GB"/>
              </w:rPr>
            </w:pPr>
            <w:r w:rsidRPr="00C2318B">
              <w:rPr>
                <w:sz w:val="24"/>
                <w:lang w:eastAsia="en-GB"/>
              </w:rPr>
              <w:t>2011</w:t>
            </w:r>
          </w:p>
        </w:tc>
        <w:tc>
          <w:tcPr>
            <w:tcW w:w="2034" w:type="dxa"/>
            <w:vAlign w:val="bottom"/>
          </w:tcPr>
          <w:p w14:paraId="363506C7" w14:textId="77777777" w:rsidR="000230E8" w:rsidRPr="00C2318B" w:rsidRDefault="000230E8" w:rsidP="000230E8">
            <w:pPr>
              <w:pStyle w:val="TableHead"/>
              <w:jc w:val="right"/>
              <w:rPr>
                <w:sz w:val="24"/>
                <w:lang w:eastAsia="en-GB"/>
              </w:rPr>
            </w:pPr>
            <w:r w:rsidRPr="00C2318B">
              <w:rPr>
                <w:sz w:val="24"/>
                <w:lang w:eastAsia="en-GB"/>
              </w:rPr>
              <w:t>2010</w:t>
            </w:r>
          </w:p>
        </w:tc>
      </w:tr>
      <w:tr w:rsidR="000230E8" w:rsidRPr="00C2318B" w14:paraId="227D0503" w14:textId="77777777" w:rsidTr="000230E8">
        <w:tblPrEx>
          <w:tblCellMar>
            <w:top w:w="0" w:type="dxa"/>
            <w:bottom w:w="0" w:type="dxa"/>
          </w:tblCellMar>
        </w:tblPrEx>
        <w:tc>
          <w:tcPr>
            <w:tcW w:w="4788" w:type="dxa"/>
            <w:shd w:val="clear" w:color="auto" w:fill="auto"/>
          </w:tcPr>
          <w:p w14:paraId="7A8F6589" w14:textId="77777777" w:rsidR="000230E8" w:rsidRPr="00C2318B" w:rsidRDefault="000230E8" w:rsidP="000230E8">
            <w:pPr>
              <w:pStyle w:val="TableRowHead"/>
              <w:rPr>
                <w:lang/>
              </w:rPr>
            </w:pPr>
          </w:p>
        </w:tc>
        <w:tc>
          <w:tcPr>
            <w:tcW w:w="2034" w:type="dxa"/>
            <w:vAlign w:val="bottom"/>
          </w:tcPr>
          <w:p w14:paraId="6A3724AA" w14:textId="77777777" w:rsidR="000230E8" w:rsidRPr="00C2318B" w:rsidRDefault="000230E8" w:rsidP="000230E8">
            <w:pPr>
              <w:spacing w:after="0"/>
              <w:jc w:val="right"/>
              <w:rPr>
                <w:rFonts w:cs="Arial"/>
                <w:b/>
                <w:bCs/>
                <w:sz w:val="22"/>
                <w:szCs w:val="22"/>
                <w:lang w:eastAsia="en-GB"/>
              </w:rPr>
            </w:pPr>
            <w:r w:rsidRPr="00C2318B">
              <w:rPr>
                <w:rFonts w:cs="Arial"/>
                <w:b/>
                <w:bCs/>
                <w:sz w:val="22"/>
                <w:szCs w:val="22"/>
                <w:lang w:eastAsia="en-GB"/>
              </w:rPr>
              <w:t xml:space="preserve">          </w:t>
            </w:r>
            <w:r w:rsidRPr="00C2318B">
              <w:rPr>
                <w:rFonts w:ascii="Arial" w:hAnsi="Arial" w:cs="Arial"/>
                <w:b/>
                <w:bCs/>
                <w:sz w:val="22"/>
                <w:szCs w:val="22"/>
                <w:lang w:eastAsia="en-GB"/>
              </w:rPr>
              <w:t>€</w:t>
            </w:r>
          </w:p>
        </w:tc>
        <w:tc>
          <w:tcPr>
            <w:tcW w:w="2034" w:type="dxa"/>
            <w:vAlign w:val="bottom"/>
          </w:tcPr>
          <w:p w14:paraId="60867D2D" w14:textId="77777777" w:rsidR="000230E8" w:rsidRPr="00C2318B" w:rsidRDefault="000230E8" w:rsidP="000230E8">
            <w:pPr>
              <w:spacing w:after="0"/>
              <w:jc w:val="right"/>
              <w:rPr>
                <w:rFonts w:cs="Arial"/>
                <w:b/>
                <w:bCs/>
                <w:sz w:val="22"/>
                <w:szCs w:val="22"/>
                <w:lang w:eastAsia="en-GB"/>
              </w:rPr>
            </w:pPr>
            <w:r w:rsidRPr="00C2318B">
              <w:rPr>
                <w:rFonts w:cs="Arial"/>
                <w:b/>
                <w:bCs/>
                <w:sz w:val="22"/>
                <w:szCs w:val="22"/>
                <w:lang w:eastAsia="en-GB"/>
              </w:rPr>
              <w:t xml:space="preserve">          </w:t>
            </w:r>
            <w:r w:rsidRPr="00C2318B">
              <w:rPr>
                <w:rFonts w:ascii="Arial" w:hAnsi="Arial" w:cs="Arial"/>
                <w:b/>
                <w:bCs/>
                <w:sz w:val="22"/>
                <w:szCs w:val="22"/>
                <w:lang w:eastAsia="en-GB"/>
              </w:rPr>
              <w:t>€</w:t>
            </w:r>
          </w:p>
        </w:tc>
      </w:tr>
      <w:tr w:rsidR="000230E8" w:rsidRPr="00C2318B" w14:paraId="23E77EC8" w14:textId="77777777" w:rsidTr="000230E8">
        <w:tblPrEx>
          <w:tblCellMar>
            <w:top w:w="0" w:type="dxa"/>
            <w:bottom w:w="0" w:type="dxa"/>
          </w:tblCellMar>
        </w:tblPrEx>
        <w:tc>
          <w:tcPr>
            <w:tcW w:w="4788" w:type="dxa"/>
            <w:shd w:val="clear" w:color="auto" w:fill="auto"/>
            <w:vAlign w:val="bottom"/>
          </w:tcPr>
          <w:p w14:paraId="3135F984"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Fabhruithe</w:t>
            </w:r>
          </w:p>
        </w:tc>
        <w:tc>
          <w:tcPr>
            <w:tcW w:w="2034" w:type="dxa"/>
            <w:vAlign w:val="bottom"/>
          </w:tcPr>
          <w:p w14:paraId="7EB203FB" w14:textId="77777777" w:rsidR="000230E8" w:rsidRPr="00C2318B" w:rsidRDefault="000230E8" w:rsidP="000230E8">
            <w:pPr>
              <w:pStyle w:val="TableCell"/>
              <w:rPr>
                <w:sz w:val="24"/>
                <w:lang w:eastAsia="en-GB"/>
              </w:rPr>
            </w:pPr>
            <w:r w:rsidRPr="00C2318B">
              <w:rPr>
                <w:sz w:val="24"/>
                <w:lang w:eastAsia="en-GB"/>
              </w:rPr>
              <w:t>€122,309</w:t>
            </w:r>
          </w:p>
        </w:tc>
        <w:tc>
          <w:tcPr>
            <w:tcW w:w="2034" w:type="dxa"/>
            <w:vAlign w:val="bottom"/>
          </w:tcPr>
          <w:p w14:paraId="0E4FBBE2" w14:textId="77777777" w:rsidR="000230E8" w:rsidRPr="00C2318B" w:rsidRDefault="000230E8" w:rsidP="000230E8">
            <w:pPr>
              <w:pStyle w:val="TableCell"/>
              <w:rPr>
                <w:sz w:val="24"/>
                <w:lang w:eastAsia="en-GB"/>
              </w:rPr>
            </w:pPr>
            <w:r w:rsidRPr="00C2318B">
              <w:rPr>
                <w:rFonts w:cs="Arial"/>
                <w:sz w:val="24"/>
                <w:lang w:eastAsia="en-GB"/>
              </w:rPr>
              <w:t>€</w:t>
            </w:r>
            <w:r w:rsidRPr="00C2318B">
              <w:rPr>
                <w:rFonts w:cs="Gill Sans"/>
                <w:sz w:val="24"/>
                <w:lang w:eastAsia="en-GB"/>
              </w:rPr>
              <w:t>47,280</w:t>
            </w:r>
          </w:p>
        </w:tc>
      </w:tr>
      <w:tr w:rsidR="000230E8" w:rsidRPr="00C2318B" w14:paraId="327BB9C0" w14:textId="77777777" w:rsidTr="000230E8">
        <w:tblPrEx>
          <w:tblCellMar>
            <w:top w:w="0" w:type="dxa"/>
            <w:bottom w:w="0" w:type="dxa"/>
          </w:tblCellMar>
        </w:tblPrEx>
        <w:tc>
          <w:tcPr>
            <w:tcW w:w="4788" w:type="dxa"/>
            <w:shd w:val="clear" w:color="auto" w:fill="auto"/>
            <w:vAlign w:val="bottom"/>
          </w:tcPr>
          <w:p w14:paraId="02F7828C"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Iomlán na gCreidiúnaithe</w:t>
            </w:r>
          </w:p>
        </w:tc>
        <w:tc>
          <w:tcPr>
            <w:tcW w:w="2034" w:type="dxa"/>
            <w:vAlign w:val="bottom"/>
          </w:tcPr>
          <w:p w14:paraId="6C57D7B3" w14:textId="77777777" w:rsidR="000230E8" w:rsidRPr="00C2318B" w:rsidRDefault="000230E8" w:rsidP="000230E8">
            <w:pPr>
              <w:pStyle w:val="TableCell"/>
              <w:rPr>
                <w:sz w:val="24"/>
                <w:lang w:eastAsia="en-GB"/>
              </w:rPr>
            </w:pPr>
            <w:r w:rsidRPr="00C2318B">
              <w:rPr>
                <w:sz w:val="24"/>
                <w:lang w:eastAsia="en-GB"/>
              </w:rPr>
              <w:t>€122,309</w:t>
            </w:r>
          </w:p>
        </w:tc>
        <w:tc>
          <w:tcPr>
            <w:tcW w:w="2034" w:type="dxa"/>
            <w:vAlign w:val="bottom"/>
          </w:tcPr>
          <w:p w14:paraId="00FAD9A2" w14:textId="77777777" w:rsidR="000230E8" w:rsidRPr="00C2318B" w:rsidRDefault="000230E8" w:rsidP="000230E8">
            <w:pPr>
              <w:pStyle w:val="TableCell"/>
              <w:rPr>
                <w:sz w:val="24"/>
                <w:lang w:eastAsia="en-GB"/>
              </w:rPr>
            </w:pPr>
            <w:r w:rsidRPr="00C2318B">
              <w:rPr>
                <w:rFonts w:cs="Arial"/>
                <w:sz w:val="24"/>
                <w:lang w:eastAsia="en-GB"/>
              </w:rPr>
              <w:t>€</w:t>
            </w:r>
            <w:r w:rsidRPr="00C2318B">
              <w:rPr>
                <w:rFonts w:cs="Gill Sans"/>
                <w:sz w:val="24"/>
                <w:lang w:eastAsia="en-GB"/>
              </w:rPr>
              <w:t>47,280</w:t>
            </w:r>
          </w:p>
        </w:tc>
      </w:tr>
    </w:tbl>
    <w:p w14:paraId="4F91C06F" w14:textId="77777777" w:rsidR="000230E8" w:rsidRPr="00C2318B" w:rsidRDefault="000230E8" w:rsidP="000230E8">
      <w:pPr>
        <w:pStyle w:val="TableTitle"/>
        <w:jc w:val="left"/>
        <w:rPr>
          <w:lang/>
        </w:rPr>
      </w:pPr>
      <w:r w:rsidRPr="00C2318B">
        <w:rPr>
          <w:lang/>
        </w:rPr>
        <w:br/>
        <w:t xml:space="preserve">12. Féichiúnaithe agus Réamhíocaíochtaí </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0230E8" w:rsidRPr="00C2318B" w14:paraId="43AE9CC9" w14:textId="77777777" w:rsidTr="000230E8">
        <w:tblPrEx>
          <w:tblCellMar>
            <w:top w:w="0" w:type="dxa"/>
            <w:bottom w:w="0" w:type="dxa"/>
          </w:tblCellMar>
        </w:tblPrEx>
        <w:trPr>
          <w:tblHeader/>
        </w:trPr>
        <w:tc>
          <w:tcPr>
            <w:tcW w:w="4788" w:type="dxa"/>
            <w:shd w:val="clear" w:color="auto" w:fill="auto"/>
          </w:tcPr>
          <w:p w14:paraId="259044D2" w14:textId="77777777" w:rsidR="000230E8" w:rsidRPr="00C2318B" w:rsidRDefault="000230E8" w:rsidP="000230E8">
            <w:pPr>
              <w:pStyle w:val="TableHead"/>
              <w:jc w:val="right"/>
              <w:rPr>
                <w:lang/>
              </w:rPr>
            </w:pPr>
          </w:p>
        </w:tc>
        <w:tc>
          <w:tcPr>
            <w:tcW w:w="2034" w:type="dxa"/>
            <w:vAlign w:val="bottom"/>
          </w:tcPr>
          <w:p w14:paraId="2AACEA08" w14:textId="77777777" w:rsidR="000230E8" w:rsidRPr="00C63F26" w:rsidRDefault="000230E8" w:rsidP="000230E8">
            <w:pPr>
              <w:pStyle w:val="TableHead"/>
              <w:jc w:val="right"/>
              <w:rPr>
                <w:sz w:val="24"/>
                <w:lang w:eastAsia="en-GB"/>
              </w:rPr>
            </w:pPr>
            <w:r w:rsidRPr="00C63F26">
              <w:rPr>
                <w:sz w:val="24"/>
                <w:lang w:eastAsia="en-GB"/>
              </w:rPr>
              <w:t>2011</w:t>
            </w:r>
          </w:p>
        </w:tc>
        <w:tc>
          <w:tcPr>
            <w:tcW w:w="2034" w:type="dxa"/>
            <w:vAlign w:val="bottom"/>
          </w:tcPr>
          <w:p w14:paraId="469B0228" w14:textId="77777777" w:rsidR="000230E8" w:rsidRPr="00C63F26" w:rsidRDefault="000230E8" w:rsidP="000230E8">
            <w:pPr>
              <w:pStyle w:val="TableHead"/>
              <w:jc w:val="right"/>
              <w:rPr>
                <w:sz w:val="24"/>
                <w:lang w:eastAsia="en-GB"/>
              </w:rPr>
            </w:pPr>
            <w:r w:rsidRPr="00C63F26">
              <w:rPr>
                <w:sz w:val="24"/>
                <w:lang w:eastAsia="en-GB"/>
              </w:rPr>
              <w:t>2010</w:t>
            </w:r>
          </w:p>
        </w:tc>
      </w:tr>
      <w:tr w:rsidR="000230E8" w:rsidRPr="00C2318B" w14:paraId="1B72F78D" w14:textId="77777777" w:rsidTr="000230E8">
        <w:tblPrEx>
          <w:tblCellMar>
            <w:top w:w="0" w:type="dxa"/>
            <w:bottom w:w="0" w:type="dxa"/>
          </w:tblCellMar>
        </w:tblPrEx>
        <w:trPr>
          <w:tblHeader/>
        </w:trPr>
        <w:tc>
          <w:tcPr>
            <w:tcW w:w="4788" w:type="dxa"/>
            <w:shd w:val="clear" w:color="auto" w:fill="auto"/>
          </w:tcPr>
          <w:p w14:paraId="1CC1A636" w14:textId="77777777" w:rsidR="000230E8" w:rsidRPr="00C2318B" w:rsidRDefault="000230E8" w:rsidP="000230E8">
            <w:pPr>
              <w:pStyle w:val="TableHead"/>
              <w:jc w:val="right"/>
              <w:rPr>
                <w:lang/>
              </w:rPr>
            </w:pPr>
          </w:p>
        </w:tc>
        <w:tc>
          <w:tcPr>
            <w:tcW w:w="2034" w:type="dxa"/>
            <w:vAlign w:val="bottom"/>
          </w:tcPr>
          <w:p w14:paraId="4C121B44" w14:textId="77777777" w:rsidR="000230E8" w:rsidRPr="00C2318B" w:rsidRDefault="000230E8" w:rsidP="000230E8">
            <w:pPr>
              <w:spacing w:after="0"/>
              <w:jc w:val="right"/>
              <w:rPr>
                <w:rFonts w:cs="Arial"/>
                <w:b/>
                <w:bCs/>
                <w:sz w:val="22"/>
                <w:szCs w:val="22"/>
                <w:lang w:eastAsia="en-GB"/>
              </w:rPr>
            </w:pPr>
            <w:r w:rsidRPr="00C2318B">
              <w:rPr>
                <w:rFonts w:ascii="Arial" w:hAnsi="Arial" w:cs="Arial"/>
                <w:b/>
                <w:bCs/>
                <w:sz w:val="22"/>
                <w:szCs w:val="22"/>
                <w:lang w:eastAsia="en-GB"/>
              </w:rPr>
              <w:t>€</w:t>
            </w:r>
          </w:p>
        </w:tc>
        <w:tc>
          <w:tcPr>
            <w:tcW w:w="2034" w:type="dxa"/>
            <w:vAlign w:val="bottom"/>
          </w:tcPr>
          <w:p w14:paraId="6DACDBA3" w14:textId="77777777" w:rsidR="000230E8" w:rsidRPr="00C2318B" w:rsidRDefault="000230E8" w:rsidP="000230E8">
            <w:pPr>
              <w:spacing w:after="0"/>
              <w:jc w:val="right"/>
              <w:rPr>
                <w:rFonts w:cs="Arial"/>
                <w:b/>
                <w:bCs/>
                <w:sz w:val="22"/>
                <w:szCs w:val="22"/>
                <w:lang w:eastAsia="en-GB"/>
              </w:rPr>
            </w:pPr>
            <w:r w:rsidRPr="00C2318B">
              <w:rPr>
                <w:rFonts w:ascii="Arial" w:hAnsi="Arial" w:cs="Arial"/>
                <w:b/>
                <w:bCs/>
                <w:sz w:val="22"/>
                <w:szCs w:val="22"/>
                <w:lang w:eastAsia="en-GB"/>
              </w:rPr>
              <w:t>€</w:t>
            </w:r>
          </w:p>
        </w:tc>
      </w:tr>
      <w:tr w:rsidR="000230E8" w:rsidRPr="00C2318B" w14:paraId="6F656079" w14:textId="77777777" w:rsidTr="000230E8">
        <w:tblPrEx>
          <w:tblCellMar>
            <w:top w:w="0" w:type="dxa"/>
            <w:bottom w:w="0" w:type="dxa"/>
          </w:tblCellMar>
        </w:tblPrEx>
        <w:tc>
          <w:tcPr>
            <w:tcW w:w="4788" w:type="dxa"/>
            <w:shd w:val="clear" w:color="auto" w:fill="auto"/>
            <w:vAlign w:val="bottom"/>
          </w:tcPr>
          <w:p w14:paraId="248F8F1A"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Féichiúnaithe Ilghnéitheach an NDA </w:t>
            </w:r>
          </w:p>
        </w:tc>
        <w:tc>
          <w:tcPr>
            <w:tcW w:w="2034" w:type="dxa"/>
            <w:vAlign w:val="bottom"/>
          </w:tcPr>
          <w:p w14:paraId="327198BC" w14:textId="77777777" w:rsidR="000230E8" w:rsidRPr="00C2318B" w:rsidRDefault="000230E8" w:rsidP="000230E8">
            <w:pPr>
              <w:pStyle w:val="TableCell"/>
              <w:rPr>
                <w:sz w:val="24"/>
                <w:lang w:eastAsia="en-GB"/>
              </w:rPr>
            </w:pPr>
            <w:r w:rsidRPr="00C2318B">
              <w:rPr>
                <w:rFonts w:cs="Arial"/>
                <w:sz w:val="24"/>
                <w:lang w:eastAsia="en-GB"/>
              </w:rPr>
              <w:t>€</w:t>
            </w:r>
            <w:r w:rsidRPr="00C2318B">
              <w:rPr>
                <w:rFonts w:cs="Gill Sans"/>
                <w:sz w:val="24"/>
                <w:lang w:eastAsia="en-GB"/>
              </w:rPr>
              <w:t>100,128</w:t>
            </w:r>
          </w:p>
        </w:tc>
        <w:tc>
          <w:tcPr>
            <w:tcW w:w="2034" w:type="dxa"/>
            <w:vAlign w:val="bottom"/>
          </w:tcPr>
          <w:p w14:paraId="4AFD384B" w14:textId="77777777" w:rsidR="000230E8" w:rsidRPr="00C2318B" w:rsidRDefault="000230E8" w:rsidP="000230E8">
            <w:pPr>
              <w:pStyle w:val="TableCell"/>
              <w:rPr>
                <w:sz w:val="24"/>
                <w:lang w:eastAsia="en-GB"/>
              </w:rPr>
            </w:pPr>
            <w:r w:rsidRPr="00C2318B">
              <w:rPr>
                <w:rFonts w:cs="Arial"/>
                <w:sz w:val="24"/>
                <w:lang w:eastAsia="en-GB"/>
              </w:rPr>
              <w:t>€</w:t>
            </w:r>
            <w:r w:rsidRPr="00C2318B">
              <w:rPr>
                <w:rFonts w:cs="Gill Sans"/>
                <w:sz w:val="24"/>
                <w:lang w:eastAsia="en-GB"/>
              </w:rPr>
              <w:t>52,692</w:t>
            </w:r>
          </w:p>
        </w:tc>
      </w:tr>
      <w:tr w:rsidR="000230E8" w:rsidRPr="00C2318B" w14:paraId="415836BF" w14:textId="77777777" w:rsidTr="000230E8">
        <w:tblPrEx>
          <w:tblCellMar>
            <w:top w:w="0" w:type="dxa"/>
            <w:bottom w:w="0" w:type="dxa"/>
          </w:tblCellMar>
        </w:tblPrEx>
        <w:tc>
          <w:tcPr>
            <w:tcW w:w="4788" w:type="dxa"/>
            <w:shd w:val="clear" w:color="auto" w:fill="auto"/>
            <w:vAlign w:val="bottom"/>
          </w:tcPr>
          <w:p w14:paraId="1F32E9E3"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Réamhíocaíochtaí  </w:t>
            </w:r>
          </w:p>
        </w:tc>
        <w:tc>
          <w:tcPr>
            <w:tcW w:w="2034" w:type="dxa"/>
            <w:vAlign w:val="bottom"/>
          </w:tcPr>
          <w:p w14:paraId="7F435A8A" w14:textId="77777777" w:rsidR="000230E8" w:rsidRPr="00C2318B" w:rsidRDefault="000230E8" w:rsidP="000230E8">
            <w:pPr>
              <w:pStyle w:val="TableCell"/>
              <w:rPr>
                <w:sz w:val="24"/>
                <w:lang w:eastAsia="en-GB"/>
              </w:rPr>
            </w:pPr>
            <w:r w:rsidRPr="00C2318B">
              <w:rPr>
                <w:rFonts w:cs="Arial"/>
                <w:sz w:val="24"/>
                <w:lang w:eastAsia="en-GB"/>
              </w:rPr>
              <w:t>€</w:t>
            </w:r>
            <w:r w:rsidRPr="00C2318B">
              <w:rPr>
                <w:rFonts w:cs="Gill Sans"/>
                <w:sz w:val="24"/>
                <w:lang w:eastAsia="en-GB"/>
              </w:rPr>
              <w:t>51,480</w:t>
            </w:r>
          </w:p>
        </w:tc>
        <w:tc>
          <w:tcPr>
            <w:tcW w:w="2034" w:type="dxa"/>
            <w:vAlign w:val="bottom"/>
          </w:tcPr>
          <w:p w14:paraId="55F55F5C" w14:textId="77777777" w:rsidR="000230E8" w:rsidRPr="00C2318B" w:rsidRDefault="000230E8" w:rsidP="000230E8">
            <w:pPr>
              <w:pStyle w:val="TableCell"/>
              <w:rPr>
                <w:sz w:val="24"/>
                <w:lang w:eastAsia="en-GB"/>
              </w:rPr>
            </w:pPr>
            <w:r w:rsidRPr="00C2318B">
              <w:rPr>
                <w:rFonts w:cs="Arial"/>
                <w:sz w:val="24"/>
                <w:lang w:eastAsia="en-GB"/>
              </w:rPr>
              <w:t>€</w:t>
            </w:r>
            <w:r w:rsidRPr="00C2318B">
              <w:rPr>
                <w:rFonts w:cs="Gill Sans"/>
                <w:sz w:val="24"/>
                <w:lang w:eastAsia="en-GB"/>
              </w:rPr>
              <w:t>40,307</w:t>
            </w:r>
          </w:p>
        </w:tc>
      </w:tr>
      <w:tr w:rsidR="000230E8" w:rsidRPr="00C2318B" w14:paraId="54CC7572" w14:textId="77777777" w:rsidTr="000230E8">
        <w:tblPrEx>
          <w:tblCellMar>
            <w:top w:w="0" w:type="dxa"/>
            <w:bottom w:w="0" w:type="dxa"/>
          </w:tblCellMar>
        </w:tblPrEx>
        <w:tc>
          <w:tcPr>
            <w:tcW w:w="4788" w:type="dxa"/>
            <w:shd w:val="clear" w:color="auto" w:fill="auto"/>
            <w:vAlign w:val="bottom"/>
          </w:tcPr>
          <w:p w14:paraId="70390D8F" w14:textId="77777777" w:rsidR="000230E8" w:rsidRPr="00C2318B" w:rsidRDefault="000230E8" w:rsidP="000230E8">
            <w:pPr>
              <w:pStyle w:val="TableRowHead"/>
              <w:rPr>
                <w:rFonts w:ascii="Gill Sans" w:hAnsi="Gill Sans"/>
                <w:sz w:val="24"/>
                <w:lang w:eastAsia="en-GB"/>
              </w:rPr>
            </w:pPr>
            <w:r w:rsidRPr="00C2318B">
              <w:rPr>
                <w:rFonts w:ascii="Gill Sans" w:hAnsi="Gill Sans"/>
                <w:sz w:val="24"/>
                <w:lang w:eastAsia="en-GB"/>
              </w:rPr>
              <w:t xml:space="preserve">Iomlán na bhFéichiúnaithe </w:t>
            </w:r>
          </w:p>
        </w:tc>
        <w:tc>
          <w:tcPr>
            <w:tcW w:w="2034" w:type="dxa"/>
            <w:vAlign w:val="bottom"/>
          </w:tcPr>
          <w:p w14:paraId="57CA0E6D" w14:textId="77777777" w:rsidR="000230E8" w:rsidRPr="00C2318B" w:rsidRDefault="000230E8" w:rsidP="000230E8">
            <w:pPr>
              <w:pStyle w:val="TableCell"/>
              <w:rPr>
                <w:sz w:val="24"/>
                <w:lang w:eastAsia="en-GB"/>
              </w:rPr>
            </w:pPr>
            <w:r w:rsidRPr="00C2318B">
              <w:rPr>
                <w:rFonts w:cs="Arial"/>
                <w:sz w:val="24"/>
                <w:lang w:eastAsia="en-GB"/>
              </w:rPr>
              <w:t>€</w:t>
            </w:r>
            <w:r w:rsidRPr="00C2318B">
              <w:rPr>
                <w:rFonts w:cs="Gill Sans"/>
                <w:sz w:val="24"/>
                <w:lang w:eastAsia="en-GB"/>
              </w:rPr>
              <w:t>151,608</w:t>
            </w:r>
          </w:p>
        </w:tc>
        <w:tc>
          <w:tcPr>
            <w:tcW w:w="2034" w:type="dxa"/>
            <w:vAlign w:val="bottom"/>
          </w:tcPr>
          <w:p w14:paraId="7D983F97" w14:textId="77777777" w:rsidR="000230E8" w:rsidRPr="00C2318B" w:rsidRDefault="000230E8" w:rsidP="000230E8">
            <w:pPr>
              <w:pStyle w:val="TableCell"/>
              <w:rPr>
                <w:sz w:val="24"/>
                <w:lang w:eastAsia="en-GB"/>
              </w:rPr>
            </w:pPr>
            <w:r w:rsidRPr="00C2318B">
              <w:rPr>
                <w:rFonts w:cs="Arial"/>
                <w:sz w:val="24"/>
                <w:lang w:eastAsia="en-GB"/>
              </w:rPr>
              <w:t>€</w:t>
            </w:r>
            <w:r w:rsidRPr="00C2318B">
              <w:rPr>
                <w:rFonts w:cs="Gill Sans"/>
                <w:sz w:val="24"/>
                <w:lang w:eastAsia="en-GB"/>
              </w:rPr>
              <w:t>92,999</w:t>
            </w:r>
          </w:p>
        </w:tc>
      </w:tr>
    </w:tbl>
    <w:p w14:paraId="42C27E57" w14:textId="77777777" w:rsidR="000230E8" w:rsidRPr="00C2318B" w:rsidRDefault="000230E8" w:rsidP="000230E8">
      <w:pPr>
        <w:pStyle w:val="Heading3"/>
        <w:rPr>
          <w:lang w:eastAsia="en-GB"/>
        </w:rPr>
      </w:pPr>
      <w:r w:rsidRPr="00C2318B">
        <w:rPr>
          <w:lang w:eastAsia="en-GB"/>
        </w:rPr>
        <w:br/>
      </w:r>
      <w:bookmarkStart w:id="515" w:name="_Toc335836564"/>
      <w:r w:rsidRPr="00C2318B">
        <w:rPr>
          <w:lang w:eastAsia="en-GB"/>
        </w:rPr>
        <w:t>13. Dliteanais Theagmhasacha</w:t>
      </w:r>
      <w:bookmarkEnd w:id="515"/>
    </w:p>
    <w:p w14:paraId="3A75A6F9" w14:textId="77777777" w:rsidR="000230E8" w:rsidRPr="00C2318B" w:rsidRDefault="000230E8" w:rsidP="000230E8">
      <w:pPr>
        <w:rPr>
          <w:rFonts w:cs="Arial"/>
          <w:sz w:val="22"/>
          <w:szCs w:val="22"/>
          <w:lang w:eastAsia="en-GB"/>
        </w:rPr>
      </w:pPr>
      <w:r w:rsidRPr="00C2318B">
        <w:rPr>
          <w:rFonts w:cs="Arial"/>
          <w:sz w:val="22"/>
          <w:szCs w:val="22"/>
          <w:lang w:eastAsia="en-GB"/>
        </w:rPr>
        <w:t xml:space="preserve"> </w:t>
      </w:r>
      <w:r w:rsidRPr="00C2318B">
        <w:rPr>
          <w:lang w:eastAsia="en-GB"/>
        </w:rPr>
        <w:t>Níl aon dliteanais theagmhasacha ann ar an 31 Nollaig 2011.</w:t>
      </w:r>
    </w:p>
    <w:p w14:paraId="4E93705A" w14:textId="77777777" w:rsidR="000230E8" w:rsidRPr="00C2318B" w:rsidRDefault="000230E8" w:rsidP="000230E8">
      <w:pPr>
        <w:pStyle w:val="Heading3"/>
        <w:rPr>
          <w:sz w:val="22"/>
          <w:szCs w:val="22"/>
          <w:lang w:eastAsia="en-GB"/>
        </w:rPr>
      </w:pPr>
      <w:r w:rsidRPr="00C2318B">
        <w:rPr>
          <w:sz w:val="22"/>
          <w:szCs w:val="22"/>
          <w:lang w:eastAsia="en-GB"/>
        </w:rPr>
        <w:t xml:space="preserve"> </w:t>
      </w:r>
      <w:bookmarkStart w:id="516" w:name="_Toc335836565"/>
      <w:r w:rsidRPr="00C2318B">
        <w:rPr>
          <w:lang w:eastAsia="en-GB"/>
        </w:rPr>
        <w:t>14. Tiomantais Chaipitiúla</w:t>
      </w:r>
      <w:bookmarkEnd w:id="516"/>
      <w:r w:rsidRPr="00C2318B">
        <w:rPr>
          <w:lang w:eastAsia="en-GB"/>
        </w:rPr>
        <w:t xml:space="preserve"> </w:t>
      </w:r>
    </w:p>
    <w:p w14:paraId="094A1AFE" w14:textId="77777777" w:rsidR="000230E8" w:rsidRPr="00C2318B" w:rsidRDefault="000230E8" w:rsidP="000230E8">
      <w:pPr>
        <w:rPr>
          <w:lang w:eastAsia="en-GB"/>
        </w:rPr>
      </w:pPr>
      <w:r w:rsidRPr="00C2318B">
        <w:rPr>
          <w:lang w:eastAsia="en-GB"/>
        </w:rPr>
        <w:t>Ní raibh aon tiomantais chaipitiúla amuigh ag an Údarás amhail an 31 Nollaig 2011.</w:t>
      </w:r>
    </w:p>
    <w:p w14:paraId="7AFA4422" w14:textId="77777777" w:rsidR="000230E8" w:rsidRPr="00C2318B" w:rsidRDefault="000230E8" w:rsidP="000230E8">
      <w:pPr>
        <w:pStyle w:val="Heading3"/>
        <w:rPr>
          <w:lang w:eastAsia="en-GB"/>
        </w:rPr>
      </w:pPr>
      <w:bookmarkStart w:id="517" w:name="_Toc335836566"/>
      <w:r w:rsidRPr="00C2318B">
        <w:rPr>
          <w:lang w:eastAsia="en-GB"/>
        </w:rPr>
        <w:t>15. Áitribh</w:t>
      </w:r>
      <w:bookmarkEnd w:id="517"/>
      <w:r w:rsidRPr="00C2318B">
        <w:rPr>
          <w:lang w:eastAsia="en-GB"/>
        </w:rPr>
        <w:t xml:space="preserve"> </w:t>
      </w:r>
    </w:p>
    <w:p w14:paraId="6E14BF97" w14:textId="77777777" w:rsidR="000230E8" w:rsidRPr="00C2318B" w:rsidRDefault="000230E8" w:rsidP="000230E8">
      <w:pPr>
        <w:rPr>
          <w:lang w:eastAsia="en-GB"/>
        </w:rPr>
      </w:pPr>
      <w:r w:rsidRPr="00C2318B">
        <w:rPr>
          <w:lang w:eastAsia="en-GB"/>
        </w:rPr>
        <w:t>Oibríonn an tÚdarás in áitreabh ag 25 Bóthar Chluaidh, Droichead na Dothra, Baile Átha Cliath 4</w:t>
      </w:r>
      <w:r>
        <w:rPr>
          <w:lang w:eastAsia="en-GB"/>
        </w:rPr>
        <w:t>,</w:t>
      </w:r>
      <w:r w:rsidRPr="00C2318B">
        <w:rPr>
          <w:lang w:eastAsia="en-GB"/>
        </w:rPr>
        <w:t xml:space="preserve"> a bhfuil sé ina úinéir air agus a áitíonn sé.</w:t>
      </w:r>
    </w:p>
    <w:p w14:paraId="2D06EBC8" w14:textId="77777777" w:rsidR="000230E8" w:rsidRPr="00C2318B" w:rsidRDefault="000230E8" w:rsidP="000230E8">
      <w:pPr>
        <w:pStyle w:val="Heading3"/>
        <w:rPr>
          <w:lang w:eastAsia="en-GB"/>
        </w:rPr>
      </w:pPr>
      <w:bookmarkStart w:id="518" w:name="_Toc335836567"/>
      <w:r w:rsidRPr="00C2318B">
        <w:rPr>
          <w:lang w:eastAsia="en-GB"/>
        </w:rPr>
        <w:t>16. Faomhadh na Ráiteas Airgeadais</w:t>
      </w:r>
      <w:bookmarkEnd w:id="518"/>
    </w:p>
    <w:p w14:paraId="7D902F18" w14:textId="77777777" w:rsidR="000230E8" w:rsidRDefault="000230E8" w:rsidP="000230E8">
      <w:pPr>
        <w:rPr>
          <w:lang w:eastAsia="en-GB"/>
        </w:rPr>
      </w:pPr>
      <w:r w:rsidRPr="00C2318B">
        <w:rPr>
          <w:lang w:eastAsia="en-GB"/>
        </w:rPr>
        <w:t>D’fhaomh an tÚdarás na ráitis airgeadais ar an 10 Meán Fómhair 2012</w:t>
      </w:r>
    </w:p>
    <w:p w14:paraId="1F6BAAF3" w14:textId="77777777" w:rsidR="000230E8" w:rsidRDefault="000230E8" w:rsidP="000230E8">
      <w:pPr>
        <w:pStyle w:val="Heading1"/>
      </w:pPr>
      <w:r>
        <w:rPr>
          <w:lang w:eastAsia="en-GB"/>
        </w:rPr>
        <w:br w:type="page"/>
      </w:r>
      <w:bookmarkStart w:id="519" w:name="_Toc335829671"/>
      <w:bookmarkStart w:id="520" w:name="_Toc335836568"/>
      <w:bookmarkStart w:id="521" w:name="_Toc335983460"/>
      <w:bookmarkStart w:id="522" w:name="_Toc335986634"/>
      <w:proofErr w:type="spellStart"/>
      <w:r>
        <w:lastRenderedPageBreak/>
        <w:t>Foscríbhinní</w:t>
      </w:r>
      <w:bookmarkEnd w:id="519"/>
      <w:bookmarkEnd w:id="520"/>
      <w:bookmarkEnd w:id="521"/>
      <w:bookmarkEnd w:id="522"/>
      <w:proofErr w:type="spellEnd"/>
    </w:p>
    <w:p w14:paraId="0089F03E" w14:textId="77777777" w:rsidR="000230E8" w:rsidRPr="00C2318B" w:rsidRDefault="000230E8" w:rsidP="000230E8">
      <w:pPr>
        <w:rPr>
          <w:lang w:eastAsia="en-GB"/>
        </w:rPr>
      </w:pPr>
    </w:p>
    <w:p w14:paraId="46D22455" w14:textId="77777777" w:rsidR="006C148C" w:rsidRPr="000230E8" w:rsidRDefault="006C148C">
      <w:pPr>
        <w:rPr>
          <w:lang/>
        </w:rPr>
      </w:pPr>
    </w:p>
    <w:p w14:paraId="06C8B85C" w14:textId="77777777" w:rsidR="006C148C" w:rsidRDefault="006C148C">
      <w:pPr>
        <w:pStyle w:val="Heading1"/>
        <w:pageBreakBefore/>
        <w:rPr>
          <w:lang w:val="es-ES"/>
        </w:rPr>
      </w:pPr>
      <w:bookmarkStart w:id="523" w:name="_Toc335829672"/>
      <w:bookmarkStart w:id="524" w:name="_Toc335836569"/>
      <w:bookmarkStart w:id="525" w:name="_Toc335983461"/>
      <w:bookmarkStart w:id="526" w:name="_Toc335986635"/>
      <w:r>
        <w:rPr>
          <w:lang w:val="es-ES"/>
        </w:rPr>
        <w:lastRenderedPageBreak/>
        <w:t>Foscríbhinn 1: Údarás agus Coistí eile i 2011</w:t>
      </w:r>
      <w:bookmarkEnd w:id="523"/>
      <w:bookmarkEnd w:id="524"/>
      <w:bookmarkEnd w:id="525"/>
      <w:bookmarkEnd w:id="526"/>
    </w:p>
    <w:p w14:paraId="5D555A71" w14:textId="77777777" w:rsidR="006C148C" w:rsidRDefault="006C148C">
      <w:pPr>
        <w:pStyle w:val="Heading2"/>
        <w:jc w:val="center"/>
      </w:pPr>
      <w:bookmarkStart w:id="527" w:name="_Toc335836570"/>
      <w:r>
        <w:t xml:space="preserve">Baill </w:t>
      </w:r>
      <w:proofErr w:type="spellStart"/>
      <w:r>
        <w:t>fhoirne</w:t>
      </w:r>
      <w:proofErr w:type="spellEnd"/>
      <w:r>
        <w:t xml:space="preserve"> an Údaráis Náisiúnta </w:t>
      </w:r>
      <w:proofErr w:type="spellStart"/>
      <w:r>
        <w:t>Míchumais</w:t>
      </w:r>
      <w:proofErr w:type="spellEnd"/>
      <w:r>
        <w:t xml:space="preserve"> i 2011</w:t>
      </w:r>
      <w:bookmarkEnd w:id="527"/>
    </w:p>
    <w:p w14:paraId="2E7B83A8" w14:textId="77777777" w:rsidR="006C148C" w:rsidRDefault="006C148C">
      <w:pPr>
        <w:pStyle w:val="Heading3"/>
      </w:pPr>
    </w:p>
    <w:tbl>
      <w:tblPr>
        <w:tblW w:w="0" w:type="auto"/>
        <w:tblInd w:w="108" w:type="dxa"/>
        <w:tblLayout w:type="fixed"/>
        <w:tblLook w:val="0000" w:firstRow="0" w:lastRow="0" w:firstColumn="0" w:lastColumn="0" w:noHBand="0" w:noVBand="0"/>
      </w:tblPr>
      <w:tblGrid>
        <w:gridCol w:w="4680"/>
        <w:gridCol w:w="3250"/>
      </w:tblGrid>
      <w:tr w:rsidR="006C148C" w14:paraId="7797CD02" w14:textId="77777777">
        <w:tc>
          <w:tcPr>
            <w:tcW w:w="4680" w:type="dxa"/>
            <w:tcBorders>
              <w:top w:val="single" w:sz="4" w:space="0" w:color="000000"/>
              <w:left w:val="single" w:sz="4" w:space="0" w:color="000000"/>
              <w:bottom w:val="single" w:sz="4" w:space="0" w:color="000000"/>
            </w:tcBorders>
            <w:shd w:val="clear" w:color="auto" w:fill="auto"/>
          </w:tcPr>
          <w:p w14:paraId="53769F5E" w14:textId="77777777" w:rsidR="006C148C" w:rsidRDefault="006C148C">
            <w:pPr>
              <w:snapToGrid w:val="0"/>
              <w:spacing w:after="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08CCC31A" w14:textId="77777777" w:rsidR="006C148C" w:rsidRDefault="006C148C">
            <w:pPr>
              <w:pStyle w:val="TableHead"/>
              <w:snapToGrid w:val="0"/>
              <w:jc w:val="center"/>
            </w:pPr>
            <w:proofErr w:type="spellStart"/>
            <w:r>
              <w:t>Reáchtáladh</w:t>
            </w:r>
            <w:proofErr w:type="spellEnd"/>
            <w:r>
              <w:t xml:space="preserve"> 10 gcruinniú</w:t>
            </w:r>
          </w:p>
          <w:p w14:paraId="326569C7" w14:textId="77777777" w:rsidR="006C148C" w:rsidRDefault="006C148C">
            <w:pPr>
              <w:pStyle w:val="TableHead"/>
              <w:jc w:val="center"/>
            </w:pPr>
            <w:r>
              <w:t xml:space="preserve">Líon na </w:t>
            </w:r>
            <w:proofErr w:type="spellStart"/>
            <w:r>
              <w:t>gcruinnithe</w:t>
            </w:r>
            <w:proofErr w:type="spellEnd"/>
            <w:r>
              <w:t xml:space="preserve"> a ndearnadh freastal orthu </w:t>
            </w:r>
          </w:p>
        </w:tc>
      </w:tr>
      <w:tr w:rsidR="006C148C" w14:paraId="092A85FD" w14:textId="77777777">
        <w:tc>
          <w:tcPr>
            <w:tcW w:w="4680" w:type="dxa"/>
            <w:tcBorders>
              <w:top w:val="single" w:sz="4" w:space="0" w:color="000000"/>
              <w:left w:val="single" w:sz="4" w:space="0" w:color="000000"/>
              <w:bottom w:val="single" w:sz="4" w:space="0" w:color="000000"/>
            </w:tcBorders>
            <w:shd w:val="clear" w:color="auto" w:fill="auto"/>
          </w:tcPr>
          <w:p w14:paraId="15A0BE24" w14:textId="77777777" w:rsidR="006C148C" w:rsidRDefault="006C148C">
            <w:pPr>
              <w:snapToGrid w:val="0"/>
              <w:spacing w:after="0"/>
            </w:pPr>
            <w:r>
              <w:t>Peter Mc Kevitt (Cathaoirleach)</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52AB1AA8" w14:textId="77777777" w:rsidR="006C148C" w:rsidRDefault="006C148C">
            <w:pPr>
              <w:snapToGrid w:val="0"/>
              <w:spacing w:after="0"/>
              <w:jc w:val="right"/>
            </w:pPr>
            <w:r>
              <w:t xml:space="preserve">10 </w:t>
            </w:r>
          </w:p>
        </w:tc>
      </w:tr>
      <w:tr w:rsidR="006C148C" w14:paraId="0767A372" w14:textId="77777777">
        <w:tc>
          <w:tcPr>
            <w:tcW w:w="4680" w:type="dxa"/>
            <w:tcBorders>
              <w:top w:val="single" w:sz="4" w:space="0" w:color="000000"/>
              <w:left w:val="single" w:sz="4" w:space="0" w:color="000000"/>
              <w:bottom w:val="single" w:sz="4" w:space="0" w:color="000000"/>
            </w:tcBorders>
            <w:shd w:val="clear" w:color="auto" w:fill="auto"/>
          </w:tcPr>
          <w:p w14:paraId="3F62DE0D" w14:textId="77777777" w:rsidR="006C148C" w:rsidRDefault="006C148C">
            <w:pPr>
              <w:snapToGrid w:val="0"/>
              <w:spacing w:after="0"/>
            </w:pPr>
            <w:r>
              <w:t>Tony Bates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4EED79D4" w14:textId="77777777" w:rsidR="006C148C" w:rsidRDefault="006C148C">
            <w:pPr>
              <w:snapToGrid w:val="0"/>
              <w:spacing w:after="0"/>
              <w:jc w:val="right"/>
            </w:pPr>
            <w:r>
              <w:t>4</w:t>
            </w:r>
          </w:p>
        </w:tc>
      </w:tr>
      <w:tr w:rsidR="006C148C" w14:paraId="3638610E" w14:textId="77777777">
        <w:tc>
          <w:tcPr>
            <w:tcW w:w="4680" w:type="dxa"/>
            <w:tcBorders>
              <w:top w:val="single" w:sz="4" w:space="0" w:color="000000"/>
              <w:left w:val="single" w:sz="4" w:space="0" w:color="000000"/>
              <w:bottom w:val="single" w:sz="4" w:space="0" w:color="000000"/>
            </w:tcBorders>
            <w:shd w:val="clear" w:color="auto" w:fill="auto"/>
          </w:tcPr>
          <w:p w14:paraId="2DF5EF55" w14:textId="77777777" w:rsidR="006C148C" w:rsidRDefault="006C148C">
            <w:pPr>
              <w:snapToGrid w:val="0"/>
              <w:spacing w:after="0"/>
            </w:pPr>
            <w:r>
              <w:t>Caroline Burrell</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4EEB5C15" w14:textId="77777777" w:rsidR="006C148C" w:rsidRDefault="006C148C">
            <w:pPr>
              <w:snapToGrid w:val="0"/>
              <w:spacing w:after="0"/>
              <w:jc w:val="right"/>
            </w:pPr>
            <w:r>
              <w:t>8</w:t>
            </w:r>
          </w:p>
        </w:tc>
      </w:tr>
      <w:tr w:rsidR="006C148C" w14:paraId="62B588C2" w14:textId="77777777">
        <w:tc>
          <w:tcPr>
            <w:tcW w:w="4680" w:type="dxa"/>
            <w:tcBorders>
              <w:top w:val="single" w:sz="4" w:space="0" w:color="000000"/>
              <w:left w:val="single" w:sz="4" w:space="0" w:color="000000"/>
              <w:bottom w:val="single" w:sz="4" w:space="0" w:color="000000"/>
            </w:tcBorders>
            <w:shd w:val="clear" w:color="auto" w:fill="auto"/>
          </w:tcPr>
          <w:p w14:paraId="2BF01E3E" w14:textId="77777777" w:rsidR="006C148C" w:rsidRDefault="006C148C">
            <w:pPr>
              <w:snapToGrid w:val="0"/>
              <w:spacing w:after="0"/>
            </w:pPr>
            <w:r>
              <w:t xml:space="preserve">Frank </w:t>
            </w:r>
            <w:proofErr w:type="spellStart"/>
            <w:r>
              <w:t>Cunneen</w:t>
            </w:r>
            <w:proofErr w:type="spellEnd"/>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35C5074B" w14:textId="77777777" w:rsidR="006C148C" w:rsidRDefault="006C148C">
            <w:pPr>
              <w:snapToGrid w:val="0"/>
              <w:spacing w:after="0"/>
              <w:jc w:val="right"/>
            </w:pPr>
            <w:r>
              <w:t>8</w:t>
            </w:r>
          </w:p>
        </w:tc>
      </w:tr>
      <w:tr w:rsidR="006C148C" w14:paraId="6FBAB17E" w14:textId="77777777">
        <w:tc>
          <w:tcPr>
            <w:tcW w:w="4680" w:type="dxa"/>
            <w:tcBorders>
              <w:top w:val="single" w:sz="4" w:space="0" w:color="000000"/>
              <w:left w:val="single" w:sz="4" w:space="0" w:color="000000"/>
              <w:bottom w:val="single" w:sz="4" w:space="0" w:color="000000"/>
            </w:tcBorders>
            <w:shd w:val="clear" w:color="auto" w:fill="auto"/>
          </w:tcPr>
          <w:p w14:paraId="694C6360" w14:textId="77777777" w:rsidR="006C148C" w:rsidRDefault="006C148C">
            <w:pPr>
              <w:snapToGrid w:val="0"/>
              <w:spacing w:after="0"/>
            </w:pPr>
            <w:r>
              <w:t>Tara Cunningham</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328D3F1B" w14:textId="77777777" w:rsidR="006C148C" w:rsidRDefault="006C148C">
            <w:pPr>
              <w:snapToGrid w:val="0"/>
              <w:spacing w:after="0"/>
              <w:jc w:val="right"/>
            </w:pPr>
            <w:r>
              <w:t>4</w:t>
            </w:r>
            <w:r>
              <w:rPr>
                <w:rStyle w:val="FootnoteReference"/>
              </w:rPr>
              <w:footnoteReference w:id="7"/>
            </w:r>
          </w:p>
        </w:tc>
      </w:tr>
      <w:tr w:rsidR="006C148C" w14:paraId="1F4CE80F" w14:textId="77777777">
        <w:tc>
          <w:tcPr>
            <w:tcW w:w="4680" w:type="dxa"/>
            <w:tcBorders>
              <w:top w:val="single" w:sz="4" w:space="0" w:color="000000"/>
              <w:left w:val="single" w:sz="4" w:space="0" w:color="000000"/>
              <w:bottom w:val="single" w:sz="4" w:space="0" w:color="000000"/>
            </w:tcBorders>
            <w:shd w:val="clear" w:color="auto" w:fill="auto"/>
          </w:tcPr>
          <w:p w14:paraId="683821F0" w14:textId="77777777" w:rsidR="006C148C" w:rsidRDefault="006C148C">
            <w:pPr>
              <w:snapToGrid w:val="0"/>
              <w:spacing w:after="0"/>
            </w:pPr>
            <w:r>
              <w:t>James O’Grady</w:t>
            </w:r>
            <w:r>
              <w:rPr>
                <w:rStyle w:val="FootnoteReference"/>
              </w:rPr>
              <w:footnoteReference w:id="8"/>
            </w:r>
            <w:r>
              <w:t xml:space="preserve"> (ceaptha Eanáir 2011)</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4C7AD512" w14:textId="77777777" w:rsidR="006C148C" w:rsidRDefault="006C148C">
            <w:pPr>
              <w:snapToGrid w:val="0"/>
              <w:spacing w:after="0"/>
              <w:jc w:val="right"/>
            </w:pPr>
            <w:r>
              <w:t>10</w:t>
            </w:r>
          </w:p>
        </w:tc>
      </w:tr>
      <w:tr w:rsidR="006C148C" w14:paraId="54EA6819" w14:textId="77777777">
        <w:tc>
          <w:tcPr>
            <w:tcW w:w="4680" w:type="dxa"/>
            <w:tcBorders>
              <w:top w:val="single" w:sz="4" w:space="0" w:color="000000"/>
              <w:left w:val="single" w:sz="4" w:space="0" w:color="000000"/>
              <w:bottom w:val="single" w:sz="4" w:space="0" w:color="000000"/>
            </w:tcBorders>
            <w:shd w:val="clear" w:color="auto" w:fill="auto"/>
          </w:tcPr>
          <w:p w14:paraId="646F5D17" w14:textId="77777777" w:rsidR="006C148C" w:rsidRDefault="006C148C">
            <w:pPr>
              <w:snapToGrid w:val="0"/>
              <w:spacing w:after="0"/>
            </w:pPr>
            <w:r>
              <w:t>Fiona Duignan</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1F532CCD" w14:textId="77777777" w:rsidR="006C148C" w:rsidRDefault="006C148C">
            <w:pPr>
              <w:snapToGrid w:val="0"/>
              <w:spacing w:after="0"/>
              <w:jc w:val="right"/>
              <w:rPr>
                <w:vertAlign w:val="superscript"/>
              </w:rPr>
            </w:pPr>
            <w:r>
              <w:t>2</w:t>
            </w:r>
            <w:r>
              <w:rPr>
                <w:vertAlign w:val="superscript"/>
              </w:rPr>
              <w:t>2</w:t>
            </w:r>
          </w:p>
        </w:tc>
      </w:tr>
      <w:tr w:rsidR="006C148C" w14:paraId="37D8BBC1" w14:textId="77777777">
        <w:tc>
          <w:tcPr>
            <w:tcW w:w="4680" w:type="dxa"/>
            <w:tcBorders>
              <w:top w:val="single" w:sz="4" w:space="0" w:color="000000"/>
              <w:left w:val="single" w:sz="4" w:space="0" w:color="000000"/>
              <w:bottom w:val="single" w:sz="4" w:space="0" w:color="000000"/>
            </w:tcBorders>
            <w:shd w:val="clear" w:color="auto" w:fill="auto"/>
          </w:tcPr>
          <w:p w14:paraId="3FA866B1" w14:textId="77777777" w:rsidR="006C148C" w:rsidRDefault="006C148C">
            <w:pPr>
              <w:snapToGrid w:val="0"/>
              <w:spacing w:after="0"/>
            </w:pPr>
            <w:r>
              <w:t xml:space="preserve">Linda </w:t>
            </w:r>
            <w:proofErr w:type="spellStart"/>
            <w:r>
              <w:t>Grealy</w:t>
            </w:r>
            <w:proofErr w:type="spellEnd"/>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3A786573" w14:textId="77777777" w:rsidR="006C148C" w:rsidRDefault="006C148C">
            <w:pPr>
              <w:snapToGrid w:val="0"/>
              <w:spacing w:after="0"/>
              <w:jc w:val="right"/>
            </w:pPr>
            <w:r>
              <w:t>4</w:t>
            </w:r>
          </w:p>
        </w:tc>
      </w:tr>
      <w:tr w:rsidR="006C148C" w14:paraId="06951F4A" w14:textId="77777777">
        <w:tc>
          <w:tcPr>
            <w:tcW w:w="4680" w:type="dxa"/>
            <w:tcBorders>
              <w:top w:val="single" w:sz="4" w:space="0" w:color="000000"/>
              <w:left w:val="single" w:sz="4" w:space="0" w:color="000000"/>
              <w:bottom w:val="single" w:sz="4" w:space="0" w:color="000000"/>
            </w:tcBorders>
            <w:shd w:val="clear" w:color="auto" w:fill="auto"/>
          </w:tcPr>
          <w:p w14:paraId="10A79FD3" w14:textId="77777777" w:rsidR="006C148C" w:rsidRDefault="006C148C">
            <w:pPr>
              <w:snapToGrid w:val="0"/>
              <w:spacing w:after="0"/>
            </w:pPr>
            <w:r>
              <w:t>Shane Hogan</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09AB2AC9" w14:textId="77777777" w:rsidR="006C148C" w:rsidRDefault="006C148C">
            <w:pPr>
              <w:snapToGrid w:val="0"/>
              <w:spacing w:after="0"/>
              <w:jc w:val="right"/>
            </w:pPr>
            <w:r>
              <w:t>10</w:t>
            </w:r>
          </w:p>
        </w:tc>
      </w:tr>
      <w:tr w:rsidR="006C148C" w14:paraId="22B3F748" w14:textId="77777777">
        <w:tc>
          <w:tcPr>
            <w:tcW w:w="4680" w:type="dxa"/>
            <w:tcBorders>
              <w:top w:val="single" w:sz="4" w:space="0" w:color="000000"/>
              <w:left w:val="single" w:sz="4" w:space="0" w:color="000000"/>
              <w:bottom w:val="single" w:sz="4" w:space="0" w:color="000000"/>
            </w:tcBorders>
            <w:shd w:val="clear" w:color="auto" w:fill="auto"/>
          </w:tcPr>
          <w:p w14:paraId="21DE0B30" w14:textId="77777777" w:rsidR="006C148C" w:rsidRDefault="006C148C">
            <w:pPr>
              <w:snapToGrid w:val="0"/>
              <w:spacing w:after="0"/>
            </w:pPr>
            <w:r>
              <w:t>David Joyce</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5E5FF7D8" w14:textId="77777777" w:rsidR="006C148C" w:rsidRDefault="006C148C">
            <w:pPr>
              <w:snapToGrid w:val="0"/>
              <w:spacing w:after="0"/>
              <w:jc w:val="right"/>
            </w:pPr>
            <w:r>
              <w:t>6</w:t>
            </w:r>
          </w:p>
        </w:tc>
      </w:tr>
      <w:tr w:rsidR="006C148C" w14:paraId="06B04F0B" w14:textId="77777777">
        <w:tc>
          <w:tcPr>
            <w:tcW w:w="4680" w:type="dxa"/>
            <w:tcBorders>
              <w:top w:val="single" w:sz="4" w:space="0" w:color="000000"/>
              <w:left w:val="single" w:sz="4" w:space="0" w:color="000000"/>
              <w:bottom w:val="single" w:sz="4" w:space="0" w:color="000000"/>
            </w:tcBorders>
            <w:shd w:val="clear" w:color="auto" w:fill="auto"/>
          </w:tcPr>
          <w:p w14:paraId="6D224884" w14:textId="77777777" w:rsidR="006C148C" w:rsidRDefault="006C148C">
            <w:pPr>
              <w:snapToGrid w:val="0"/>
              <w:spacing w:after="0"/>
            </w:pPr>
            <w:r>
              <w:t>Des Kenny</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5744D51B" w14:textId="77777777" w:rsidR="006C148C" w:rsidRDefault="006C148C">
            <w:pPr>
              <w:snapToGrid w:val="0"/>
              <w:spacing w:after="0"/>
              <w:jc w:val="right"/>
            </w:pPr>
            <w:r>
              <w:t>9</w:t>
            </w:r>
          </w:p>
        </w:tc>
      </w:tr>
      <w:tr w:rsidR="006C148C" w14:paraId="2305638E" w14:textId="77777777">
        <w:tc>
          <w:tcPr>
            <w:tcW w:w="4680" w:type="dxa"/>
            <w:tcBorders>
              <w:top w:val="single" w:sz="4" w:space="0" w:color="000000"/>
              <w:left w:val="single" w:sz="4" w:space="0" w:color="000000"/>
              <w:bottom w:val="single" w:sz="4" w:space="0" w:color="000000"/>
            </w:tcBorders>
            <w:shd w:val="clear" w:color="auto" w:fill="auto"/>
          </w:tcPr>
          <w:p w14:paraId="34D5117E" w14:textId="77777777" w:rsidR="006C148C" w:rsidRDefault="006C148C">
            <w:pPr>
              <w:snapToGrid w:val="0"/>
              <w:spacing w:after="0"/>
            </w:pPr>
            <w:r>
              <w:t>Mary Lavelle</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6D0CE6F6" w14:textId="77777777" w:rsidR="006C148C" w:rsidRDefault="006C148C">
            <w:pPr>
              <w:snapToGrid w:val="0"/>
              <w:spacing w:after="0"/>
              <w:jc w:val="right"/>
            </w:pPr>
            <w:r>
              <w:t>9</w:t>
            </w:r>
          </w:p>
        </w:tc>
      </w:tr>
      <w:tr w:rsidR="006C148C" w14:paraId="61C2DFC1" w14:textId="77777777">
        <w:tc>
          <w:tcPr>
            <w:tcW w:w="4680" w:type="dxa"/>
            <w:tcBorders>
              <w:top w:val="single" w:sz="4" w:space="0" w:color="000000"/>
              <w:left w:val="single" w:sz="4" w:space="0" w:color="000000"/>
              <w:bottom w:val="single" w:sz="4" w:space="0" w:color="000000"/>
            </w:tcBorders>
            <w:shd w:val="clear" w:color="auto" w:fill="auto"/>
          </w:tcPr>
          <w:p w14:paraId="20C8FF8D" w14:textId="77777777" w:rsidR="006C148C" w:rsidRDefault="006C148C">
            <w:pPr>
              <w:snapToGrid w:val="0"/>
              <w:spacing w:after="0"/>
            </w:pPr>
            <w:r>
              <w:t xml:space="preserve">Joanne Mc </w:t>
            </w:r>
            <w:proofErr w:type="spellStart"/>
            <w:r>
              <w:t>Carthy</w:t>
            </w:r>
            <w:proofErr w:type="spellEnd"/>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5A008A34" w14:textId="77777777" w:rsidR="006C148C" w:rsidRDefault="006C148C">
            <w:pPr>
              <w:snapToGrid w:val="0"/>
              <w:spacing w:after="0"/>
              <w:jc w:val="right"/>
              <w:rPr>
                <w:vertAlign w:val="superscript"/>
              </w:rPr>
            </w:pPr>
            <w:r>
              <w:t>6</w:t>
            </w:r>
            <w:r>
              <w:rPr>
                <w:vertAlign w:val="superscript"/>
              </w:rPr>
              <w:t>2</w:t>
            </w:r>
          </w:p>
        </w:tc>
      </w:tr>
    </w:tbl>
    <w:p w14:paraId="0C0EDA6A" w14:textId="77777777" w:rsidR="006C148C" w:rsidRDefault="006C148C"/>
    <w:p w14:paraId="30DDCC2E" w14:textId="77777777" w:rsidR="006C148C" w:rsidRDefault="006C148C">
      <w:pPr>
        <w:pStyle w:val="Heading3"/>
      </w:pPr>
      <w:bookmarkStart w:id="528" w:name="_Toc335836571"/>
      <w:r>
        <w:t xml:space="preserve">Coiste </w:t>
      </w:r>
      <w:proofErr w:type="spellStart"/>
      <w:r>
        <w:t>Iniúchóireachta</w:t>
      </w:r>
      <w:bookmarkEnd w:id="528"/>
      <w:proofErr w:type="spellEnd"/>
    </w:p>
    <w:p w14:paraId="47EED8FA" w14:textId="77777777" w:rsidR="006C148C" w:rsidRDefault="006C148C">
      <w:pPr>
        <w:spacing w:after="0"/>
        <w:rPr>
          <w:lang w:val="en-GB"/>
        </w:rPr>
      </w:pPr>
      <w:r>
        <w:rPr>
          <w:lang w:val="en-GB"/>
        </w:rPr>
        <w:t>Donal Lawlor (</w:t>
      </w:r>
      <w:r>
        <w:t>Cathaoirleach</w:t>
      </w:r>
      <w:r>
        <w:rPr>
          <w:lang w:val="en-GB"/>
        </w:rPr>
        <w:t>)</w:t>
      </w:r>
      <w:r>
        <w:rPr>
          <w:lang w:val="en-GB"/>
        </w:rPr>
        <w:tab/>
      </w:r>
    </w:p>
    <w:p w14:paraId="3106C79D" w14:textId="77777777" w:rsidR="006C148C" w:rsidRDefault="006C148C">
      <w:pPr>
        <w:spacing w:after="0"/>
        <w:rPr>
          <w:lang w:val="en-GB"/>
        </w:rPr>
      </w:pPr>
      <w:r>
        <w:rPr>
          <w:lang w:val="en-GB"/>
        </w:rPr>
        <w:t xml:space="preserve">Robert </w:t>
      </w:r>
      <w:proofErr w:type="spellStart"/>
      <w:r>
        <w:rPr>
          <w:lang w:val="en-GB"/>
        </w:rPr>
        <w:t>Cashell</w:t>
      </w:r>
      <w:proofErr w:type="spellEnd"/>
    </w:p>
    <w:p w14:paraId="6C248EE0" w14:textId="77777777" w:rsidR="006C148C" w:rsidRDefault="006C148C">
      <w:pPr>
        <w:spacing w:after="0"/>
        <w:rPr>
          <w:lang w:val="en-GB"/>
        </w:rPr>
      </w:pPr>
      <w:r>
        <w:rPr>
          <w:lang w:val="en-GB"/>
        </w:rPr>
        <w:t xml:space="preserve">Frank </w:t>
      </w:r>
      <w:proofErr w:type="spellStart"/>
      <w:r>
        <w:rPr>
          <w:lang w:val="en-GB"/>
        </w:rPr>
        <w:t>Cunneen</w:t>
      </w:r>
      <w:proofErr w:type="spellEnd"/>
    </w:p>
    <w:p w14:paraId="518A1418" w14:textId="77777777" w:rsidR="006C148C" w:rsidRDefault="006C148C">
      <w:pPr>
        <w:spacing w:after="0"/>
        <w:rPr>
          <w:lang w:val="en-GB"/>
        </w:rPr>
      </w:pPr>
      <w:r>
        <w:rPr>
          <w:lang w:val="en-GB"/>
        </w:rPr>
        <w:t>Brian Duffy</w:t>
      </w:r>
    </w:p>
    <w:p w14:paraId="3931CC23" w14:textId="77777777" w:rsidR="006C148C" w:rsidRDefault="006C148C">
      <w:pPr>
        <w:rPr>
          <w:lang w:val="en-GB"/>
        </w:rPr>
      </w:pPr>
      <w:r>
        <w:rPr>
          <w:lang w:val="en-GB"/>
        </w:rPr>
        <w:t>Des Kenny</w:t>
      </w:r>
    </w:p>
    <w:p w14:paraId="46713860" w14:textId="77777777" w:rsidR="006C148C" w:rsidRDefault="006C148C">
      <w:pPr>
        <w:autoSpaceDE w:val="0"/>
        <w:spacing w:after="0"/>
        <w:rPr>
          <w:rFonts w:cs="Helv"/>
          <w:color w:val="000000"/>
          <w:lang w:val="en-GB"/>
        </w:rPr>
      </w:pPr>
    </w:p>
    <w:p w14:paraId="008C96AB" w14:textId="77777777" w:rsidR="006C148C" w:rsidRDefault="006C148C">
      <w:pPr>
        <w:pStyle w:val="Heading3"/>
      </w:pPr>
      <w:bookmarkStart w:id="529" w:name="_Toc335836572"/>
      <w:r>
        <w:t>Coiste Airgeadais</w:t>
      </w:r>
      <w:bookmarkEnd w:id="529"/>
    </w:p>
    <w:p w14:paraId="2C7CBECB" w14:textId="77777777" w:rsidR="006C148C" w:rsidRDefault="006C148C">
      <w:pPr>
        <w:spacing w:after="0"/>
        <w:rPr>
          <w:lang w:val="en-GB"/>
        </w:rPr>
      </w:pPr>
      <w:r>
        <w:rPr>
          <w:lang w:val="en-GB"/>
        </w:rPr>
        <w:t xml:space="preserve">Frank </w:t>
      </w:r>
      <w:proofErr w:type="spellStart"/>
      <w:r>
        <w:rPr>
          <w:lang w:val="en-GB"/>
        </w:rPr>
        <w:t>Cunneen</w:t>
      </w:r>
      <w:proofErr w:type="spellEnd"/>
      <w:r>
        <w:rPr>
          <w:lang w:val="en-GB"/>
        </w:rPr>
        <w:t xml:space="preserve"> (</w:t>
      </w:r>
      <w:r>
        <w:t>Cathaoirleach</w:t>
      </w:r>
      <w:r>
        <w:rPr>
          <w:lang w:val="en-GB"/>
        </w:rPr>
        <w:t>)</w:t>
      </w:r>
    </w:p>
    <w:p w14:paraId="48B02CB7" w14:textId="77777777" w:rsidR="006C148C" w:rsidRDefault="006C148C">
      <w:pPr>
        <w:spacing w:after="0"/>
        <w:rPr>
          <w:lang w:val="en-GB"/>
        </w:rPr>
      </w:pPr>
      <w:r>
        <w:rPr>
          <w:lang w:val="en-GB"/>
        </w:rPr>
        <w:t>Caroline Burrell</w:t>
      </w:r>
    </w:p>
    <w:p w14:paraId="29B04BF3" w14:textId="77777777" w:rsidR="006C148C" w:rsidRDefault="006C148C">
      <w:pPr>
        <w:spacing w:after="0"/>
        <w:rPr>
          <w:lang w:val="en-GB"/>
        </w:rPr>
      </w:pPr>
      <w:r>
        <w:rPr>
          <w:lang w:val="en-GB"/>
        </w:rPr>
        <w:t>David Joyce</w:t>
      </w:r>
    </w:p>
    <w:p w14:paraId="6B5E74CE" w14:textId="77777777" w:rsidR="006C148C" w:rsidRDefault="006C148C">
      <w:pPr>
        <w:spacing w:after="0"/>
        <w:rPr>
          <w:lang w:val="en-GB"/>
        </w:rPr>
      </w:pPr>
      <w:r>
        <w:rPr>
          <w:lang w:val="en-GB"/>
        </w:rPr>
        <w:t>Des Kenny</w:t>
      </w:r>
    </w:p>
    <w:p w14:paraId="21B3E046" w14:textId="77777777" w:rsidR="006C148C" w:rsidRDefault="006C148C">
      <w:pPr>
        <w:rPr>
          <w:lang w:val="en-GB"/>
        </w:rPr>
      </w:pPr>
      <w:r>
        <w:rPr>
          <w:lang w:val="en-GB"/>
        </w:rPr>
        <w:t>David Scott</w:t>
      </w:r>
    </w:p>
    <w:p w14:paraId="0CAFA464" w14:textId="77777777" w:rsidR="006C148C" w:rsidRDefault="006C148C">
      <w:pPr>
        <w:autoSpaceDE w:val="0"/>
        <w:spacing w:after="0"/>
        <w:rPr>
          <w:rFonts w:cs="Arial"/>
          <w:color w:val="000000"/>
          <w:lang w:val="en-GB"/>
        </w:rPr>
      </w:pPr>
    </w:p>
    <w:p w14:paraId="49424454" w14:textId="77777777" w:rsidR="006C148C" w:rsidRDefault="006C148C">
      <w:pPr>
        <w:pStyle w:val="Heading3"/>
      </w:pPr>
      <w:bookmarkStart w:id="530" w:name="_Toc335836573"/>
      <w:proofErr w:type="spellStart"/>
      <w:r>
        <w:t>Fo-choiste</w:t>
      </w:r>
      <w:proofErr w:type="spellEnd"/>
      <w:r>
        <w:t xml:space="preserve"> </w:t>
      </w:r>
      <w:proofErr w:type="spellStart"/>
      <w:r>
        <w:t>Straitéise</w:t>
      </w:r>
      <w:proofErr w:type="spellEnd"/>
      <w:r>
        <w:t xml:space="preserve"> Náisiúnta </w:t>
      </w:r>
      <w:proofErr w:type="spellStart"/>
      <w:r>
        <w:t>Míchumais</w:t>
      </w:r>
      <w:bookmarkEnd w:id="530"/>
      <w:proofErr w:type="spellEnd"/>
    </w:p>
    <w:p w14:paraId="0E44269B" w14:textId="77777777" w:rsidR="006C148C" w:rsidRDefault="006C148C">
      <w:pPr>
        <w:spacing w:after="0"/>
        <w:rPr>
          <w:lang w:val="en-GB"/>
        </w:rPr>
      </w:pPr>
      <w:r>
        <w:rPr>
          <w:lang w:val="en-GB"/>
        </w:rPr>
        <w:t>Shane Hogan (</w:t>
      </w:r>
      <w:r>
        <w:t>Cathaoirleach</w:t>
      </w:r>
      <w:r>
        <w:rPr>
          <w:lang w:val="en-GB"/>
        </w:rPr>
        <w:t>)</w:t>
      </w:r>
    </w:p>
    <w:p w14:paraId="6789C4D9" w14:textId="77777777" w:rsidR="006C148C" w:rsidRDefault="006C148C">
      <w:pPr>
        <w:spacing w:after="0"/>
        <w:rPr>
          <w:rFonts w:cs="Helv"/>
          <w:lang w:val="en-GB"/>
        </w:rPr>
      </w:pPr>
      <w:r>
        <w:rPr>
          <w:rFonts w:cs="Helv"/>
          <w:lang w:val="en-GB"/>
        </w:rPr>
        <w:t xml:space="preserve">Tara Cunningham </w:t>
      </w:r>
    </w:p>
    <w:p w14:paraId="2B51B00B" w14:textId="77777777" w:rsidR="006C148C" w:rsidRDefault="006C148C">
      <w:pPr>
        <w:spacing w:after="0"/>
        <w:rPr>
          <w:rFonts w:cs="Helv"/>
          <w:lang w:val="en-GB"/>
        </w:rPr>
      </w:pPr>
      <w:r>
        <w:rPr>
          <w:rFonts w:cs="Helv"/>
          <w:lang w:val="en-GB"/>
        </w:rPr>
        <w:t>James O’Grady</w:t>
      </w:r>
      <w:r>
        <w:rPr>
          <w:rStyle w:val="FootnoteReference"/>
          <w:rFonts w:cs="Helv"/>
          <w:color w:val="000000"/>
          <w:lang w:val="en-GB"/>
        </w:rPr>
        <w:footnoteReference w:id="9"/>
      </w:r>
    </w:p>
    <w:p w14:paraId="77DB6F75" w14:textId="77777777" w:rsidR="006C148C" w:rsidRDefault="006C148C">
      <w:pPr>
        <w:spacing w:after="0"/>
        <w:rPr>
          <w:rFonts w:cs="Helv"/>
          <w:lang w:val="en-GB"/>
        </w:rPr>
      </w:pPr>
      <w:r>
        <w:rPr>
          <w:rFonts w:cs="Helv"/>
          <w:lang w:val="en-GB"/>
        </w:rPr>
        <w:t xml:space="preserve">David Joyce </w:t>
      </w:r>
    </w:p>
    <w:p w14:paraId="384FD710" w14:textId="77777777" w:rsidR="006C148C" w:rsidRDefault="006C148C">
      <w:pPr>
        <w:spacing w:after="0"/>
        <w:rPr>
          <w:rFonts w:cs="Helv"/>
          <w:lang w:val="en-GB"/>
        </w:rPr>
      </w:pPr>
      <w:r>
        <w:rPr>
          <w:rFonts w:cs="Helv"/>
          <w:lang w:val="en-GB"/>
        </w:rPr>
        <w:t>Mary Lavelle</w:t>
      </w:r>
    </w:p>
    <w:p w14:paraId="69FA4884" w14:textId="77777777" w:rsidR="006C148C" w:rsidRDefault="006C148C">
      <w:pPr>
        <w:rPr>
          <w:rFonts w:cs="Helv"/>
          <w:lang w:val="en-GB"/>
        </w:rPr>
      </w:pPr>
      <w:r>
        <w:rPr>
          <w:rFonts w:cs="Helv"/>
          <w:lang w:val="en-GB"/>
        </w:rPr>
        <w:t xml:space="preserve">Joanne McCarthy </w:t>
      </w:r>
    </w:p>
    <w:p w14:paraId="41BCE9A3" w14:textId="77777777" w:rsidR="006C148C" w:rsidRDefault="006C148C">
      <w:pPr>
        <w:pStyle w:val="Heading1"/>
      </w:pPr>
      <w:bookmarkStart w:id="531" w:name="_Toc335829673"/>
      <w:bookmarkStart w:id="532" w:name="_Toc335836574"/>
      <w:bookmarkStart w:id="533" w:name="_Toc335983462"/>
      <w:bookmarkStart w:id="534" w:name="_Toc335986636"/>
      <w:proofErr w:type="spellStart"/>
      <w:r>
        <w:t>Foscríbhinn</w:t>
      </w:r>
      <w:proofErr w:type="spellEnd"/>
      <w:r>
        <w:t xml:space="preserve"> 2: Ionadaíocht ar chomhlachtaí </w:t>
      </w:r>
      <w:proofErr w:type="spellStart"/>
      <w:r>
        <w:t>seachtracha</w:t>
      </w:r>
      <w:proofErr w:type="spellEnd"/>
      <w:r>
        <w:t xml:space="preserve"> i 2011</w:t>
      </w:r>
      <w:bookmarkEnd w:id="531"/>
      <w:bookmarkEnd w:id="532"/>
      <w:bookmarkEnd w:id="533"/>
      <w:bookmarkEnd w:id="534"/>
    </w:p>
    <w:p w14:paraId="075BEB75" w14:textId="77777777" w:rsidR="006C148C" w:rsidRDefault="006C148C">
      <w:pPr>
        <w:pStyle w:val="Heading2"/>
      </w:pPr>
      <w:bookmarkStart w:id="535" w:name="_Toc335836575"/>
      <w:r>
        <w:t xml:space="preserve">An Coimisiún um </w:t>
      </w:r>
      <w:proofErr w:type="spellStart"/>
      <w:r>
        <w:t>Rialáil</w:t>
      </w:r>
      <w:proofErr w:type="spellEnd"/>
      <w:r>
        <w:t xml:space="preserve"> Cumarsáide</w:t>
      </w:r>
      <w:bookmarkEnd w:id="535"/>
      <w:r>
        <w:t xml:space="preserve"> </w:t>
      </w:r>
    </w:p>
    <w:p w14:paraId="6C64A7CA" w14:textId="77777777" w:rsidR="006C148C" w:rsidRDefault="006C148C">
      <w:r>
        <w:t>Painéal Comhairle Tomhaltóirí</w:t>
      </w:r>
    </w:p>
    <w:p w14:paraId="6C85EABD" w14:textId="77777777" w:rsidR="006C148C" w:rsidRDefault="006C148C">
      <w:r>
        <w:t xml:space="preserve">Fóram Tionscail ar </w:t>
      </w:r>
      <w:proofErr w:type="spellStart"/>
      <w:r>
        <w:t>Sheirbhísí</w:t>
      </w:r>
      <w:proofErr w:type="spellEnd"/>
      <w:r>
        <w:t xml:space="preserve"> do Dhaoine faoi </w:t>
      </w:r>
      <w:proofErr w:type="spellStart"/>
      <w:r>
        <w:t>Mhíchumas</w:t>
      </w:r>
      <w:proofErr w:type="spellEnd"/>
    </w:p>
    <w:p w14:paraId="688B4653" w14:textId="77777777" w:rsidR="006C148C" w:rsidRDefault="006C148C">
      <w:pPr>
        <w:pStyle w:val="Heading2"/>
      </w:pPr>
      <w:bookmarkStart w:id="536" w:name="_Toc335836576"/>
      <w:r>
        <w:t>An Roinn Leanaí agus Gnóthaí Óige</w:t>
      </w:r>
      <w:bookmarkEnd w:id="536"/>
    </w:p>
    <w:p w14:paraId="4215CD1F" w14:textId="77777777" w:rsidR="006C148C" w:rsidRDefault="006C148C">
      <w:r>
        <w:t>An Chomhairle Chomhairleach Náisiúnta um Leanaí</w:t>
      </w:r>
    </w:p>
    <w:p w14:paraId="596AF879" w14:textId="77777777" w:rsidR="006C148C" w:rsidRDefault="006C148C">
      <w:pPr>
        <w:pStyle w:val="Heading2"/>
      </w:pPr>
      <w:bookmarkStart w:id="537" w:name="_Toc335836577"/>
      <w:r>
        <w:t>An Roinn Cumarsáide, Fuinnimh agus Acmhainní Nádúrtha</w:t>
      </w:r>
      <w:bookmarkEnd w:id="537"/>
    </w:p>
    <w:p w14:paraId="77CB2E78" w14:textId="77777777" w:rsidR="006C148C" w:rsidRDefault="006C148C">
      <w:r>
        <w:t xml:space="preserve">Plean </w:t>
      </w:r>
      <w:proofErr w:type="spellStart"/>
      <w:r>
        <w:t>Earnála</w:t>
      </w:r>
      <w:proofErr w:type="spellEnd"/>
      <w:r>
        <w:t xml:space="preserve"> agus Cuid 5 Coiste </w:t>
      </w:r>
      <w:proofErr w:type="spellStart"/>
      <w:r>
        <w:t>Monatóireachta</w:t>
      </w:r>
      <w:proofErr w:type="spellEnd"/>
    </w:p>
    <w:p w14:paraId="48C29CBE" w14:textId="77777777" w:rsidR="006C148C" w:rsidRDefault="006C148C">
      <w:pPr>
        <w:pStyle w:val="Heading2"/>
      </w:pPr>
      <w:bookmarkStart w:id="538" w:name="_Toc335836578"/>
      <w:r>
        <w:t>An Roinn Iompair, Turasóireachta agus Spóirt</w:t>
      </w:r>
      <w:bookmarkEnd w:id="538"/>
    </w:p>
    <w:p w14:paraId="6D03F545" w14:textId="77777777" w:rsidR="006C148C" w:rsidRDefault="006C148C">
      <w:r>
        <w:t xml:space="preserve">An Coiste </w:t>
      </w:r>
      <w:proofErr w:type="spellStart"/>
      <w:r>
        <w:t>Rochtana</w:t>
      </w:r>
      <w:proofErr w:type="spellEnd"/>
      <w:r>
        <w:t xml:space="preserve"> um Iompar Poiblí </w:t>
      </w:r>
    </w:p>
    <w:p w14:paraId="4BE54683" w14:textId="77777777" w:rsidR="006C148C" w:rsidRDefault="006C148C">
      <w:r>
        <w:t xml:space="preserve">Grúpa Stiúrtha </w:t>
      </w:r>
      <w:proofErr w:type="spellStart"/>
      <w:r>
        <w:t>Athbhreithnithe</w:t>
      </w:r>
      <w:proofErr w:type="spellEnd"/>
      <w:r>
        <w:t xml:space="preserve"> um </w:t>
      </w:r>
      <w:proofErr w:type="spellStart"/>
      <w:r>
        <w:t>Rialú</w:t>
      </w:r>
      <w:proofErr w:type="spellEnd"/>
      <w:r>
        <w:t xml:space="preserve"> Tacsaithe</w:t>
      </w:r>
    </w:p>
    <w:p w14:paraId="35CEDF8A" w14:textId="77777777" w:rsidR="006C148C" w:rsidRDefault="006C148C">
      <w:pPr>
        <w:rPr>
          <w:lang w:val="es-ES"/>
        </w:rPr>
      </w:pPr>
      <w:r>
        <w:rPr>
          <w:lang w:val="es-ES"/>
        </w:rPr>
        <w:t>Grúpa Oibre ar Cheadúnú agus Riarachán</w:t>
      </w:r>
    </w:p>
    <w:p w14:paraId="5C6283B4" w14:textId="77777777" w:rsidR="006C148C" w:rsidRPr="000230E8" w:rsidRDefault="006C148C">
      <w:pPr>
        <w:pStyle w:val="Heading2"/>
        <w:rPr>
          <w:lang w:val="es-ES"/>
        </w:rPr>
      </w:pPr>
      <w:bookmarkStart w:id="539" w:name="_Toc335836579"/>
      <w:r w:rsidRPr="000230E8">
        <w:rPr>
          <w:lang w:val="es-ES"/>
        </w:rPr>
        <w:t>An tÚdarás Comhionannais</w:t>
      </w:r>
      <w:bookmarkEnd w:id="539"/>
    </w:p>
    <w:p w14:paraId="4A6370AC" w14:textId="77777777" w:rsidR="006C148C" w:rsidRPr="000230E8" w:rsidRDefault="006C148C">
      <w:pPr>
        <w:rPr>
          <w:lang w:val="es-ES"/>
        </w:rPr>
      </w:pPr>
      <w:r w:rsidRPr="000230E8">
        <w:rPr>
          <w:lang w:val="es-ES"/>
        </w:rPr>
        <w:t>Líonra na hEarnála Poiblí um Fhoghlaim Chomhionannais</w:t>
      </w:r>
    </w:p>
    <w:p w14:paraId="63E65FFB" w14:textId="77777777" w:rsidR="006C148C" w:rsidRDefault="006C148C">
      <w:r>
        <w:t>An Coiste Comhairleach ar Dhul Chun Cinn</w:t>
      </w:r>
    </w:p>
    <w:p w14:paraId="17FD16CC" w14:textId="77777777" w:rsidR="006C148C" w:rsidRDefault="006C148C">
      <w:pPr>
        <w:pStyle w:val="Heading2"/>
      </w:pPr>
      <w:bookmarkStart w:id="540" w:name="_Toc335836580"/>
      <w:proofErr w:type="spellStart"/>
      <w:r>
        <w:t>Feidhmeannacht</w:t>
      </w:r>
      <w:proofErr w:type="spellEnd"/>
      <w:r>
        <w:t xml:space="preserve"> na Seirbhíse Sláinte</w:t>
      </w:r>
      <w:bookmarkEnd w:id="540"/>
    </w:p>
    <w:p w14:paraId="63605830" w14:textId="77777777" w:rsidR="006C148C" w:rsidRDefault="006C148C">
      <w:pPr>
        <w:rPr>
          <w:bCs/>
        </w:rPr>
      </w:pPr>
      <w:r>
        <w:rPr>
          <w:bCs/>
        </w:rPr>
        <w:t xml:space="preserve">Grúpa Oibre um Beartas </w:t>
      </w:r>
      <w:proofErr w:type="spellStart"/>
      <w:r>
        <w:rPr>
          <w:bCs/>
        </w:rPr>
        <w:t>Uilíoch</w:t>
      </w:r>
      <w:proofErr w:type="spellEnd"/>
      <w:r>
        <w:rPr>
          <w:bCs/>
        </w:rPr>
        <w:t xml:space="preserve"> </w:t>
      </w:r>
      <w:proofErr w:type="spellStart"/>
      <w:r>
        <w:rPr>
          <w:bCs/>
        </w:rPr>
        <w:t>Rochtana</w:t>
      </w:r>
      <w:proofErr w:type="spellEnd"/>
    </w:p>
    <w:p w14:paraId="02241F9A" w14:textId="77777777" w:rsidR="006C148C" w:rsidRDefault="006C148C">
      <w:pPr>
        <w:pStyle w:val="Heading2"/>
      </w:pPr>
      <w:bookmarkStart w:id="541" w:name="_Toc335836581"/>
      <w:r>
        <w:lastRenderedPageBreak/>
        <w:t>An Bord Seirbhísí Bainistíochta Rialtais Áitiúil</w:t>
      </w:r>
      <w:bookmarkEnd w:id="541"/>
      <w:r>
        <w:t xml:space="preserve"> </w:t>
      </w:r>
    </w:p>
    <w:p w14:paraId="3EDD1B94" w14:textId="77777777" w:rsidR="006C148C" w:rsidRDefault="006C148C">
      <w:pPr>
        <w:rPr>
          <w:bCs/>
        </w:rPr>
      </w:pPr>
      <w:r>
        <w:rPr>
          <w:bCs/>
        </w:rPr>
        <w:t xml:space="preserve">Grúpa Stiúrtha ar an Acht </w:t>
      </w:r>
      <w:proofErr w:type="spellStart"/>
      <w:r>
        <w:rPr>
          <w:bCs/>
        </w:rPr>
        <w:t>Míchumais</w:t>
      </w:r>
      <w:proofErr w:type="spellEnd"/>
      <w:r>
        <w:rPr>
          <w:bCs/>
        </w:rPr>
        <w:t xml:space="preserve">, agus a </w:t>
      </w:r>
      <w:proofErr w:type="spellStart"/>
      <w:r>
        <w:rPr>
          <w:bCs/>
        </w:rPr>
        <w:t>fhoghrúpaí</w:t>
      </w:r>
      <w:proofErr w:type="spellEnd"/>
      <w:r>
        <w:rPr>
          <w:bCs/>
        </w:rPr>
        <w:t xml:space="preserve"> ar Oiliúint agus Cumarsáide; </w:t>
      </w:r>
      <w:proofErr w:type="spellStart"/>
      <w:r>
        <w:rPr>
          <w:bCs/>
        </w:rPr>
        <w:t>Rochtain</w:t>
      </w:r>
      <w:proofErr w:type="spellEnd"/>
      <w:r>
        <w:rPr>
          <w:bCs/>
        </w:rPr>
        <w:t xml:space="preserve">; agus Teastais </w:t>
      </w:r>
      <w:proofErr w:type="spellStart"/>
      <w:r>
        <w:rPr>
          <w:bCs/>
        </w:rPr>
        <w:t>Rochtanan</w:t>
      </w:r>
      <w:proofErr w:type="spellEnd"/>
      <w:r>
        <w:rPr>
          <w:bCs/>
        </w:rPr>
        <w:t xml:space="preserve"> </w:t>
      </w:r>
      <w:proofErr w:type="spellStart"/>
      <w:r>
        <w:rPr>
          <w:bCs/>
        </w:rPr>
        <w:t>Míchumais</w:t>
      </w:r>
      <w:proofErr w:type="spellEnd"/>
    </w:p>
    <w:p w14:paraId="4377E54B" w14:textId="77777777" w:rsidR="006C148C" w:rsidRDefault="006C148C">
      <w:pPr>
        <w:pStyle w:val="Heading2"/>
      </w:pPr>
      <w:bookmarkStart w:id="542" w:name="_Toc335836582"/>
      <w:r>
        <w:t>An Comhairle Náisiúnta um Oideachas Speisialta</w:t>
      </w:r>
      <w:bookmarkEnd w:id="542"/>
      <w:r>
        <w:t xml:space="preserve"> </w:t>
      </w:r>
    </w:p>
    <w:p w14:paraId="69A447A2" w14:textId="77777777" w:rsidR="006C148C" w:rsidRDefault="006C148C">
      <w:pPr>
        <w:rPr>
          <w:bCs/>
        </w:rPr>
      </w:pPr>
      <w:r>
        <w:rPr>
          <w:bCs/>
        </w:rPr>
        <w:t xml:space="preserve">Bord </w:t>
      </w:r>
    </w:p>
    <w:p w14:paraId="5E5D0670" w14:textId="77777777" w:rsidR="006C148C" w:rsidRDefault="006C148C">
      <w:pPr>
        <w:rPr>
          <w:bCs/>
        </w:rPr>
      </w:pPr>
      <w:r>
        <w:rPr>
          <w:bCs/>
        </w:rPr>
        <w:t xml:space="preserve">Coiste </w:t>
      </w:r>
      <w:proofErr w:type="spellStart"/>
      <w:r>
        <w:rPr>
          <w:bCs/>
        </w:rPr>
        <w:t>Iniúchóireachta</w:t>
      </w:r>
      <w:proofErr w:type="spellEnd"/>
    </w:p>
    <w:p w14:paraId="31CCE8CE" w14:textId="77777777" w:rsidR="006C148C" w:rsidRDefault="006C148C">
      <w:pPr>
        <w:rPr>
          <w:bCs/>
        </w:rPr>
      </w:pPr>
      <w:r>
        <w:rPr>
          <w:bCs/>
        </w:rPr>
        <w:t>An Coiste Airgeadais</w:t>
      </w:r>
    </w:p>
    <w:p w14:paraId="1D0BF2D1" w14:textId="77777777" w:rsidR="006C148C" w:rsidRDefault="006C148C">
      <w:pPr>
        <w:pStyle w:val="Heading2"/>
      </w:pPr>
      <w:bookmarkStart w:id="543" w:name="_Toc335836583"/>
      <w:r>
        <w:t xml:space="preserve">An </w:t>
      </w:r>
      <w:proofErr w:type="spellStart"/>
      <w:r>
        <w:t>tÚdarás</w:t>
      </w:r>
      <w:proofErr w:type="spellEnd"/>
      <w:r>
        <w:t xml:space="preserve"> um Chaighdeáin Náisiúnta na hÉireann</w:t>
      </w:r>
      <w:bookmarkEnd w:id="543"/>
      <w:r>
        <w:t xml:space="preserve"> </w:t>
      </w:r>
    </w:p>
    <w:p w14:paraId="6E6EF671" w14:textId="77777777" w:rsidR="006C148C" w:rsidRDefault="006C148C">
      <w:r>
        <w:t xml:space="preserve">Coiste Comhairleach/Grúpa Oibre Caighdeán 6 um </w:t>
      </w:r>
      <w:proofErr w:type="spellStart"/>
      <w:r>
        <w:t>Rochtain</w:t>
      </w:r>
      <w:proofErr w:type="spellEnd"/>
      <w:r>
        <w:t xml:space="preserve"> do </w:t>
      </w:r>
      <w:proofErr w:type="spellStart"/>
      <w:r>
        <w:t>Chách</w:t>
      </w:r>
      <w:proofErr w:type="spellEnd"/>
      <w:r>
        <w:t xml:space="preserve">: Seirbhísí do </w:t>
      </w:r>
      <w:proofErr w:type="spellStart"/>
      <w:r>
        <w:t>Chustaiméirí</w:t>
      </w:r>
      <w:proofErr w:type="spellEnd"/>
      <w:r>
        <w:t xml:space="preserve"> Dhearadh </w:t>
      </w:r>
      <w:proofErr w:type="spellStart"/>
      <w:r>
        <w:t>Uilíoch</w:t>
      </w:r>
      <w:proofErr w:type="spellEnd"/>
      <w:r>
        <w:t xml:space="preserve"> i </w:t>
      </w:r>
      <w:proofErr w:type="spellStart"/>
      <w:r>
        <w:t>bhFuinneamh</w:t>
      </w:r>
      <w:proofErr w:type="spellEnd"/>
    </w:p>
    <w:p w14:paraId="31F147EF" w14:textId="77777777" w:rsidR="006C148C" w:rsidRDefault="006C148C">
      <w:pPr>
        <w:pStyle w:val="Heading2"/>
      </w:pPr>
      <w:bookmarkStart w:id="544" w:name="_Toc335836584"/>
      <w:r>
        <w:t xml:space="preserve">An </w:t>
      </w:r>
      <w:proofErr w:type="spellStart"/>
      <w:r>
        <w:t>tÚdarás</w:t>
      </w:r>
      <w:proofErr w:type="spellEnd"/>
      <w:r>
        <w:t xml:space="preserve"> Náisiúnta Iompair</w:t>
      </w:r>
      <w:bookmarkEnd w:id="544"/>
      <w:r>
        <w:t xml:space="preserve"> </w:t>
      </w:r>
    </w:p>
    <w:p w14:paraId="10617178" w14:textId="77777777" w:rsidR="006C148C" w:rsidRDefault="006C148C">
      <w:r>
        <w:t xml:space="preserve">Comhairle Chomhairleach </w:t>
      </w:r>
      <w:proofErr w:type="spellStart"/>
      <w:r>
        <w:t>Chánach</w:t>
      </w:r>
      <w:proofErr w:type="spellEnd"/>
    </w:p>
    <w:p w14:paraId="054AD3AD" w14:textId="77777777" w:rsidR="006C148C" w:rsidRDefault="006C148C">
      <w:pPr>
        <w:pStyle w:val="Heading2"/>
        <w:suppressAutoHyphens w:val="0"/>
      </w:pPr>
      <w:bookmarkStart w:id="545" w:name="_Toc335836585"/>
      <w:r>
        <w:t>Rehabilitation International/RI Europe</w:t>
      </w:r>
      <w:bookmarkEnd w:id="545"/>
    </w:p>
    <w:p w14:paraId="22A7477A" w14:textId="77777777" w:rsidR="006C148C" w:rsidRDefault="006C148C">
      <w:pPr>
        <w:pStyle w:val="Heading1"/>
        <w:pageBreakBefore/>
      </w:pPr>
      <w:bookmarkStart w:id="546" w:name="_Toc335829674"/>
      <w:bookmarkStart w:id="547" w:name="_Toc335836586"/>
      <w:bookmarkStart w:id="548" w:name="_Toc335983463"/>
      <w:bookmarkStart w:id="549" w:name="_Toc335986637"/>
      <w:proofErr w:type="spellStart"/>
      <w:r>
        <w:lastRenderedPageBreak/>
        <w:t>Foscríbhinn</w:t>
      </w:r>
      <w:proofErr w:type="spellEnd"/>
      <w:r>
        <w:t xml:space="preserve"> 3: Foilseacháin i 2011</w:t>
      </w:r>
      <w:bookmarkEnd w:id="546"/>
      <w:bookmarkEnd w:id="547"/>
      <w:bookmarkEnd w:id="548"/>
      <w:bookmarkEnd w:id="549"/>
    </w:p>
    <w:p w14:paraId="066DCC92" w14:textId="77777777" w:rsidR="006C148C" w:rsidRDefault="006C148C">
      <w:pPr>
        <w:rPr>
          <w:lang w:val="en-GB"/>
        </w:rPr>
      </w:pPr>
      <w:r>
        <w:rPr>
          <w:lang w:val="en-GB"/>
        </w:rPr>
        <w:t xml:space="preserve">Tuarascáil 2009 ar Chomhlíonadh le Cuid 5 den Acht um </w:t>
      </w:r>
      <w:proofErr w:type="spellStart"/>
      <w:r>
        <w:rPr>
          <w:lang w:val="en-GB"/>
        </w:rPr>
        <w:t>Míchumas</w:t>
      </w:r>
      <w:proofErr w:type="spellEnd"/>
      <w:r>
        <w:rPr>
          <w:lang w:val="en-GB"/>
        </w:rPr>
        <w:t xml:space="preserve"> 2005 ar </w:t>
      </w:r>
      <w:proofErr w:type="spellStart"/>
      <w:r>
        <w:rPr>
          <w:lang w:val="en-GB"/>
        </w:rPr>
        <w:t>Fhostaíocht</w:t>
      </w:r>
      <w:proofErr w:type="spellEnd"/>
      <w:r>
        <w:rPr>
          <w:lang w:val="en-GB"/>
        </w:rPr>
        <w:t xml:space="preserve"> Dhaoine faoi </w:t>
      </w:r>
      <w:proofErr w:type="spellStart"/>
      <w:r>
        <w:rPr>
          <w:lang w:val="en-GB"/>
        </w:rPr>
        <w:t>Mhíchumas</w:t>
      </w:r>
      <w:proofErr w:type="spellEnd"/>
      <w:r>
        <w:rPr>
          <w:lang w:val="en-GB"/>
        </w:rPr>
        <w:t xml:space="preserve"> sa </w:t>
      </w:r>
      <w:proofErr w:type="spellStart"/>
      <w:r>
        <w:rPr>
          <w:lang w:val="en-GB"/>
        </w:rPr>
        <w:t>tSeirbhís</w:t>
      </w:r>
      <w:proofErr w:type="spellEnd"/>
      <w:r>
        <w:rPr>
          <w:lang w:val="en-GB"/>
        </w:rPr>
        <w:t xml:space="preserve"> Phoiblí</w:t>
      </w:r>
    </w:p>
    <w:p w14:paraId="3D4DA7D3" w14:textId="77777777" w:rsidR="006C148C" w:rsidRDefault="006C148C">
      <w:pPr>
        <w:rPr>
          <w:lang w:val="en-GB"/>
        </w:rPr>
      </w:pPr>
      <w:r>
        <w:rPr>
          <w:lang w:val="en-GB"/>
        </w:rPr>
        <w:t xml:space="preserve">Tuarascáil 2010 ar Chomhlíonadh le Cuid 5 den Acht um </w:t>
      </w:r>
      <w:proofErr w:type="spellStart"/>
      <w:r>
        <w:rPr>
          <w:lang w:val="en-GB"/>
        </w:rPr>
        <w:t>Míchumas</w:t>
      </w:r>
      <w:proofErr w:type="spellEnd"/>
      <w:r>
        <w:rPr>
          <w:lang w:val="en-GB"/>
        </w:rPr>
        <w:t xml:space="preserve"> 2005 ar </w:t>
      </w:r>
      <w:proofErr w:type="spellStart"/>
      <w:r>
        <w:rPr>
          <w:lang w:val="en-GB"/>
        </w:rPr>
        <w:t>Fhostaíocht</w:t>
      </w:r>
      <w:proofErr w:type="spellEnd"/>
      <w:r>
        <w:rPr>
          <w:lang w:val="en-GB"/>
        </w:rPr>
        <w:t xml:space="preserve"> Dhaoine faoi </w:t>
      </w:r>
      <w:proofErr w:type="spellStart"/>
      <w:r>
        <w:rPr>
          <w:lang w:val="en-GB"/>
        </w:rPr>
        <w:t>Mhíchumas</w:t>
      </w:r>
      <w:proofErr w:type="spellEnd"/>
      <w:r>
        <w:rPr>
          <w:lang w:val="en-GB"/>
        </w:rPr>
        <w:t xml:space="preserve"> sa </w:t>
      </w:r>
      <w:proofErr w:type="spellStart"/>
      <w:r>
        <w:rPr>
          <w:lang w:val="en-GB"/>
        </w:rPr>
        <w:t>tSeirbhís</w:t>
      </w:r>
      <w:proofErr w:type="spellEnd"/>
      <w:r>
        <w:rPr>
          <w:lang w:val="en-GB"/>
        </w:rPr>
        <w:t xml:space="preserve"> Phoiblí</w:t>
      </w:r>
    </w:p>
    <w:p w14:paraId="672C18A0" w14:textId="77777777" w:rsidR="006C148C" w:rsidRDefault="006C148C">
      <w:pPr>
        <w:rPr>
          <w:lang w:val="en-GB"/>
        </w:rPr>
      </w:pPr>
      <w:r>
        <w:rPr>
          <w:lang w:val="en-GB"/>
        </w:rPr>
        <w:t>Tuarascáil Bhliantúil 2010</w:t>
      </w:r>
    </w:p>
    <w:p w14:paraId="21B99D33" w14:textId="77777777" w:rsidR="006C148C" w:rsidRDefault="006C148C">
      <w:pPr>
        <w:rPr>
          <w:lang w:val="en-GB"/>
        </w:rPr>
      </w:pPr>
      <w:r>
        <w:rPr>
          <w:lang w:val="en-GB"/>
        </w:rPr>
        <w:t xml:space="preserve">Cód Cleachtais ar </w:t>
      </w:r>
      <w:proofErr w:type="spellStart"/>
      <w:r>
        <w:rPr>
          <w:lang w:val="en-GB"/>
        </w:rPr>
        <w:t>Láithreáin</w:t>
      </w:r>
      <w:proofErr w:type="spellEnd"/>
      <w:r>
        <w:rPr>
          <w:lang w:val="en-GB"/>
        </w:rPr>
        <w:t xml:space="preserve"> Oidhreachta </w:t>
      </w:r>
      <w:proofErr w:type="spellStart"/>
      <w:r>
        <w:rPr>
          <w:lang w:val="en-GB"/>
        </w:rPr>
        <w:t>Inrochtana</w:t>
      </w:r>
      <w:proofErr w:type="spellEnd"/>
      <w:r>
        <w:rPr>
          <w:rStyle w:val="FootnoteReference"/>
          <w:lang w:val="en-GB"/>
        </w:rPr>
        <w:footnoteReference w:id="10"/>
      </w:r>
    </w:p>
    <w:p w14:paraId="68D076A8" w14:textId="77777777" w:rsidR="006C148C" w:rsidRDefault="006C148C">
      <w:pPr>
        <w:rPr>
          <w:lang w:val="en-GB"/>
        </w:rPr>
      </w:pPr>
      <w:r>
        <w:rPr>
          <w:lang w:val="en-GB"/>
        </w:rPr>
        <w:t xml:space="preserve">Treoir ar fhostaithe faoi </w:t>
      </w:r>
      <w:proofErr w:type="spellStart"/>
      <w:r>
        <w:rPr>
          <w:lang w:val="en-GB"/>
        </w:rPr>
        <w:t>mhíchumas</w:t>
      </w:r>
      <w:proofErr w:type="spellEnd"/>
      <w:r>
        <w:rPr>
          <w:lang w:val="en-GB"/>
        </w:rPr>
        <w:t xml:space="preserve"> a choinneáil: Athbhreithniú litríochta </w:t>
      </w:r>
    </w:p>
    <w:p w14:paraId="2064EFAA" w14:textId="77777777" w:rsidR="006C148C" w:rsidRDefault="006C148C">
      <w:pPr>
        <w:rPr>
          <w:lang w:val="en-GB"/>
        </w:rPr>
      </w:pPr>
      <w:r>
        <w:rPr>
          <w:lang w:val="en-GB"/>
        </w:rPr>
        <w:t xml:space="preserve">Seirbhísí Sóisialta Sláinte agus Pearsanta do Dhaoine faoi </w:t>
      </w:r>
      <w:proofErr w:type="spellStart"/>
      <w:r>
        <w:rPr>
          <w:lang w:val="en-GB"/>
        </w:rPr>
        <w:t>Mhíchumas</w:t>
      </w:r>
      <w:proofErr w:type="spellEnd"/>
      <w:r>
        <w:rPr>
          <w:lang w:val="en-GB"/>
        </w:rPr>
        <w:t xml:space="preserve"> i Sasana: Páipéar ar Fhorbairtí Comhaimseartha i </w:t>
      </w:r>
      <w:proofErr w:type="spellStart"/>
      <w:r>
        <w:rPr>
          <w:lang w:val="en-GB"/>
        </w:rPr>
        <w:t>Míchumas</w:t>
      </w:r>
      <w:proofErr w:type="spellEnd"/>
    </w:p>
    <w:p w14:paraId="5B4AFE0F" w14:textId="77777777" w:rsidR="006C148C" w:rsidRDefault="006C148C">
      <w:pPr>
        <w:rPr>
          <w:lang w:val="en-GB"/>
        </w:rPr>
      </w:pPr>
      <w:r>
        <w:rPr>
          <w:lang w:val="en-GB"/>
        </w:rPr>
        <w:t xml:space="preserve">Seirbhísí Sóisialta Sláinte agus Pearsanta do Dhaoine faoi </w:t>
      </w:r>
      <w:proofErr w:type="spellStart"/>
      <w:r>
        <w:rPr>
          <w:lang w:val="en-GB"/>
        </w:rPr>
        <w:t>Mhíchumas</w:t>
      </w:r>
      <w:proofErr w:type="spellEnd"/>
      <w:r>
        <w:rPr>
          <w:lang w:val="en-GB"/>
        </w:rPr>
        <w:t xml:space="preserve"> sa Nua-</w:t>
      </w:r>
      <w:proofErr w:type="spellStart"/>
      <w:r>
        <w:rPr>
          <w:lang w:val="en-GB"/>
        </w:rPr>
        <w:t>Shéalainn</w:t>
      </w:r>
      <w:proofErr w:type="spellEnd"/>
      <w:r>
        <w:rPr>
          <w:lang w:val="en-GB"/>
        </w:rPr>
        <w:t xml:space="preserve">: Páipéar ar Fhorbairtí Comhaimseartha i </w:t>
      </w:r>
      <w:proofErr w:type="spellStart"/>
      <w:r>
        <w:rPr>
          <w:lang w:val="en-GB"/>
        </w:rPr>
        <w:t>Míchumas</w:t>
      </w:r>
      <w:proofErr w:type="spellEnd"/>
    </w:p>
    <w:p w14:paraId="67017338" w14:textId="77777777" w:rsidR="006C148C" w:rsidRDefault="006C148C">
      <w:pPr>
        <w:rPr>
          <w:lang w:val="en-GB"/>
        </w:rPr>
      </w:pPr>
      <w:r>
        <w:rPr>
          <w:lang w:val="en-GB"/>
        </w:rPr>
        <w:t xml:space="preserve">Seirbhísí Sóisialta Sláinte agus Pearsanta do Dhaoine faoi </w:t>
      </w:r>
      <w:proofErr w:type="spellStart"/>
      <w:r>
        <w:rPr>
          <w:lang w:val="en-GB"/>
        </w:rPr>
        <w:t>Mhíchumas</w:t>
      </w:r>
      <w:proofErr w:type="spellEnd"/>
      <w:r>
        <w:rPr>
          <w:lang w:val="en-GB"/>
        </w:rPr>
        <w:t xml:space="preserve"> san </w:t>
      </w:r>
      <w:proofErr w:type="spellStart"/>
      <w:r>
        <w:rPr>
          <w:lang w:val="en-GB"/>
        </w:rPr>
        <w:t>Ísiltír</w:t>
      </w:r>
      <w:proofErr w:type="spellEnd"/>
      <w:r>
        <w:rPr>
          <w:lang w:val="en-GB"/>
        </w:rPr>
        <w:t xml:space="preserve">: Páipéar ar Fhorbairtí Comhaimseartha i </w:t>
      </w:r>
      <w:proofErr w:type="spellStart"/>
      <w:r>
        <w:rPr>
          <w:lang w:val="en-GB"/>
        </w:rPr>
        <w:t>Míchumas</w:t>
      </w:r>
      <w:proofErr w:type="spellEnd"/>
    </w:p>
    <w:p w14:paraId="3DAE0928" w14:textId="77777777" w:rsidR="006C148C" w:rsidRDefault="006C148C">
      <w:pPr>
        <w:rPr>
          <w:lang w:val="en-GB"/>
        </w:rPr>
      </w:pPr>
      <w:r>
        <w:rPr>
          <w:lang w:val="en-GB"/>
        </w:rPr>
        <w:t xml:space="preserve">Suirbhé Náisiúnta ar </w:t>
      </w:r>
      <w:proofErr w:type="spellStart"/>
      <w:r>
        <w:rPr>
          <w:lang w:val="en-GB"/>
        </w:rPr>
        <w:t>Thuairimí</w:t>
      </w:r>
      <w:proofErr w:type="spellEnd"/>
      <w:r>
        <w:rPr>
          <w:lang w:val="en-GB"/>
        </w:rPr>
        <w:t xml:space="preserve"> an Phobail ar </w:t>
      </w:r>
      <w:proofErr w:type="spellStart"/>
      <w:r>
        <w:rPr>
          <w:lang w:val="en-GB"/>
        </w:rPr>
        <w:t>Mhíchumas</w:t>
      </w:r>
      <w:proofErr w:type="spellEnd"/>
      <w:r>
        <w:rPr>
          <w:lang w:val="en-GB"/>
        </w:rPr>
        <w:t xml:space="preserve"> in Éirinn</w:t>
      </w:r>
    </w:p>
    <w:p w14:paraId="58A206E4" w14:textId="77777777" w:rsidR="006C148C" w:rsidRDefault="006C148C">
      <w:pPr>
        <w:rPr>
          <w:lang w:val="en-GB"/>
        </w:rPr>
      </w:pPr>
      <w:r>
        <w:rPr>
          <w:lang w:val="en-GB"/>
        </w:rPr>
        <w:t xml:space="preserve">Fostaithe a fhaigheann </w:t>
      </w:r>
      <w:proofErr w:type="spellStart"/>
      <w:r>
        <w:rPr>
          <w:lang w:val="en-GB"/>
        </w:rPr>
        <w:t>míchumas</w:t>
      </w:r>
      <w:proofErr w:type="spellEnd"/>
      <w:r>
        <w:rPr>
          <w:lang w:val="en-GB"/>
        </w:rPr>
        <w:t xml:space="preserve"> a choinneáil: Treoir </w:t>
      </w:r>
      <w:proofErr w:type="spellStart"/>
      <w:r>
        <w:rPr>
          <w:lang w:val="en-GB"/>
        </w:rPr>
        <w:t>d’fhostóirí</w:t>
      </w:r>
      <w:proofErr w:type="spellEnd"/>
    </w:p>
    <w:p w14:paraId="5AEF3DFB" w14:textId="77777777" w:rsidR="006C148C" w:rsidRDefault="006C148C">
      <w:pPr>
        <w:rPr>
          <w:lang w:val="en-GB"/>
        </w:rPr>
      </w:pPr>
      <w:proofErr w:type="spellStart"/>
      <w:r>
        <w:rPr>
          <w:lang w:val="en-GB"/>
        </w:rPr>
        <w:t>Aslonnú</w:t>
      </w:r>
      <w:proofErr w:type="spellEnd"/>
      <w:r>
        <w:rPr>
          <w:lang w:val="en-GB"/>
        </w:rPr>
        <w:t xml:space="preserve"> Slán do </w:t>
      </w:r>
      <w:proofErr w:type="spellStart"/>
      <w:r>
        <w:rPr>
          <w:lang w:val="en-GB"/>
        </w:rPr>
        <w:t>Chách</w:t>
      </w:r>
      <w:proofErr w:type="spellEnd"/>
      <w:r>
        <w:rPr>
          <w:lang w:val="en-GB"/>
        </w:rPr>
        <w:t xml:space="preserve">: Treoir </w:t>
      </w:r>
      <w:proofErr w:type="spellStart"/>
      <w:r>
        <w:rPr>
          <w:lang w:val="en-GB"/>
        </w:rPr>
        <w:t>Phleanála</w:t>
      </w:r>
      <w:proofErr w:type="spellEnd"/>
      <w:r>
        <w:rPr>
          <w:lang w:val="en-GB"/>
        </w:rPr>
        <w:t xml:space="preserve"> agus Bhainistíochta (</w:t>
      </w:r>
      <w:proofErr w:type="spellStart"/>
      <w:r>
        <w:rPr>
          <w:lang w:val="en-GB"/>
        </w:rPr>
        <w:t>athbhreithnithe</w:t>
      </w:r>
      <w:proofErr w:type="spellEnd"/>
      <w:r>
        <w:rPr>
          <w:lang w:val="en-GB"/>
        </w:rPr>
        <w:t>)</w:t>
      </w:r>
    </w:p>
    <w:p w14:paraId="2729A844" w14:textId="77777777" w:rsidR="006C148C" w:rsidRDefault="006C148C">
      <w:r>
        <w:t xml:space="preserve">Cur chuige </w:t>
      </w:r>
      <w:proofErr w:type="spellStart"/>
      <w:r>
        <w:t>straitéiseach</w:t>
      </w:r>
      <w:proofErr w:type="spellEnd"/>
      <w:r>
        <w:t xml:space="preserve"> ar dhaoine faoi </w:t>
      </w:r>
      <w:proofErr w:type="spellStart"/>
      <w:r>
        <w:t>mhíchumas</w:t>
      </w:r>
      <w:proofErr w:type="spellEnd"/>
      <w:r>
        <w:t xml:space="preserve"> intleachtúil a fhostú: </w:t>
      </w:r>
      <w:proofErr w:type="spellStart"/>
      <w:r>
        <w:t>Ceachtanna</w:t>
      </w:r>
      <w:proofErr w:type="spellEnd"/>
      <w:r>
        <w:t xml:space="preserve"> ón RA</w:t>
      </w:r>
    </w:p>
    <w:p w14:paraId="042909A1" w14:textId="77777777" w:rsidR="006C148C" w:rsidRDefault="006C148C">
      <w:r>
        <w:t xml:space="preserve">Cur chuige </w:t>
      </w:r>
      <w:proofErr w:type="spellStart"/>
      <w:r>
        <w:t>straitéiseach</w:t>
      </w:r>
      <w:proofErr w:type="spellEnd"/>
      <w:r>
        <w:t xml:space="preserve"> ar dhaoine a bhfuil fadhbanna </w:t>
      </w:r>
      <w:proofErr w:type="spellStart"/>
      <w:r>
        <w:t>meabhracha</w:t>
      </w:r>
      <w:proofErr w:type="spellEnd"/>
      <w:r>
        <w:t xml:space="preserve"> acu a fhostú</w:t>
      </w:r>
    </w:p>
    <w:p w14:paraId="35631F8F" w14:textId="77777777" w:rsidR="006C148C" w:rsidRDefault="006C148C">
      <w:pPr>
        <w:rPr>
          <w:lang w:val="en-GB"/>
        </w:rPr>
      </w:pPr>
      <w:proofErr w:type="spellStart"/>
      <w:r>
        <w:rPr>
          <w:lang w:val="en-GB"/>
        </w:rPr>
        <w:t>Buiséid</w:t>
      </w:r>
      <w:proofErr w:type="spellEnd"/>
      <w:r>
        <w:rPr>
          <w:lang w:val="en-GB"/>
        </w:rPr>
        <w:t xml:space="preserve"> Aonair a Thabhairt Isteach mar Chóras </w:t>
      </w:r>
      <w:proofErr w:type="spellStart"/>
      <w:r>
        <w:rPr>
          <w:lang w:val="en-GB"/>
        </w:rPr>
        <w:t>Dáilte</w:t>
      </w:r>
      <w:proofErr w:type="spellEnd"/>
      <w:r>
        <w:rPr>
          <w:lang w:val="en-GB"/>
        </w:rPr>
        <w:t xml:space="preserve"> </w:t>
      </w:r>
      <w:proofErr w:type="spellStart"/>
      <w:r>
        <w:rPr>
          <w:lang w:val="en-GB"/>
        </w:rPr>
        <w:t>Acmhainne</w:t>
      </w:r>
      <w:proofErr w:type="spellEnd"/>
      <w:r>
        <w:rPr>
          <w:lang w:val="en-GB"/>
        </w:rPr>
        <w:t xml:space="preserve"> do </w:t>
      </w:r>
      <w:proofErr w:type="spellStart"/>
      <w:r>
        <w:rPr>
          <w:lang w:val="en-GB"/>
        </w:rPr>
        <w:t>Sheirbhísí</w:t>
      </w:r>
      <w:proofErr w:type="spellEnd"/>
      <w:r>
        <w:rPr>
          <w:lang w:val="en-GB"/>
        </w:rPr>
        <w:t xml:space="preserve"> </w:t>
      </w:r>
      <w:proofErr w:type="spellStart"/>
      <w:r>
        <w:rPr>
          <w:lang w:val="en-GB"/>
        </w:rPr>
        <w:t>Míchumais</w:t>
      </w:r>
      <w:proofErr w:type="spellEnd"/>
      <w:r>
        <w:rPr>
          <w:lang w:val="en-GB"/>
        </w:rPr>
        <w:t xml:space="preserve"> in Éirinn: Páipéar ar Fhorbairtí Comhaimseartha i Seirbhísí </w:t>
      </w:r>
      <w:proofErr w:type="spellStart"/>
      <w:r>
        <w:rPr>
          <w:lang w:val="en-GB"/>
        </w:rPr>
        <w:t>Míchumais</w:t>
      </w:r>
      <w:proofErr w:type="spellEnd"/>
    </w:p>
    <w:p w14:paraId="36BE8206" w14:textId="77777777" w:rsidR="006C148C" w:rsidRDefault="006C148C">
      <w:pPr>
        <w:pStyle w:val="Heading1"/>
        <w:pageBreakBefore/>
      </w:pPr>
      <w:bookmarkStart w:id="550" w:name="_Toc335829675"/>
      <w:bookmarkStart w:id="551" w:name="_Toc335836587"/>
      <w:bookmarkStart w:id="552" w:name="_Toc335983464"/>
      <w:bookmarkStart w:id="553" w:name="_Toc335986638"/>
      <w:proofErr w:type="spellStart"/>
      <w:r>
        <w:lastRenderedPageBreak/>
        <w:t>Foscríbhinn</w:t>
      </w:r>
      <w:proofErr w:type="spellEnd"/>
      <w:r>
        <w:t xml:space="preserve"> 4: Páipéir chomhairle bheartais i 2011</w:t>
      </w:r>
      <w:bookmarkEnd w:id="550"/>
      <w:bookmarkEnd w:id="551"/>
      <w:bookmarkEnd w:id="552"/>
      <w:bookmarkEnd w:id="553"/>
    </w:p>
    <w:p w14:paraId="458EE830" w14:textId="77777777" w:rsidR="006C148C" w:rsidRDefault="006C148C">
      <w:pPr>
        <w:pStyle w:val="Heading2"/>
      </w:pPr>
      <w:bookmarkStart w:id="554" w:name="_Toc335836588"/>
      <w:r>
        <w:t>Údarás Craolacháin na hÉireann</w:t>
      </w:r>
      <w:bookmarkEnd w:id="554"/>
    </w:p>
    <w:p w14:paraId="166E4245" w14:textId="77777777" w:rsidR="006C148C" w:rsidRDefault="006C148C">
      <w:pPr>
        <w:rPr>
          <w:lang w:val="en-GB"/>
        </w:rPr>
      </w:pPr>
      <w:proofErr w:type="spellStart"/>
      <w:r>
        <w:rPr>
          <w:lang w:val="en-GB"/>
        </w:rPr>
        <w:t>Dréacht-chód</w:t>
      </w:r>
      <w:proofErr w:type="spellEnd"/>
      <w:r>
        <w:rPr>
          <w:lang w:val="en-GB"/>
        </w:rPr>
        <w:t xml:space="preserve"> Craolacháin ar </w:t>
      </w:r>
      <w:proofErr w:type="spellStart"/>
      <w:r>
        <w:rPr>
          <w:lang w:val="en-GB"/>
        </w:rPr>
        <w:t>Reifrinn</w:t>
      </w:r>
      <w:proofErr w:type="spellEnd"/>
      <w:r>
        <w:rPr>
          <w:lang w:val="en-GB"/>
        </w:rPr>
        <w:t xml:space="preserve"> agus Clúdach Toghcháin</w:t>
      </w:r>
    </w:p>
    <w:p w14:paraId="1EF119D3" w14:textId="77777777" w:rsidR="006C148C" w:rsidRDefault="006C148C">
      <w:r>
        <w:t>Dréacht-straitéis Seirbhísí Craolacháin</w:t>
      </w:r>
    </w:p>
    <w:p w14:paraId="22787571" w14:textId="77777777" w:rsidR="006C148C" w:rsidRDefault="006C148C">
      <w:pPr>
        <w:pStyle w:val="Heading2"/>
      </w:pPr>
      <w:bookmarkStart w:id="555" w:name="_Toc335836589"/>
      <w:r>
        <w:t xml:space="preserve">An Coimisiún um </w:t>
      </w:r>
      <w:proofErr w:type="spellStart"/>
      <w:r>
        <w:t>Rialáil</w:t>
      </w:r>
      <w:proofErr w:type="spellEnd"/>
      <w:r>
        <w:t xml:space="preserve"> Fuinnimh</w:t>
      </w:r>
      <w:bookmarkEnd w:id="555"/>
    </w:p>
    <w:p w14:paraId="023E35F7" w14:textId="77777777" w:rsidR="006C148C" w:rsidRDefault="006C148C">
      <w:pPr>
        <w:rPr>
          <w:lang w:val="en-GB"/>
        </w:rPr>
      </w:pPr>
      <w:r>
        <w:t xml:space="preserve">Páipéar </w:t>
      </w:r>
      <w:proofErr w:type="spellStart"/>
      <w:r>
        <w:t>Comhairliúcháin</w:t>
      </w:r>
      <w:proofErr w:type="spellEnd"/>
      <w:r>
        <w:t xml:space="preserve"> ar Sholáthar </w:t>
      </w:r>
      <w:proofErr w:type="spellStart"/>
      <w:r>
        <w:t>Céimneach</w:t>
      </w:r>
      <w:proofErr w:type="spellEnd"/>
      <w:r>
        <w:t xml:space="preserve"> Náisiúnta de </w:t>
      </w:r>
      <w:proofErr w:type="spellStart"/>
      <w:r>
        <w:t>Mhéadrú</w:t>
      </w:r>
      <w:proofErr w:type="spellEnd"/>
      <w:r>
        <w:t xml:space="preserve"> Cliste Leictreachais agus Gáis</w:t>
      </w:r>
      <w:r>
        <w:rPr>
          <w:lang w:val="en-GB"/>
        </w:rPr>
        <w:t xml:space="preserve"> (CER11191)</w:t>
      </w:r>
    </w:p>
    <w:p w14:paraId="27A8E3E7" w14:textId="77777777" w:rsidR="006C148C" w:rsidRDefault="006C148C">
      <w:pPr>
        <w:pStyle w:val="Heading2"/>
      </w:pPr>
      <w:bookmarkStart w:id="556" w:name="_Toc335836590"/>
      <w:r>
        <w:t xml:space="preserve">An Coimisiún um </w:t>
      </w:r>
      <w:proofErr w:type="spellStart"/>
      <w:r>
        <w:t>Rialáil</w:t>
      </w:r>
      <w:proofErr w:type="spellEnd"/>
      <w:r>
        <w:t xml:space="preserve"> Cumarsáide</w:t>
      </w:r>
      <w:bookmarkEnd w:id="556"/>
    </w:p>
    <w:p w14:paraId="153BDDFA" w14:textId="77777777" w:rsidR="006C148C" w:rsidRDefault="006C148C">
      <w:pPr>
        <w:rPr>
          <w:bCs/>
          <w:iCs/>
        </w:rPr>
      </w:pPr>
      <w:r>
        <w:rPr>
          <w:bCs/>
          <w:iCs/>
        </w:rPr>
        <w:t xml:space="preserve">Bearta beartaithe </w:t>
      </w:r>
      <w:proofErr w:type="spellStart"/>
      <w:r>
        <w:rPr>
          <w:bCs/>
          <w:iCs/>
        </w:rPr>
        <w:t>tomhaltóra</w:t>
      </w:r>
      <w:proofErr w:type="spellEnd"/>
      <w:r>
        <w:rPr>
          <w:bCs/>
          <w:iCs/>
        </w:rPr>
        <w:t xml:space="preserve"> maidir le billí tomhaltóirí agus meáin </w:t>
      </w:r>
      <w:proofErr w:type="spellStart"/>
      <w:r>
        <w:rPr>
          <w:bCs/>
          <w:iCs/>
        </w:rPr>
        <w:t>bhilleála</w:t>
      </w:r>
      <w:proofErr w:type="spellEnd"/>
      <w:r>
        <w:rPr>
          <w:bCs/>
          <w:iCs/>
        </w:rPr>
        <w:t xml:space="preserve"> agus leasuithe beartaithe ar </w:t>
      </w:r>
      <w:proofErr w:type="spellStart"/>
      <w:r>
        <w:rPr>
          <w:bCs/>
          <w:iCs/>
        </w:rPr>
        <w:t>Údarú</w:t>
      </w:r>
      <w:proofErr w:type="spellEnd"/>
      <w:r>
        <w:rPr>
          <w:bCs/>
          <w:iCs/>
        </w:rPr>
        <w:t xml:space="preserve"> Ginearálta. </w:t>
      </w:r>
      <w:proofErr w:type="spellStart"/>
      <w:r>
        <w:rPr>
          <w:bCs/>
          <w:iCs/>
        </w:rPr>
        <w:t>ComReg</w:t>
      </w:r>
      <w:proofErr w:type="spellEnd"/>
      <w:r>
        <w:rPr>
          <w:bCs/>
          <w:iCs/>
        </w:rPr>
        <w:t xml:space="preserve"> 11/78</w:t>
      </w:r>
    </w:p>
    <w:p w14:paraId="34BF8E1F" w14:textId="77777777" w:rsidR="006C148C" w:rsidRDefault="006C148C">
      <w:pPr>
        <w:pStyle w:val="Heading2"/>
        <w:rPr>
          <w:lang w:val="es-ES"/>
        </w:rPr>
      </w:pPr>
      <w:bookmarkStart w:id="557" w:name="_Toc335836591"/>
      <w:r>
        <w:rPr>
          <w:lang w:val="es-ES"/>
        </w:rPr>
        <w:t>An Roinn Talmhaíochta, Bia agus Mara</w:t>
      </w:r>
      <w:bookmarkEnd w:id="557"/>
    </w:p>
    <w:p w14:paraId="33BC0DFC" w14:textId="77777777" w:rsidR="006C148C" w:rsidRDefault="006C148C">
      <w:r>
        <w:t xml:space="preserve">Ráiteas </w:t>
      </w:r>
      <w:proofErr w:type="spellStart"/>
      <w:r>
        <w:t>Straitéise</w:t>
      </w:r>
      <w:proofErr w:type="spellEnd"/>
      <w:r>
        <w:t xml:space="preserve"> 2012-2014</w:t>
      </w:r>
    </w:p>
    <w:p w14:paraId="50714467" w14:textId="77777777" w:rsidR="006C148C" w:rsidRDefault="006C148C">
      <w:pPr>
        <w:pStyle w:val="Heading2"/>
      </w:pPr>
      <w:bookmarkStart w:id="558" w:name="_Toc335836592"/>
      <w:r>
        <w:t>An Roinn Leanaí agus Gnóthaí Óige</w:t>
      </w:r>
      <w:bookmarkEnd w:id="558"/>
    </w:p>
    <w:p w14:paraId="245A04AD" w14:textId="77777777" w:rsidR="006C148C" w:rsidRDefault="006C148C">
      <w:r>
        <w:t xml:space="preserve">Tuarascáil ar an </w:t>
      </w:r>
      <w:proofErr w:type="spellStart"/>
      <w:r>
        <w:t>gCleachtas</w:t>
      </w:r>
      <w:proofErr w:type="spellEnd"/>
      <w:r>
        <w:t xml:space="preserve"> de </w:t>
      </w:r>
      <w:proofErr w:type="spellStart"/>
      <w:r>
        <w:t>Mheasúnú</w:t>
      </w:r>
      <w:proofErr w:type="spellEnd"/>
      <w:r>
        <w:t xml:space="preserve"> Riachtanas faoin Acht um </w:t>
      </w:r>
      <w:proofErr w:type="spellStart"/>
      <w:r>
        <w:t>Míchumas</w:t>
      </w:r>
      <w:proofErr w:type="spellEnd"/>
      <w:r>
        <w:t xml:space="preserve"> 2005</w:t>
      </w:r>
    </w:p>
    <w:p w14:paraId="2C7231D9" w14:textId="77777777" w:rsidR="006C148C" w:rsidRDefault="006C148C">
      <w:r>
        <w:t xml:space="preserve">Ráiteas </w:t>
      </w:r>
      <w:proofErr w:type="spellStart"/>
      <w:r>
        <w:t>Straitéise</w:t>
      </w:r>
      <w:proofErr w:type="spellEnd"/>
      <w:r>
        <w:t xml:space="preserve"> 2012-2014</w:t>
      </w:r>
    </w:p>
    <w:p w14:paraId="33EF12DF" w14:textId="77777777" w:rsidR="006C148C" w:rsidRDefault="006C148C">
      <w:pPr>
        <w:pStyle w:val="Heading2"/>
      </w:pPr>
      <w:bookmarkStart w:id="559" w:name="_Toc335836593"/>
      <w:r>
        <w:t>An Roinn Cumarsáide, Fuinnimh agus Acmhainní Nádúrtha</w:t>
      </w:r>
      <w:bookmarkEnd w:id="559"/>
    </w:p>
    <w:p w14:paraId="75B3C1F6" w14:textId="77777777" w:rsidR="006C148C" w:rsidRDefault="006C148C">
      <w:r>
        <w:t xml:space="preserve">Ráiteas </w:t>
      </w:r>
      <w:proofErr w:type="spellStart"/>
      <w:r>
        <w:t>Straitéise</w:t>
      </w:r>
      <w:proofErr w:type="spellEnd"/>
      <w:r>
        <w:t xml:space="preserve"> 2012-2014</w:t>
      </w:r>
    </w:p>
    <w:p w14:paraId="0C24E91D" w14:textId="77777777" w:rsidR="006C148C" w:rsidRDefault="006C148C">
      <w:pPr>
        <w:pStyle w:val="Heading2"/>
      </w:pPr>
      <w:bookmarkStart w:id="560" w:name="_Toc335836594"/>
      <w:r>
        <w:t>An Roinn Cosanta</w:t>
      </w:r>
      <w:bookmarkEnd w:id="560"/>
    </w:p>
    <w:p w14:paraId="7F0FC2FD" w14:textId="77777777" w:rsidR="006C148C" w:rsidRDefault="006C148C">
      <w:r>
        <w:t xml:space="preserve">Ráiteas </w:t>
      </w:r>
      <w:proofErr w:type="spellStart"/>
      <w:r>
        <w:t>Straitéise</w:t>
      </w:r>
      <w:proofErr w:type="spellEnd"/>
      <w:r>
        <w:t xml:space="preserve"> 2012-2014</w:t>
      </w:r>
    </w:p>
    <w:p w14:paraId="1AB872BA" w14:textId="77777777" w:rsidR="006C148C" w:rsidRDefault="006C148C">
      <w:pPr>
        <w:pStyle w:val="Heading2"/>
      </w:pPr>
      <w:bookmarkStart w:id="561" w:name="_Toc335836595"/>
      <w:r>
        <w:t>An Roinn Oideachais agus Scileanna</w:t>
      </w:r>
      <w:bookmarkEnd w:id="561"/>
    </w:p>
    <w:p w14:paraId="31160524" w14:textId="77777777" w:rsidR="006C148C" w:rsidRDefault="006C148C">
      <w:proofErr w:type="spellStart"/>
      <w:r>
        <w:t>Leanúntas</w:t>
      </w:r>
      <w:proofErr w:type="spellEnd"/>
      <w:r>
        <w:t xml:space="preserve"> </w:t>
      </w:r>
      <w:proofErr w:type="spellStart"/>
      <w:r>
        <w:t>d’oideachas</w:t>
      </w:r>
      <w:proofErr w:type="spellEnd"/>
      <w:r>
        <w:t xml:space="preserve"> do mhúinteoirí</w:t>
      </w:r>
    </w:p>
    <w:p w14:paraId="34CFF911" w14:textId="77777777" w:rsidR="006C148C" w:rsidRDefault="006C148C">
      <w:proofErr w:type="spellStart"/>
      <w:r>
        <w:t>Cuimsiú</w:t>
      </w:r>
      <w:proofErr w:type="spellEnd"/>
      <w:r>
        <w:t xml:space="preserve"> de leanaí faoi </w:t>
      </w:r>
      <w:proofErr w:type="spellStart"/>
      <w:r>
        <w:t>mhíchumas</w:t>
      </w:r>
      <w:proofErr w:type="spellEnd"/>
      <w:r>
        <w:t xml:space="preserve"> i naíonraí/cúram luath leanaí agus oideachas luath</w:t>
      </w:r>
    </w:p>
    <w:p w14:paraId="2992C37D" w14:textId="77777777" w:rsidR="006C148C" w:rsidRDefault="006C148C">
      <w:r>
        <w:t xml:space="preserve">Tuarascáil ar an </w:t>
      </w:r>
      <w:proofErr w:type="spellStart"/>
      <w:r>
        <w:t>gCleachtas</w:t>
      </w:r>
      <w:proofErr w:type="spellEnd"/>
      <w:r>
        <w:t xml:space="preserve"> de </w:t>
      </w:r>
      <w:proofErr w:type="spellStart"/>
      <w:r>
        <w:t>Mheasúnú</w:t>
      </w:r>
      <w:proofErr w:type="spellEnd"/>
      <w:r>
        <w:t xml:space="preserve"> Riachtanas faoin Acht um </w:t>
      </w:r>
      <w:proofErr w:type="spellStart"/>
      <w:r>
        <w:t>Míchumas</w:t>
      </w:r>
      <w:proofErr w:type="spellEnd"/>
      <w:r>
        <w:t xml:space="preserve"> 2005</w:t>
      </w:r>
    </w:p>
    <w:p w14:paraId="7E6262BB" w14:textId="77777777" w:rsidR="006C148C" w:rsidRDefault="006C148C">
      <w:r>
        <w:t xml:space="preserve">Ráiteas </w:t>
      </w:r>
      <w:proofErr w:type="spellStart"/>
      <w:r>
        <w:t>Straitéise</w:t>
      </w:r>
      <w:proofErr w:type="spellEnd"/>
      <w:r>
        <w:t xml:space="preserve"> 2012-2014</w:t>
      </w:r>
    </w:p>
    <w:p w14:paraId="1F729559" w14:textId="77777777" w:rsidR="006C148C" w:rsidRDefault="006C148C">
      <w:pPr>
        <w:pStyle w:val="Heading2"/>
      </w:pPr>
      <w:bookmarkStart w:id="562" w:name="_Toc335836596"/>
      <w:r>
        <w:lastRenderedPageBreak/>
        <w:t>An Roinn Comhshaoil, Pobail agus Rialtas Áitiúil</w:t>
      </w:r>
      <w:bookmarkEnd w:id="562"/>
    </w:p>
    <w:p w14:paraId="09D84317" w14:textId="77777777" w:rsidR="006C148C" w:rsidRDefault="006C148C">
      <w:r>
        <w:t xml:space="preserve">Comhairle ar dhréacht-Phlean </w:t>
      </w:r>
      <w:proofErr w:type="spellStart"/>
      <w:r>
        <w:t>Earnála</w:t>
      </w:r>
      <w:proofErr w:type="spellEnd"/>
    </w:p>
    <w:p w14:paraId="48926EF8" w14:textId="77777777" w:rsidR="006C148C" w:rsidRDefault="006C148C">
      <w:r>
        <w:t xml:space="preserve">Athbhreithniú ar lámhleabhar Oifigeach ceannais i dtaca le toghchán </w:t>
      </w:r>
      <w:proofErr w:type="spellStart"/>
      <w:r>
        <w:t>Uachtaránachta</w:t>
      </w:r>
      <w:proofErr w:type="spellEnd"/>
    </w:p>
    <w:p w14:paraId="34B800FA" w14:textId="77777777" w:rsidR="006C148C" w:rsidRDefault="006C148C">
      <w:r>
        <w:t xml:space="preserve">Ráiteas </w:t>
      </w:r>
      <w:proofErr w:type="spellStart"/>
      <w:r>
        <w:t>Straitéise</w:t>
      </w:r>
      <w:proofErr w:type="spellEnd"/>
      <w:r>
        <w:t xml:space="preserve"> 2012-2014</w:t>
      </w:r>
    </w:p>
    <w:p w14:paraId="120A4B58" w14:textId="77777777" w:rsidR="006C148C" w:rsidRDefault="006C148C">
      <w:pPr>
        <w:pStyle w:val="Heading2"/>
      </w:pPr>
      <w:bookmarkStart w:id="563" w:name="_Toc335836597"/>
      <w:r>
        <w:t xml:space="preserve">An Roinn Gnóthaí </w:t>
      </w:r>
      <w:proofErr w:type="spellStart"/>
      <w:r>
        <w:t>Eachtracha</w:t>
      </w:r>
      <w:bookmarkEnd w:id="563"/>
      <w:proofErr w:type="spellEnd"/>
    </w:p>
    <w:p w14:paraId="2FF91E40" w14:textId="77777777" w:rsidR="006C148C" w:rsidRDefault="006C148C">
      <w:r>
        <w:t xml:space="preserve">Ráiteas </w:t>
      </w:r>
      <w:proofErr w:type="spellStart"/>
      <w:r>
        <w:t>Straitéise</w:t>
      </w:r>
      <w:proofErr w:type="spellEnd"/>
      <w:r>
        <w:t xml:space="preserve"> 2012-2014</w:t>
      </w:r>
    </w:p>
    <w:p w14:paraId="030A4855" w14:textId="77777777" w:rsidR="006C148C" w:rsidRDefault="006C148C">
      <w:pPr>
        <w:pStyle w:val="Heading2"/>
      </w:pPr>
      <w:bookmarkStart w:id="564" w:name="_Toc335836598"/>
      <w:r>
        <w:t>An Roinn Sláinte</w:t>
      </w:r>
      <w:bookmarkEnd w:id="564"/>
    </w:p>
    <w:p w14:paraId="3C859881" w14:textId="77777777" w:rsidR="006C148C" w:rsidRDefault="006C148C">
      <w:r>
        <w:t xml:space="preserve">Tuarascáil ar an </w:t>
      </w:r>
      <w:proofErr w:type="spellStart"/>
      <w:r>
        <w:t>gCleachtas</w:t>
      </w:r>
      <w:proofErr w:type="spellEnd"/>
      <w:r>
        <w:t xml:space="preserve"> de </w:t>
      </w:r>
      <w:proofErr w:type="spellStart"/>
      <w:r>
        <w:t>Mheasúnú</w:t>
      </w:r>
      <w:proofErr w:type="spellEnd"/>
      <w:r>
        <w:t xml:space="preserve"> Riachtanas faoin Acht um </w:t>
      </w:r>
      <w:proofErr w:type="spellStart"/>
      <w:r>
        <w:t>Míchumas</w:t>
      </w:r>
      <w:proofErr w:type="spellEnd"/>
      <w:r>
        <w:t xml:space="preserve"> 2005</w:t>
      </w:r>
    </w:p>
    <w:p w14:paraId="6C386C79" w14:textId="77777777" w:rsidR="006C148C" w:rsidRDefault="006C148C">
      <w:r>
        <w:t xml:space="preserve">Freagra ar Thuarascáil an </w:t>
      </w:r>
      <w:proofErr w:type="spellStart"/>
      <w:r>
        <w:t>Athbhreithnithe</w:t>
      </w:r>
      <w:proofErr w:type="spellEnd"/>
      <w:r>
        <w:t xml:space="preserve"> Beartais </w:t>
      </w:r>
      <w:proofErr w:type="spellStart"/>
      <w:r>
        <w:t>Míchumais</w:t>
      </w:r>
      <w:proofErr w:type="spellEnd"/>
    </w:p>
    <w:p w14:paraId="4BA6461B" w14:textId="77777777" w:rsidR="006C148C" w:rsidRPr="000230E8" w:rsidRDefault="006C148C">
      <w:pPr>
        <w:rPr>
          <w:lang w:val="de-DE"/>
        </w:rPr>
      </w:pPr>
      <w:r w:rsidRPr="000230E8">
        <w:rPr>
          <w:lang w:val="de-DE"/>
        </w:rPr>
        <w:t>Athbhreithniú ar an Acht Meabhair-Shláinte 2001</w:t>
      </w:r>
    </w:p>
    <w:p w14:paraId="44DC663B" w14:textId="77777777" w:rsidR="006C148C" w:rsidRPr="000230E8" w:rsidRDefault="006C148C">
      <w:pPr>
        <w:rPr>
          <w:lang w:val="de-DE"/>
        </w:rPr>
      </w:pPr>
      <w:r w:rsidRPr="000230E8">
        <w:rPr>
          <w:lang w:val="de-DE"/>
        </w:rPr>
        <w:t>Ráiteas Straitéise 2012-2014</w:t>
      </w:r>
    </w:p>
    <w:p w14:paraId="564AB8E7" w14:textId="77777777" w:rsidR="006C148C" w:rsidRPr="000230E8" w:rsidRDefault="006C148C">
      <w:pPr>
        <w:rPr>
          <w:lang w:val="de-DE"/>
        </w:rPr>
      </w:pPr>
      <w:r w:rsidRPr="000230E8">
        <w:rPr>
          <w:lang w:val="de-DE"/>
        </w:rPr>
        <w:t>Is í do Shláinte do Shaibhreas: creat beartais sláinte poiblí d’Éirinn níos sláintiúla 2012-2020</w:t>
      </w:r>
    </w:p>
    <w:p w14:paraId="0BA45D19" w14:textId="77777777" w:rsidR="006C148C" w:rsidRDefault="006C148C">
      <w:pPr>
        <w:pStyle w:val="Heading2"/>
      </w:pPr>
      <w:bookmarkStart w:id="565" w:name="_Toc335836599"/>
      <w:r>
        <w:t xml:space="preserve">An Roinn Dlí agus Cirt agus </w:t>
      </w:r>
      <w:proofErr w:type="spellStart"/>
      <w:r>
        <w:t>Comhionannais</w:t>
      </w:r>
      <w:bookmarkEnd w:id="565"/>
      <w:proofErr w:type="spellEnd"/>
    </w:p>
    <w:p w14:paraId="3B944021" w14:textId="77777777" w:rsidR="006C148C" w:rsidRDefault="006C148C">
      <w:r>
        <w:t xml:space="preserve">Na chéad </w:t>
      </w:r>
      <w:proofErr w:type="spellStart"/>
      <w:r>
        <w:t>chéimeanna</w:t>
      </w:r>
      <w:proofErr w:type="spellEnd"/>
      <w:r>
        <w:t xml:space="preserve"> eile i </w:t>
      </w:r>
      <w:proofErr w:type="spellStart"/>
      <w:r>
        <w:t>gCoinbhinsiún</w:t>
      </w:r>
      <w:proofErr w:type="spellEnd"/>
      <w:r>
        <w:t xml:space="preserve"> an NA a chur i bhfeidhm</w:t>
      </w:r>
    </w:p>
    <w:p w14:paraId="416D06BB" w14:textId="77777777" w:rsidR="006C148C" w:rsidRDefault="006C148C">
      <w:r>
        <w:t xml:space="preserve">Ráiteas </w:t>
      </w:r>
      <w:proofErr w:type="spellStart"/>
      <w:r>
        <w:t>Straitéise</w:t>
      </w:r>
      <w:proofErr w:type="spellEnd"/>
      <w:r>
        <w:t xml:space="preserve"> 2012-2014</w:t>
      </w:r>
    </w:p>
    <w:p w14:paraId="0EA81E7C" w14:textId="77777777" w:rsidR="006C148C" w:rsidRDefault="006C148C">
      <w:pPr>
        <w:pStyle w:val="Heading2"/>
      </w:pPr>
      <w:bookmarkStart w:id="566" w:name="_Toc335836600"/>
      <w:r>
        <w:t xml:space="preserve">An Roinn </w:t>
      </w:r>
      <w:proofErr w:type="spellStart"/>
      <w:r>
        <w:t>Coimirce</w:t>
      </w:r>
      <w:proofErr w:type="spellEnd"/>
      <w:r>
        <w:t xml:space="preserve"> </w:t>
      </w:r>
      <w:proofErr w:type="spellStart"/>
      <w:r>
        <w:t>Sóisialaí</w:t>
      </w:r>
      <w:bookmarkEnd w:id="566"/>
      <w:proofErr w:type="spellEnd"/>
      <w:r>
        <w:t xml:space="preserve"> </w:t>
      </w:r>
    </w:p>
    <w:p w14:paraId="62A639C3" w14:textId="77777777" w:rsidR="006C148C" w:rsidRDefault="006C148C">
      <w:pPr>
        <w:rPr>
          <w:lang w:val="es-ES"/>
        </w:rPr>
      </w:pPr>
      <w:r>
        <w:rPr>
          <w:lang w:val="es-ES"/>
        </w:rPr>
        <w:t>Freagra ar Athbhreithniú de Liúntas Míchumais</w:t>
      </w:r>
    </w:p>
    <w:p w14:paraId="1E02C8F4" w14:textId="77777777" w:rsidR="006C148C" w:rsidRDefault="006C148C">
      <w:r>
        <w:t xml:space="preserve">Ráiteas </w:t>
      </w:r>
      <w:proofErr w:type="spellStart"/>
      <w:r>
        <w:t>Straitéise</w:t>
      </w:r>
      <w:proofErr w:type="spellEnd"/>
      <w:r>
        <w:t xml:space="preserve"> 2012-2014</w:t>
      </w:r>
    </w:p>
    <w:p w14:paraId="6BE40DAF" w14:textId="77777777" w:rsidR="006C148C" w:rsidRDefault="006C148C">
      <w:pPr>
        <w:pStyle w:val="Heading2"/>
      </w:pPr>
      <w:bookmarkStart w:id="567" w:name="_Toc335836601"/>
      <w:r>
        <w:t xml:space="preserve">Roinn </w:t>
      </w:r>
      <w:proofErr w:type="gramStart"/>
      <w:r>
        <w:t>an</w:t>
      </w:r>
      <w:proofErr w:type="gramEnd"/>
      <w:r>
        <w:t xml:space="preserve"> Taoisigh</w:t>
      </w:r>
      <w:bookmarkEnd w:id="567"/>
    </w:p>
    <w:p w14:paraId="26EDD2A2" w14:textId="77777777" w:rsidR="006C148C" w:rsidRDefault="006C148C">
      <w:r>
        <w:t xml:space="preserve">Ráiteas </w:t>
      </w:r>
      <w:proofErr w:type="spellStart"/>
      <w:r>
        <w:t>Straitéise</w:t>
      </w:r>
      <w:proofErr w:type="spellEnd"/>
      <w:r>
        <w:t xml:space="preserve"> 2012-2014</w:t>
      </w:r>
    </w:p>
    <w:p w14:paraId="0CB66599" w14:textId="77777777" w:rsidR="006C148C" w:rsidRDefault="006C148C">
      <w:pPr>
        <w:pStyle w:val="Heading2"/>
      </w:pPr>
      <w:bookmarkStart w:id="568" w:name="_Toc335836602"/>
      <w:r>
        <w:t>An Roinn Iompair, Turasóireachta agus Spóirt</w:t>
      </w:r>
      <w:bookmarkEnd w:id="568"/>
    </w:p>
    <w:p w14:paraId="4C6462C4" w14:textId="77777777" w:rsidR="006C148C" w:rsidRDefault="006C148C">
      <w:pPr>
        <w:rPr>
          <w:bCs/>
        </w:rPr>
      </w:pPr>
      <w:r>
        <w:rPr>
          <w:bCs/>
        </w:rPr>
        <w:t xml:space="preserve">Athbhreithniú ar an </w:t>
      </w:r>
      <w:proofErr w:type="spellStart"/>
      <w:r>
        <w:rPr>
          <w:bCs/>
        </w:rPr>
        <w:t>bPlean</w:t>
      </w:r>
      <w:proofErr w:type="spellEnd"/>
      <w:r>
        <w:rPr>
          <w:bCs/>
        </w:rPr>
        <w:t xml:space="preserve"> </w:t>
      </w:r>
      <w:proofErr w:type="spellStart"/>
      <w:r>
        <w:rPr>
          <w:bCs/>
        </w:rPr>
        <w:t>Earnála</w:t>
      </w:r>
      <w:proofErr w:type="spellEnd"/>
      <w:r>
        <w:rPr>
          <w:bCs/>
        </w:rPr>
        <w:t xml:space="preserve"> i dtaca le </w:t>
      </w:r>
      <w:proofErr w:type="spellStart"/>
      <w:r>
        <w:rPr>
          <w:bCs/>
        </w:rPr>
        <w:t>hIompar</w:t>
      </w:r>
      <w:proofErr w:type="spellEnd"/>
      <w:r>
        <w:rPr>
          <w:bCs/>
        </w:rPr>
        <w:t xml:space="preserve"> </w:t>
      </w:r>
      <w:proofErr w:type="spellStart"/>
      <w:r>
        <w:rPr>
          <w:bCs/>
        </w:rPr>
        <w:t>Inrochtana</w:t>
      </w:r>
      <w:proofErr w:type="spellEnd"/>
      <w:r>
        <w:rPr>
          <w:bCs/>
        </w:rPr>
        <w:t xml:space="preserve"> faoin Acht um </w:t>
      </w:r>
      <w:proofErr w:type="spellStart"/>
      <w:r>
        <w:rPr>
          <w:bCs/>
        </w:rPr>
        <w:t>Míchumas</w:t>
      </w:r>
      <w:proofErr w:type="spellEnd"/>
      <w:r>
        <w:rPr>
          <w:bCs/>
        </w:rPr>
        <w:t xml:space="preserve"> 2005: </w:t>
      </w:r>
      <w:proofErr w:type="spellStart"/>
      <w:r>
        <w:rPr>
          <w:bCs/>
        </w:rPr>
        <w:t>Rochtain</w:t>
      </w:r>
      <w:proofErr w:type="spellEnd"/>
      <w:r>
        <w:rPr>
          <w:bCs/>
        </w:rPr>
        <w:t xml:space="preserve"> Iompair do </w:t>
      </w:r>
      <w:proofErr w:type="spellStart"/>
      <w:r>
        <w:rPr>
          <w:bCs/>
        </w:rPr>
        <w:t>Chách</w:t>
      </w:r>
      <w:proofErr w:type="spellEnd"/>
    </w:p>
    <w:p w14:paraId="422DDE48" w14:textId="77777777" w:rsidR="006C148C" w:rsidRDefault="006C148C">
      <w:r>
        <w:t xml:space="preserve">Ráiteas </w:t>
      </w:r>
      <w:proofErr w:type="spellStart"/>
      <w:r>
        <w:t>Straitéise</w:t>
      </w:r>
      <w:proofErr w:type="spellEnd"/>
      <w:r>
        <w:t xml:space="preserve"> 2012-2014</w:t>
      </w:r>
    </w:p>
    <w:p w14:paraId="74B54B44" w14:textId="77777777" w:rsidR="006C148C" w:rsidRDefault="006C148C">
      <w:r>
        <w:t xml:space="preserve">Athbhreithniú </w:t>
      </w:r>
      <w:proofErr w:type="spellStart"/>
      <w:r>
        <w:t>Rialaithe</w:t>
      </w:r>
      <w:proofErr w:type="spellEnd"/>
      <w:r>
        <w:t xml:space="preserve"> Tacsaithe</w:t>
      </w:r>
    </w:p>
    <w:p w14:paraId="6A156B1C" w14:textId="77777777" w:rsidR="006C148C" w:rsidRDefault="006C148C">
      <w:pPr>
        <w:pStyle w:val="Heading2"/>
      </w:pPr>
      <w:bookmarkStart w:id="569" w:name="_Toc335836603"/>
      <w:r>
        <w:lastRenderedPageBreak/>
        <w:t>Bord Seirbhísí Bainistíochta Rialtas Áitiúil</w:t>
      </w:r>
      <w:bookmarkEnd w:id="569"/>
    </w:p>
    <w:p w14:paraId="52BAF14E" w14:textId="77777777" w:rsidR="006C148C" w:rsidRDefault="006C148C">
      <w:pPr>
        <w:rPr>
          <w:bCs/>
        </w:rPr>
      </w:pPr>
      <w:r>
        <w:rPr>
          <w:bCs/>
        </w:rPr>
        <w:t xml:space="preserve">Comhairle ar threoir </w:t>
      </w:r>
      <w:proofErr w:type="spellStart"/>
      <w:r>
        <w:rPr>
          <w:bCs/>
        </w:rPr>
        <w:t>Theastais</w:t>
      </w:r>
      <w:proofErr w:type="spellEnd"/>
      <w:r>
        <w:rPr>
          <w:bCs/>
        </w:rPr>
        <w:t xml:space="preserve"> </w:t>
      </w:r>
      <w:proofErr w:type="spellStart"/>
      <w:r>
        <w:rPr>
          <w:bCs/>
        </w:rPr>
        <w:t>Rochtana</w:t>
      </w:r>
      <w:proofErr w:type="spellEnd"/>
      <w:r>
        <w:rPr>
          <w:bCs/>
        </w:rPr>
        <w:t xml:space="preserve"> </w:t>
      </w:r>
      <w:proofErr w:type="spellStart"/>
      <w:r>
        <w:rPr>
          <w:bCs/>
        </w:rPr>
        <w:t>Míchumais</w:t>
      </w:r>
      <w:proofErr w:type="spellEnd"/>
    </w:p>
    <w:p w14:paraId="68C818E5" w14:textId="77777777" w:rsidR="006C148C" w:rsidRDefault="006C148C">
      <w:pPr>
        <w:rPr>
          <w:bCs/>
        </w:rPr>
      </w:pPr>
      <w:r>
        <w:rPr>
          <w:bCs/>
        </w:rPr>
        <w:t xml:space="preserve">Cur chuige bunaithe ar shamplaí i dtaca le hiarratais ar </w:t>
      </w:r>
      <w:proofErr w:type="spellStart"/>
      <w:r>
        <w:rPr>
          <w:bCs/>
        </w:rPr>
        <w:t>Theastas</w:t>
      </w:r>
      <w:proofErr w:type="spellEnd"/>
      <w:r>
        <w:rPr>
          <w:bCs/>
        </w:rPr>
        <w:t xml:space="preserve"> </w:t>
      </w:r>
      <w:proofErr w:type="spellStart"/>
      <w:r>
        <w:rPr>
          <w:bCs/>
        </w:rPr>
        <w:t>Rochtana</w:t>
      </w:r>
      <w:proofErr w:type="spellEnd"/>
      <w:r>
        <w:rPr>
          <w:bCs/>
        </w:rPr>
        <w:t xml:space="preserve"> </w:t>
      </w:r>
      <w:proofErr w:type="spellStart"/>
      <w:r>
        <w:rPr>
          <w:bCs/>
        </w:rPr>
        <w:t>Míchumais</w:t>
      </w:r>
      <w:proofErr w:type="spellEnd"/>
    </w:p>
    <w:p w14:paraId="5F70080B" w14:textId="77777777" w:rsidR="006C148C" w:rsidRDefault="006C148C">
      <w:pPr>
        <w:pStyle w:val="Heading2"/>
      </w:pPr>
      <w:bookmarkStart w:id="570" w:name="_Toc335836604"/>
      <w:r>
        <w:t xml:space="preserve">An </w:t>
      </w:r>
      <w:proofErr w:type="spellStart"/>
      <w:r>
        <w:t>tÚdarás</w:t>
      </w:r>
      <w:proofErr w:type="spellEnd"/>
      <w:r>
        <w:t xml:space="preserve"> um Chaighdeáin Náisiúnta na hÉireann</w:t>
      </w:r>
      <w:bookmarkEnd w:id="570"/>
    </w:p>
    <w:p w14:paraId="67F17BB0" w14:textId="77777777" w:rsidR="006C148C" w:rsidRDefault="006C148C">
      <w:r>
        <w:t xml:space="preserve">ISO/TC 173 - ISO/FDIS 23599: Táirgí cúnaimh do dhaoine </w:t>
      </w:r>
      <w:proofErr w:type="spellStart"/>
      <w:r>
        <w:t>dhalla</w:t>
      </w:r>
      <w:proofErr w:type="spellEnd"/>
      <w:r>
        <w:t xml:space="preserve"> agus </w:t>
      </w:r>
      <w:proofErr w:type="spellStart"/>
      <w:r>
        <w:t>lagamhaircs</w:t>
      </w:r>
      <w:proofErr w:type="spellEnd"/>
      <w:r>
        <w:t xml:space="preserve"> – Treoracha </w:t>
      </w:r>
      <w:proofErr w:type="spellStart"/>
      <w:r>
        <w:t>tadhlacha</w:t>
      </w:r>
      <w:proofErr w:type="spellEnd"/>
      <w:r>
        <w:t xml:space="preserve"> </w:t>
      </w:r>
      <w:proofErr w:type="spellStart"/>
      <w:r>
        <w:t>urláir</w:t>
      </w:r>
      <w:proofErr w:type="spellEnd"/>
    </w:p>
    <w:p w14:paraId="36230C25" w14:textId="77777777" w:rsidR="006C148C" w:rsidRDefault="006C148C">
      <w:pPr>
        <w:pStyle w:val="Heading2"/>
      </w:pPr>
      <w:bookmarkStart w:id="571" w:name="_Toc335836605"/>
      <w:r>
        <w:t xml:space="preserve">An </w:t>
      </w:r>
      <w:proofErr w:type="spellStart"/>
      <w:r>
        <w:t>tÚdarás</w:t>
      </w:r>
      <w:proofErr w:type="spellEnd"/>
      <w:r>
        <w:t xml:space="preserve"> Náisiúnta Iompair</w:t>
      </w:r>
      <w:bookmarkEnd w:id="571"/>
      <w:r>
        <w:t xml:space="preserve"> </w:t>
      </w:r>
    </w:p>
    <w:p w14:paraId="7995AEEB" w14:textId="77777777" w:rsidR="006C148C" w:rsidRDefault="006C148C">
      <w:pPr>
        <w:rPr>
          <w:bCs/>
          <w:lang w:val="en-US"/>
        </w:rPr>
      </w:pPr>
      <w:r>
        <w:rPr>
          <w:bCs/>
        </w:rPr>
        <w:t>Mórcheantar Bhaile Átha Cliath:</w:t>
      </w:r>
      <w:r>
        <w:rPr>
          <w:b/>
          <w:bCs/>
        </w:rPr>
        <w:t xml:space="preserve"> </w:t>
      </w:r>
      <w:r>
        <w:rPr>
          <w:bCs/>
        </w:rPr>
        <w:t>Dréacht-Straitéis Iompair</w:t>
      </w:r>
      <w:r>
        <w:rPr>
          <w:bCs/>
          <w:lang w:val="en-US"/>
        </w:rPr>
        <w:t xml:space="preserve"> 2011-2030</w:t>
      </w:r>
    </w:p>
    <w:p w14:paraId="7E647882" w14:textId="77777777" w:rsidR="006C148C" w:rsidRDefault="006C148C">
      <w:proofErr w:type="spellStart"/>
      <w:r>
        <w:rPr>
          <w:bCs/>
        </w:rPr>
        <w:t>Caighdeáin</w:t>
      </w:r>
      <w:proofErr w:type="spellEnd"/>
      <w:r>
        <w:rPr>
          <w:bCs/>
        </w:rPr>
        <w:t xml:space="preserve"> </w:t>
      </w:r>
      <w:proofErr w:type="spellStart"/>
      <w:r>
        <w:rPr>
          <w:bCs/>
        </w:rPr>
        <w:t>Feithiclí</w:t>
      </w:r>
      <w:proofErr w:type="spellEnd"/>
      <w:r>
        <w:rPr>
          <w:bCs/>
        </w:rPr>
        <w:t>:</w:t>
      </w:r>
      <w:r>
        <w:rPr>
          <w:b/>
          <w:bCs/>
        </w:rPr>
        <w:t xml:space="preserve"> </w:t>
      </w:r>
      <w:r>
        <w:rPr>
          <w:bCs/>
        </w:rPr>
        <w:t xml:space="preserve">Páipéar </w:t>
      </w:r>
      <w:proofErr w:type="spellStart"/>
      <w:r>
        <w:rPr>
          <w:bCs/>
        </w:rPr>
        <w:t>comhairliúcháin</w:t>
      </w:r>
      <w:proofErr w:type="spellEnd"/>
      <w:r>
        <w:rPr>
          <w:bCs/>
        </w:rPr>
        <w:t xml:space="preserve"> don </w:t>
      </w:r>
      <w:proofErr w:type="spellStart"/>
      <w:r>
        <w:rPr>
          <w:bCs/>
        </w:rPr>
        <w:t>fhlít</w:t>
      </w:r>
      <w:proofErr w:type="spellEnd"/>
      <w:r>
        <w:rPr>
          <w:bCs/>
        </w:rPr>
        <w:t xml:space="preserve"> tacsaithe, </w:t>
      </w:r>
      <w:proofErr w:type="spellStart"/>
      <w:r>
        <w:rPr>
          <w:bCs/>
        </w:rPr>
        <w:t>fruilchairr</w:t>
      </w:r>
      <w:proofErr w:type="spellEnd"/>
      <w:r>
        <w:rPr>
          <w:bCs/>
        </w:rPr>
        <w:t xml:space="preserve"> agus </w:t>
      </w:r>
      <w:proofErr w:type="spellStart"/>
      <w:r>
        <w:rPr>
          <w:bCs/>
        </w:rPr>
        <w:t>limisín</w:t>
      </w:r>
      <w:proofErr w:type="spellEnd"/>
      <w:r>
        <w:t xml:space="preserve"> </w:t>
      </w:r>
    </w:p>
    <w:sectPr w:rsidR="006C148C">
      <w:footerReference w:type="even" r:id="rId12"/>
      <w:footerReference w:type="default" r:id="rId13"/>
      <w:type w:val="continuous"/>
      <w:pgSz w:w="12240" w:h="15840"/>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8DC0" w14:textId="77777777" w:rsidR="00112CB1" w:rsidRDefault="00112CB1">
      <w:pPr>
        <w:spacing w:after="0"/>
      </w:pPr>
      <w:r>
        <w:separator/>
      </w:r>
    </w:p>
  </w:endnote>
  <w:endnote w:type="continuationSeparator" w:id="0">
    <w:p w14:paraId="1B99927A" w14:textId="77777777" w:rsidR="00112CB1" w:rsidRDefault="00112C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Aboriginal Serif">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iauKai">
    <w:altName w:val="Arial Unicode MS"/>
    <w:charset w:val="80"/>
    <w:family w:val="auto"/>
    <w:pitch w:val="variable"/>
  </w:font>
  <w:font w:name="TimesNewRoman">
    <w:altName w:val="Times New Roman"/>
    <w:charset w:val="00"/>
    <w:family w:val="auto"/>
    <w:pitch w:val="default"/>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5C96" w14:textId="77777777" w:rsidR="0010446A" w:rsidRDefault="0010446A" w:rsidP="00835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AA907" w14:textId="77777777" w:rsidR="0010446A" w:rsidRDefault="0010446A" w:rsidP="00835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AC9D" w14:textId="77777777" w:rsidR="0010446A" w:rsidRDefault="0010446A" w:rsidP="00835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24B">
      <w:rPr>
        <w:rStyle w:val="PageNumber"/>
        <w:noProof/>
      </w:rPr>
      <w:t>1</w:t>
    </w:r>
    <w:r>
      <w:rPr>
        <w:rStyle w:val="PageNumber"/>
      </w:rPr>
      <w:fldChar w:fldCharType="end"/>
    </w:r>
  </w:p>
  <w:p w14:paraId="198EF634" w14:textId="77777777" w:rsidR="0010446A" w:rsidRDefault="0010446A" w:rsidP="00835188">
    <w:pPr>
      <w:pStyle w:val="Footer"/>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7CC" w14:textId="77777777" w:rsidR="0010446A" w:rsidRDefault="0010446A" w:rsidP="00023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14:paraId="59E87082" w14:textId="77777777" w:rsidR="0010446A" w:rsidRDefault="0010446A" w:rsidP="000230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46C3" w14:textId="77777777" w:rsidR="0010446A" w:rsidRDefault="0010446A" w:rsidP="00023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24B">
      <w:rPr>
        <w:rStyle w:val="PageNumber"/>
        <w:noProof/>
      </w:rPr>
      <w:t>136</w:t>
    </w:r>
    <w:r>
      <w:rPr>
        <w:rStyle w:val="PageNumber"/>
      </w:rPr>
      <w:fldChar w:fldCharType="end"/>
    </w:r>
  </w:p>
  <w:p w14:paraId="00024E55" w14:textId="77777777" w:rsidR="0010446A" w:rsidRPr="001A248B" w:rsidRDefault="0010446A" w:rsidP="000230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15D2" w14:textId="77777777" w:rsidR="00112CB1" w:rsidRDefault="00112CB1">
      <w:pPr>
        <w:spacing w:after="0"/>
      </w:pPr>
      <w:r>
        <w:separator/>
      </w:r>
    </w:p>
  </w:footnote>
  <w:footnote w:type="continuationSeparator" w:id="0">
    <w:p w14:paraId="2EE5585F" w14:textId="77777777" w:rsidR="00112CB1" w:rsidRDefault="00112CB1">
      <w:pPr>
        <w:spacing w:after="0"/>
      </w:pPr>
      <w:r>
        <w:continuationSeparator/>
      </w:r>
    </w:p>
  </w:footnote>
  <w:footnote w:id="1">
    <w:p w14:paraId="59D9349A" w14:textId="77777777" w:rsidR="0010446A" w:rsidRDefault="0010446A" w:rsidP="000230E8">
      <w:pPr>
        <w:pStyle w:val="FootnoteText"/>
      </w:pPr>
      <w:r>
        <w:rPr>
          <w:rStyle w:val="FootnoteReference0"/>
        </w:rPr>
        <w:footnoteRef/>
      </w:r>
      <w:r>
        <w:t xml:space="preserve"> Government for National Recovery 2011-2016, p.54</w:t>
      </w:r>
    </w:p>
  </w:footnote>
  <w:footnote w:id="2">
    <w:p w14:paraId="7CC3CEDC" w14:textId="77777777" w:rsidR="0010446A" w:rsidRDefault="0010446A" w:rsidP="000230E8">
      <w:pPr>
        <w:pStyle w:val="FootnoteText"/>
      </w:pPr>
      <w:r>
        <w:rPr>
          <w:rStyle w:val="FootnoteReference0"/>
        </w:rPr>
        <w:footnoteRef/>
      </w:r>
      <w:r>
        <w:t xml:space="preserve"> On maternity leave during 2011</w:t>
      </w:r>
    </w:p>
  </w:footnote>
  <w:footnote w:id="3">
    <w:p w14:paraId="7EE3C2BB" w14:textId="77777777" w:rsidR="0010446A" w:rsidRDefault="0010446A" w:rsidP="000230E8">
      <w:pPr>
        <w:pStyle w:val="FootnoteText"/>
      </w:pPr>
      <w:r>
        <w:rPr>
          <w:rStyle w:val="FootnoteReference0"/>
        </w:rPr>
        <w:footnoteRef/>
      </w:r>
      <w:r>
        <w:t xml:space="preserve"> Replaced Colm Desmond, Department of Health, who resigned in December 2010</w:t>
      </w:r>
    </w:p>
  </w:footnote>
  <w:footnote w:id="4">
    <w:p w14:paraId="02B28709" w14:textId="77777777" w:rsidR="0010446A" w:rsidRDefault="0010446A" w:rsidP="000230E8">
      <w:pPr>
        <w:pStyle w:val="FootnoteText"/>
      </w:pPr>
      <w:r>
        <w:rPr>
          <w:rStyle w:val="FootnoteReference0"/>
        </w:rPr>
        <w:footnoteRef/>
      </w:r>
      <w:r>
        <w:t xml:space="preserve"> Ibid.</w:t>
      </w:r>
    </w:p>
  </w:footnote>
  <w:footnote w:id="5">
    <w:p w14:paraId="15F30491" w14:textId="77777777" w:rsidR="0010446A" w:rsidRPr="00CA46D6" w:rsidRDefault="0010446A" w:rsidP="000230E8">
      <w:pPr>
        <w:pStyle w:val="FootnoteText"/>
      </w:pPr>
      <w:r>
        <w:rPr>
          <w:rStyle w:val="FootnoteReference0"/>
        </w:rPr>
        <w:footnoteRef/>
      </w:r>
      <w:r>
        <w:t xml:space="preserve"> S.I. No. 484 of 2011 </w:t>
      </w:r>
      <w:r w:rsidRPr="00CA46D6">
        <w:t>Disability Act 2005 (Code of Practice) (Declaration) Order 2011.</w:t>
      </w:r>
    </w:p>
  </w:footnote>
  <w:footnote w:id="6">
    <w:p w14:paraId="2702ED2C" w14:textId="77777777" w:rsidR="0010446A" w:rsidRDefault="0010446A">
      <w:pPr>
        <w:pStyle w:val="FootnoteText"/>
        <w:rPr>
          <w:lang w:val="es-ES"/>
        </w:rPr>
      </w:pPr>
      <w:r>
        <w:rPr>
          <w:rStyle w:val="CarachtairFhonta"/>
        </w:rPr>
        <w:footnoteRef/>
      </w:r>
      <w:r>
        <w:rPr>
          <w:lang w:val="es-ES"/>
        </w:rPr>
        <w:tab/>
        <w:t xml:space="preserve"> Rialtas do Théarnamh Náisiúnta 2011-2016, l.54</w:t>
      </w:r>
    </w:p>
  </w:footnote>
  <w:footnote w:id="7">
    <w:p w14:paraId="365167D5" w14:textId="77777777" w:rsidR="0010446A" w:rsidRPr="003E184D" w:rsidRDefault="0010446A">
      <w:pPr>
        <w:pStyle w:val="FootnoteText"/>
      </w:pPr>
      <w:r>
        <w:rPr>
          <w:rStyle w:val="CarachtairFhonta"/>
        </w:rPr>
        <w:footnoteRef/>
      </w:r>
      <w:r>
        <w:tab/>
        <w:t xml:space="preserve"> Ar shaoi</w:t>
      </w:r>
      <w:r w:rsidRPr="003E184D">
        <w:t>re mháithreachais le linn na bliana 2011</w:t>
      </w:r>
    </w:p>
  </w:footnote>
  <w:footnote w:id="8">
    <w:p w14:paraId="6C092EB8" w14:textId="77777777" w:rsidR="0010446A" w:rsidRDefault="0010446A">
      <w:pPr>
        <w:pStyle w:val="FootnoteText"/>
      </w:pPr>
      <w:r>
        <w:rPr>
          <w:rStyle w:val="CarachtairFhonta"/>
        </w:rPr>
        <w:footnoteRef/>
      </w:r>
      <w:r>
        <w:tab/>
        <w:t xml:space="preserve"> Cuireadh in ionad Colm Desmond, An Roinn Sláinte, a d’éirigh as i Nollaig 2010</w:t>
      </w:r>
    </w:p>
  </w:footnote>
  <w:footnote w:id="9">
    <w:p w14:paraId="3752289A" w14:textId="77777777" w:rsidR="0010446A" w:rsidRDefault="0010446A">
      <w:pPr>
        <w:pStyle w:val="FootnoteText"/>
      </w:pPr>
      <w:r>
        <w:rPr>
          <w:rStyle w:val="CarachtairFhonta"/>
        </w:rPr>
        <w:footnoteRef/>
      </w:r>
      <w:r>
        <w:tab/>
        <w:t xml:space="preserve"> Ibid.</w:t>
      </w:r>
    </w:p>
  </w:footnote>
  <w:footnote w:id="10">
    <w:p w14:paraId="65EC7B2D" w14:textId="77777777" w:rsidR="0010446A" w:rsidRDefault="0010446A">
      <w:pPr>
        <w:pStyle w:val="FootnoteText"/>
      </w:pPr>
      <w:r>
        <w:rPr>
          <w:rStyle w:val="CarachtairFhonta"/>
        </w:rPr>
        <w:footnoteRef/>
      </w:r>
      <w:r>
        <w:tab/>
        <w:t xml:space="preserve"> I.R. Uimh. 484 de 2011 An tOrdú faoin Acht um Míchumas 2005 (Cód Cleachtais) (Dearbhú)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81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BE8CB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4CA3D4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36E364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singleLevel"/>
    <w:tmpl w:val="00000002"/>
    <w:lvl w:ilvl="0">
      <w:start w:val="1"/>
      <w:numFmt w:val="decimal"/>
      <w:lvlText w:val="%1."/>
      <w:lvlJc w:val="left"/>
      <w:pPr>
        <w:tabs>
          <w:tab w:val="num" w:pos="926"/>
        </w:tabs>
        <w:ind w:left="926" w:hanging="360"/>
      </w:pPr>
    </w:lvl>
  </w:abstractNum>
  <w:abstractNum w:abstractNumId="6" w15:restartNumberingAfterBreak="0">
    <w:nsid w:val="00000003"/>
    <w:multiLevelType w:val="singleLevel"/>
    <w:tmpl w:val="00000003"/>
    <w:lvl w:ilvl="0">
      <w:start w:val="1"/>
      <w:numFmt w:val="decimal"/>
      <w:lvlText w:val="%1."/>
      <w:lvlJc w:val="left"/>
      <w:pPr>
        <w:tabs>
          <w:tab w:val="num" w:pos="641"/>
        </w:tabs>
        <w:ind w:left="641" w:hanging="357"/>
      </w:pPr>
    </w:lvl>
  </w:abstractNum>
  <w:abstractNum w:abstractNumId="7" w15:restartNumberingAfterBreak="0">
    <w:nsid w:val="00000004"/>
    <w:multiLevelType w:val="singleLevel"/>
    <w:tmpl w:val="00000004"/>
    <w:lvl w:ilvl="0">
      <w:start w:val="1"/>
      <w:numFmt w:val="bullet"/>
      <w:lvlText w:val=""/>
      <w:lvlJc w:val="left"/>
      <w:pPr>
        <w:tabs>
          <w:tab w:val="num" w:pos="360"/>
        </w:tabs>
        <w:ind w:left="360" w:hanging="360"/>
      </w:pPr>
      <w:rPr>
        <w:rFonts w:ascii="Symbol" w:hAnsi="Symbol"/>
        <w:sz w:val="20"/>
        <w:szCs w:val="20"/>
      </w:rPr>
    </w:lvl>
  </w:abstractNum>
  <w:abstractNum w:abstractNumId="8" w15:restartNumberingAfterBreak="0">
    <w:nsid w:val="00000005"/>
    <w:multiLevelType w:val="singleLevel"/>
    <w:tmpl w:val="00000005"/>
    <w:lvl w:ilvl="0">
      <w:start w:val="1"/>
      <w:numFmt w:val="bullet"/>
      <w:lvlText w:val=""/>
      <w:lvlJc w:val="left"/>
      <w:pPr>
        <w:tabs>
          <w:tab w:val="num" w:pos="717"/>
        </w:tabs>
        <w:ind w:left="717" w:hanging="360"/>
      </w:pPr>
      <w:rPr>
        <w:rFonts w:ascii="Symbol" w:hAnsi="Symbol"/>
      </w:rPr>
    </w:lvl>
  </w:abstractNum>
  <w:abstractNum w:abstractNumId="9"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10" w15:restartNumberingAfterBreak="0">
    <w:nsid w:val="00000007"/>
    <w:multiLevelType w:val="singleLevel"/>
    <w:tmpl w:val="59989588"/>
    <w:lvl w:ilvl="0">
      <w:start w:val="1"/>
      <w:numFmt w:val="bullet"/>
      <w:lvlText w:val=""/>
      <w:lvlJc w:val="left"/>
      <w:pPr>
        <w:tabs>
          <w:tab w:val="num" w:pos="360"/>
        </w:tabs>
        <w:ind w:left="360" w:hanging="360"/>
      </w:pPr>
      <w:rPr>
        <w:rFonts w:ascii="Symbol" w:hAnsi="Symbol"/>
        <w:sz w:val="20"/>
        <w:szCs w:val="20"/>
      </w:rPr>
    </w:lvl>
  </w:abstractNum>
  <w:abstractNum w:abstractNumId="11" w15:restartNumberingAfterBreak="0">
    <w:nsid w:val="3B916F46"/>
    <w:multiLevelType w:val="hybridMultilevel"/>
    <w:tmpl w:val="5ED6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962CA"/>
    <w:multiLevelType w:val="hybridMultilevel"/>
    <w:tmpl w:val="90B4C2DE"/>
    <w:lvl w:ilvl="0" w:tplc="FDA695EE">
      <w:start w:val="1"/>
      <w:numFmt w:val="bullet"/>
      <w:lvlText w:val=""/>
      <w:lvlJc w:val="left"/>
      <w:pPr>
        <w:tabs>
          <w:tab w:val="num" w:pos="1440"/>
        </w:tabs>
        <w:ind w:left="1440" w:hanging="360"/>
      </w:pPr>
      <w:rPr>
        <w:rFonts w:ascii="Symbol" w:hAnsi="Symbol" w:hint="default"/>
        <w:color w:val="auto"/>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42498711">
    <w:abstractNumId w:val="4"/>
  </w:num>
  <w:num w:numId="2" w16cid:durableId="1029066364">
    <w:abstractNumId w:val="5"/>
  </w:num>
  <w:num w:numId="3" w16cid:durableId="545221141">
    <w:abstractNumId w:val="6"/>
  </w:num>
  <w:num w:numId="4" w16cid:durableId="72700567">
    <w:abstractNumId w:val="7"/>
  </w:num>
  <w:num w:numId="5" w16cid:durableId="990258680">
    <w:abstractNumId w:val="8"/>
  </w:num>
  <w:num w:numId="6" w16cid:durableId="1381830982">
    <w:abstractNumId w:val="9"/>
  </w:num>
  <w:num w:numId="7" w16cid:durableId="1602299496">
    <w:abstractNumId w:val="10"/>
  </w:num>
  <w:num w:numId="8" w16cid:durableId="521238363">
    <w:abstractNumId w:val="3"/>
  </w:num>
  <w:num w:numId="9" w16cid:durableId="517505004">
    <w:abstractNumId w:val="2"/>
  </w:num>
  <w:num w:numId="10" w16cid:durableId="1538156472">
    <w:abstractNumId w:val="1"/>
  </w:num>
  <w:num w:numId="11" w16cid:durableId="1526358637">
    <w:abstractNumId w:val="0"/>
  </w:num>
  <w:num w:numId="12" w16cid:durableId="951127725">
    <w:abstractNumId w:val="11"/>
  </w:num>
  <w:num w:numId="13" w16cid:durableId="9660065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4D"/>
    <w:rsid w:val="000230E8"/>
    <w:rsid w:val="000C4BE8"/>
    <w:rsid w:val="000E4041"/>
    <w:rsid w:val="0010446A"/>
    <w:rsid w:val="00112CB1"/>
    <w:rsid w:val="001B072E"/>
    <w:rsid w:val="00246162"/>
    <w:rsid w:val="00247200"/>
    <w:rsid w:val="003E184D"/>
    <w:rsid w:val="0044019A"/>
    <w:rsid w:val="00443346"/>
    <w:rsid w:val="004D3308"/>
    <w:rsid w:val="00542349"/>
    <w:rsid w:val="005A0642"/>
    <w:rsid w:val="005B618B"/>
    <w:rsid w:val="006C148C"/>
    <w:rsid w:val="006F4DF1"/>
    <w:rsid w:val="00726E16"/>
    <w:rsid w:val="007418DE"/>
    <w:rsid w:val="007A5278"/>
    <w:rsid w:val="007F67C6"/>
    <w:rsid w:val="0083509E"/>
    <w:rsid w:val="00835188"/>
    <w:rsid w:val="00857464"/>
    <w:rsid w:val="00892767"/>
    <w:rsid w:val="009345A3"/>
    <w:rsid w:val="00983E44"/>
    <w:rsid w:val="009F724B"/>
    <w:rsid w:val="00A02612"/>
    <w:rsid w:val="00A51C1B"/>
    <w:rsid w:val="00AB5887"/>
    <w:rsid w:val="00AD495A"/>
    <w:rsid w:val="00B04A0E"/>
    <w:rsid w:val="00B634DD"/>
    <w:rsid w:val="00B64EED"/>
    <w:rsid w:val="00B71F49"/>
    <w:rsid w:val="00B90652"/>
    <w:rsid w:val="00BB25B2"/>
    <w:rsid w:val="00BB5DD2"/>
    <w:rsid w:val="00BC1C9A"/>
    <w:rsid w:val="00BC3842"/>
    <w:rsid w:val="00C27E0C"/>
    <w:rsid w:val="00C63F26"/>
    <w:rsid w:val="00E576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21F1F"/>
  <w15:chartTrackingRefBased/>
  <w15:docId w15:val="{B0345427-8BA3-4634-A90C-5A7B9402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pPr>
    <w:rPr>
      <w:rFonts w:ascii="Gill Sans" w:hAnsi="Gill Sans"/>
      <w:sz w:val="26"/>
      <w:szCs w:val="24"/>
      <w:lang w:eastAsia="ar-SA"/>
    </w:rPr>
  </w:style>
  <w:style w:type="paragraph" w:styleId="Heading1">
    <w:name w:val="heading 1"/>
    <w:basedOn w:val="Normal"/>
    <w:next w:val="Normal"/>
    <w:link w:val="Heading1Char"/>
    <w:autoRedefine/>
    <w:qFormat/>
    <w:rsid w:val="00542349"/>
    <w:pPr>
      <w:keepNext/>
      <w:numPr>
        <w:numId w:val="1"/>
      </w:numPr>
      <w:pBdr>
        <w:top w:val="single" w:sz="4" w:space="4" w:color="000000"/>
        <w:left w:val="single" w:sz="4" w:space="2" w:color="000000"/>
        <w:bottom w:val="single" w:sz="4" w:space="4" w:color="000000"/>
        <w:right w:val="single" w:sz="4" w:space="4" w:color="000000"/>
      </w:pBdr>
      <w:spacing w:before="360"/>
      <w:ind w:left="0" w:firstLine="0"/>
      <w:outlineLvl w:val="0"/>
    </w:pPr>
    <w:rPr>
      <w:rFonts w:cs="Arial"/>
      <w:b/>
      <w:bCs/>
      <w:kern w:val="1"/>
      <w:sz w:val="32"/>
      <w:szCs w:val="32"/>
    </w:rPr>
  </w:style>
  <w:style w:type="paragraph" w:styleId="Heading2">
    <w:name w:val="heading 2"/>
    <w:basedOn w:val="Normal"/>
    <w:next w:val="Normal"/>
    <w:link w:val="Heading2Char"/>
    <w:qFormat/>
    <w:pPr>
      <w:keepNext/>
      <w:spacing w:after="60"/>
      <w:outlineLvl w:val="1"/>
    </w:pPr>
    <w:rPr>
      <w:rFonts w:cs="Arial Bold"/>
      <w:b/>
      <w:bCs/>
      <w:iCs/>
      <w:sz w:val="28"/>
      <w:szCs w:val="28"/>
    </w:rPr>
  </w:style>
  <w:style w:type="paragraph" w:styleId="Heading3">
    <w:name w:val="heading 3"/>
    <w:basedOn w:val="Normal"/>
    <w:next w:val="Normal"/>
    <w:qFormat/>
    <w:pPr>
      <w:keepNext/>
      <w:spacing w:after="0"/>
      <w:outlineLvl w:val="2"/>
    </w:pPr>
    <w:rPr>
      <w:rFonts w:cs="Arial Bold"/>
      <w:b/>
      <w:bCs/>
    </w:rPr>
  </w:style>
  <w:style w:type="paragraph" w:styleId="Heading4">
    <w:name w:val="heading 4"/>
    <w:basedOn w:val="Normal"/>
    <w:next w:val="Normal"/>
    <w:autoRedefine/>
    <w:qFormat/>
    <w:rsid w:val="00C63F26"/>
    <w:pPr>
      <w:keepNext/>
      <w:numPr>
        <w:ilvl w:val="3"/>
        <w:numId w:val="1"/>
      </w:numPr>
      <w:spacing w:after="0"/>
      <w:ind w:left="0" w:firstLine="0"/>
      <w:outlineLvl w:val="3"/>
    </w:pPr>
    <w:rPr>
      <w:b/>
      <w:bCs/>
      <w:color w:val="333333"/>
    </w:rPr>
  </w:style>
  <w:style w:type="paragraph" w:styleId="Heading5">
    <w:name w:val="heading 5"/>
    <w:basedOn w:val="Normal"/>
    <w:next w:val="Normal"/>
    <w:qFormat/>
    <w:pPr>
      <w:numPr>
        <w:ilvl w:val="4"/>
        <w:numId w:val="1"/>
      </w:numPr>
      <w:spacing w:after="0"/>
      <w:outlineLvl w:val="4"/>
    </w:pPr>
    <w:rPr>
      <w:b/>
      <w:bCs/>
      <w:i/>
      <w:iCs/>
      <w:szCs w:val="26"/>
    </w:rPr>
  </w:style>
  <w:style w:type="paragraph" w:styleId="Heading6">
    <w:name w:val="heading 6"/>
    <w:basedOn w:val="Normal"/>
    <w:next w:val="Normal"/>
    <w:qFormat/>
    <w:pPr>
      <w:numPr>
        <w:ilvl w:val="5"/>
        <w:numId w:val="1"/>
      </w:numPr>
      <w:spacing w:after="0"/>
      <w:outlineLvl w:val="5"/>
    </w:pPr>
    <w:rPr>
      <w:b/>
      <w:bCs/>
      <w:i/>
      <w:sz w:val="22"/>
      <w:szCs w:val="22"/>
    </w:rPr>
  </w:style>
  <w:style w:type="paragraph" w:styleId="Heading7">
    <w:name w:val="heading 7"/>
    <w:basedOn w:val="Normal"/>
    <w:next w:val="Normal"/>
    <w:qFormat/>
    <w:pPr>
      <w:keepNext/>
      <w:numPr>
        <w:ilvl w:val="6"/>
        <w:numId w:val="1"/>
      </w:numPr>
      <w:spacing w:after="0"/>
      <w:jc w:val="center"/>
      <w:outlineLvl w:val="6"/>
    </w:pPr>
    <w:rPr>
      <w:rFonts w:cs="Arial"/>
      <w:b/>
      <w:sz w:val="22"/>
      <w:szCs w:val="40"/>
    </w:rPr>
  </w:style>
  <w:style w:type="paragraph" w:styleId="Heading8">
    <w:name w:val="heading 8"/>
    <w:basedOn w:val="Normal"/>
    <w:next w:val="Normal"/>
    <w:qFormat/>
    <w:pPr>
      <w:keepNext/>
      <w:numPr>
        <w:ilvl w:val="7"/>
        <w:numId w:val="1"/>
      </w:numPr>
      <w:spacing w:after="0"/>
      <w:outlineLvl w:val="7"/>
    </w:pPr>
    <w:rPr>
      <w:b/>
      <w:i/>
      <w:sz w:val="22"/>
    </w:rPr>
  </w:style>
  <w:style w:type="paragraph" w:styleId="Heading9">
    <w:name w:val="heading 9"/>
    <w:basedOn w:val="Normal"/>
    <w:next w:val="Normal"/>
    <w:qFormat/>
    <w:pPr>
      <w:keepNext/>
      <w:numPr>
        <w:ilvl w:val="8"/>
        <w:numId w:val="1"/>
      </w:numPr>
      <w:spacing w:after="0"/>
      <w:outlineLvl w:val="8"/>
    </w:pPr>
    <w:rPr>
      <w:rFonts w:cs="Arial"/>
      <w:i/>
      <w:sz w:val="2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szCs w:val="20"/>
    </w:rPr>
  </w:style>
  <w:style w:type="character" w:customStyle="1" w:styleId="WW8Num5z0">
    <w:name w:val="WW8Num5z0"/>
    <w:rPr>
      <w:rFonts w:ascii="Symbol" w:hAnsi="Symbol"/>
    </w:rPr>
  </w:style>
  <w:style w:type="character" w:customStyle="1" w:styleId="WW8Num7z0">
    <w:name w:val="WW8Num7z0"/>
    <w:rPr>
      <w:rFonts w:ascii="Symbol" w:hAnsi="Symbol"/>
      <w:sz w:val="20"/>
      <w:szCs w:val="20"/>
    </w:rPr>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0">
    <w:name w:val="WW8Num6z0"/>
    <w:rPr>
      <w:rFonts w:ascii="Symbol" w:hAnsi="Symbol"/>
    </w:rPr>
  </w:style>
  <w:style w:type="character" w:customStyle="1" w:styleId="WW8Num8z0">
    <w:name w:val="WW8Num8z0"/>
    <w:rPr>
      <w:rFonts w:ascii="Symbol" w:hAnsi="Symbol" w:cs="Times New Roman"/>
      <w:sz w:val="20"/>
      <w:szCs w:val="20"/>
    </w:rPr>
  </w:style>
  <w:style w:type="character" w:customStyle="1" w:styleId="WW8Num10z0">
    <w:name w:val="WW8Num10z0"/>
    <w:rPr>
      <w:rFonts w:ascii="Symbol" w:hAnsi="Symbol"/>
      <w:sz w:val="20"/>
      <w:szCs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Wingdings" w:hAnsi="Wingdings"/>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DefaultParagraphFont">
    <w:name w:val="WW-Default Paragraph Font"/>
  </w:style>
  <w:style w:type="character" w:customStyle="1" w:styleId="Abbreviation">
    <w:name w:val="Abbreviation"/>
    <w:rPr>
      <w:u w:val="dottedHeavy"/>
    </w:rPr>
  </w:style>
  <w:style w:type="character" w:customStyle="1" w:styleId="Acronym">
    <w:name w:val="Acronym"/>
    <w:rPr>
      <w:u w:val="dotted"/>
    </w:rPr>
  </w:style>
  <w:style w:type="character" w:customStyle="1" w:styleId="CommentTextChar">
    <w:name w:val="Comment Text Char"/>
    <w:rPr>
      <w:rFonts w:ascii="Arial" w:eastAsia="Times New Roman" w:hAnsi="Arial"/>
      <w:szCs w:val="24"/>
    </w:rPr>
  </w:style>
  <w:style w:type="character" w:customStyle="1" w:styleId="BodyTextIndentChar">
    <w:name w:val="Body Text Indent Char"/>
    <w:rPr>
      <w:rFonts w:ascii="Arial" w:eastAsia="Times New Roman" w:hAnsi="Arial"/>
      <w:sz w:val="24"/>
      <w:szCs w:val="24"/>
    </w:rPr>
  </w:style>
  <w:style w:type="character" w:styleId="Emphasis">
    <w:name w:val="Emphasis"/>
    <w:qFormat/>
    <w:rPr>
      <w:i/>
    </w:r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WW-DefaultParagraphFont"/>
  </w:style>
  <w:style w:type="character" w:customStyle="1" w:styleId="Quote1">
    <w:name w:val="Quote1"/>
    <w:rPr>
      <w:i/>
    </w:rPr>
  </w:style>
  <w:style w:type="character" w:customStyle="1" w:styleId="CarachtairFhonta">
    <w:name w:val="Carachtair Fhonóta"/>
    <w:rPr>
      <w:rFonts w:ascii="Gill Sans" w:hAnsi="Gill Sans"/>
      <w:sz w:val="26"/>
      <w:vertAlign w:val="superscript"/>
    </w:rPr>
  </w:style>
  <w:style w:type="character" w:styleId="FootnoteReference">
    <w:name w:val="footnote reference"/>
    <w:rPr>
      <w:vertAlign w:val="superscript"/>
    </w:rPr>
  </w:style>
  <w:style w:type="character" w:customStyle="1" w:styleId="CarachtairIarnta">
    <w:name w:val="Carachtair Iarnóta"/>
    <w:rPr>
      <w:vertAlign w:val="superscript"/>
    </w:rPr>
  </w:style>
  <w:style w:type="character" w:customStyle="1" w:styleId="WW-CarachtairIarnta">
    <w:name w:val="WW-Carachtair Iarnóta"/>
  </w:style>
  <w:style w:type="character" w:styleId="EndnoteReference">
    <w:name w:val="endnote reference"/>
    <w:rPr>
      <w:vertAlign w:val="superscript"/>
    </w:rPr>
  </w:style>
  <w:style w:type="character" w:styleId="CommentReference">
    <w:name w:val="annotation reference"/>
    <w:rPr>
      <w:sz w:val="16"/>
      <w:szCs w:val="16"/>
    </w:rPr>
  </w:style>
  <w:style w:type="character" w:customStyle="1" w:styleId="CommentTextChar1">
    <w:name w:val="Comment Text Char1"/>
    <w:rPr>
      <w:rFonts w:ascii="Arial" w:hAnsi="Arial"/>
      <w:szCs w:val="24"/>
      <w:lang w:val="x-none"/>
    </w:rPr>
  </w:style>
  <w:style w:type="character" w:customStyle="1" w:styleId="CommentSubjectChar">
    <w:name w:val="Comment Subject Char"/>
    <w:basedOn w:val="CommentTextChar1"/>
    <w:rPr>
      <w:rFonts w:ascii="Arial" w:hAnsi="Arial"/>
      <w:szCs w:val="24"/>
      <w:lang w:val="x-none"/>
    </w:rPr>
  </w:style>
  <w:style w:type="character" w:styleId="FootnoteReference0">
    <w:name w:val="footnote reference"/>
    <w:rPr>
      <w:vertAlign w:val="superscript"/>
    </w:rPr>
  </w:style>
  <w:style w:type="character" w:styleId="EndnoteReference0">
    <w:name w:val="endnote reference"/>
    <w:rPr>
      <w:vertAlign w:val="superscript"/>
    </w:rPr>
  </w:style>
  <w:style w:type="paragraph" w:customStyle="1" w:styleId="Ceannteideal">
    <w:name w:val="Ceannteideal"/>
    <w:basedOn w:val="Normal"/>
    <w:next w:val="BodyText"/>
    <w:pPr>
      <w:keepNext/>
      <w:spacing w:before="240" w:after="120"/>
    </w:pPr>
    <w:rPr>
      <w:rFonts w:ascii="Arial" w:eastAsia="Arial Unicode MS" w:hAnsi="Arial" w:cs="Angsana New"/>
      <w:sz w:val="28"/>
      <w:szCs w:val="28"/>
    </w:rPr>
  </w:style>
  <w:style w:type="paragraph" w:styleId="BodyText">
    <w:name w:val="Body Text"/>
    <w:basedOn w:val="Normal"/>
    <w:pPr>
      <w:spacing w:after="120"/>
    </w:pPr>
  </w:style>
  <w:style w:type="paragraph" w:styleId="List">
    <w:name w:val="List"/>
    <w:basedOn w:val="BodyText"/>
    <w:rPr>
      <w:rFonts w:ascii="Aboriginal Serif" w:hAnsi="Aboriginal Serif" w:cs="Angsana New"/>
    </w:rPr>
  </w:style>
  <w:style w:type="paragraph" w:customStyle="1" w:styleId="Foscrbhinn">
    <w:name w:val="Foscríbhinn"/>
    <w:basedOn w:val="Normal"/>
    <w:pPr>
      <w:suppressLineNumbers/>
      <w:spacing w:before="120" w:after="120"/>
    </w:pPr>
    <w:rPr>
      <w:rFonts w:ascii="Aboriginal Serif" w:hAnsi="Aboriginal Serif" w:cs="Angsana New"/>
      <w:i/>
      <w:iCs/>
      <w:sz w:val="24"/>
    </w:rPr>
  </w:style>
  <w:style w:type="paragraph" w:customStyle="1" w:styleId="Innacs">
    <w:name w:val="Innéacs"/>
    <w:basedOn w:val="Normal"/>
    <w:pPr>
      <w:suppressLineNumbers/>
    </w:pPr>
    <w:rPr>
      <w:rFonts w:ascii="Aboriginal Serif" w:hAnsi="Aboriginal Serif" w:cs="Angsana New"/>
    </w:rPr>
  </w:style>
  <w:style w:type="paragraph" w:styleId="CommentText">
    <w:name w:val="annotation text"/>
    <w:basedOn w:val="Normal"/>
    <w:link w:val="CommentTextChar2"/>
    <w:rPr>
      <w:rFonts w:ascii="Arial" w:hAnsi="Arial"/>
      <w:sz w:val="20"/>
      <w:lang w:val="x-none"/>
    </w:rPr>
  </w:style>
  <w:style w:type="paragraph" w:customStyle="1" w:styleId="BlockQuote">
    <w:name w:val="Block Quote"/>
    <w:basedOn w:val="Normal"/>
    <w:pPr>
      <w:ind w:left="720" w:right="720"/>
    </w:pPr>
  </w:style>
  <w:style w:type="paragraph" w:styleId="BlockText">
    <w:name w:val="Block Text"/>
    <w:basedOn w:val="Normal"/>
    <w:pPr>
      <w:spacing w:after="120"/>
      <w:ind w:left="1440" w:right="1440"/>
    </w:pPr>
  </w:style>
  <w:style w:type="paragraph" w:styleId="TOC1">
    <w:name w:val="toc 1"/>
    <w:basedOn w:val="Normal"/>
    <w:next w:val="Normal"/>
    <w:pPr>
      <w:keepNext/>
      <w:keepLines/>
      <w:spacing w:before="240" w:after="60"/>
    </w:pPr>
    <w:rPr>
      <w:b/>
    </w:rPr>
  </w:style>
  <w:style w:type="paragraph" w:styleId="BodyTextIndent">
    <w:name w:val="Body Text Indent"/>
    <w:basedOn w:val="Normal"/>
    <w:link w:val="BodyTextIndentChar1"/>
    <w:pPr>
      <w:spacing w:after="120"/>
      <w:ind w:left="283"/>
    </w:pPr>
    <w:rPr>
      <w:rFonts w:ascii="Arial" w:hAnsi="Arial"/>
      <w:sz w:val="24"/>
      <w:lang w:val="x-none"/>
    </w:rPr>
  </w:style>
  <w:style w:type="paragraph" w:styleId="Caption">
    <w:name w:val="caption"/>
    <w:basedOn w:val="Normal"/>
    <w:next w:val="Normal"/>
    <w:qFormat/>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pPr>
      <w:shd w:val="clear" w:color="auto" w:fill="000080"/>
    </w:pPr>
    <w:rPr>
      <w:rFonts w:ascii="Tahoma" w:hAnsi="Tahoma" w:cs="Tahoma"/>
      <w:sz w:val="20"/>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pPr>
      <w:keepNext/>
      <w:keepLines/>
      <w:spacing w:after="120"/>
      <w:jc w:val="center"/>
    </w:pPr>
    <w:rPr>
      <w:rFonts w:ascii="Gill Sans MT" w:hAnsi="Gill Sans MT"/>
      <w:b/>
    </w:rPr>
  </w:style>
  <w:style w:type="paragraph" w:styleId="Header">
    <w:name w:val="header"/>
    <w:basedOn w:val="Normal"/>
    <w:pPr>
      <w:tabs>
        <w:tab w:val="center" w:pos="4320"/>
        <w:tab w:val="right" w:pos="8640"/>
      </w:tabs>
      <w:spacing w:after="120"/>
    </w:pPr>
    <w:rPr>
      <w:color w:val="333333"/>
      <w:sz w:val="22"/>
      <w:szCs w:val="20"/>
    </w:rPr>
  </w:style>
  <w:style w:type="paragraph" w:styleId="ListBullet">
    <w:name w:val="List Bullet"/>
    <w:basedOn w:val="Normal"/>
    <w:link w:val="ListBulletChar"/>
    <w:pPr>
      <w:numPr>
        <w:numId w:val="7"/>
      </w:numPr>
      <w:spacing w:after="120"/>
      <w:ind w:left="357" w:hanging="357"/>
    </w:pPr>
  </w:style>
  <w:style w:type="paragraph" w:styleId="ListBullet2">
    <w:name w:val="List Bullet 2"/>
    <w:basedOn w:val="Normal"/>
    <w:pPr>
      <w:numPr>
        <w:numId w:val="5"/>
      </w:numPr>
      <w:tabs>
        <w:tab w:val="left" w:pos="357"/>
      </w:tabs>
      <w:spacing w:before="60" w:after="60"/>
      <w:ind w:left="641" w:hanging="357"/>
    </w:pPr>
  </w:style>
  <w:style w:type="paragraph" w:styleId="ListBullet3">
    <w:name w:val="List Bullet 3"/>
    <w:basedOn w:val="Normal"/>
    <w:pPr>
      <w:numPr>
        <w:numId w:val="4"/>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6"/>
      </w:numPr>
      <w:spacing w:after="120"/>
    </w:pPr>
  </w:style>
  <w:style w:type="paragraph" w:styleId="ListNumber2">
    <w:name w:val="List Number 2"/>
    <w:basedOn w:val="Normal"/>
    <w:pPr>
      <w:numPr>
        <w:numId w:val="3"/>
      </w:numPr>
      <w:tabs>
        <w:tab w:val="clear" w:pos="641"/>
        <w:tab w:val="left" w:pos="643"/>
      </w:tabs>
      <w:spacing w:before="60" w:after="60"/>
    </w:pPr>
  </w:style>
  <w:style w:type="paragraph" w:styleId="ListNumber3">
    <w:name w:val="List Number 3"/>
    <w:basedOn w:val="Normal"/>
    <w:pPr>
      <w:numPr>
        <w:numId w:val="2"/>
      </w:numPr>
      <w:tabs>
        <w:tab w:val="left" w:pos="360"/>
      </w:tabs>
      <w:spacing w:before="60" w:after="60"/>
      <w:ind w:left="924" w:hanging="357"/>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before="60" w:after="60"/>
    </w:pPr>
    <w:rPr>
      <w:rFonts w:ascii="Courier New" w:eastAsia="Arial" w:hAnsi="Courier New" w:cs="Courier New"/>
      <w:lang w:eastAsia="ar-SA"/>
    </w:rPr>
  </w:style>
  <w:style w:type="paragraph" w:styleId="NormalIndent">
    <w:name w:val="Normal Indent"/>
    <w:basedOn w:val="Normal"/>
    <w:pPr>
      <w:ind w:left="720"/>
    </w:pPr>
  </w:style>
  <w:style w:type="paragraph" w:customStyle="1" w:styleId="Note">
    <w:name w:val="Note"/>
    <w:basedOn w:val="Normal"/>
    <w:pPr>
      <w:keepLines/>
      <w:pBdr>
        <w:top w:val="single" w:sz="8" w:space="1" w:color="808080"/>
        <w:bottom w:val="single" w:sz="8" w:space="1" w:color="808080"/>
      </w:pBdr>
      <w:spacing w:before="120"/>
      <w:jc w:val="center"/>
    </w:pPr>
    <w:rPr>
      <w:sz w:val="22"/>
      <w:lang w:val="en-GB"/>
    </w:rPr>
  </w:style>
  <w:style w:type="paragraph" w:styleId="Subtitle">
    <w:name w:val="Subtitle"/>
    <w:basedOn w:val="Normal"/>
    <w:next w:val="Normal"/>
    <w:qFormat/>
    <w:pPr>
      <w:jc w:val="center"/>
    </w:pPr>
    <w:rPr>
      <w:sz w:val="28"/>
    </w:rPr>
  </w:style>
  <w:style w:type="paragraph" w:customStyle="1" w:styleId="TableCell">
    <w:name w:val="Table Cell"/>
    <w:basedOn w:val="Normal"/>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pPr>
      <w:keepNext/>
      <w:keepLines/>
      <w:spacing w:after="120"/>
      <w:jc w:val="center"/>
    </w:pPr>
    <w:rPr>
      <w:b/>
    </w:rPr>
  </w:style>
  <w:style w:type="paragraph" w:customStyle="1" w:styleId="TaggedText">
    <w:name w:val="Tagged Text"/>
    <w:basedOn w:val="Normal"/>
    <w:pPr>
      <w:spacing w:after="0"/>
    </w:pPr>
    <w:rPr>
      <w:rFonts w:ascii="Courier New" w:hAnsi="Courier New"/>
      <w:color w:val="FF0000"/>
    </w:rPr>
  </w:style>
  <w:style w:type="paragraph" w:styleId="Title">
    <w:name w:val="Title"/>
    <w:basedOn w:val="Normal"/>
    <w:next w:val="Normal"/>
    <w:qFormat/>
    <w:pPr>
      <w:spacing w:after="360"/>
      <w:jc w:val="center"/>
    </w:pPr>
    <w:rPr>
      <w:rFonts w:cs="Arial"/>
      <w:b/>
      <w:bCs/>
      <w:kern w:val="1"/>
      <w:sz w:val="36"/>
      <w:szCs w:val="32"/>
    </w:rPr>
  </w:style>
  <w:style w:type="paragraph" w:customStyle="1" w:styleId="NormalBeforeList">
    <w:name w:val="Normal (Before List)"/>
    <w:basedOn w:val="Normal"/>
    <w:next w:val="ListBullet"/>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pPr>
      <w:jc w:val="left"/>
    </w:pPr>
  </w:style>
  <w:style w:type="paragraph" w:styleId="FootnoteText">
    <w:name w:val="footnote text"/>
    <w:basedOn w:val="Normal"/>
    <w:pPr>
      <w:spacing w:after="80"/>
    </w:pPr>
    <w:rPr>
      <w:sz w:val="22"/>
      <w:szCs w:val="20"/>
    </w:rPr>
  </w:style>
  <w:style w:type="paragraph" w:styleId="TOC2">
    <w:name w:val="toc 2"/>
    <w:basedOn w:val="Normal"/>
    <w:next w:val="Normal"/>
    <w:pPr>
      <w:keepLines/>
      <w:spacing w:after="60"/>
      <w:ind w:left="261"/>
    </w:pPr>
  </w:style>
  <w:style w:type="paragraph" w:customStyle="1" w:styleId="NormalAfterList">
    <w:name w:val="Normal (After List)"/>
    <w:basedOn w:val="Normal"/>
    <w:next w:val="Normal"/>
    <w:pPr>
      <w:spacing w:before="120"/>
    </w:pPr>
  </w:style>
  <w:style w:type="paragraph" w:styleId="BalloonText">
    <w:name w:val="Balloon Text"/>
    <w:basedOn w:val="Normal"/>
    <w:link w:val="BalloonTextChar"/>
    <w:rPr>
      <w:rFonts w:ascii="Tahoma" w:hAnsi="Tahoma" w:cs="Tahoma"/>
      <w:sz w:val="16"/>
      <w:szCs w:val="16"/>
    </w:rPr>
  </w:style>
  <w:style w:type="paragraph" w:customStyle="1" w:styleId="TestNormal">
    <w:name w:val="Test Normal"/>
    <w:basedOn w:val="Normal"/>
    <w:pPr>
      <w:spacing w:after="120"/>
    </w:pPr>
    <w:rPr>
      <w:rFonts w:eastAsia="BiauKai" w:cs="TimesNewRoman"/>
      <w:iCs/>
      <w:sz w:val="24"/>
    </w:rPr>
  </w:style>
  <w:style w:type="paragraph" w:customStyle="1" w:styleId="bharanTbla">
    <w:name w:val="Ábhar an Tábla"/>
    <w:basedOn w:val="Normal"/>
    <w:pPr>
      <w:suppressLineNumbers/>
    </w:pPr>
  </w:style>
  <w:style w:type="paragraph" w:customStyle="1" w:styleId="CeannteidealTbla">
    <w:name w:val="Ceannteideal Tábla"/>
    <w:basedOn w:val="bharanTbla"/>
    <w:pPr>
      <w:jc w:val="center"/>
    </w:pPr>
    <w:rPr>
      <w:b/>
      <w:bCs/>
    </w:rPr>
  </w:style>
  <w:style w:type="paragraph" w:styleId="CommentSubject">
    <w:name w:val="annotation subject"/>
    <w:basedOn w:val="CommentText"/>
    <w:next w:val="CommentText"/>
    <w:link w:val="CommentSubjectChar1"/>
    <w:rPr>
      <w:rFonts w:ascii="Gill Sans" w:hAnsi="Gill Sans"/>
      <w:b/>
      <w:bCs/>
      <w:szCs w:val="20"/>
      <w:lang w:val="en-IE"/>
    </w:rPr>
  </w:style>
  <w:style w:type="paragraph" w:styleId="TOC3">
    <w:name w:val="toc 3"/>
    <w:basedOn w:val="Innacs"/>
    <w:pPr>
      <w:tabs>
        <w:tab w:val="right" w:leader="dot" w:pos="9072"/>
      </w:tabs>
      <w:ind w:left="566"/>
    </w:pPr>
  </w:style>
  <w:style w:type="paragraph" w:styleId="TOC4">
    <w:name w:val="toc 4"/>
    <w:basedOn w:val="Innacs"/>
    <w:pPr>
      <w:tabs>
        <w:tab w:val="right" w:leader="dot" w:pos="8789"/>
      </w:tabs>
      <w:ind w:left="849"/>
    </w:pPr>
  </w:style>
  <w:style w:type="paragraph" w:styleId="TOC5">
    <w:name w:val="toc 5"/>
    <w:basedOn w:val="Innacs"/>
    <w:pPr>
      <w:tabs>
        <w:tab w:val="right" w:leader="dot" w:pos="8506"/>
      </w:tabs>
      <w:ind w:left="1132"/>
    </w:pPr>
  </w:style>
  <w:style w:type="paragraph" w:styleId="TOC6">
    <w:name w:val="toc 6"/>
    <w:basedOn w:val="Innacs"/>
    <w:pPr>
      <w:tabs>
        <w:tab w:val="right" w:leader="dot" w:pos="8223"/>
      </w:tabs>
      <w:ind w:left="1415"/>
    </w:pPr>
  </w:style>
  <w:style w:type="paragraph" w:styleId="TOC7">
    <w:name w:val="toc 7"/>
    <w:basedOn w:val="Innacs"/>
    <w:pPr>
      <w:tabs>
        <w:tab w:val="right" w:leader="dot" w:pos="7940"/>
      </w:tabs>
      <w:ind w:left="1698"/>
    </w:pPr>
  </w:style>
  <w:style w:type="paragraph" w:styleId="TOC8">
    <w:name w:val="toc 8"/>
    <w:basedOn w:val="Innacs"/>
    <w:pPr>
      <w:tabs>
        <w:tab w:val="right" w:leader="dot" w:pos="7657"/>
      </w:tabs>
      <w:ind w:left="1981"/>
    </w:pPr>
  </w:style>
  <w:style w:type="paragraph" w:styleId="TOC9">
    <w:name w:val="toc 9"/>
    <w:basedOn w:val="Innacs"/>
    <w:pPr>
      <w:tabs>
        <w:tab w:val="right" w:leader="dot" w:pos="7374"/>
      </w:tabs>
      <w:ind w:left="2264"/>
    </w:pPr>
  </w:style>
  <w:style w:type="paragraph" w:customStyle="1" w:styleId="bhar10">
    <w:name w:val="Ábhar 10"/>
    <w:basedOn w:val="Innacs"/>
    <w:pPr>
      <w:tabs>
        <w:tab w:val="right" w:leader="dot" w:pos="7091"/>
      </w:tabs>
      <w:ind w:left="2547"/>
    </w:pPr>
  </w:style>
  <w:style w:type="character" w:customStyle="1" w:styleId="CommentTextChar2">
    <w:name w:val="Comment Text Char2"/>
    <w:link w:val="CommentText"/>
    <w:semiHidden/>
    <w:rsid w:val="000230E8"/>
    <w:rPr>
      <w:rFonts w:ascii="Arial" w:hAnsi="Arial"/>
      <w:szCs w:val="24"/>
      <w:lang w:val="x-none" w:eastAsia="ar-SA" w:bidi="ar-SA"/>
    </w:rPr>
  </w:style>
  <w:style w:type="character" w:customStyle="1" w:styleId="BodyTextIndentChar1">
    <w:name w:val="Body Text Indent Char1"/>
    <w:link w:val="BodyTextIndent"/>
    <w:rsid w:val="000230E8"/>
    <w:rPr>
      <w:rFonts w:ascii="Arial" w:hAnsi="Arial"/>
      <w:sz w:val="24"/>
      <w:szCs w:val="24"/>
      <w:lang w:val="x-none" w:eastAsia="ar-SA" w:bidi="ar-SA"/>
    </w:rPr>
  </w:style>
  <w:style w:type="character" w:customStyle="1" w:styleId="Heading1Char">
    <w:name w:val="Heading 1 Char"/>
    <w:link w:val="Heading1"/>
    <w:rsid w:val="00542349"/>
    <w:rPr>
      <w:rFonts w:ascii="Gill Sans" w:hAnsi="Gill Sans" w:cs="Arial"/>
      <w:b/>
      <w:bCs/>
      <w:kern w:val="1"/>
      <w:sz w:val="32"/>
      <w:szCs w:val="32"/>
      <w:lang w:val="en-IE" w:eastAsia="ar-SA" w:bidi="ar-SA"/>
    </w:rPr>
  </w:style>
  <w:style w:type="character" w:customStyle="1" w:styleId="Heading2Char">
    <w:name w:val="Heading 2 Char"/>
    <w:link w:val="Heading2"/>
    <w:rsid w:val="000230E8"/>
    <w:rPr>
      <w:rFonts w:ascii="Gill Sans" w:hAnsi="Gill Sans" w:cs="Arial Bold"/>
      <w:b/>
      <w:bCs/>
      <w:iCs/>
      <w:sz w:val="28"/>
      <w:szCs w:val="28"/>
      <w:lang w:val="en-IE" w:eastAsia="ar-SA" w:bidi="ar-SA"/>
    </w:rPr>
  </w:style>
  <w:style w:type="character" w:customStyle="1" w:styleId="ListBulletChar">
    <w:name w:val="List Bullet Char"/>
    <w:link w:val="ListBullet"/>
    <w:rsid w:val="000230E8"/>
    <w:rPr>
      <w:rFonts w:ascii="Gill Sans" w:hAnsi="Gill Sans"/>
      <w:sz w:val="26"/>
      <w:szCs w:val="24"/>
      <w:lang w:val="en-IE" w:eastAsia="ar-SA" w:bidi="ar-SA"/>
    </w:rPr>
  </w:style>
  <w:style w:type="table" w:styleId="TableGrid">
    <w:name w:val="Table Grid"/>
    <w:basedOn w:val="TableNormal"/>
    <w:rsid w:val="000230E8"/>
    <w:pPr>
      <w:spacing w:after="300" w:line="294"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link w:val="CommentSubject"/>
    <w:rsid w:val="000230E8"/>
    <w:rPr>
      <w:rFonts w:ascii="Gill Sans" w:hAnsi="Gill Sans"/>
      <w:b/>
      <w:bCs/>
      <w:szCs w:val="24"/>
      <w:lang w:val="en-IE" w:eastAsia="ar-SA" w:bidi="ar-SA"/>
    </w:rPr>
  </w:style>
  <w:style w:type="character" w:customStyle="1" w:styleId="BalloonTextChar">
    <w:name w:val="Balloon Text Char"/>
    <w:link w:val="BalloonText"/>
    <w:rsid w:val="000230E8"/>
    <w:rPr>
      <w:rFonts w:ascii="Tahoma" w:hAnsi="Tahoma" w:cs="Tahoma"/>
      <w:sz w:val="16"/>
      <w:szCs w:val="16"/>
      <w:lang w:val="en-IE" w:eastAsia="ar-SA" w:bidi="ar-SA"/>
    </w:rPr>
  </w:style>
  <w:style w:type="character" w:customStyle="1" w:styleId="tw4winMark">
    <w:name w:val="tw4winMark"/>
    <w:rsid w:val="000230E8"/>
    <w:rPr>
      <w:rFonts w:ascii="Courier New" w:hAnsi="Courier New"/>
      <w:vanish/>
      <w:color w:val="800080"/>
      <w:vertAlign w:val="subscript"/>
    </w:rPr>
  </w:style>
  <w:style w:type="character" w:customStyle="1" w:styleId="Heading1CharChar">
    <w:name w:val="Heading 1 Char Char"/>
    <w:rsid w:val="000230E8"/>
    <w:rPr>
      <w:rFonts w:ascii="Gill Sans" w:hAnsi="Gill Sans" w:cs="Arial"/>
      <w:b/>
      <w:bCs/>
      <w:kern w:val="32"/>
      <w:sz w:val="32"/>
      <w:szCs w:val="32"/>
      <w:lang w:val="en-IE" w:eastAsia="en-US" w:bidi="ar-SA"/>
    </w:rPr>
  </w:style>
  <w:style w:type="character" w:customStyle="1" w:styleId="ListBulletCharChar">
    <w:name w:val="List Bullet Char Char"/>
    <w:rsid w:val="000230E8"/>
    <w:rPr>
      <w:rFonts w:ascii="Gill Sans" w:hAnsi="Gill Sans"/>
      <w:sz w:val="26"/>
      <w:szCs w:val="24"/>
      <w:lang w:val="en-IE" w:eastAsia="en-US" w:bidi="ar-SA"/>
    </w:rPr>
  </w:style>
  <w:style w:type="paragraph" w:styleId="Revision">
    <w:name w:val="Revision"/>
    <w:hidden/>
    <w:uiPriority w:val="99"/>
    <w:semiHidden/>
    <w:rsid w:val="00B64EED"/>
    <w:rPr>
      <w:rFonts w:ascii="Gill Sans" w:hAnsi="Gill Sans"/>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da.i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Template>
  <TotalTime>1</TotalTime>
  <Pages>137</Pages>
  <Words>31267</Words>
  <Characters>178224</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Annual Report 2011</vt:lpstr>
    </vt:vector>
  </TitlesOfParts>
  <Company>Grizli777</Company>
  <LinksUpToDate>false</LinksUpToDate>
  <CharactersWithSpaces>209073</CharactersWithSpaces>
  <SharedDoc>false</SharedDoc>
  <HLinks>
    <vt:vector size="210" baseType="variant">
      <vt:variant>
        <vt:i4>1572920</vt:i4>
      </vt:variant>
      <vt:variant>
        <vt:i4>248</vt:i4>
      </vt:variant>
      <vt:variant>
        <vt:i4>0</vt:i4>
      </vt:variant>
      <vt:variant>
        <vt:i4>5</vt:i4>
      </vt:variant>
      <vt:variant>
        <vt:lpwstr/>
      </vt:variant>
      <vt:variant>
        <vt:lpwstr>_Toc335986633</vt:lpwstr>
      </vt:variant>
      <vt:variant>
        <vt:i4>1572920</vt:i4>
      </vt:variant>
      <vt:variant>
        <vt:i4>242</vt:i4>
      </vt:variant>
      <vt:variant>
        <vt:i4>0</vt:i4>
      </vt:variant>
      <vt:variant>
        <vt:i4>5</vt:i4>
      </vt:variant>
      <vt:variant>
        <vt:lpwstr/>
      </vt:variant>
      <vt:variant>
        <vt:lpwstr>_Toc335986632</vt:lpwstr>
      </vt:variant>
      <vt:variant>
        <vt:i4>1572920</vt:i4>
      </vt:variant>
      <vt:variant>
        <vt:i4>236</vt:i4>
      </vt:variant>
      <vt:variant>
        <vt:i4>0</vt:i4>
      </vt:variant>
      <vt:variant>
        <vt:i4>5</vt:i4>
      </vt:variant>
      <vt:variant>
        <vt:lpwstr/>
      </vt:variant>
      <vt:variant>
        <vt:lpwstr>_Toc335986631</vt:lpwstr>
      </vt:variant>
      <vt:variant>
        <vt:i4>1572920</vt:i4>
      </vt:variant>
      <vt:variant>
        <vt:i4>230</vt:i4>
      </vt:variant>
      <vt:variant>
        <vt:i4>0</vt:i4>
      </vt:variant>
      <vt:variant>
        <vt:i4>5</vt:i4>
      </vt:variant>
      <vt:variant>
        <vt:lpwstr/>
      </vt:variant>
      <vt:variant>
        <vt:lpwstr>_Toc335986630</vt:lpwstr>
      </vt:variant>
      <vt:variant>
        <vt:i4>1638456</vt:i4>
      </vt:variant>
      <vt:variant>
        <vt:i4>224</vt:i4>
      </vt:variant>
      <vt:variant>
        <vt:i4>0</vt:i4>
      </vt:variant>
      <vt:variant>
        <vt:i4>5</vt:i4>
      </vt:variant>
      <vt:variant>
        <vt:lpwstr/>
      </vt:variant>
      <vt:variant>
        <vt:lpwstr>_Toc335986629</vt:lpwstr>
      </vt:variant>
      <vt:variant>
        <vt:i4>1638456</vt:i4>
      </vt:variant>
      <vt:variant>
        <vt:i4>218</vt:i4>
      </vt:variant>
      <vt:variant>
        <vt:i4>0</vt:i4>
      </vt:variant>
      <vt:variant>
        <vt:i4>5</vt:i4>
      </vt:variant>
      <vt:variant>
        <vt:lpwstr/>
      </vt:variant>
      <vt:variant>
        <vt:lpwstr>_Toc335986628</vt:lpwstr>
      </vt:variant>
      <vt:variant>
        <vt:i4>1638456</vt:i4>
      </vt:variant>
      <vt:variant>
        <vt:i4>212</vt:i4>
      </vt:variant>
      <vt:variant>
        <vt:i4>0</vt:i4>
      </vt:variant>
      <vt:variant>
        <vt:i4>5</vt:i4>
      </vt:variant>
      <vt:variant>
        <vt:lpwstr/>
      </vt:variant>
      <vt:variant>
        <vt:lpwstr>_Toc335986627</vt:lpwstr>
      </vt:variant>
      <vt:variant>
        <vt:i4>1638456</vt:i4>
      </vt:variant>
      <vt:variant>
        <vt:i4>206</vt:i4>
      </vt:variant>
      <vt:variant>
        <vt:i4>0</vt:i4>
      </vt:variant>
      <vt:variant>
        <vt:i4>5</vt:i4>
      </vt:variant>
      <vt:variant>
        <vt:lpwstr/>
      </vt:variant>
      <vt:variant>
        <vt:lpwstr>_Toc335986626</vt:lpwstr>
      </vt:variant>
      <vt:variant>
        <vt:i4>1638456</vt:i4>
      </vt:variant>
      <vt:variant>
        <vt:i4>200</vt:i4>
      </vt:variant>
      <vt:variant>
        <vt:i4>0</vt:i4>
      </vt:variant>
      <vt:variant>
        <vt:i4>5</vt:i4>
      </vt:variant>
      <vt:variant>
        <vt:lpwstr/>
      </vt:variant>
      <vt:variant>
        <vt:lpwstr>_Toc335986625</vt:lpwstr>
      </vt:variant>
      <vt:variant>
        <vt:i4>1638456</vt:i4>
      </vt:variant>
      <vt:variant>
        <vt:i4>194</vt:i4>
      </vt:variant>
      <vt:variant>
        <vt:i4>0</vt:i4>
      </vt:variant>
      <vt:variant>
        <vt:i4>5</vt:i4>
      </vt:variant>
      <vt:variant>
        <vt:lpwstr/>
      </vt:variant>
      <vt:variant>
        <vt:lpwstr>_Toc335986624</vt:lpwstr>
      </vt:variant>
      <vt:variant>
        <vt:i4>6422655</vt:i4>
      </vt:variant>
      <vt:variant>
        <vt:i4>189</vt:i4>
      </vt:variant>
      <vt:variant>
        <vt:i4>0</vt:i4>
      </vt:variant>
      <vt:variant>
        <vt:i4>5</vt:i4>
      </vt:variant>
      <vt:variant>
        <vt:lpwstr>http://www.nda.ie/</vt:lpwstr>
      </vt:variant>
      <vt:variant>
        <vt:lpwstr/>
      </vt:variant>
      <vt:variant>
        <vt:i4>1900602</vt:i4>
      </vt:variant>
      <vt:variant>
        <vt:i4>140</vt:i4>
      </vt:variant>
      <vt:variant>
        <vt:i4>0</vt:i4>
      </vt:variant>
      <vt:variant>
        <vt:i4>5</vt:i4>
      </vt:variant>
      <vt:variant>
        <vt:lpwstr/>
      </vt:variant>
      <vt:variant>
        <vt:lpwstr>_Toc335983439</vt:lpwstr>
      </vt:variant>
      <vt:variant>
        <vt:i4>1900602</vt:i4>
      </vt:variant>
      <vt:variant>
        <vt:i4>134</vt:i4>
      </vt:variant>
      <vt:variant>
        <vt:i4>0</vt:i4>
      </vt:variant>
      <vt:variant>
        <vt:i4>5</vt:i4>
      </vt:variant>
      <vt:variant>
        <vt:lpwstr/>
      </vt:variant>
      <vt:variant>
        <vt:lpwstr>_Toc335983438</vt:lpwstr>
      </vt:variant>
      <vt:variant>
        <vt:i4>1900602</vt:i4>
      </vt:variant>
      <vt:variant>
        <vt:i4>128</vt:i4>
      </vt:variant>
      <vt:variant>
        <vt:i4>0</vt:i4>
      </vt:variant>
      <vt:variant>
        <vt:i4>5</vt:i4>
      </vt:variant>
      <vt:variant>
        <vt:lpwstr/>
      </vt:variant>
      <vt:variant>
        <vt:lpwstr>_Toc335983437</vt:lpwstr>
      </vt:variant>
      <vt:variant>
        <vt:i4>1900602</vt:i4>
      </vt:variant>
      <vt:variant>
        <vt:i4>122</vt:i4>
      </vt:variant>
      <vt:variant>
        <vt:i4>0</vt:i4>
      </vt:variant>
      <vt:variant>
        <vt:i4>5</vt:i4>
      </vt:variant>
      <vt:variant>
        <vt:lpwstr/>
      </vt:variant>
      <vt:variant>
        <vt:lpwstr>_Toc335983436</vt:lpwstr>
      </vt:variant>
      <vt:variant>
        <vt:i4>1900602</vt:i4>
      </vt:variant>
      <vt:variant>
        <vt:i4>116</vt:i4>
      </vt:variant>
      <vt:variant>
        <vt:i4>0</vt:i4>
      </vt:variant>
      <vt:variant>
        <vt:i4>5</vt:i4>
      </vt:variant>
      <vt:variant>
        <vt:lpwstr/>
      </vt:variant>
      <vt:variant>
        <vt:lpwstr>_Toc335983435</vt:lpwstr>
      </vt:variant>
      <vt:variant>
        <vt:i4>1900602</vt:i4>
      </vt:variant>
      <vt:variant>
        <vt:i4>110</vt:i4>
      </vt:variant>
      <vt:variant>
        <vt:i4>0</vt:i4>
      </vt:variant>
      <vt:variant>
        <vt:i4>5</vt:i4>
      </vt:variant>
      <vt:variant>
        <vt:lpwstr/>
      </vt:variant>
      <vt:variant>
        <vt:lpwstr>_Toc335983434</vt:lpwstr>
      </vt:variant>
      <vt:variant>
        <vt:i4>1900602</vt:i4>
      </vt:variant>
      <vt:variant>
        <vt:i4>104</vt:i4>
      </vt:variant>
      <vt:variant>
        <vt:i4>0</vt:i4>
      </vt:variant>
      <vt:variant>
        <vt:i4>5</vt:i4>
      </vt:variant>
      <vt:variant>
        <vt:lpwstr/>
      </vt:variant>
      <vt:variant>
        <vt:lpwstr>_Toc335983433</vt:lpwstr>
      </vt:variant>
      <vt:variant>
        <vt:i4>1900602</vt:i4>
      </vt:variant>
      <vt:variant>
        <vt:i4>98</vt:i4>
      </vt:variant>
      <vt:variant>
        <vt:i4>0</vt:i4>
      </vt:variant>
      <vt:variant>
        <vt:i4>5</vt:i4>
      </vt:variant>
      <vt:variant>
        <vt:lpwstr/>
      </vt:variant>
      <vt:variant>
        <vt:lpwstr>_Toc335983432</vt:lpwstr>
      </vt:variant>
      <vt:variant>
        <vt:i4>1900602</vt:i4>
      </vt:variant>
      <vt:variant>
        <vt:i4>92</vt:i4>
      </vt:variant>
      <vt:variant>
        <vt:i4>0</vt:i4>
      </vt:variant>
      <vt:variant>
        <vt:i4>5</vt:i4>
      </vt:variant>
      <vt:variant>
        <vt:lpwstr/>
      </vt:variant>
      <vt:variant>
        <vt:lpwstr>_Toc335983431</vt:lpwstr>
      </vt:variant>
      <vt:variant>
        <vt:i4>1900602</vt:i4>
      </vt:variant>
      <vt:variant>
        <vt:i4>86</vt:i4>
      </vt:variant>
      <vt:variant>
        <vt:i4>0</vt:i4>
      </vt:variant>
      <vt:variant>
        <vt:i4>5</vt:i4>
      </vt:variant>
      <vt:variant>
        <vt:lpwstr/>
      </vt:variant>
      <vt:variant>
        <vt:lpwstr>_Toc335983430</vt:lpwstr>
      </vt:variant>
      <vt:variant>
        <vt:i4>6422655</vt:i4>
      </vt:variant>
      <vt:variant>
        <vt:i4>81</vt:i4>
      </vt:variant>
      <vt:variant>
        <vt:i4>0</vt:i4>
      </vt:variant>
      <vt:variant>
        <vt:i4>5</vt:i4>
      </vt:variant>
      <vt:variant>
        <vt:lpwstr>http://www.nda.ie/</vt:lpwstr>
      </vt:variant>
      <vt:variant>
        <vt:lpwstr/>
      </vt:variant>
      <vt:variant>
        <vt:i4>1048626</vt:i4>
      </vt:variant>
      <vt:variant>
        <vt:i4>74</vt:i4>
      </vt:variant>
      <vt:variant>
        <vt:i4>0</vt:i4>
      </vt:variant>
      <vt:variant>
        <vt:i4>5</vt:i4>
      </vt:variant>
      <vt:variant>
        <vt:lpwstr/>
      </vt:variant>
      <vt:variant>
        <vt:lpwstr>_Toc335829655</vt:lpwstr>
      </vt:variant>
      <vt:variant>
        <vt:i4>1048626</vt:i4>
      </vt:variant>
      <vt:variant>
        <vt:i4>68</vt:i4>
      </vt:variant>
      <vt:variant>
        <vt:i4>0</vt:i4>
      </vt:variant>
      <vt:variant>
        <vt:i4>5</vt:i4>
      </vt:variant>
      <vt:variant>
        <vt:lpwstr/>
      </vt:variant>
      <vt:variant>
        <vt:lpwstr>_Toc335829654</vt:lpwstr>
      </vt:variant>
      <vt:variant>
        <vt:i4>1048626</vt:i4>
      </vt:variant>
      <vt:variant>
        <vt:i4>62</vt:i4>
      </vt:variant>
      <vt:variant>
        <vt:i4>0</vt:i4>
      </vt:variant>
      <vt:variant>
        <vt:i4>5</vt:i4>
      </vt:variant>
      <vt:variant>
        <vt:lpwstr/>
      </vt:variant>
      <vt:variant>
        <vt:lpwstr>_Toc335829653</vt:lpwstr>
      </vt:variant>
      <vt:variant>
        <vt:i4>1048626</vt:i4>
      </vt:variant>
      <vt:variant>
        <vt:i4>56</vt:i4>
      </vt:variant>
      <vt:variant>
        <vt:i4>0</vt:i4>
      </vt:variant>
      <vt:variant>
        <vt:i4>5</vt:i4>
      </vt:variant>
      <vt:variant>
        <vt:lpwstr/>
      </vt:variant>
      <vt:variant>
        <vt:lpwstr>_Toc335829652</vt:lpwstr>
      </vt:variant>
      <vt:variant>
        <vt:i4>1048626</vt:i4>
      </vt:variant>
      <vt:variant>
        <vt:i4>50</vt:i4>
      </vt:variant>
      <vt:variant>
        <vt:i4>0</vt:i4>
      </vt:variant>
      <vt:variant>
        <vt:i4>5</vt:i4>
      </vt:variant>
      <vt:variant>
        <vt:lpwstr/>
      </vt:variant>
      <vt:variant>
        <vt:lpwstr>_Toc335829651</vt:lpwstr>
      </vt:variant>
      <vt:variant>
        <vt:i4>1114162</vt:i4>
      </vt:variant>
      <vt:variant>
        <vt:i4>44</vt:i4>
      </vt:variant>
      <vt:variant>
        <vt:i4>0</vt:i4>
      </vt:variant>
      <vt:variant>
        <vt:i4>5</vt:i4>
      </vt:variant>
      <vt:variant>
        <vt:lpwstr/>
      </vt:variant>
      <vt:variant>
        <vt:lpwstr>_Toc335829643</vt:lpwstr>
      </vt:variant>
      <vt:variant>
        <vt:i4>1114162</vt:i4>
      </vt:variant>
      <vt:variant>
        <vt:i4>38</vt:i4>
      </vt:variant>
      <vt:variant>
        <vt:i4>0</vt:i4>
      </vt:variant>
      <vt:variant>
        <vt:i4>5</vt:i4>
      </vt:variant>
      <vt:variant>
        <vt:lpwstr/>
      </vt:variant>
      <vt:variant>
        <vt:lpwstr>_Toc335829642</vt:lpwstr>
      </vt:variant>
      <vt:variant>
        <vt:i4>1114162</vt:i4>
      </vt:variant>
      <vt:variant>
        <vt:i4>32</vt:i4>
      </vt:variant>
      <vt:variant>
        <vt:i4>0</vt:i4>
      </vt:variant>
      <vt:variant>
        <vt:i4>5</vt:i4>
      </vt:variant>
      <vt:variant>
        <vt:lpwstr/>
      </vt:variant>
      <vt:variant>
        <vt:lpwstr>_Toc335829641</vt:lpwstr>
      </vt:variant>
      <vt:variant>
        <vt:i4>1114162</vt:i4>
      </vt:variant>
      <vt:variant>
        <vt:i4>26</vt:i4>
      </vt:variant>
      <vt:variant>
        <vt:i4>0</vt:i4>
      </vt:variant>
      <vt:variant>
        <vt:i4>5</vt:i4>
      </vt:variant>
      <vt:variant>
        <vt:lpwstr/>
      </vt:variant>
      <vt:variant>
        <vt:lpwstr>_Toc335829640</vt:lpwstr>
      </vt:variant>
      <vt:variant>
        <vt:i4>1441842</vt:i4>
      </vt:variant>
      <vt:variant>
        <vt:i4>20</vt:i4>
      </vt:variant>
      <vt:variant>
        <vt:i4>0</vt:i4>
      </vt:variant>
      <vt:variant>
        <vt:i4>5</vt:i4>
      </vt:variant>
      <vt:variant>
        <vt:lpwstr/>
      </vt:variant>
      <vt:variant>
        <vt:lpwstr>_Toc335829639</vt:lpwstr>
      </vt:variant>
      <vt:variant>
        <vt:i4>1441842</vt:i4>
      </vt:variant>
      <vt:variant>
        <vt:i4>14</vt:i4>
      </vt:variant>
      <vt:variant>
        <vt:i4>0</vt:i4>
      </vt:variant>
      <vt:variant>
        <vt:i4>5</vt:i4>
      </vt:variant>
      <vt:variant>
        <vt:lpwstr/>
      </vt:variant>
      <vt:variant>
        <vt:lpwstr>_Toc335829638</vt:lpwstr>
      </vt:variant>
      <vt:variant>
        <vt:i4>1441842</vt:i4>
      </vt:variant>
      <vt:variant>
        <vt:i4>8</vt:i4>
      </vt:variant>
      <vt:variant>
        <vt:i4>0</vt:i4>
      </vt:variant>
      <vt:variant>
        <vt:i4>5</vt:i4>
      </vt:variant>
      <vt:variant>
        <vt:lpwstr/>
      </vt:variant>
      <vt:variant>
        <vt:lpwstr>_Toc335829637</vt:lpwstr>
      </vt:variant>
      <vt:variant>
        <vt:i4>1441842</vt:i4>
      </vt:variant>
      <vt:variant>
        <vt:i4>2</vt:i4>
      </vt:variant>
      <vt:variant>
        <vt:i4>0</vt:i4>
      </vt:variant>
      <vt:variant>
        <vt:i4>5</vt:i4>
      </vt:variant>
      <vt:variant>
        <vt:lpwstr/>
      </vt:variant>
      <vt:variant>
        <vt:lpwstr>_Toc335829636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2011</dc:title>
  <dc:subject/>
  <dc:creator>creanex</dc:creator>
  <cp:keywords/>
  <dc:description/>
  <cp:lastModifiedBy>Heather O'Leary (NDA)</cp:lastModifiedBy>
  <cp:revision>2</cp:revision>
  <cp:lastPrinted>2012-09-21T10:28:00Z</cp:lastPrinted>
  <dcterms:created xsi:type="dcterms:W3CDTF">2023-07-10T13:25:00Z</dcterms:created>
  <dcterms:modified xsi:type="dcterms:W3CDTF">2023-07-10T13:25:00Z</dcterms:modified>
</cp:coreProperties>
</file>