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086D" w14:textId="7C45D577" w:rsidR="00365C67" w:rsidRPr="001A3852" w:rsidRDefault="00365C67" w:rsidP="001A3852">
      <w:pPr>
        <w:pStyle w:val="Title"/>
        <w:spacing w:before="840" w:after="2880"/>
        <w:jc w:val="left"/>
        <w:rPr>
          <w:sz w:val="48"/>
          <w:szCs w:val="48"/>
        </w:rPr>
      </w:pPr>
      <w:bookmarkStart w:id="0" w:name="_Toc101857178"/>
      <w:bookmarkStart w:id="1" w:name="_Toc130474348"/>
      <w:bookmarkStart w:id="2" w:name="_Toc170203424"/>
      <w:r>
        <w:rPr>
          <w:sz w:val="48"/>
          <w:szCs w:val="48"/>
        </w:rPr>
        <w:t xml:space="preserve">Comprehensive Employment Strategy </w:t>
      </w:r>
      <w:r w:rsidRPr="00167D17">
        <w:rPr>
          <w:sz w:val="48"/>
          <w:szCs w:val="48"/>
        </w:rPr>
        <w:t xml:space="preserve">NDA </w:t>
      </w:r>
      <w:r>
        <w:rPr>
          <w:sz w:val="48"/>
          <w:szCs w:val="48"/>
        </w:rPr>
        <w:t>Year-end A</w:t>
      </w:r>
      <w:r w:rsidRPr="00167D17">
        <w:rPr>
          <w:sz w:val="48"/>
          <w:szCs w:val="48"/>
        </w:rPr>
        <w:t>ssessment 202</w:t>
      </w:r>
      <w:bookmarkEnd w:id="0"/>
      <w:bookmarkEnd w:id="1"/>
      <w:r w:rsidR="004E6CDF">
        <w:rPr>
          <w:sz w:val="48"/>
          <w:szCs w:val="48"/>
        </w:rPr>
        <w:t>3</w:t>
      </w:r>
      <w:bookmarkEnd w:id="2"/>
    </w:p>
    <w:p w14:paraId="107A6BD2" w14:textId="09E08B70" w:rsidR="0067766C" w:rsidRPr="00DE74ED" w:rsidRDefault="005E1E82" w:rsidP="00C76191">
      <w:pPr>
        <w:spacing w:after="2760"/>
      </w:pPr>
      <w:r>
        <w:t xml:space="preserve">June </w:t>
      </w:r>
      <w:r w:rsidR="00C76191">
        <w:t>2024</w:t>
      </w:r>
    </w:p>
    <w:p w14:paraId="7E6BE635" w14:textId="27D76654" w:rsidR="009E5A66" w:rsidRDefault="00365C67" w:rsidP="00365C67">
      <w:pPr>
        <w:spacing w:after="0"/>
      </w:pPr>
      <w:r>
        <w:rPr>
          <w:noProof/>
          <w:lang w:eastAsia="en-IE"/>
        </w:rPr>
        <w:drawing>
          <wp:inline distT="0" distB="0" distL="0" distR="0" wp14:anchorId="45E8CBDE" wp14:editId="518D6A7E">
            <wp:extent cx="2524125" cy="1800225"/>
            <wp:effectExtent l="0" t="0" r="9525" b="9525"/>
            <wp:docPr id="2" name="Picture 2" descr="Logo of National Disability Authority" title="Logo"/>
            <wp:cNvGraphicFramePr/>
            <a:graphic xmlns:a="http://schemas.openxmlformats.org/drawingml/2006/main">
              <a:graphicData uri="http://schemas.openxmlformats.org/drawingml/2006/picture">
                <pic:pic xmlns:pic="http://schemas.openxmlformats.org/drawingml/2006/picture">
                  <pic:nvPicPr>
                    <pic:cNvPr id="1" name="Picture 1" descr="Logo of National Disability Authority" titl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sidR="001A3852">
        <w:br w:type="textWrapping" w:clear="all"/>
      </w:r>
    </w:p>
    <w:p w14:paraId="0D7D6961" w14:textId="77777777" w:rsidR="009E5A66" w:rsidRDefault="009E5A66">
      <w:pPr>
        <w:spacing w:after="0"/>
      </w:pPr>
      <w:r>
        <w:br w:type="page"/>
      </w:r>
    </w:p>
    <w:sdt>
      <w:sdtPr>
        <w:rPr>
          <w:rFonts w:ascii="Gill Sans MT" w:eastAsia="Times New Roman" w:hAnsi="Gill Sans MT" w:cs="Times New Roman"/>
          <w:color w:val="auto"/>
          <w:sz w:val="26"/>
          <w:szCs w:val="24"/>
          <w:lang w:val="en-GB"/>
        </w:rPr>
        <w:id w:val="958836282"/>
        <w:docPartObj>
          <w:docPartGallery w:val="Table of Contents"/>
          <w:docPartUnique/>
        </w:docPartObj>
      </w:sdtPr>
      <w:sdtEndPr>
        <w:rPr>
          <w:b/>
          <w:bCs/>
        </w:rPr>
      </w:sdtEndPr>
      <w:sdtContent>
        <w:p w14:paraId="2D5BA14C" w14:textId="44278173" w:rsidR="009E5A66" w:rsidRPr="0008118F" w:rsidRDefault="009E5A66">
          <w:pPr>
            <w:pStyle w:val="TOCHeading"/>
            <w:rPr>
              <w:rFonts w:ascii="Gill Sans MT" w:hAnsi="Gill Sans MT"/>
              <w:b/>
              <w:bCs/>
            </w:rPr>
          </w:pPr>
          <w:r w:rsidRPr="0008118F">
            <w:rPr>
              <w:rFonts w:ascii="Gill Sans MT" w:hAnsi="Gill Sans MT"/>
              <w:b/>
              <w:bCs/>
              <w:lang w:val="en-GB"/>
            </w:rPr>
            <w:t>Table of Contents</w:t>
          </w:r>
        </w:p>
        <w:p w14:paraId="20420F21" w14:textId="365014CC" w:rsidR="009E5A66" w:rsidRPr="0008118F" w:rsidRDefault="009E5A66">
          <w:pPr>
            <w:pStyle w:val="TOC1"/>
            <w:tabs>
              <w:tab w:val="right" w:leader="dot" w:pos="8630"/>
            </w:tabs>
            <w:rPr>
              <w:rFonts w:asciiTheme="minorHAnsi" w:eastAsiaTheme="minorEastAsia" w:hAnsiTheme="minorHAnsi" w:cstheme="minorBidi"/>
              <w:noProof/>
              <w:kern w:val="2"/>
              <w:sz w:val="22"/>
              <w:szCs w:val="22"/>
              <w:lang w:eastAsia="en-IE"/>
              <w14:ligatures w14:val="standardContextual"/>
            </w:rPr>
          </w:pPr>
          <w:r>
            <w:fldChar w:fldCharType="begin"/>
          </w:r>
          <w:r>
            <w:instrText xml:space="preserve"> TOC \o "1-3" \h \z \u </w:instrText>
          </w:r>
          <w:r>
            <w:fldChar w:fldCharType="separate"/>
          </w:r>
          <w:hyperlink w:anchor="_Toc170203426" w:history="1">
            <w:r w:rsidRPr="00695802">
              <w:rPr>
                <w:rStyle w:val="Hyperlink"/>
                <w:noProof/>
              </w:rPr>
              <w:t>Executive Summary</w:t>
            </w:r>
            <w:r>
              <w:rPr>
                <w:noProof/>
                <w:webHidden/>
              </w:rPr>
              <w:tab/>
            </w:r>
            <w:r>
              <w:rPr>
                <w:noProof/>
                <w:webHidden/>
              </w:rPr>
              <w:fldChar w:fldCharType="begin"/>
            </w:r>
            <w:r>
              <w:rPr>
                <w:noProof/>
                <w:webHidden/>
              </w:rPr>
              <w:instrText xml:space="preserve"> PAGEREF _Toc170203426 \h </w:instrText>
            </w:r>
            <w:r>
              <w:rPr>
                <w:noProof/>
                <w:webHidden/>
              </w:rPr>
            </w:r>
            <w:r>
              <w:rPr>
                <w:noProof/>
                <w:webHidden/>
              </w:rPr>
              <w:fldChar w:fldCharType="separate"/>
            </w:r>
            <w:r>
              <w:rPr>
                <w:noProof/>
                <w:webHidden/>
              </w:rPr>
              <w:t>4</w:t>
            </w:r>
            <w:r>
              <w:rPr>
                <w:noProof/>
                <w:webHidden/>
              </w:rPr>
              <w:fldChar w:fldCharType="end"/>
            </w:r>
          </w:hyperlink>
        </w:p>
        <w:p w14:paraId="214B1D1D" w14:textId="02FDF2EA" w:rsidR="009E5A66" w:rsidRDefault="00000000">
          <w:pPr>
            <w:pStyle w:val="TOC1"/>
            <w:tabs>
              <w:tab w:val="right" w:leader="dot" w:pos="8630"/>
            </w:tabs>
            <w:rPr>
              <w:rFonts w:asciiTheme="minorHAnsi" w:eastAsiaTheme="minorEastAsia" w:hAnsiTheme="minorHAnsi" w:cstheme="minorBidi"/>
              <w:b w:val="0"/>
              <w:noProof/>
              <w:kern w:val="2"/>
              <w:sz w:val="22"/>
              <w:szCs w:val="22"/>
              <w:lang w:eastAsia="en-IE"/>
              <w14:ligatures w14:val="standardContextual"/>
            </w:rPr>
          </w:pPr>
          <w:hyperlink w:anchor="_Toc170203427" w:history="1">
            <w:r w:rsidR="009E5A66" w:rsidRPr="00695802">
              <w:rPr>
                <w:rStyle w:val="Hyperlink"/>
                <w:noProof/>
              </w:rPr>
              <w:t>Introduction</w:t>
            </w:r>
            <w:r w:rsidR="009E5A66">
              <w:rPr>
                <w:noProof/>
                <w:webHidden/>
              </w:rPr>
              <w:tab/>
            </w:r>
            <w:r w:rsidR="009E5A66">
              <w:rPr>
                <w:noProof/>
                <w:webHidden/>
              </w:rPr>
              <w:fldChar w:fldCharType="begin"/>
            </w:r>
            <w:r w:rsidR="009E5A66">
              <w:rPr>
                <w:noProof/>
                <w:webHidden/>
              </w:rPr>
              <w:instrText xml:space="preserve"> PAGEREF _Toc170203427 \h </w:instrText>
            </w:r>
            <w:r w:rsidR="009E5A66">
              <w:rPr>
                <w:noProof/>
                <w:webHidden/>
              </w:rPr>
            </w:r>
            <w:r w:rsidR="009E5A66">
              <w:rPr>
                <w:noProof/>
                <w:webHidden/>
              </w:rPr>
              <w:fldChar w:fldCharType="separate"/>
            </w:r>
            <w:r w:rsidR="009E5A66">
              <w:rPr>
                <w:noProof/>
                <w:webHidden/>
              </w:rPr>
              <w:t>5</w:t>
            </w:r>
            <w:r w:rsidR="009E5A66">
              <w:rPr>
                <w:noProof/>
                <w:webHidden/>
              </w:rPr>
              <w:fldChar w:fldCharType="end"/>
            </w:r>
          </w:hyperlink>
        </w:p>
        <w:p w14:paraId="59A896E2" w14:textId="27D587AD" w:rsidR="009E5A66" w:rsidRDefault="00000000">
          <w:pPr>
            <w:pStyle w:val="TOC1"/>
            <w:tabs>
              <w:tab w:val="right" w:leader="dot" w:pos="8630"/>
            </w:tabs>
            <w:rPr>
              <w:rFonts w:asciiTheme="minorHAnsi" w:eastAsiaTheme="minorEastAsia" w:hAnsiTheme="minorHAnsi" w:cstheme="minorBidi"/>
              <w:b w:val="0"/>
              <w:noProof/>
              <w:kern w:val="2"/>
              <w:sz w:val="22"/>
              <w:szCs w:val="22"/>
              <w:lang w:eastAsia="en-IE"/>
              <w14:ligatures w14:val="standardContextual"/>
            </w:rPr>
          </w:pPr>
          <w:hyperlink w:anchor="_Toc170203428" w:history="1">
            <w:r w:rsidR="009E5A66" w:rsidRPr="00695802">
              <w:rPr>
                <w:rStyle w:val="Hyperlink"/>
                <w:noProof/>
                <w:lang w:eastAsia="en-IE"/>
              </w:rPr>
              <w:t>2023 in context</w:t>
            </w:r>
            <w:r w:rsidR="009E5A66">
              <w:rPr>
                <w:noProof/>
                <w:webHidden/>
              </w:rPr>
              <w:tab/>
            </w:r>
            <w:r w:rsidR="009E5A66">
              <w:rPr>
                <w:noProof/>
                <w:webHidden/>
              </w:rPr>
              <w:fldChar w:fldCharType="begin"/>
            </w:r>
            <w:r w:rsidR="009E5A66">
              <w:rPr>
                <w:noProof/>
                <w:webHidden/>
              </w:rPr>
              <w:instrText xml:space="preserve"> PAGEREF _Toc170203428 \h </w:instrText>
            </w:r>
            <w:r w:rsidR="009E5A66">
              <w:rPr>
                <w:noProof/>
                <w:webHidden/>
              </w:rPr>
            </w:r>
            <w:r w:rsidR="009E5A66">
              <w:rPr>
                <w:noProof/>
                <w:webHidden/>
              </w:rPr>
              <w:fldChar w:fldCharType="separate"/>
            </w:r>
            <w:r w:rsidR="009E5A66">
              <w:rPr>
                <w:noProof/>
                <w:webHidden/>
              </w:rPr>
              <w:t>5</w:t>
            </w:r>
            <w:r w:rsidR="009E5A66">
              <w:rPr>
                <w:noProof/>
                <w:webHidden/>
              </w:rPr>
              <w:fldChar w:fldCharType="end"/>
            </w:r>
          </w:hyperlink>
        </w:p>
        <w:p w14:paraId="33B14288" w14:textId="517FB06D"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29" w:history="1">
            <w:r w:rsidR="009E5A66" w:rsidRPr="00695802">
              <w:rPr>
                <w:rStyle w:val="Hyperlink"/>
                <w:noProof/>
              </w:rPr>
              <w:t>Census 2022 Data</w:t>
            </w:r>
            <w:r w:rsidR="009E5A66">
              <w:rPr>
                <w:noProof/>
                <w:webHidden/>
              </w:rPr>
              <w:tab/>
            </w:r>
            <w:r w:rsidR="009E5A66">
              <w:rPr>
                <w:noProof/>
                <w:webHidden/>
              </w:rPr>
              <w:fldChar w:fldCharType="begin"/>
            </w:r>
            <w:r w:rsidR="009E5A66">
              <w:rPr>
                <w:noProof/>
                <w:webHidden/>
              </w:rPr>
              <w:instrText xml:space="preserve"> PAGEREF _Toc170203429 \h </w:instrText>
            </w:r>
            <w:r w:rsidR="009E5A66">
              <w:rPr>
                <w:noProof/>
                <w:webHidden/>
              </w:rPr>
            </w:r>
            <w:r w:rsidR="009E5A66">
              <w:rPr>
                <w:noProof/>
                <w:webHidden/>
              </w:rPr>
              <w:fldChar w:fldCharType="separate"/>
            </w:r>
            <w:r w:rsidR="009E5A66">
              <w:rPr>
                <w:noProof/>
                <w:webHidden/>
              </w:rPr>
              <w:t>5</w:t>
            </w:r>
            <w:r w:rsidR="009E5A66">
              <w:rPr>
                <w:noProof/>
                <w:webHidden/>
              </w:rPr>
              <w:fldChar w:fldCharType="end"/>
            </w:r>
          </w:hyperlink>
        </w:p>
        <w:p w14:paraId="32521A7F" w14:textId="0417F8A4"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30" w:history="1">
            <w:r w:rsidR="009E5A66" w:rsidRPr="00695802">
              <w:rPr>
                <w:rStyle w:val="Hyperlink"/>
                <w:noProof/>
              </w:rPr>
              <w:t>Higher Education, Further Education and Training</w:t>
            </w:r>
            <w:r w:rsidR="009E5A66">
              <w:rPr>
                <w:noProof/>
                <w:webHidden/>
              </w:rPr>
              <w:tab/>
            </w:r>
            <w:r w:rsidR="009E5A66">
              <w:rPr>
                <w:noProof/>
                <w:webHidden/>
              </w:rPr>
              <w:fldChar w:fldCharType="begin"/>
            </w:r>
            <w:r w:rsidR="009E5A66">
              <w:rPr>
                <w:noProof/>
                <w:webHidden/>
              </w:rPr>
              <w:instrText xml:space="preserve"> PAGEREF _Toc170203430 \h </w:instrText>
            </w:r>
            <w:r w:rsidR="009E5A66">
              <w:rPr>
                <w:noProof/>
                <w:webHidden/>
              </w:rPr>
            </w:r>
            <w:r w:rsidR="009E5A66">
              <w:rPr>
                <w:noProof/>
                <w:webHidden/>
              </w:rPr>
              <w:fldChar w:fldCharType="separate"/>
            </w:r>
            <w:r w:rsidR="009E5A66">
              <w:rPr>
                <w:noProof/>
                <w:webHidden/>
              </w:rPr>
              <w:t>6</w:t>
            </w:r>
            <w:r w:rsidR="009E5A66">
              <w:rPr>
                <w:noProof/>
                <w:webHidden/>
              </w:rPr>
              <w:fldChar w:fldCharType="end"/>
            </w:r>
          </w:hyperlink>
        </w:p>
        <w:p w14:paraId="12CF51BB" w14:textId="39436FF5"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31" w:history="1">
            <w:r w:rsidR="009E5A66" w:rsidRPr="00695802">
              <w:rPr>
                <w:rStyle w:val="Hyperlink"/>
                <w:noProof/>
              </w:rPr>
              <w:t>Consultation with disabled people</w:t>
            </w:r>
            <w:r w:rsidR="009E5A66">
              <w:rPr>
                <w:noProof/>
                <w:webHidden/>
              </w:rPr>
              <w:tab/>
            </w:r>
            <w:r w:rsidR="009E5A66">
              <w:rPr>
                <w:noProof/>
                <w:webHidden/>
              </w:rPr>
              <w:fldChar w:fldCharType="begin"/>
            </w:r>
            <w:r w:rsidR="009E5A66">
              <w:rPr>
                <w:noProof/>
                <w:webHidden/>
              </w:rPr>
              <w:instrText xml:space="preserve"> PAGEREF _Toc170203431 \h </w:instrText>
            </w:r>
            <w:r w:rsidR="009E5A66">
              <w:rPr>
                <w:noProof/>
                <w:webHidden/>
              </w:rPr>
            </w:r>
            <w:r w:rsidR="009E5A66">
              <w:rPr>
                <w:noProof/>
                <w:webHidden/>
              </w:rPr>
              <w:fldChar w:fldCharType="separate"/>
            </w:r>
            <w:r w:rsidR="009E5A66">
              <w:rPr>
                <w:noProof/>
                <w:webHidden/>
              </w:rPr>
              <w:t>8</w:t>
            </w:r>
            <w:r w:rsidR="009E5A66">
              <w:rPr>
                <w:noProof/>
                <w:webHidden/>
              </w:rPr>
              <w:fldChar w:fldCharType="end"/>
            </w:r>
          </w:hyperlink>
        </w:p>
        <w:p w14:paraId="367F335F" w14:textId="578E95EB"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32" w:history="1">
            <w:r w:rsidR="009E5A66" w:rsidRPr="00695802">
              <w:rPr>
                <w:rStyle w:val="Hyperlink"/>
                <w:noProof/>
              </w:rPr>
              <w:t>Proposed disability payment reform</w:t>
            </w:r>
            <w:r w:rsidR="009E5A66">
              <w:rPr>
                <w:noProof/>
                <w:webHidden/>
              </w:rPr>
              <w:tab/>
            </w:r>
            <w:r w:rsidR="009E5A66">
              <w:rPr>
                <w:noProof/>
                <w:webHidden/>
              </w:rPr>
              <w:fldChar w:fldCharType="begin"/>
            </w:r>
            <w:r w:rsidR="009E5A66">
              <w:rPr>
                <w:noProof/>
                <w:webHidden/>
              </w:rPr>
              <w:instrText xml:space="preserve"> PAGEREF _Toc170203432 \h </w:instrText>
            </w:r>
            <w:r w:rsidR="009E5A66">
              <w:rPr>
                <w:noProof/>
                <w:webHidden/>
              </w:rPr>
            </w:r>
            <w:r w:rsidR="009E5A66">
              <w:rPr>
                <w:noProof/>
                <w:webHidden/>
              </w:rPr>
              <w:fldChar w:fldCharType="separate"/>
            </w:r>
            <w:r w:rsidR="009E5A66">
              <w:rPr>
                <w:noProof/>
                <w:webHidden/>
              </w:rPr>
              <w:t>9</w:t>
            </w:r>
            <w:r w:rsidR="009E5A66">
              <w:rPr>
                <w:noProof/>
                <w:webHidden/>
              </w:rPr>
              <w:fldChar w:fldCharType="end"/>
            </w:r>
          </w:hyperlink>
        </w:p>
        <w:p w14:paraId="48E2A571" w14:textId="6A2D5F70" w:rsidR="009E5A66" w:rsidRDefault="00000000">
          <w:pPr>
            <w:pStyle w:val="TOC1"/>
            <w:tabs>
              <w:tab w:val="right" w:leader="dot" w:pos="8630"/>
            </w:tabs>
            <w:rPr>
              <w:rFonts w:asciiTheme="minorHAnsi" w:eastAsiaTheme="minorEastAsia" w:hAnsiTheme="minorHAnsi" w:cstheme="minorBidi"/>
              <w:b w:val="0"/>
              <w:noProof/>
              <w:kern w:val="2"/>
              <w:sz w:val="22"/>
              <w:szCs w:val="22"/>
              <w:lang w:eastAsia="en-IE"/>
              <w14:ligatures w14:val="standardContextual"/>
            </w:rPr>
          </w:pPr>
          <w:hyperlink w:anchor="_Toc170203433" w:history="1">
            <w:r w:rsidR="009E5A66" w:rsidRPr="00695802">
              <w:rPr>
                <w:rStyle w:val="Hyperlink"/>
                <w:noProof/>
              </w:rPr>
              <w:t>Key Developments during 2023</w:t>
            </w:r>
            <w:r w:rsidR="009E5A66">
              <w:rPr>
                <w:noProof/>
                <w:webHidden/>
              </w:rPr>
              <w:tab/>
            </w:r>
            <w:r w:rsidR="009E5A66">
              <w:rPr>
                <w:noProof/>
                <w:webHidden/>
              </w:rPr>
              <w:fldChar w:fldCharType="begin"/>
            </w:r>
            <w:r w:rsidR="009E5A66">
              <w:rPr>
                <w:noProof/>
                <w:webHidden/>
              </w:rPr>
              <w:instrText xml:space="preserve"> PAGEREF _Toc170203433 \h </w:instrText>
            </w:r>
            <w:r w:rsidR="009E5A66">
              <w:rPr>
                <w:noProof/>
                <w:webHidden/>
              </w:rPr>
            </w:r>
            <w:r w:rsidR="009E5A66">
              <w:rPr>
                <w:noProof/>
                <w:webHidden/>
              </w:rPr>
              <w:fldChar w:fldCharType="separate"/>
            </w:r>
            <w:r w:rsidR="009E5A66">
              <w:rPr>
                <w:noProof/>
                <w:webHidden/>
              </w:rPr>
              <w:t>10</w:t>
            </w:r>
            <w:r w:rsidR="009E5A66">
              <w:rPr>
                <w:noProof/>
                <w:webHidden/>
              </w:rPr>
              <w:fldChar w:fldCharType="end"/>
            </w:r>
          </w:hyperlink>
        </w:p>
        <w:p w14:paraId="39F1C967" w14:textId="4009CAB3"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34" w:history="1">
            <w:r w:rsidR="009E5A66" w:rsidRPr="00695802">
              <w:rPr>
                <w:rStyle w:val="Hyperlink"/>
                <w:noProof/>
              </w:rPr>
              <w:t>Strategic Priority1: Build skills, capacity and independence</w:t>
            </w:r>
            <w:r w:rsidR="009E5A66">
              <w:rPr>
                <w:noProof/>
                <w:webHidden/>
              </w:rPr>
              <w:tab/>
            </w:r>
            <w:r w:rsidR="009E5A66">
              <w:rPr>
                <w:noProof/>
                <w:webHidden/>
              </w:rPr>
              <w:fldChar w:fldCharType="begin"/>
            </w:r>
            <w:r w:rsidR="009E5A66">
              <w:rPr>
                <w:noProof/>
                <w:webHidden/>
              </w:rPr>
              <w:instrText xml:space="preserve"> PAGEREF _Toc170203434 \h </w:instrText>
            </w:r>
            <w:r w:rsidR="009E5A66">
              <w:rPr>
                <w:noProof/>
                <w:webHidden/>
              </w:rPr>
            </w:r>
            <w:r w:rsidR="009E5A66">
              <w:rPr>
                <w:noProof/>
                <w:webHidden/>
              </w:rPr>
              <w:fldChar w:fldCharType="separate"/>
            </w:r>
            <w:r w:rsidR="009E5A66">
              <w:rPr>
                <w:noProof/>
                <w:webHidden/>
              </w:rPr>
              <w:t>10</w:t>
            </w:r>
            <w:r w:rsidR="009E5A66">
              <w:rPr>
                <w:noProof/>
                <w:webHidden/>
              </w:rPr>
              <w:fldChar w:fldCharType="end"/>
            </w:r>
          </w:hyperlink>
        </w:p>
        <w:p w14:paraId="0BC836BC" w14:textId="51E86D30"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35" w:history="1">
            <w:r w:rsidR="009E5A66" w:rsidRPr="00695802">
              <w:rPr>
                <w:rStyle w:val="Hyperlink"/>
                <w:noProof/>
              </w:rPr>
              <w:t>Transitions</w:t>
            </w:r>
            <w:r w:rsidR="009E5A66">
              <w:rPr>
                <w:noProof/>
                <w:webHidden/>
              </w:rPr>
              <w:tab/>
            </w:r>
            <w:r w:rsidR="009E5A66">
              <w:rPr>
                <w:noProof/>
                <w:webHidden/>
              </w:rPr>
              <w:fldChar w:fldCharType="begin"/>
            </w:r>
            <w:r w:rsidR="009E5A66">
              <w:rPr>
                <w:noProof/>
                <w:webHidden/>
              </w:rPr>
              <w:instrText xml:space="preserve"> PAGEREF _Toc170203435 \h </w:instrText>
            </w:r>
            <w:r w:rsidR="009E5A66">
              <w:rPr>
                <w:noProof/>
                <w:webHidden/>
              </w:rPr>
            </w:r>
            <w:r w:rsidR="009E5A66">
              <w:rPr>
                <w:noProof/>
                <w:webHidden/>
              </w:rPr>
              <w:fldChar w:fldCharType="separate"/>
            </w:r>
            <w:r w:rsidR="009E5A66">
              <w:rPr>
                <w:noProof/>
                <w:webHidden/>
              </w:rPr>
              <w:t>10</w:t>
            </w:r>
            <w:r w:rsidR="009E5A66">
              <w:rPr>
                <w:noProof/>
                <w:webHidden/>
              </w:rPr>
              <w:fldChar w:fldCharType="end"/>
            </w:r>
          </w:hyperlink>
        </w:p>
        <w:p w14:paraId="1AE87442" w14:textId="66E8ECA6"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36" w:history="1">
            <w:r w:rsidR="009E5A66" w:rsidRPr="00695802">
              <w:rPr>
                <w:rStyle w:val="Hyperlink"/>
                <w:noProof/>
              </w:rPr>
              <w:t>Career Guidance</w:t>
            </w:r>
            <w:r w:rsidR="009E5A66">
              <w:rPr>
                <w:noProof/>
                <w:webHidden/>
              </w:rPr>
              <w:tab/>
            </w:r>
            <w:r w:rsidR="009E5A66">
              <w:rPr>
                <w:noProof/>
                <w:webHidden/>
              </w:rPr>
              <w:fldChar w:fldCharType="begin"/>
            </w:r>
            <w:r w:rsidR="009E5A66">
              <w:rPr>
                <w:noProof/>
                <w:webHidden/>
              </w:rPr>
              <w:instrText xml:space="preserve"> PAGEREF _Toc170203436 \h </w:instrText>
            </w:r>
            <w:r w:rsidR="009E5A66">
              <w:rPr>
                <w:noProof/>
                <w:webHidden/>
              </w:rPr>
            </w:r>
            <w:r w:rsidR="009E5A66">
              <w:rPr>
                <w:noProof/>
                <w:webHidden/>
              </w:rPr>
              <w:fldChar w:fldCharType="separate"/>
            </w:r>
            <w:r w:rsidR="009E5A66">
              <w:rPr>
                <w:noProof/>
                <w:webHidden/>
              </w:rPr>
              <w:t>11</w:t>
            </w:r>
            <w:r w:rsidR="009E5A66">
              <w:rPr>
                <w:noProof/>
                <w:webHidden/>
              </w:rPr>
              <w:fldChar w:fldCharType="end"/>
            </w:r>
          </w:hyperlink>
        </w:p>
        <w:p w14:paraId="62C0D706" w14:textId="4F57290A"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37" w:history="1">
            <w:r w:rsidR="009E5A66" w:rsidRPr="00695802">
              <w:rPr>
                <w:rStyle w:val="Hyperlink"/>
                <w:noProof/>
              </w:rPr>
              <w:t>Synergies in Effective Teaching Approaches</w:t>
            </w:r>
            <w:r w:rsidR="009E5A66">
              <w:rPr>
                <w:noProof/>
                <w:webHidden/>
              </w:rPr>
              <w:tab/>
            </w:r>
            <w:r w:rsidR="009E5A66">
              <w:rPr>
                <w:noProof/>
                <w:webHidden/>
              </w:rPr>
              <w:fldChar w:fldCharType="begin"/>
            </w:r>
            <w:r w:rsidR="009E5A66">
              <w:rPr>
                <w:noProof/>
                <w:webHidden/>
              </w:rPr>
              <w:instrText xml:space="preserve"> PAGEREF _Toc170203437 \h </w:instrText>
            </w:r>
            <w:r w:rsidR="009E5A66">
              <w:rPr>
                <w:noProof/>
                <w:webHidden/>
              </w:rPr>
            </w:r>
            <w:r w:rsidR="009E5A66">
              <w:rPr>
                <w:noProof/>
                <w:webHidden/>
              </w:rPr>
              <w:fldChar w:fldCharType="separate"/>
            </w:r>
            <w:r w:rsidR="009E5A66">
              <w:rPr>
                <w:noProof/>
                <w:webHidden/>
              </w:rPr>
              <w:t>13</w:t>
            </w:r>
            <w:r w:rsidR="009E5A66">
              <w:rPr>
                <w:noProof/>
                <w:webHidden/>
              </w:rPr>
              <w:fldChar w:fldCharType="end"/>
            </w:r>
          </w:hyperlink>
        </w:p>
        <w:p w14:paraId="1B05F339" w14:textId="715CB260"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38" w:history="1">
            <w:r w:rsidR="009E5A66" w:rsidRPr="00695802">
              <w:rPr>
                <w:rStyle w:val="Hyperlink"/>
                <w:noProof/>
              </w:rPr>
              <w:t>PATH 4</w:t>
            </w:r>
            <w:r w:rsidR="009E5A66">
              <w:rPr>
                <w:noProof/>
                <w:webHidden/>
              </w:rPr>
              <w:tab/>
            </w:r>
            <w:r w:rsidR="009E5A66">
              <w:rPr>
                <w:noProof/>
                <w:webHidden/>
              </w:rPr>
              <w:fldChar w:fldCharType="begin"/>
            </w:r>
            <w:r w:rsidR="009E5A66">
              <w:rPr>
                <w:noProof/>
                <w:webHidden/>
              </w:rPr>
              <w:instrText xml:space="preserve"> PAGEREF _Toc170203438 \h </w:instrText>
            </w:r>
            <w:r w:rsidR="009E5A66">
              <w:rPr>
                <w:noProof/>
                <w:webHidden/>
              </w:rPr>
            </w:r>
            <w:r w:rsidR="009E5A66">
              <w:rPr>
                <w:noProof/>
                <w:webHidden/>
              </w:rPr>
              <w:fldChar w:fldCharType="separate"/>
            </w:r>
            <w:r w:rsidR="009E5A66">
              <w:rPr>
                <w:noProof/>
                <w:webHidden/>
              </w:rPr>
              <w:t>14</w:t>
            </w:r>
            <w:r w:rsidR="009E5A66">
              <w:rPr>
                <w:noProof/>
                <w:webHidden/>
              </w:rPr>
              <w:fldChar w:fldCharType="end"/>
            </w:r>
          </w:hyperlink>
        </w:p>
        <w:p w14:paraId="4E5096B7" w14:textId="4DA24A04"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39" w:history="1">
            <w:r w:rsidR="009E5A66" w:rsidRPr="00695802">
              <w:rPr>
                <w:rStyle w:val="Hyperlink"/>
                <w:noProof/>
                <w:lang w:eastAsia="en-IE"/>
              </w:rPr>
              <w:t>Establishment of the National Tertiary Office</w:t>
            </w:r>
            <w:r w:rsidR="009E5A66">
              <w:rPr>
                <w:noProof/>
                <w:webHidden/>
              </w:rPr>
              <w:tab/>
            </w:r>
            <w:r w:rsidR="009E5A66">
              <w:rPr>
                <w:noProof/>
                <w:webHidden/>
              </w:rPr>
              <w:fldChar w:fldCharType="begin"/>
            </w:r>
            <w:r w:rsidR="009E5A66">
              <w:rPr>
                <w:noProof/>
                <w:webHidden/>
              </w:rPr>
              <w:instrText xml:space="preserve"> PAGEREF _Toc170203439 \h </w:instrText>
            </w:r>
            <w:r w:rsidR="009E5A66">
              <w:rPr>
                <w:noProof/>
                <w:webHidden/>
              </w:rPr>
            </w:r>
            <w:r w:rsidR="009E5A66">
              <w:rPr>
                <w:noProof/>
                <w:webHidden/>
              </w:rPr>
              <w:fldChar w:fldCharType="separate"/>
            </w:r>
            <w:r w:rsidR="009E5A66">
              <w:rPr>
                <w:noProof/>
                <w:webHidden/>
              </w:rPr>
              <w:t>15</w:t>
            </w:r>
            <w:r w:rsidR="009E5A66">
              <w:rPr>
                <w:noProof/>
                <w:webHidden/>
              </w:rPr>
              <w:fldChar w:fldCharType="end"/>
            </w:r>
          </w:hyperlink>
        </w:p>
        <w:p w14:paraId="04B2CF7D" w14:textId="44EA6CFE"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0" w:history="1">
            <w:r w:rsidR="009E5A66" w:rsidRPr="00695802">
              <w:rPr>
                <w:rStyle w:val="Hyperlink"/>
                <w:noProof/>
              </w:rPr>
              <w:t>Increased funding</w:t>
            </w:r>
            <w:r w:rsidR="009E5A66">
              <w:rPr>
                <w:noProof/>
                <w:webHidden/>
              </w:rPr>
              <w:tab/>
            </w:r>
            <w:r w:rsidR="009E5A66">
              <w:rPr>
                <w:noProof/>
                <w:webHidden/>
              </w:rPr>
              <w:fldChar w:fldCharType="begin"/>
            </w:r>
            <w:r w:rsidR="009E5A66">
              <w:rPr>
                <w:noProof/>
                <w:webHidden/>
              </w:rPr>
              <w:instrText xml:space="preserve"> PAGEREF _Toc170203440 \h </w:instrText>
            </w:r>
            <w:r w:rsidR="009E5A66">
              <w:rPr>
                <w:noProof/>
                <w:webHidden/>
              </w:rPr>
            </w:r>
            <w:r w:rsidR="009E5A66">
              <w:rPr>
                <w:noProof/>
                <w:webHidden/>
              </w:rPr>
              <w:fldChar w:fldCharType="separate"/>
            </w:r>
            <w:r w:rsidR="009E5A66">
              <w:rPr>
                <w:noProof/>
                <w:webHidden/>
              </w:rPr>
              <w:t>15</w:t>
            </w:r>
            <w:r w:rsidR="009E5A66">
              <w:rPr>
                <w:noProof/>
                <w:webHidden/>
              </w:rPr>
              <w:fldChar w:fldCharType="end"/>
            </w:r>
          </w:hyperlink>
        </w:p>
        <w:p w14:paraId="5ACE9C31" w14:textId="71BB85B9"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41" w:history="1">
            <w:r w:rsidR="009E5A66" w:rsidRPr="00695802">
              <w:rPr>
                <w:rStyle w:val="Hyperlink"/>
                <w:noProof/>
              </w:rPr>
              <w:t>Strategic Priority 2: Provide bridges and supports into work</w:t>
            </w:r>
            <w:r w:rsidR="009E5A66">
              <w:rPr>
                <w:noProof/>
                <w:webHidden/>
              </w:rPr>
              <w:tab/>
            </w:r>
            <w:r w:rsidR="009E5A66">
              <w:rPr>
                <w:noProof/>
                <w:webHidden/>
              </w:rPr>
              <w:fldChar w:fldCharType="begin"/>
            </w:r>
            <w:r w:rsidR="009E5A66">
              <w:rPr>
                <w:noProof/>
                <w:webHidden/>
              </w:rPr>
              <w:instrText xml:space="preserve"> PAGEREF _Toc170203441 \h </w:instrText>
            </w:r>
            <w:r w:rsidR="009E5A66">
              <w:rPr>
                <w:noProof/>
                <w:webHidden/>
              </w:rPr>
            </w:r>
            <w:r w:rsidR="009E5A66">
              <w:rPr>
                <w:noProof/>
                <w:webHidden/>
              </w:rPr>
              <w:fldChar w:fldCharType="separate"/>
            </w:r>
            <w:r w:rsidR="009E5A66">
              <w:rPr>
                <w:noProof/>
                <w:webHidden/>
              </w:rPr>
              <w:t>16</w:t>
            </w:r>
            <w:r w:rsidR="009E5A66">
              <w:rPr>
                <w:noProof/>
                <w:webHidden/>
              </w:rPr>
              <w:fldChar w:fldCharType="end"/>
            </w:r>
          </w:hyperlink>
        </w:p>
        <w:p w14:paraId="434ADCF7" w14:textId="7972C75A"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2" w:history="1">
            <w:r w:rsidR="009E5A66" w:rsidRPr="00695802">
              <w:rPr>
                <w:rStyle w:val="Hyperlink"/>
                <w:noProof/>
              </w:rPr>
              <w:t>WorkAbility</w:t>
            </w:r>
            <w:r w:rsidR="009E5A66">
              <w:rPr>
                <w:noProof/>
                <w:webHidden/>
              </w:rPr>
              <w:tab/>
            </w:r>
            <w:r w:rsidR="009E5A66">
              <w:rPr>
                <w:noProof/>
                <w:webHidden/>
              </w:rPr>
              <w:fldChar w:fldCharType="begin"/>
            </w:r>
            <w:r w:rsidR="009E5A66">
              <w:rPr>
                <w:noProof/>
                <w:webHidden/>
              </w:rPr>
              <w:instrText xml:space="preserve"> PAGEREF _Toc170203442 \h </w:instrText>
            </w:r>
            <w:r w:rsidR="009E5A66">
              <w:rPr>
                <w:noProof/>
                <w:webHidden/>
              </w:rPr>
            </w:r>
            <w:r w:rsidR="009E5A66">
              <w:rPr>
                <w:noProof/>
                <w:webHidden/>
              </w:rPr>
              <w:fldChar w:fldCharType="separate"/>
            </w:r>
            <w:r w:rsidR="009E5A66">
              <w:rPr>
                <w:noProof/>
                <w:webHidden/>
              </w:rPr>
              <w:t>16</w:t>
            </w:r>
            <w:r w:rsidR="009E5A66">
              <w:rPr>
                <w:noProof/>
                <w:webHidden/>
              </w:rPr>
              <w:fldChar w:fldCharType="end"/>
            </w:r>
          </w:hyperlink>
        </w:p>
        <w:p w14:paraId="2A0BCF6A" w14:textId="3BF55394"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3" w:history="1">
            <w:r w:rsidR="009E5A66" w:rsidRPr="00695802">
              <w:rPr>
                <w:rStyle w:val="Hyperlink"/>
                <w:noProof/>
                <w:lang w:eastAsia="en-IE"/>
              </w:rPr>
              <w:t>The AHEAD WAM Programme</w:t>
            </w:r>
            <w:r w:rsidR="009E5A66">
              <w:rPr>
                <w:noProof/>
                <w:webHidden/>
              </w:rPr>
              <w:tab/>
            </w:r>
            <w:r w:rsidR="009E5A66">
              <w:rPr>
                <w:noProof/>
                <w:webHidden/>
              </w:rPr>
              <w:fldChar w:fldCharType="begin"/>
            </w:r>
            <w:r w:rsidR="009E5A66">
              <w:rPr>
                <w:noProof/>
                <w:webHidden/>
              </w:rPr>
              <w:instrText xml:space="preserve"> PAGEREF _Toc170203443 \h </w:instrText>
            </w:r>
            <w:r w:rsidR="009E5A66">
              <w:rPr>
                <w:noProof/>
                <w:webHidden/>
              </w:rPr>
            </w:r>
            <w:r w:rsidR="009E5A66">
              <w:rPr>
                <w:noProof/>
                <w:webHidden/>
              </w:rPr>
              <w:fldChar w:fldCharType="separate"/>
            </w:r>
            <w:r w:rsidR="009E5A66">
              <w:rPr>
                <w:noProof/>
                <w:webHidden/>
              </w:rPr>
              <w:t>17</w:t>
            </w:r>
            <w:r w:rsidR="009E5A66">
              <w:rPr>
                <w:noProof/>
                <w:webHidden/>
              </w:rPr>
              <w:fldChar w:fldCharType="end"/>
            </w:r>
          </w:hyperlink>
        </w:p>
        <w:p w14:paraId="2220EDA0" w14:textId="03D50C94"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4" w:history="1">
            <w:r w:rsidR="009E5A66" w:rsidRPr="00695802">
              <w:rPr>
                <w:rStyle w:val="Hyperlink"/>
                <w:noProof/>
              </w:rPr>
              <w:t>Enterprise routes to employment</w:t>
            </w:r>
            <w:r w:rsidR="009E5A66">
              <w:rPr>
                <w:noProof/>
                <w:webHidden/>
              </w:rPr>
              <w:tab/>
            </w:r>
            <w:r w:rsidR="009E5A66">
              <w:rPr>
                <w:noProof/>
                <w:webHidden/>
              </w:rPr>
              <w:fldChar w:fldCharType="begin"/>
            </w:r>
            <w:r w:rsidR="009E5A66">
              <w:rPr>
                <w:noProof/>
                <w:webHidden/>
              </w:rPr>
              <w:instrText xml:space="preserve"> PAGEREF _Toc170203444 \h </w:instrText>
            </w:r>
            <w:r w:rsidR="009E5A66">
              <w:rPr>
                <w:noProof/>
                <w:webHidden/>
              </w:rPr>
            </w:r>
            <w:r w:rsidR="009E5A66">
              <w:rPr>
                <w:noProof/>
                <w:webHidden/>
              </w:rPr>
              <w:fldChar w:fldCharType="separate"/>
            </w:r>
            <w:r w:rsidR="009E5A66">
              <w:rPr>
                <w:noProof/>
                <w:webHidden/>
              </w:rPr>
              <w:t>17</w:t>
            </w:r>
            <w:r w:rsidR="009E5A66">
              <w:rPr>
                <w:noProof/>
                <w:webHidden/>
              </w:rPr>
              <w:fldChar w:fldCharType="end"/>
            </w:r>
          </w:hyperlink>
        </w:p>
        <w:p w14:paraId="6448DDFA" w14:textId="23AFA884"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5" w:history="1">
            <w:r w:rsidR="009E5A66" w:rsidRPr="00695802">
              <w:rPr>
                <w:rStyle w:val="Hyperlink"/>
                <w:noProof/>
              </w:rPr>
              <w:t>Transport progress during 2023</w:t>
            </w:r>
            <w:r w:rsidR="009E5A66">
              <w:rPr>
                <w:noProof/>
                <w:webHidden/>
              </w:rPr>
              <w:tab/>
            </w:r>
            <w:r w:rsidR="009E5A66">
              <w:rPr>
                <w:noProof/>
                <w:webHidden/>
              </w:rPr>
              <w:fldChar w:fldCharType="begin"/>
            </w:r>
            <w:r w:rsidR="009E5A66">
              <w:rPr>
                <w:noProof/>
                <w:webHidden/>
              </w:rPr>
              <w:instrText xml:space="preserve"> PAGEREF _Toc170203445 \h </w:instrText>
            </w:r>
            <w:r w:rsidR="009E5A66">
              <w:rPr>
                <w:noProof/>
                <w:webHidden/>
              </w:rPr>
            </w:r>
            <w:r w:rsidR="009E5A66">
              <w:rPr>
                <w:noProof/>
                <w:webHidden/>
              </w:rPr>
              <w:fldChar w:fldCharType="separate"/>
            </w:r>
            <w:r w:rsidR="009E5A66">
              <w:rPr>
                <w:noProof/>
                <w:webHidden/>
              </w:rPr>
              <w:t>17</w:t>
            </w:r>
            <w:r w:rsidR="009E5A66">
              <w:rPr>
                <w:noProof/>
                <w:webHidden/>
              </w:rPr>
              <w:fldChar w:fldCharType="end"/>
            </w:r>
          </w:hyperlink>
        </w:p>
        <w:p w14:paraId="5A78AB44" w14:textId="4FAB4EF7"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46" w:history="1">
            <w:r w:rsidR="009E5A66" w:rsidRPr="00695802">
              <w:rPr>
                <w:rStyle w:val="Hyperlink"/>
                <w:noProof/>
              </w:rPr>
              <w:t>Strategic Priority 3: Make work pay</w:t>
            </w:r>
            <w:r w:rsidR="009E5A66">
              <w:rPr>
                <w:noProof/>
                <w:webHidden/>
              </w:rPr>
              <w:tab/>
            </w:r>
            <w:r w:rsidR="009E5A66">
              <w:rPr>
                <w:noProof/>
                <w:webHidden/>
              </w:rPr>
              <w:fldChar w:fldCharType="begin"/>
            </w:r>
            <w:r w:rsidR="009E5A66">
              <w:rPr>
                <w:noProof/>
                <w:webHidden/>
              </w:rPr>
              <w:instrText xml:space="preserve"> PAGEREF _Toc170203446 \h </w:instrText>
            </w:r>
            <w:r w:rsidR="009E5A66">
              <w:rPr>
                <w:noProof/>
                <w:webHidden/>
              </w:rPr>
            </w:r>
            <w:r w:rsidR="009E5A66">
              <w:rPr>
                <w:noProof/>
                <w:webHidden/>
              </w:rPr>
              <w:fldChar w:fldCharType="separate"/>
            </w:r>
            <w:r w:rsidR="009E5A66">
              <w:rPr>
                <w:noProof/>
                <w:webHidden/>
              </w:rPr>
              <w:t>19</w:t>
            </w:r>
            <w:r w:rsidR="009E5A66">
              <w:rPr>
                <w:noProof/>
                <w:webHidden/>
              </w:rPr>
              <w:fldChar w:fldCharType="end"/>
            </w:r>
          </w:hyperlink>
        </w:p>
        <w:p w14:paraId="624F3BAC" w14:textId="539BB522"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7" w:history="1">
            <w:r w:rsidR="009E5A66" w:rsidRPr="00695802">
              <w:rPr>
                <w:rStyle w:val="Hyperlink"/>
                <w:rFonts w:eastAsia="Gill Sans MT"/>
                <w:noProof/>
              </w:rPr>
              <w:t>Information on employment options</w:t>
            </w:r>
            <w:r w:rsidR="009E5A66">
              <w:rPr>
                <w:noProof/>
                <w:webHidden/>
              </w:rPr>
              <w:tab/>
            </w:r>
            <w:r w:rsidR="009E5A66">
              <w:rPr>
                <w:noProof/>
                <w:webHidden/>
              </w:rPr>
              <w:fldChar w:fldCharType="begin"/>
            </w:r>
            <w:r w:rsidR="009E5A66">
              <w:rPr>
                <w:noProof/>
                <w:webHidden/>
              </w:rPr>
              <w:instrText xml:space="preserve"> PAGEREF _Toc170203447 \h </w:instrText>
            </w:r>
            <w:r w:rsidR="009E5A66">
              <w:rPr>
                <w:noProof/>
                <w:webHidden/>
              </w:rPr>
            </w:r>
            <w:r w:rsidR="009E5A66">
              <w:rPr>
                <w:noProof/>
                <w:webHidden/>
              </w:rPr>
              <w:fldChar w:fldCharType="separate"/>
            </w:r>
            <w:r w:rsidR="009E5A66">
              <w:rPr>
                <w:noProof/>
                <w:webHidden/>
              </w:rPr>
              <w:t>19</w:t>
            </w:r>
            <w:r w:rsidR="009E5A66">
              <w:rPr>
                <w:noProof/>
                <w:webHidden/>
              </w:rPr>
              <w:fldChar w:fldCharType="end"/>
            </w:r>
          </w:hyperlink>
        </w:p>
        <w:p w14:paraId="14B12BE0" w14:textId="1E0260DE"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8" w:history="1">
            <w:r w:rsidR="009E5A66" w:rsidRPr="00695802">
              <w:rPr>
                <w:rStyle w:val="Hyperlink"/>
                <w:noProof/>
              </w:rPr>
              <w:t>Low Pay Commission</w:t>
            </w:r>
            <w:r w:rsidR="009E5A66">
              <w:rPr>
                <w:noProof/>
                <w:webHidden/>
              </w:rPr>
              <w:tab/>
            </w:r>
            <w:r w:rsidR="009E5A66">
              <w:rPr>
                <w:noProof/>
                <w:webHidden/>
              </w:rPr>
              <w:fldChar w:fldCharType="begin"/>
            </w:r>
            <w:r w:rsidR="009E5A66">
              <w:rPr>
                <w:noProof/>
                <w:webHidden/>
              </w:rPr>
              <w:instrText xml:space="preserve"> PAGEREF _Toc170203448 \h </w:instrText>
            </w:r>
            <w:r w:rsidR="009E5A66">
              <w:rPr>
                <w:noProof/>
                <w:webHidden/>
              </w:rPr>
            </w:r>
            <w:r w:rsidR="009E5A66">
              <w:rPr>
                <w:noProof/>
                <w:webHidden/>
              </w:rPr>
              <w:fldChar w:fldCharType="separate"/>
            </w:r>
            <w:r w:rsidR="009E5A66">
              <w:rPr>
                <w:noProof/>
                <w:webHidden/>
              </w:rPr>
              <w:t>19</w:t>
            </w:r>
            <w:r w:rsidR="009E5A66">
              <w:rPr>
                <w:noProof/>
                <w:webHidden/>
              </w:rPr>
              <w:fldChar w:fldCharType="end"/>
            </w:r>
          </w:hyperlink>
        </w:p>
        <w:p w14:paraId="6BECE38C" w14:textId="77C88C87"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49" w:history="1">
            <w:r w:rsidR="009E5A66" w:rsidRPr="00695802">
              <w:rPr>
                <w:rStyle w:val="Hyperlink"/>
                <w:noProof/>
              </w:rPr>
              <w:t>Remote and Flexible working</w:t>
            </w:r>
            <w:r w:rsidR="009E5A66">
              <w:rPr>
                <w:noProof/>
                <w:webHidden/>
              </w:rPr>
              <w:tab/>
            </w:r>
            <w:r w:rsidR="009E5A66">
              <w:rPr>
                <w:noProof/>
                <w:webHidden/>
              </w:rPr>
              <w:fldChar w:fldCharType="begin"/>
            </w:r>
            <w:r w:rsidR="009E5A66">
              <w:rPr>
                <w:noProof/>
                <w:webHidden/>
              </w:rPr>
              <w:instrText xml:space="preserve"> PAGEREF _Toc170203449 \h </w:instrText>
            </w:r>
            <w:r w:rsidR="009E5A66">
              <w:rPr>
                <w:noProof/>
                <w:webHidden/>
              </w:rPr>
            </w:r>
            <w:r w:rsidR="009E5A66">
              <w:rPr>
                <w:noProof/>
                <w:webHidden/>
              </w:rPr>
              <w:fldChar w:fldCharType="separate"/>
            </w:r>
            <w:r w:rsidR="009E5A66">
              <w:rPr>
                <w:noProof/>
                <w:webHidden/>
              </w:rPr>
              <w:t>19</w:t>
            </w:r>
            <w:r w:rsidR="009E5A66">
              <w:rPr>
                <w:noProof/>
                <w:webHidden/>
              </w:rPr>
              <w:fldChar w:fldCharType="end"/>
            </w:r>
          </w:hyperlink>
        </w:p>
        <w:p w14:paraId="79E27462" w14:textId="6F1C5BB1"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50" w:history="1">
            <w:r w:rsidR="009E5A66" w:rsidRPr="00695802">
              <w:rPr>
                <w:rStyle w:val="Hyperlink"/>
                <w:noProof/>
              </w:rPr>
              <w:t>Strategic Priority 4: Promote job retention and re-entry to work</w:t>
            </w:r>
            <w:r w:rsidR="009E5A66">
              <w:rPr>
                <w:noProof/>
                <w:webHidden/>
              </w:rPr>
              <w:tab/>
            </w:r>
            <w:r w:rsidR="009E5A66">
              <w:rPr>
                <w:noProof/>
                <w:webHidden/>
              </w:rPr>
              <w:fldChar w:fldCharType="begin"/>
            </w:r>
            <w:r w:rsidR="009E5A66">
              <w:rPr>
                <w:noProof/>
                <w:webHidden/>
              </w:rPr>
              <w:instrText xml:space="preserve"> PAGEREF _Toc170203450 \h </w:instrText>
            </w:r>
            <w:r w:rsidR="009E5A66">
              <w:rPr>
                <w:noProof/>
                <w:webHidden/>
              </w:rPr>
            </w:r>
            <w:r w:rsidR="009E5A66">
              <w:rPr>
                <w:noProof/>
                <w:webHidden/>
              </w:rPr>
              <w:fldChar w:fldCharType="separate"/>
            </w:r>
            <w:r w:rsidR="009E5A66">
              <w:rPr>
                <w:noProof/>
                <w:webHidden/>
              </w:rPr>
              <w:t>20</w:t>
            </w:r>
            <w:r w:rsidR="009E5A66">
              <w:rPr>
                <w:noProof/>
                <w:webHidden/>
              </w:rPr>
              <w:fldChar w:fldCharType="end"/>
            </w:r>
          </w:hyperlink>
        </w:p>
        <w:p w14:paraId="7F97BD9F" w14:textId="4E8DF4D5"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51" w:history="1">
            <w:r w:rsidR="009E5A66" w:rsidRPr="00695802">
              <w:rPr>
                <w:rStyle w:val="Hyperlink"/>
                <w:noProof/>
              </w:rPr>
              <w:t>Strategic Priority 5:</w:t>
            </w:r>
            <w:r w:rsidR="009E5A66" w:rsidRPr="00695802">
              <w:rPr>
                <w:rStyle w:val="Hyperlink"/>
                <w:noProof/>
                <w:lang w:eastAsia="en-IE"/>
              </w:rPr>
              <w:t xml:space="preserve"> Provide co-ordinated and seamless support</w:t>
            </w:r>
            <w:r w:rsidR="009E5A66">
              <w:rPr>
                <w:noProof/>
                <w:webHidden/>
              </w:rPr>
              <w:tab/>
            </w:r>
            <w:r w:rsidR="009E5A66">
              <w:rPr>
                <w:noProof/>
                <w:webHidden/>
              </w:rPr>
              <w:fldChar w:fldCharType="begin"/>
            </w:r>
            <w:r w:rsidR="009E5A66">
              <w:rPr>
                <w:noProof/>
                <w:webHidden/>
              </w:rPr>
              <w:instrText xml:space="preserve"> PAGEREF _Toc170203451 \h </w:instrText>
            </w:r>
            <w:r w:rsidR="009E5A66">
              <w:rPr>
                <w:noProof/>
                <w:webHidden/>
              </w:rPr>
            </w:r>
            <w:r w:rsidR="009E5A66">
              <w:rPr>
                <w:noProof/>
                <w:webHidden/>
              </w:rPr>
              <w:fldChar w:fldCharType="separate"/>
            </w:r>
            <w:r w:rsidR="009E5A66">
              <w:rPr>
                <w:noProof/>
                <w:webHidden/>
              </w:rPr>
              <w:t>20</w:t>
            </w:r>
            <w:r w:rsidR="009E5A66">
              <w:rPr>
                <w:noProof/>
                <w:webHidden/>
              </w:rPr>
              <w:fldChar w:fldCharType="end"/>
            </w:r>
          </w:hyperlink>
        </w:p>
        <w:p w14:paraId="7B527DDC" w14:textId="0DE788DF" w:rsidR="009E5A66" w:rsidRDefault="00000000">
          <w:pPr>
            <w:pStyle w:val="TOC2"/>
            <w:rPr>
              <w:rFonts w:asciiTheme="minorHAnsi" w:eastAsiaTheme="minorEastAsia" w:hAnsiTheme="minorHAnsi" w:cstheme="minorBidi"/>
              <w:noProof/>
              <w:kern w:val="2"/>
              <w:sz w:val="22"/>
              <w:szCs w:val="22"/>
              <w:lang w:eastAsia="en-IE"/>
              <w14:ligatures w14:val="standardContextual"/>
            </w:rPr>
          </w:pPr>
          <w:hyperlink w:anchor="_Toc170203452" w:history="1">
            <w:r w:rsidR="009E5A66" w:rsidRPr="00695802">
              <w:rPr>
                <w:rStyle w:val="Hyperlink"/>
                <w:noProof/>
              </w:rPr>
              <w:t>Strategic Priority 6:</w:t>
            </w:r>
            <w:r w:rsidR="009E5A66" w:rsidRPr="00695802">
              <w:rPr>
                <w:rStyle w:val="Hyperlink"/>
                <w:noProof/>
                <w:lang w:eastAsia="en-IE"/>
              </w:rPr>
              <w:t xml:space="preserve"> Engage Employers</w:t>
            </w:r>
            <w:r w:rsidR="009E5A66">
              <w:rPr>
                <w:noProof/>
                <w:webHidden/>
              </w:rPr>
              <w:tab/>
            </w:r>
            <w:r w:rsidR="009E5A66">
              <w:rPr>
                <w:noProof/>
                <w:webHidden/>
              </w:rPr>
              <w:fldChar w:fldCharType="begin"/>
            </w:r>
            <w:r w:rsidR="009E5A66">
              <w:rPr>
                <w:noProof/>
                <w:webHidden/>
              </w:rPr>
              <w:instrText xml:space="preserve"> PAGEREF _Toc170203452 \h </w:instrText>
            </w:r>
            <w:r w:rsidR="009E5A66">
              <w:rPr>
                <w:noProof/>
                <w:webHidden/>
              </w:rPr>
            </w:r>
            <w:r w:rsidR="009E5A66">
              <w:rPr>
                <w:noProof/>
                <w:webHidden/>
              </w:rPr>
              <w:fldChar w:fldCharType="separate"/>
            </w:r>
            <w:r w:rsidR="009E5A66">
              <w:rPr>
                <w:noProof/>
                <w:webHidden/>
              </w:rPr>
              <w:t>20</w:t>
            </w:r>
            <w:r w:rsidR="009E5A66">
              <w:rPr>
                <w:noProof/>
                <w:webHidden/>
              </w:rPr>
              <w:fldChar w:fldCharType="end"/>
            </w:r>
          </w:hyperlink>
        </w:p>
        <w:p w14:paraId="26B35FED" w14:textId="3B4F0421"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53" w:history="1">
            <w:r w:rsidR="009E5A66" w:rsidRPr="00695802">
              <w:rPr>
                <w:rStyle w:val="Hyperlink"/>
                <w:noProof/>
              </w:rPr>
              <w:t>Monitoring Part 5 of the Disability Act</w:t>
            </w:r>
            <w:r w:rsidR="009E5A66">
              <w:rPr>
                <w:noProof/>
                <w:webHidden/>
              </w:rPr>
              <w:tab/>
            </w:r>
            <w:r w:rsidR="009E5A66">
              <w:rPr>
                <w:noProof/>
                <w:webHidden/>
              </w:rPr>
              <w:fldChar w:fldCharType="begin"/>
            </w:r>
            <w:r w:rsidR="009E5A66">
              <w:rPr>
                <w:noProof/>
                <w:webHidden/>
              </w:rPr>
              <w:instrText xml:space="preserve"> PAGEREF _Toc170203453 \h </w:instrText>
            </w:r>
            <w:r w:rsidR="009E5A66">
              <w:rPr>
                <w:noProof/>
                <w:webHidden/>
              </w:rPr>
            </w:r>
            <w:r w:rsidR="009E5A66">
              <w:rPr>
                <w:noProof/>
                <w:webHidden/>
              </w:rPr>
              <w:fldChar w:fldCharType="separate"/>
            </w:r>
            <w:r w:rsidR="009E5A66">
              <w:rPr>
                <w:noProof/>
                <w:webHidden/>
              </w:rPr>
              <w:t>21</w:t>
            </w:r>
            <w:r w:rsidR="009E5A66">
              <w:rPr>
                <w:noProof/>
                <w:webHidden/>
              </w:rPr>
              <w:fldChar w:fldCharType="end"/>
            </w:r>
          </w:hyperlink>
        </w:p>
        <w:p w14:paraId="4A73DC71" w14:textId="351DFFD2"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54" w:history="1">
            <w:r w:rsidR="009E5A66" w:rsidRPr="00695802">
              <w:rPr>
                <w:rStyle w:val="Hyperlink"/>
                <w:noProof/>
                <w:lang w:eastAsia="en-IE"/>
              </w:rPr>
              <w:t>Oireachtas Work Learning (OWL) Programme</w:t>
            </w:r>
            <w:r w:rsidR="009E5A66">
              <w:rPr>
                <w:noProof/>
                <w:webHidden/>
              </w:rPr>
              <w:tab/>
            </w:r>
            <w:r w:rsidR="009E5A66">
              <w:rPr>
                <w:noProof/>
                <w:webHidden/>
              </w:rPr>
              <w:fldChar w:fldCharType="begin"/>
            </w:r>
            <w:r w:rsidR="009E5A66">
              <w:rPr>
                <w:noProof/>
                <w:webHidden/>
              </w:rPr>
              <w:instrText xml:space="preserve"> PAGEREF _Toc170203454 \h </w:instrText>
            </w:r>
            <w:r w:rsidR="009E5A66">
              <w:rPr>
                <w:noProof/>
                <w:webHidden/>
              </w:rPr>
            </w:r>
            <w:r w:rsidR="009E5A66">
              <w:rPr>
                <w:noProof/>
                <w:webHidden/>
              </w:rPr>
              <w:fldChar w:fldCharType="separate"/>
            </w:r>
            <w:r w:rsidR="009E5A66">
              <w:rPr>
                <w:noProof/>
                <w:webHidden/>
              </w:rPr>
              <w:t>21</w:t>
            </w:r>
            <w:r w:rsidR="009E5A66">
              <w:rPr>
                <w:noProof/>
                <w:webHidden/>
              </w:rPr>
              <w:fldChar w:fldCharType="end"/>
            </w:r>
          </w:hyperlink>
        </w:p>
        <w:p w14:paraId="59DCB09E" w14:textId="1CF15522"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55" w:history="1">
            <w:r w:rsidR="009E5A66" w:rsidRPr="00695802">
              <w:rPr>
                <w:rStyle w:val="Hyperlink"/>
                <w:noProof/>
                <w:lang w:eastAsia="en-IE"/>
              </w:rPr>
              <w:t>Wage Subsidy Scheme</w:t>
            </w:r>
            <w:r w:rsidR="009E5A66">
              <w:rPr>
                <w:noProof/>
                <w:webHidden/>
              </w:rPr>
              <w:tab/>
            </w:r>
            <w:r w:rsidR="009E5A66">
              <w:rPr>
                <w:noProof/>
                <w:webHidden/>
              </w:rPr>
              <w:fldChar w:fldCharType="begin"/>
            </w:r>
            <w:r w:rsidR="009E5A66">
              <w:rPr>
                <w:noProof/>
                <w:webHidden/>
              </w:rPr>
              <w:instrText xml:space="preserve"> PAGEREF _Toc170203455 \h </w:instrText>
            </w:r>
            <w:r w:rsidR="009E5A66">
              <w:rPr>
                <w:noProof/>
                <w:webHidden/>
              </w:rPr>
            </w:r>
            <w:r w:rsidR="009E5A66">
              <w:rPr>
                <w:noProof/>
                <w:webHidden/>
              </w:rPr>
              <w:fldChar w:fldCharType="separate"/>
            </w:r>
            <w:r w:rsidR="009E5A66">
              <w:rPr>
                <w:noProof/>
                <w:webHidden/>
              </w:rPr>
              <w:t>22</w:t>
            </w:r>
            <w:r w:rsidR="009E5A66">
              <w:rPr>
                <w:noProof/>
                <w:webHidden/>
              </w:rPr>
              <w:fldChar w:fldCharType="end"/>
            </w:r>
          </w:hyperlink>
        </w:p>
        <w:p w14:paraId="027087E0" w14:textId="1B366C15" w:rsidR="009E5A66" w:rsidRDefault="00000000">
          <w:pPr>
            <w:pStyle w:val="TOC3"/>
            <w:tabs>
              <w:tab w:val="right" w:leader="dot" w:pos="8630"/>
            </w:tabs>
            <w:rPr>
              <w:rFonts w:asciiTheme="minorHAnsi" w:eastAsiaTheme="minorEastAsia" w:hAnsiTheme="minorHAnsi" w:cstheme="minorBidi"/>
              <w:noProof/>
              <w:kern w:val="2"/>
              <w:sz w:val="22"/>
              <w:szCs w:val="22"/>
              <w:lang w:eastAsia="en-IE"/>
              <w14:ligatures w14:val="standardContextual"/>
            </w:rPr>
          </w:pPr>
          <w:hyperlink w:anchor="_Toc170203456" w:history="1">
            <w:r w:rsidR="009E5A66" w:rsidRPr="00695802">
              <w:rPr>
                <w:rStyle w:val="Hyperlink"/>
                <w:noProof/>
              </w:rPr>
              <w:t>Employers for Change</w:t>
            </w:r>
            <w:r w:rsidR="009E5A66">
              <w:rPr>
                <w:noProof/>
                <w:webHidden/>
              </w:rPr>
              <w:tab/>
            </w:r>
            <w:r w:rsidR="009E5A66">
              <w:rPr>
                <w:noProof/>
                <w:webHidden/>
              </w:rPr>
              <w:fldChar w:fldCharType="begin"/>
            </w:r>
            <w:r w:rsidR="009E5A66">
              <w:rPr>
                <w:noProof/>
                <w:webHidden/>
              </w:rPr>
              <w:instrText xml:space="preserve"> PAGEREF _Toc170203456 \h </w:instrText>
            </w:r>
            <w:r w:rsidR="009E5A66">
              <w:rPr>
                <w:noProof/>
                <w:webHidden/>
              </w:rPr>
            </w:r>
            <w:r w:rsidR="009E5A66">
              <w:rPr>
                <w:noProof/>
                <w:webHidden/>
              </w:rPr>
              <w:fldChar w:fldCharType="separate"/>
            </w:r>
            <w:r w:rsidR="009E5A66">
              <w:rPr>
                <w:noProof/>
                <w:webHidden/>
              </w:rPr>
              <w:t>22</w:t>
            </w:r>
            <w:r w:rsidR="009E5A66">
              <w:rPr>
                <w:noProof/>
                <w:webHidden/>
              </w:rPr>
              <w:fldChar w:fldCharType="end"/>
            </w:r>
          </w:hyperlink>
        </w:p>
        <w:p w14:paraId="3219541F" w14:textId="176FEC3B" w:rsidR="009E5A66" w:rsidRDefault="00000000">
          <w:pPr>
            <w:pStyle w:val="TOC1"/>
            <w:tabs>
              <w:tab w:val="right" w:leader="dot" w:pos="8630"/>
            </w:tabs>
            <w:rPr>
              <w:rFonts w:asciiTheme="minorHAnsi" w:eastAsiaTheme="minorEastAsia" w:hAnsiTheme="minorHAnsi" w:cstheme="minorBidi"/>
              <w:b w:val="0"/>
              <w:noProof/>
              <w:kern w:val="2"/>
              <w:sz w:val="22"/>
              <w:szCs w:val="22"/>
              <w:lang w:eastAsia="en-IE"/>
              <w14:ligatures w14:val="standardContextual"/>
            </w:rPr>
          </w:pPr>
          <w:hyperlink w:anchor="_Toc170203457" w:history="1">
            <w:r w:rsidR="009E5A66" w:rsidRPr="00695802">
              <w:rPr>
                <w:rStyle w:val="Hyperlink"/>
                <w:noProof/>
              </w:rPr>
              <w:t>Conclusion</w:t>
            </w:r>
            <w:r w:rsidR="009E5A66">
              <w:rPr>
                <w:noProof/>
                <w:webHidden/>
              </w:rPr>
              <w:tab/>
            </w:r>
            <w:r w:rsidR="009E5A66">
              <w:rPr>
                <w:noProof/>
                <w:webHidden/>
              </w:rPr>
              <w:fldChar w:fldCharType="begin"/>
            </w:r>
            <w:r w:rsidR="009E5A66">
              <w:rPr>
                <w:noProof/>
                <w:webHidden/>
              </w:rPr>
              <w:instrText xml:space="preserve"> PAGEREF _Toc170203457 \h </w:instrText>
            </w:r>
            <w:r w:rsidR="009E5A66">
              <w:rPr>
                <w:noProof/>
                <w:webHidden/>
              </w:rPr>
            </w:r>
            <w:r w:rsidR="009E5A66">
              <w:rPr>
                <w:noProof/>
                <w:webHidden/>
              </w:rPr>
              <w:fldChar w:fldCharType="separate"/>
            </w:r>
            <w:r w:rsidR="009E5A66">
              <w:rPr>
                <w:noProof/>
                <w:webHidden/>
              </w:rPr>
              <w:t>22</w:t>
            </w:r>
            <w:r w:rsidR="009E5A66">
              <w:rPr>
                <w:noProof/>
                <w:webHidden/>
              </w:rPr>
              <w:fldChar w:fldCharType="end"/>
            </w:r>
          </w:hyperlink>
        </w:p>
        <w:p w14:paraId="2F47BD86" w14:textId="3BC65E96" w:rsidR="009E5A66" w:rsidRDefault="009E5A66">
          <w:r>
            <w:rPr>
              <w:b/>
              <w:bCs/>
              <w:lang w:val="en-GB"/>
            </w:rPr>
            <w:fldChar w:fldCharType="end"/>
          </w:r>
        </w:p>
      </w:sdtContent>
    </w:sdt>
    <w:p w14:paraId="79CF7C10" w14:textId="77777777" w:rsidR="00365C67" w:rsidRDefault="00365C67" w:rsidP="00365C67">
      <w:pPr>
        <w:spacing w:after="0"/>
      </w:pPr>
    </w:p>
    <w:p w14:paraId="0C6B6A54" w14:textId="77777777" w:rsidR="00365C67" w:rsidRDefault="00365C67" w:rsidP="00365C67">
      <w:pPr>
        <w:spacing w:after="0"/>
      </w:pPr>
      <w:r>
        <w:br w:type="page"/>
      </w:r>
    </w:p>
    <w:p w14:paraId="7EEF5B79" w14:textId="77777777" w:rsidR="00365C67" w:rsidRDefault="00365C67" w:rsidP="00365C67">
      <w:pPr>
        <w:pStyle w:val="Heading2"/>
      </w:pPr>
      <w:bookmarkStart w:id="3" w:name="_Toc101857179"/>
      <w:bookmarkStart w:id="4" w:name="_Toc130474350"/>
      <w:bookmarkStart w:id="5" w:name="_Toc170203425"/>
      <w:r>
        <w:lastRenderedPageBreak/>
        <w:t>List of Acronyms</w:t>
      </w:r>
      <w:bookmarkEnd w:id="3"/>
      <w:bookmarkEnd w:id="4"/>
      <w:bookmarkEnd w:id="5"/>
    </w:p>
    <w:tbl>
      <w:tblPr>
        <w:tblStyle w:val="TableGrid"/>
        <w:tblW w:w="0" w:type="auto"/>
        <w:tblLook w:val="04A0" w:firstRow="1" w:lastRow="0" w:firstColumn="1" w:lastColumn="0" w:noHBand="0" w:noVBand="1"/>
        <w:tblCaption w:val="Table on list of Acronyms"/>
        <w:tblDescription w:val="Discription of Acronyms"/>
      </w:tblPr>
      <w:tblGrid>
        <w:gridCol w:w="1838"/>
        <w:gridCol w:w="6792"/>
      </w:tblGrid>
      <w:tr w:rsidR="00365C67" w14:paraId="11528134" w14:textId="77777777" w:rsidTr="00785F52">
        <w:trPr>
          <w:tblHeader/>
        </w:trPr>
        <w:tc>
          <w:tcPr>
            <w:tcW w:w="1838" w:type="dxa"/>
          </w:tcPr>
          <w:p w14:paraId="3F9528D8" w14:textId="77777777" w:rsidR="00365C67" w:rsidRDefault="00365C67" w:rsidP="00785F52">
            <w:pPr>
              <w:spacing w:after="0"/>
              <w:jc w:val="both"/>
            </w:pPr>
            <w:r>
              <w:t>AHEAD</w:t>
            </w:r>
          </w:p>
        </w:tc>
        <w:tc>
          <w:tcPr>
            <w:tcW w:w="6792" w:type="dxa"/>
          </w:tcPr>
          <w:p w14:paraId="584CB1EC" w14:textId="77777777" w:rsidR="00365C67" w:rsidRDefault="00365C67" w:rsidP="00785F52">
            <w:pPr>
              <w:spacing w:after="0"/>
              <w:jc w:val="both"/>
            </w:pPr>
            <w:r>
              <w:rPr>
                <w:szCs w:val="26"/>
              </w:rPr>
              <w:t>Association Higher Education and Disability</w:t>
            </w:r>
          </w:p>
        </w:tc>
      </w:tr>
      <w:tr w:rsidR="00365C67" w14:paraId="391B9159" w14:textId="77777777" w:rsidTr="00785F52">
        <w:tc>
          <w:tcPr>
            <w:tcW w:w="1838" w:type="dxa"/>
          </w:tcPr>
          <w:p w14:paraId="253372E5" w14:textId="77777777" w:rsidR="00365C67" w:rsidRDefault="00365C67" w:rsidP="00785F52">
            <w:pPr>
              <w:spacing w:after="0"/>
              <w:jc w:val="both"/>
            </w:pPr>
            <w:r>
              <w:t>CES</w:t>
            </w:r>
          </w:p>
        </w:tc>
        <w:tc>
          <w:tcPr>
            <w:tcW w:w="6792" w:type="dxa"/>
          </w:tcPr>
          <w:p w14:paraId="41CB8E36" w14:textId="77777777" w:rsidR="00365C67" w:rsidRDefault="00365C67" w:rsidP="00785F52">
            <w:pPr>
              <w:spacing w:after="0"/>
              <w:jc w:val="both"/>
            </w:pPr>
            <w:r w:rsidRPr="00034D95">
              <w:rPr>
                <w:rFonts w:eastAsiaTheme="minorHAnsi" w:cs="Calibri"/>
                <w:szCs w:val="26"/>
              </w:rPr>
              <w:t>Comprehensive Employment Strategy for People with Disabilities 2015-2024</w:t>
            </w:r>
          </w:p>
        </w:tc>
      </w:tr>
      <w:tr w:rsidR="00365C67" w14:paraId="335AB743" w14:textId="77777777" w:rsidTr="00785F52">
        <w:tc>
          <w:tcPr>
            <w:tcW w:w="1838" w:type="dxa"/>
          </w:tcPr>
          <w:p w14:paraId="5F5FE4CB" w14:textId="77777777" w:rsidR="00365C67" w:rsidRDefault="00365C67" w:rsidP="00785F52">
            <w:pPr>
              <w:spacing w:after="0"/>
              <w:jc w:val="both"/>
            </w:pPr>
            <w:r>
              <w:t>CSO</w:t>
            </w:r>
          </w:p>
        </w:tc>
        <w:tc>
          <w:tcPr>
            <w:tcW w:w="6792" w:type="dxa"/>
          </w:tcPr>
          <w:p w14:paraId="7CD931DC" w14:textId="77777777" w:rsidR="00365C67" w:rsidRDefault="00365C67" w:rsidP="00785F52">
            <w:pPr>
              <w:spacing w:after="0"/>
              <w:jc w:val="both"/>
            </w:pPr>
            <w:r w:rsidRPr="00034D95">
              <w:rPr>
                <w:szCs w:val="26"/>
              </w:rPr>
              <w:t>Central Statistics Office</w:t>
            </w:r>
          </w:p>
        </w:tc>
      </w:tr>
      <w:tr w:rsidR="00365C67" w14:paraId="34BAF37F" w14:textId="77777777" w:rsidTr="00785F52">
        <w:tc>
          <w:tcPr>
            <w:tcW w:w="1838" w:type="dxa"/>
          </w:tcPr>
          <w:p w14:paraId="3A35665F" w14:textId="77777777" w:rsidR="00365C67" w:rsidRDefault="00365C67" w:rsidP="00785F52">
            <w:pPr>
              <w:spacing w:after="0"/>
              <w:jc w:val="both"/>
            </w:pPr>
            <w:r>
              <w:t>DA</w:t>
            </w:r>
          </w:p>
        </w:tc>
        <w:tc>
          <w:tcPr>
            <w:tcW w:w="6792" w:type="dxa"/>
          </w:tcPr>
          <w:p w14:paraId="2DA52CF8" w14:textId="77777777" w:rsidR="00365C67" w:rsidRDefault="00365C67" w:rsidP="00785F52">
            <w:pPr>
              <w:spacing w:after="0"/>
              <w:jc w:val="both"/>
            </w:pPr>
            <w:r w:rsidRPr="00034D95">
              <w:rPr>
                <w:szCs w:val="26"/>
              </w:rPr>
              <w:t>Disability Allowance</w:t>
            </w:r>
          </w:p>
        </w:tc>
      </w:tr>
      <w:tr w:rsidR="00EE0650" w14:paraId="7A6BF578" w14:textId="77777777" w:rsidTr="00785F52">
        <w:tc>
          <w:tcPr>
            <w:tcW w:w="1838" w:type="dxa"/>
          </w:tcPr>
          <w:p w14:paraId="7515891A" w14:textId="6102282D" w:rsidR="00EE0650" w:rsidRDefault="00EE0650" w:rsidP="00785F52">
            <w:pPr>
              <w:spacing w:after="0"/>
              <w:jc w:val="both"/>
            </w:pPr>
            <w:r>
              <w:t>DACT</w:t>
            </w:r>
          </w:p>
        </w:tc>
        <w:tc>
          <w:tcPr>
            <w:tcW w:w="6792" w:type="dxa"/>
          </w:tcPr>
          <w:p w14:paraId="5639973D" w14:textId="1AB4F588" w:rsidR="00EE0650" w:rsidRPr="00034D95" w:rsidRDefault="00EE0650" w:rsidP="00785F52">
            <w:pPr>
              <w:spacing w:after="0"/>
              <w:jc w:val="both"/>
              <w:rPr>
                <w:rFonts w:eastAsiaTheme="minorHAnsi" w:cs="Calibri"/>
                <w:szCs w:val="26"/>
              </w:rPr>
            </w:pPr>
            <w:r>
              <w:t>Disability Activation Project</w:t>
            </w:r>
          </w:p>
        </w:tc>
      </w:tr>
      <w:tr w:rsidR="00365C67" w14:paraId="7847F19C" w14:textId="77777777" w:rsidTr="00785F52">
        <w:tc>
          <w:tcPr>
            <w:tcW w:w="1838" w:type="dxa"/>
          </w:tcPr>
          <w:p w14:paraId="031C1AF8" w14:textId="77777777" w:rsidR="00365C67" w:rsidRDefault="00365C67" w:rsidP="00785F52">
            <w:pPr>
              <w:spacing w:after="0"/>
              <w:jc w:val="both"/>
            </w:pPr>
            <w:r>
              <w:t>DCEDIY</w:t>
            </w:r>
          </w:p>
        </w:tc>
        <w:tc>
          <w:tcPr>
            <w:tcW w:w="6792" w:type="dxa"/>
          </w:tcPr>
          <w:p w14:paraId="684348AD" w14:textId="77777777" w:rsidR="00365C67" w:rsidRDefault="00365C67" w:rsidP="00785F52">
            <w:pPr>
              <w:spacing w:after="0"/>
              <w:jc w:val="both"/>
            </w:pPr>
            <w:r w:rsidRPr="00034D95">
              <w:rPr>
                <w:rFonts w:eastAsiaTheme="minorHAnsi" w:cs="Calibri"/>
                <w:szCs w:val="26"/>
              </w:rPr>
              <w:t>Department of Children, Equality, Disability, Integration and Youth</w:t>
            </w:r>
          </w:p>
        </w:tc>
      </w:tr>
      <w:tr w:rsidR="00365C67" w14:paraId="345029F0" w14:textId="77777777" w:rsidTr="00785F52">
        <w:tc>
          <w:tcPr>
            <w:tcW w:w="1838" w:type="dxa"/>
          </w:tcPr>
          <w:p w14:paraId="691ED9E5" w14:textId="291FD6C1" w:rsidR="00365C67" w:rsidRDefault="00365C67" w:rsidP="00785F52">
            <w:pPr>
              <w:spacing w:after="0"/>
              <w:jc w:val="both"/>
            </w:pPr>
            <w:r>
              <w:t>D</w:t>
            </w:r>
            <w:r w:rsidR="00C76191">
              <w:t>ETE</w:t>
            </w:r>
          </w:p>
        </w:tc>
        <w:tc>
          <w:tcPr>
            <w:tcW w:w="6792" w:type="dxa"/>
          </w:tcPr>
          <w:p w14:paraId="5F9A0F77" w14:textId="2754606E" w:rsidR="00365C67" w:rsidRDefault="00365C67" w:rsidP="00785F52">
            <w:pPr>
              <w:spacing w:after="0"/>
              <w:jc w:val="both"/>
            </w:pPr>
            <w:r>
              <w:t xml:space="preserve">Department of Public </w:t>
            </w:r>
            <w:r w:rsidR="00C76191">
              <w:t>Enterprise Trade and Employment</w:t>
            </w:r>
          </w:p>
        </w:tc>
      </w:tr>
      <w:tr w:rsidR="00CE2EBC" w14:paraId="29A896B9" w14:textId="77777777" w:rsidTr="00785F52">
        <w:tc>
          <w:tcPr>
            <w:tcW w:w="1838" w:type="dxa"/>
          </w:tcPr>
          <w:p w14:paraId="348192B3" w14:textId="7583F8B0" w:rsidR="00CE2EBC" w:rsidRDefault="00CE2EBC" w:rsidP="00785F52">
            <w:pPr>
              <w:spacing w:after="0"/>
              <w:jc w:val="both"/>
            </w:pPr>
            <w:r>
              <w:t>DFHERIS</w:t>
            </w:r>
          </w:p>
        </w:tc>
        <w:tc>
          <w:tcPr>
            <w:tcW w:w="6792" w:type="dxa"/>
          </w:tcPr>
          <w:p w14:paraId="69E5A2EF" w14:textId="43AB0043" w:rsidR="00CE2EBC" w:rsidRDefault="00CE2EBC" w:rsidP="00785F52">
            <w:pPr>
              <w:spacing w:after="0"/>
              <w:jc w:val="both"/>
            </w:pPr>
            <w:r w:rsidRPr="008822B8">
              <w:rPr>
                <w:color w:val="000000"/>
                <w:szCs w:val="26"/>
                <w:shd w:val="clear" w:color="auto" w:fill="FFFFFF"/>
              </w:rPr>
              <w:t>Department of Further and Higher Education, Research, Innovation and Science</w:t>
            </w:r>
          </w:p>
        </w:tc>
      </w:tr>
      <w:tr w:rsidR="00365C67" w14:paraId="3D7EDB3F" w14:textId="77777777" w:rsidTr="00785F52">
        <w:tc>
          <w:tcPr>
            <w:tcW w:w="1838" w:type="dxa"/>
          </w:tcPr>
          <w:p w14:paraId="0265B0A3" w14:textId="77777777" w:rsidR="00365C67" w:rsidRDefault="00365C67" w:rsidP="00785F52">
            <w:pPr>
              <w:spacing w:after="0"/>
              <w:jc w:val="both"/>
            </w:pPr>
            <w:r>
              <w:t>DoE</w:t>
            </w:r>
          </w:p>
        </w:tc>
        <w:tc>
          <w:tcPr>
            <w:tcW w:w="6792" w:type="dxa"/>
          </w:tcPr>
          <w:p w14:paraId="12360588" w14:textId="77777777" w:rsidR="00365C67" w:rsidRDefault="00365C67" w:rsidP="00785F52">
            <w:pPr>
              <w:spacing w:after="0"/>
              <w:jc w:val="both"/>
            </w:pPr>
            <w:r w:rsidRPr="00034D95">
              <w:rPr>
                <w:szCs w:val="26"/>
              </w:rPr>
              <w:t>Department of Education</w:t>
            </w:r>
          </w:p>
        </w:tc>
      </w:tr>
      <w:tr w:rsidR="00365C67" w14:paraId="5B88C1A9" w14:textId="77777777" w:rsidTr="00785F52">
        <w:tc>
          <w:tcPr>
            <w:tcW w:w="1838" w:type="dxa"/>
          </w:tcPr>
          <w:p w14:paraId="07F8A210" w14:textId="77777777" w:rsidR="00365C67" w:rsidRDefault="00365C67" w:rsidP="00785F52">
            <w:pPr>
              <w:spacing w:after="0"/>
              <w:jc w:val="both"/>
            </w:pPr>
            <w:r>
              <w:t>DSP</w:t>
            </w:r>
          </w:p>
        </w:tc>
        <w:tc>
          <w:tcPr>
            <w:tcW w:w="6792" w:type="dxa"/>
          </w:tcPr>
          <w:p w14:paraId="686DE8CC" w14:textId="77777777" w:rsidR="00365C67" w:rsidRPr="00034D95" w:rsidRDefault="00365C67" w:rsidP="00785F52">
            <w:pPr>
              <w:spacing w:after="0"/>
              <w:jc w:val="both"/>
              <w:rPr>
                <w:szCs w:val="26"/>
              </w:rPr>
            </w:pPr>
            <w:r w:rsidRPr="00034D95">
              <w:rPr>
                <w:szCs w:val="26"/>
              </w:rPr>
              <w:t>Department of Social Protection</w:t>
            </w:r>
          </w:p>
        </w:tc>
      </w:tr>
      <w:tr w:rsidR="00365C67" w14:paraId="7D44EC73" w14:textId="77777777" w:rsidTr="00785F52">
        <w:tc>
          <w:tcPr>
            <w:tcW w:w="1838" w:type="dxa"/>
          </w:tcPr>
          <w:p w14:paraId="287A4B49" w14:textId="77777777" w:rsidR="00365C67" w:rsidRDefault="00365C67" w:rsidP="00785F52">
            <w:pPr>
              <w:spacing w:after="0"/>
              <w:jc w:val="both"/>
            </w:pPr>
            <w:r>
              <w:t>ESRI</w:t>
            </w:r>
          </w:p>
        </w:tc>
        <w:tc>
          <w:tcPr>
            <w:tcW w:w="6792" w:type="dxa"/>
          </w:tcPr>
          <w:p w14:paraId="76A6EFA8" w14:textId="77777777" w:rsidR="00365C67" w:rsidRPr="00034D95" w:rsidRDefault="00365C67" w:rsidP="00785F52">
            <w:pPr>
              <w:spacing w:after="0"/>
              <w:jc w:val="both"/>
              <w:rPr>
                <w:szCs w:val="26"/>
              </w:rPr>
            </w:pPr>
            <w:r>
              <w:rPr>
                <w:szCs w:val="26"/>
              </w:rPr>
              <w:t>Economic and Social Research Institute</w:t>
            </w:r>
          </w:p>
        </w:tc>
      </w:tr>
      <w:tr w:rsidR="00365C67" w14:paraId="39BFB101" w14:textId="77777777" w:rsidTr="00785F52">
        <w:tc>
          <w:tcPr>
            <w:tcW w:w="1838" w:type="dxa"/>
          </w:tcPr>
          <w:p w14:paraId="582FF1AF" w14:textId="77777777" w:rsidR="00365C67" w:rsidRDefault="00365C67" w:rsidP="00785F52">
            <w:pPr>
              <w:spacing w:after="0"/>
              <w:jc w:val="both"/>
            </w:pPr>
            <w:r>
              <w:t>FET</w:t>
            </w:r>
          </w:p>
        </w:tc>
        <w:tc>
          <w:tcPr>
            <w:tcW w:w="6792" w:type="dxa"/>
          </w:tcPr>
          <w:p w14:paraId="4257B4CB" w14:textId="77777777" w:rsidR="00365C67" w:rsidRPr="00034D95" w:rsidRDefault="00365C67" w:rsidP="00785F52">
            <w:pPr>
              <w:spacing w:after="0"/>
              <w:jc w:val="both"/>
              <w:rPr>
                <w:szCs w:val="26"/>
              </w:rPr>
            </w:pPr>
            <w:r w:rsidRPr="00034D95">
              <w:rPr>
                <w:szCs w:val="26"/>
              </w:rPr>
              <w:t>Further Education &amp; Training</w:t>
            </w:r>
          </w:p>
        </w:tc>
      </w:tr>
      <w:tr w:rsidR="00F4496C" w14:paraId="1A13C311" w14:textId="77777777" w:rsidTr="00785F52">
        <w:tc>
          <w:tcPr>
            <w:tcW w:w="1838" w:type="dxa"/>
          </w:tcPr>
          <w:p w14:paraId="49B3A1E6" w14:textId="545CC2AE" w:rsidR="00F4496C" w:rsidRDefault="00F4496C" w:rsidP="00785F52">
            <w:pPr>
              <w:spacing w:after="0"/>
              <w:jc w:val="both"/>
            </w:pPr>
            <w:r>
              <w:t>FSD</w:t>
            </w:r>
          </w:p>
        </w:tc>
        <w:tc>
          <w:tcPr>
            <w:tcW w:w="6792" w:type="dxa"/>
          </w:tcPr>
          <w:p w14:paraId="0B56C016" w14:textId="1150370A" w:rsidR="00F4496C" w:rsidRPr="00034D95" w:rsidRDefault="00F4496C" w:rsidP="00785F52">
            <w:pPr>
              <w:spacing w:after="0"/>
              <w:jc w:val="both"/>
              <w:rPr>
                <w:szCs w:val="26"/>
              </w:rPr>
            </w:pPr>
            <w:r>
              <w:rPr>
                <w:szCs w:val="26"/>
              </w:rPr>
              <w:t>Fund for Students with Disabilities</w:t>
            </w:r>
          </w:p>
        </w:tc>
      </w:tr>
      <w:tr w:rsidR="00365C67" w14:paraId="488DBF9A" w14:textId="77777777" w:rsidTr="00785F52">
        <w:tc>
          <w:tcPr>
            <w:tcW w:w="1838" w:type="dxa"/>
          </w:tcPr>
          <w:p w14:paraId="09F6445D" w14:textId="77777777" w:rsidR="00365C67" w:rsidRDefault="00365C67" w:rsidP="00785F52">
            <w:pPr>
              <w:spacing w:after="0"/>
              <w:jc w:val="both"/>
            </w:pPr>
            <w:r>
              <w:t>HEA</w:t>
            </w:r>
          </w:p>
        </w:tc>
        <w:tc>
          <w:tcPr>
            <w:tcW w:w="6792" w:type="dxa"/>
          </w:tcPr>
          <w:p w14:paraId="47A964D3" w14:textId="77777777" w:rsidR="00365C67" w:rsidRPr="00034D95" w:rsidRDefault="00365C67" w:rsidP="00785F52">
            <w:pPr>
              <w:spacing w:after="0"/>
              <w:jc w:val="both"/>
              <w:rPr>
                <w:szCs w:val="26"/>
              </w:rPr>
            </w:pPr>
            <w:r w:rsidRPr="00034D95">
              <w:rPr>
                <w:szCs w:val="26"/>
              </w:rPr>
              <w:t>Higher Education Authority</w:t>
            </w:r>
          </w:p>
        </w:tc>
      </w:tr>
      <w:tr w:rsidR="00C76191" w14:paraId="072C4AD9" w14:textId="77777777" w:rsidTr="00785F52">
        <w:tc>
          <w:tcPr>
            <w:tcW w:w="1838" w:type="dxa"/>
          </w:tcPr>
          <w:p w14:paraId="08017450" w14:textId="468EB794" w:rsidR="00C76191" w:rsidRDefault="00C76191" w:rsidP="00785F52">
            <w:pPr>
              <w:spacing w:after="0"/>
              <w:jc w:val="both"/>
            </w:pPr>
            <w:r>
              <w:t>HEI</w:t>
            </w:r>
          </w:p>
        </w:tc>
        <w:tc>
          <w:tcPr>
            <w:tcW w:w="6792" w:type="dxa"/>
          </w:tcPr>
          <w:p w14:paraId="3AD7E300" w14:textId="3CE6ADCE" w:rsidR="00C76191" w:rsidRPr="00034D95" w:rsidRDefault="00C76191" w:rsidP="00785F52">
            <w:pPr>
              <w:spacing w:after="0"/>
              <w:jc w:val="both"/>
              <w:rPr>
                <w:szCs w:val="26"/>
              </w:rPr>
            </w:pPr>
            <w:r>
              <w:rPr>
                <w:szCs w:val="26"/>
              </w:rPr>
              <w:t>Higher Education Institutions</w:t>
            </w:r>
          </w:p>
        </w:tc>
      </w:tr>
      <w:tr w:rsidR="00497FCE" w14:paraId="03E1CFD1" w14:textId="77777777" w:rsidTr="00785F52">
        <w:tc>
          <w:tcPr>
            <w:tcW w:w="1838" w:type="dxa"/>
          </w:tcPr>
          <w:p w14:paraId="73691C02" w14:textId="4DFDA45F" w:rsidR="00497FCE" w:rsidRDefault="00497FCE" w:rsidP="00785F52">
            <w:pPr>
              <w:spacing w:after="0"/>
              <w:jc w:val="both"/>
            </w:pPr>
            <w:r>
              <w:t>IHREC</w:t>
            </w:r>
          </w:p>
        </w:tc>
        <w:tc>
          <w:tcPr>
            <w:tcW w:w="6792" w:type="dxa"/>
          </w:tcPr>
          <w:p w14:paraId="22647B7B" w14:textId="5F000793" w:rsidR="00497FCE" w:rsidRDefault="00497FCE" w:rsidP="00785F52">
            <w:pPr>
              <w:spacing w:after="0"/>
              <w:jc w:val="both"/>
            </w:pPr>
            <w:r>
              <w:t>Irish Human Rights and Equality Commission</w:t>
            </w:r>
          </w:p>
        </w:tc>
      </w:tr>
      <w:tr w:rsidR="00CE2EBC" w14:paraId="69594D4A" w14:textId="77777777" w:rsidTr="00785F52">
        <w:tc>
          <w:tcPr>
            <w:tcW w:w="1838" w:type="dxa"/>
          </w:tcPr>
          <w:p w14:paraId="5D7204F6" w14:textId="7D369031" w:rsidR="00CE2EBC" w:rsidRDefault="00CE2EBC" w:rsidP="00785F52">
            <w:pPr>
              <w:spacing w:after="0"/>
              <w:jc w:val="both"/>
            </w:pPr>
            <w:r>
              <w:t>NAP</w:t>
            </w:r>
          </w:p>
        </w:tc>
        <w:tc>
          <w:tcPr>
            <w:tcW w:w="6792" w:type="dxa"/>
          </w:tcPr>
          <w:p w14:paraId="7A3549B3" w14:textId="21F6F410" w:rsidR="00CE2EBC" w:rsidRDefault="00CE2EBC" w:rsidP="00785F52">
            <w:pPr>
              <w:spacing w:after="0"/>
              <w:jc w:val="both"/>
            </w:pPr>
            <w:r>
              <w:t>National Access Plan</w:t>
            </w:r>
          </w:p>
        </w:tc>
      </w:tr>
      <w:tr w:rsidR="00365C67" w14:paraId="380557A8" w14:textId="77777777" w:rsidTr="00785F52">
        <w:tc>
          <w:tcPr>
            <w:tcW w:w="1838" w:type="dxa"/>
          </w:tcPr>
          <w:p w14:paraId="68B38F3E" w14:textId="77777777" w:rsidR="00365C67" w:rsidRDefault="00365C67" w:rsidP="00785F52">
            <w:pPr>
              <w:spacing w:after="0"/>
              <w:jc w:val="both"/>
            </w:pPr>
            <w:r>
              <w:t>NDA</w:t>
            </w:r>
          </w:p>
        </w:tc>
        <w:tc>
          <w:tcPr>
            <w:tcW w:w="6792" w:type="dxa"/>
          </w:tcPr>
          <w:p w14:paraId="4B8B3F39" w14:textId="77777777" w:rsidR="00365C67" w:rsidRPr="00034D95" w:rsidRDefault="00365C67" w:rsidP="00785F52">
            <w:pPr>
              <w:spacing w:after="0"/>
              <w:jc w:val="both"/>
              <w:rPr>
                <w:szCs w:val="26"/>
              </w:rPr>
            </w:pPr>
            <w:r>
              <w:rPr>
                <w:szCs w:val="26"/>
              </w:rPr>
              <w:t>National Disability Authority</w:t>
            </w:r>
          </w:p>
        </w:tc>
      </w:tr>
      <w:tr w:rsidR="00365C67" w14:paraId="5BA85CEE" w14:textId="77777777" w:rsidTr="00785F52">
        <w:tc>
          <w:tcPr>
            <w:tcW w:w="1838" w:type="dxa"/>
          </w:tcPr>
          <w:p w14:paraId="40009BBA" w14:textId="77777777" w:rsidR="00365C67" w:rsidRDefault="00365C67" w:rsidP="00785F52">
            <w:pPr>
              <w:spacing w:after="0"/>
              <w:jc w:val="both"/>
            </w:pPr>
            <w:r>
              <w:t>NTA</w:t>
            </w:r>
          </w:p>
        </w:tc>
        <w:tc>
          <w:tcPr>
            <w:tcW w:w="6792" w:type="dxa"/>
          </w:tcPr>
          <w:p w14:paraId="72630449" w14:textId="77777777" w:rsidR="00365C67" w:rsidRPr="00034D95" w:rsidRDefault="00365C67" w:rsidP="00785F52">
            <w:pPr>
              <w:spacing w:after="0"/>
              <w:jc w:val="both"/>
              <w:rPr>
                <w:szCs w:val="26"/>
              </w:rPr>
            </w:pPr>
            <w:r>
              <w:rPr>
                <w:szCs w:val="26"/>
              </w:rPr>
              <w:t>National Transport Authority</w:t>
            </w:r>
          </w:p>
        </w:tc>
      </w:tr>
      <w:tr w:rsidR="00365C67" w14:paraId="76E89003" w14:textId="77777777" w:rsidTr="00785F52">
        <w:tc>
          <w:tcPr>
            <w:tcW w:w="1838" w:type="dxa"/>
          </w:tcPr>
          <w:p w14:paraId="6501EC67" w14:textId="77777777" w:rsidR="00365C67" w:rsidRDefault="00365C67" w:rsidP="00785F52">
            <w:pPr>
              <w:spacing w:after="0"/>
              <w:jc w:val="both"/>
            </w:pPr>
            <w:r>
              <w:t>OECD</w:t>
            </w:r>
          </w:p>
        </w:tc>
        <w:tc>
          <w:tcPr>
            <w:tcW w:w="6792" w:type="dxa"/>
          </w:tcPr>
          <w:p w14:paraId="15D7125F" w14:textId="77777777" w:rsidR="00365C67" w:rsidRPr="00034D95" w:rsidRDefault="00365C67" w:rsidP="00785F52">
            <w:pPr>
              <w:spacing w:after="0"/>
              <w:jc w:val="both"/>
              <w:rPr>
                <w:szCs w:val="26"/>
              </w:rPr>
            </w:pPr>
            <w:r w:rsidRPr="00034D95">
              <w:rPr>
                <w:szCs w:val="26"/>
              </w:rPr>
              <w:t>Organisation for Economic Cooperation and Development</w:t>
            </w:r>
          </w:p>
        </w:tc>
      </w:tr>
      <w:tr w:rsidR="00365C67" w14:paraId="79306127" w14:textId="77777777" w:rsidTr="00785F52">
        <w:tc>
          <w:tcPr>
            <w:tcW w:w="1838" w:type="dxa"/>
          </w:tcPr>
          <w:p w14:paraId="52E9CA8F" w14:textId="77777777" w:rsidR="00365C67" w:rsidRDefault="00365C67" w:rsidP="00785F52">
            <w:pPr>
              <w:spacing w:after="0"/>
              <w:jc w:val="both"/>
            </w:pPr>
            <w:r>
              <w:t>OWL</w:t>
            </w:r>
          </w:p>
        </w:tc>
        <w:tc>
          <w:tcPr>
            <w:tcW w:w="6792" w:type="dxa"/>
          </w:tcPr>
          <w:p w14:paraId="6E0CB95F" w14:textId="77777777" w:rsidR="00365C67" w:rsidRPr="004B4DD9" w:rsidRDefault="00365C67" w:rsidP="00785F52">
            <w:pPr>
              <w:spacing w:after="0"/>
              <w:jc w:val="both"/>
              <w:rPr>
                <w:rFonts w:cstheme="minorHAnsi"/>
                <w:szCs w:val="26"/>
              </w:rPr>
            </w:pPr>
            <w:r w:rsidRPr="00034D95">
              <w:rPr>
                <w:rFonts w:cstheme="minorHAnsi"/>
                <w:szCs w:val="26"/>
              </w:rPr>
              <w:t>Oireachtas Work Learning programme for persons with intellectual disabilities</w:t>
            </w:r>
          </w:p>
        </w:tc>
      </w:tr>
      <w:tr w:rsidR="000321F6" w14:paraId="6E0B4D40" w14:textId="77777777" w:rsidTr="00785F52">
        <w:tc>
          <w:tcPr>
            <w:tcW w:w="1838" w:type="dxa"/>
          </w:tcPr>
          <w:p w14:paraId="19A258F3" w14:textId="4734EDFF" w:rsidR="000321F6" w:rsidRDefault="000321F6" w:rsidP="00785F52">
            <w:pPr>
              <w:spacing w:after="0"/>
              <w:jc w:val="both"/>
            </w:pPr>
            <w:r>
              <w:t>PATH</w:t>
            </w:r>
          </w:p>
        </w:tc>
        <w:tc>
          <w:tcPr>
            <w:tcW w:w="6792" w:type="dxa"/>
          </w:tcPr>
          <w:p w14:paraId="043B3274" w14:textId="4E55F72F" w:rsidR="000321F6" w:rsidRDefault="000321F6" w:rsidP="00785F52">
            <w:pPr>
              <w:spacing w:after="0"/>
              <w:jc w:val="both"/>
              <w:rPr>
                <w:rFonts w:cstheme="minorHAnsi"/>
                <w:szCs w:val="26"/>
              </w:rPr>
            </w:pPr>
            <w:r w:rsidRPr="001577D3">
              <w:rPr>
                <w:rFonts w:cs="Calibri"/>
                <w:szCs w:val="26"/>
              </w:rPr>
              <w:t>Programme for Access to Higher Education</w:t>
            </w:r>
          </w:p>
        </w:tc>
      </w:tr>
      <w:tr w:rsidR="00365C67" w14:paraId="0F874610" w14:textId="77777777" w:rsidTr="00785F52">
        <w:tc>
          <w:tcPr>
            <w:tcW w:w="1838" w:type="dxa"/>
          </w:tcPr>
          <w:p w14:paraId="6121161B" w14:textId="77777777" w:rsidR="00365C67" w:rsidRDefault="00365C67" w:rsidP="00785F52">
            <w:pPr>
              <w:spacing w:after="0"/>
              <w:jc w:val="both"/>
            </w:pPr>
            <w:proofErr w:type="spellStart"/>
            <w:r>
              <w:t>Solas</w:t>
            </w:r>
            <w:proofErr w:type="spellEnd"/>
          </w:p>
        </w:tc>
        <w:tc>
          <w:tcPr>
            <w:tcW w:w="6792" w:type="dxa"/>
          </w:tcPr>
          <w:p w14:paraId="4D59F7E1" w14:textId="77777777" w:rsidR="00365C67" w:rsidRPr="00034D95" w:rsidRDefault="00365C67" w:rsidP="00785F52">
            <w:pPr>
              <w:spacing w:after="0"/>
              <w:jc w:val="both"/>
              <w:rPr>
                <w:szCs w:val="26"/>
              </w:rPr>
            </w:pPr>
            <w:proofErr w:type="spellStart"/>
            <w:r w:rsidRPr="00034D95">
              <w:rPr>
                <w:szCs w:val="26"/>
              </w:rPr>
              <w:t>Seirbhisi</w:t>
            </w:r>
            <w:proofErr w:type="spellEnd"/>
            <w:r w:rsidRPr="00034D95">
              <w:rPr>
                <w:szCs w:val="26"/>
              </w:rPr>
              <w:t xml:space="preserve"> </w:t>
            </w:r>
            <w:proofErr w:type="spellStart"/>
            <w:r w:rsidRPr="00034D95">
              <w:rPr>
                <w:szCs w:val="26"/>
              </w:rPr>
              <w:t>Oideachais</w:t>
            </w:r>
            <w:proofErr w:type="spellEnd"/>
            <w:r w:rsidRPr="00034D95">
              <w:rPr>
                <w:szCs w:val="26"/>
              </w:rPr>
              <w:t xml:space="preserve"> </w:t>
            </w:r>
            <w:proofErr w:type="spellStart"/>
            <w:r w:rsidRPr="00034D95">
              <w:rPr>
                <w:szCs w:val="26"/>
              </w:rPr>
              <w:t>Leanunaigh</w:t>
            </w:r>
            <w:proofErr w:type="spellEnd"/>
            <w:r w:rsidRPr="00034D95">
              <w:rPr>
                <w:szCs w:val="26"/>
              </w:rPr>
              <w:t xml:space="preserve"> Agus </w:t>
            </w:r>
            <w:proofErr w:type="spellStart"/>
            <w:r w:rsidRPr="00034D95">
              <w:rPr>
                <w:szCs w:val="26"/>
              </w:rPr>
              <w:t>Scileanna</w:t>
            </w:r>
            <w:proofErr w:type="spellEnd"/>
            <w:r w:rsidRPr="00034D95">
              <w:rPr>
                <w:szCs w:val="26"/>
              </w:rPr>
              <w:t xml:space="preserve"> (Fur</w:t>
            </w:r>
            <w:r>
              <w:rPr>
                <w:szCs w:val="26"/>
              </w:rPr>
              <w:t>ther Education Skills Services)</w:t>
            </w:r>
          </w:p>
        </w:tc>
      </w:tr>
      <w:tr w:rsidR="00CE2EBC" w14:paraId="31AFCA4F" w14:textId="77777777" w:rsidTr="00785F52">
        <w:tc>
          <w:tcPr>
            <w:tcW w:w="1838" w:type="dxa"/>
          </w:tcPr>
          <w:p w14:paraId="51F99EC0" w14:textId="757F3FE0" w:rsidR="00CE2EBC" w:rsidRDefault="00CE2EBC" w:rsidP="00785F52">
            <w:pPr>
              <w:spacing w:after="0"/>
              <w:jc w:val="both"/>
            </w:pPr>
            <w:r>
              <w:t>UDE</w:t>
            </w:r>
          </w:p>
        </w:tc>
        <w:tc>
          <w:tcPr>
            <w:tcW w:w="6792" w:type="dxa"/>
          </w:tcPr>
          <w:p w14:paraId="704C1433" w14:textId="13F4211E" w:rsidR="00CE2EBC" w:rsidRPr="00034D95" w:rsidRDefault="00CE2EBC" w:rsidP="00785F52">
            <w:pPr>
              <w:spacing w:after="0"/>
              <w:jc w:val="both"/>
              <w:rPr>
                <w:szCs w:val="26"/>
              </w:rPr>
            </w:pPr>
            <w:r>
              <w:rPr>
                <w:szCs w:val="26"/>
              </w:rPr>
              <w:t>Universal Design for Education</w:t>
            </w:r>
          </w:p>
        </w:tc>
      </w:tr>
      <w:tr w:rsidR="00365C67" w14:paraId="46B218DA" w14:textId="77777777" w:rsidTr="00785F52">
        <w:tc>
          <w:tcPr>
            <w:tcW w:w="1838" w:type="dxa"/>
          </w:tcPr>
          <w:p w14:paraId="539786B0" w14:textId="77777777" w:rsidR="00365C67" w:rsidRDefault="00365C67" w:rsidP="00785F52">
            <w:pPr>
              <w:spacing w:after="0"/>
              <w:jc w:val="both"/>
            </w:pPr>
            <w:r>
              <w:t>UNCRPD</w:t>
            </w:r>
          </w:p>
        </w:tc>
        <w:tc>
          <w:tcPr>
            <w:tcW w:w="6792" w:type="dxa"/>
          </w:tcPr>
          <w:p w14:paraId="7716F496" w14:textId="77777777" w:rsidR="00365C67" w:rsidRPr="00034D95" w:rsidRDefault="00365C67" w:rsidP="00785F52">
            <w:pPr>
              <w:spacing w:after="0"/>
              <w:jc w:val="both"/>
              <w:rPr>
                <w:szCs w:val="26"/>
              </w:rPr>
            </w:pPr>
            <w:r w:rsidRPr="00034D95">
              <w:rPr>
                <w:szCs w:val="26"/>
              </w:rPr>
              <w:t>United Nations Convention on the Rights of Persons with Disabilities</w:t>
            </w:r>
          </w:p>
        </w:tc>
      </w:tr>
      <w:tr w:rsidR="00EE0650" w14:paraId="3688C7B6" w14:textId="77777777" w:rsidTr="00785F52">
        <w:tc>
          <w:tcPr>
            <w:tcW w:w="1838" w:type="dxa"/>
          </w:tcPr>
          <w:p w14:paraId="537E834A" w14:textId="489A9074" w:rsidR="00EE0650" w:rsidRDefault="00EE0650" w:rsidP="00785F52">
            <w:pPr>
              <w:spacing w:after="0"/>
              <w:jc w:val="both"/>
            </w:pPr>
            <w:r>
              <w:t>WALK</w:t>
            </w:r>
          </w:p>
        </w:tc>
        <w:tc>
          <w:tcPr>
            <w:tcW w:w="6792" w:type="dxa"/>
          </w:tcPr>
          <w:p w14:paraId="377FA279" w14:textId="38625D18" w:rsidR="00EE0650" w:rsidRDefault="00EE0650" w:rsidP="00785F52">
            <w:pPr>
              <w:spacing w:after="0"/>
              <w:jc w:val="both"/>
              <w:rPr>
                <w:szCs w:val="26"/>
              </w:rPr>
            </w:pPr>
            <w:r>
              <w:t>Walkinstown Association for People with an Intellectual Disability</w:t>
            </w:r>
          </w:p>
        </w:tc>
      </w:tr>
      <w:tr w:rsidR="00365C67" w14:paraId="715EDF26" w14:textId="77777777" w:rsidTr="00785F52">
        <w:tc>
          <w:tcPr>
            <w:tcW w:w="1838" w:type="dxa"/>
          </w:tcPr>
          <w:p w14:paraId="39702E80" w14:textId="77777777" w:rsidR="00365C67" w:rsidRDefault="00365C67" w:rsidP="00785F52">
            <w:pPr>
              <w:spacing w:after="0"/>
              <w:jc w:val="both"/>
            </w:pPr>
            <w:r>
              <w:t>WAM</w:t>
            </w:r>
          </w:p>
        </w:tc>
        <w:tc>
          <w:tcPr>
            <w:tcW w:w="6792" w:type="dxa"/>
          </w:tcPr>
          <w:p w14:paraId="1FB4AD08" w14:textId="77777777" w:rsidR="00365C67" w:rsidRPr="00034D95" w:rsidRDefault="00365C67" w:rsidP="00785F52">
            <w:pPr>
              <w:spacing w:after="0"/>
              <w:jc w:val="both"/>
              <w:rPr>
                <w:szCs w:val="26"/>
              </w:rPr>
            </w:pPr>
            <w:r>
              <w:rPr>
                <w:szCs w:val="26"/>
              </w:rPr>
              <w:t>Willing Able and Mentoring</w:t>
            </w:r>
          </w:p>
        </w:tc>
      </w:tr>
    </w:tbl>
    <w:p w14:paraId="5FA3AD70" w14:textId="77777777" w:rsidR="00365C67" w:rsidRDefault="00365C67" w:rsidP="00365C67">
      <w:pPr>
        <w:spacing w:after="0"/>
      </w:pPr>
    </w:p>
    <w:p w14:paraId="25418C9D" w14:textId="77777777" w:rsidR="00365C67" w:rsidRPr="00365C67" w:rsidRDefault="0079532C">
      <w:pPr>
        <w:spacing w:after="0"/>
        <w:rPr>
          <w:rFonts w:cs="Arial"/>
          <w:b/>
          <w:bCs/>
          <w:kern w:val="28"/>
          <w:sz w:val="36"/>
          <w:szCs w:val="32"/>
        </w:rPr>
      </w:pPr>
      <w:r>
        <w:br w:type="page"/>
      </w:r>
      <w:bookmarkStart w:id="6" w:name="_Toc130370556"/>
    </w:p>
    <w:p w14:paraId="4DDC20CC" w14:textId="020E9BEF" w:rsidR="00322137" w:rsidRDefault="00850B64" w:rsidP="007C243D">
      <w:pPr>
        <w:pStyle w:val="Heading1"/>
      </w:pPr>
      <w:bookmarkStart w:id="7" w:name="_Toc170203426"/>
      <w:bookmarkEnd w:id="6"/>
      <w:r>
        <w:lastRenderedPageBreak/>
        <w:t>Executive Summary</w:t>
      </w:r>
      <w:bookmarkEnd w:id="7"/>
    </w:p>
    <w:p w14:paraId="0F52F99A" w14:textId="4CD1FCBA" w:rsidR="00D94848" w:rsidRDefault="00D94848" w:rsidP="00322137">
      <w:r>
        <w:t>The CES is nearing completion as a national strategy, with no final action plan agreed.</w:t>
      </w:r>
      <w:r w:rsidRPr="00D94848">
        <w:rPr>
          <w:szCs w:val="26"/>
        </w:rPr>
        <w:t xml:space="preserve"> </w:t>
      </w:r>
      <w:r>
        <w:rPr>
          <w:szCs w:val="26"/>
        </w:rPr>
        <w:t>Ireland continues to have a high disability employment gap with a</w:t>
      </w:r>
      <w:r w:rsidRPr="005B16DC">
        <w:rPr>
          <w:szCs w:val="26"/>
        </w:rPr>
        <w:t xml:space="preserve">lmost half (49.3%) of people with disabilities of working age in Ireland at work, compared to 70.8% of people without disabilities. </w:t>
      </w:r>
    </w:p>
    <w:p w14:paraId="4A0485B6" w14:textId="3341CFB3" w:rsidR="007C243D" w:rsidRDefault="00D94848" w:rsidP="00322137">
      <w:r>
        <w:t>Despite this, in</w:t>
      </w:r>
      <w:r w:rsidR="009F7F01">
        <w:t xml:space="preserve"> 2023, developments</w:t>
      </w:r>
      <w:r w:rsidR="007C243D">
        <w:t xml:space="preserve"> were progressed that will result in more people with disabilities </w:t>
      </w:r>
      <w:r w:rsidR="00A82F9D">
        <w:t xml:space="preserve">gaining </w:t>
      </w:r>
      <w:r w:rsidR="007C243D">
        <w:t>access</w:t>
      </w:r>
      <w:r w:rsidR="007B47DE">
        <w:t xml:space="preserve"> to</w:t>
      </w:r>
      <w:r w:rsidR="007C243D">
        <w:t xml:space="preserve"> education</w:t>
      </w:r>
      <w:r>
        <w:t xml:space="preserve">, </w:t>
      </w:r>
      <w:r w:rsidR="007C243D">
        <w:t>training</w:t>
      </w:r>
      <w:r>
        <w:t xml:space="preserve"> and employment</w:t>
      </w:r>
      <w:r w:rsidR="007C243D">
        <w:t xml:space="preserve">. </w:t>
      </w:r>
    </w:p>
    <w:p w14:paraId="31C3D98F" w14:textId="0CB772FF" w:rsidR="00F65AD9" w:rsidRDefault="009F7F01" w:rsidP="00322137">
      <w:r>
        <w:t>Progress is being made in the inclusion of disabled learners in higher and further education and training. For example,</w:t>
      </w:r>
      <w:r w:rsidR="00F93586">
        <w:t xml:space="preserve"> PATH 4 Phase One saw the introduction of new initiatives </w:t>
      </w:r>
      <w:r>
        <w:t>applying a</w:t>
      </w:r>
      <w:r w:rsidR="00F93586">
        <w:t xml:space="preserve"> Universal Design</w:t>
      </w:r>
      <w:r>
        <w:t xml:space="preserve"> for Education </w:t>
      </w:r>
      <w:r w:rsidR="00D94848">
        <w:t>approach</w:t>
      </w:r>
      <w:r w:rsidR="00F93586">
        <w:t xml:space="preserve">. Similarly, PATH 4 Phase Two saw </w:t>
      </w:r>
      <w:r w:rsidR="00D94848">
        <w:t>funding</w:t>
      </w:r>
      <w:r w:rsidR="00F93586">
        <w:t xml:space="preserve"> for </w:t>
      </w:r>
      <w:r w:rsidR="00D94848">
        <w:t>higher education institutions</w:t>
      </w:r>
      <w:r w:rsidR="00F93586">
        <w:t xml:space="preserve"> to include learners with Intellectual Disabilities in Higher Education. </w:t>
      </w:r>
      <w:r w:rsidR="00D94848">
        <w:t xml:space="preserve">Additional funding has also been made available to support students with disabilities and to establish communities of practice for teachers. There are also plans to provide better career guidance to young people with disabilities and work is ongoing to improve transitions for young people leaving school.  </w:t>
      </w:r>
    </w:p>
    <w:p w14:paraId="7B0B8BD0" w14:textId="033DB6C8" w:rsidR="00D94848" w:rsidRDefault="00D94848" w:rsidP="00322137">
      <w:r>
        <w:t xml:space="preserve">A new </w:t>
      </w:r>
      <w:proofErr w:type="spellStart"/>
      <w:r>
        <w:t>WorkAbility</w:t>
      </w:r>
      <w:proofErr w:type="spellEnd"/>
      <w:r>
        <w:t xml:space="preserve"> programme has been funded that will bring disabled people closer to employment and an early engagement programme is ongoing. New enterprise </w:t>
      </w:r>
      <w:r w:rsidR="00124E18">
        <w:t xml:space="preserve">routes </w:t>
      </w:r>
      <w:r>
        <w:t>to employment are being explored and new legislation in relation to remote and flexible working may provide more opportunities for</w:t>
      </w:r>
      <w:r w:rsidR="005E1E82">
        <w:t xml:space="preserve"> more</w:t>
      </w:r>
      <w:r>
        <w:t xml:space="preserve"> disabled people</w:t>
      </w:r>
      <w:r w:rsidR="005E1E82">
        <w:t xml:space="preserve"> to enter the workforce</w:t>
      </w:r>
      <w:r>
        <w:t xml:space="preserve">. </w:t>
      </w:r>
    </w:p>
    <w:p w14:paraId="4D8C2EF8" w14:textId="10122378" w:rsidR="007C243D" w:rsidRDefault="007424F6" w:rsidP="00322137">
      <w:pPr>
        <w:rPr>
          <w:szCs w:val="26"/>
        </w:rPr>
      </w:pPr>
      <w:r>
        <w:rPr>
          <w:szCs w:val="26"/>
        </w:rPr>
        <w:t xml:space="preserve">Factors still requiring attention during the final two years of the strategy include </w:t>
      </w:r>
      <w:r w:rsidR="00D94848">
        <w:rPr>
          <w:szCs w:val="26"/>
        </w:rPr>
        <w:t xml:space="preserve">scaling up support around </w:t>
      </w:r>
      <w:r>
        <w:rPr>
          <w:szCs w:val="26"/>
        </w:rPr>
        <w:t xml:space="preserve">transitions from school to post school options, access to career guidance from age </w:t>
      </w:r>
      <w:proofErr w:type="gramStart"/>
      <w:r>
        <w:rPr>
          <w:szCs w:val="26"/>
        </w:rPr>
        <w:t>13</w:t>
      </w:r>
      <w:r w:rsidR="005E1E82">
        <w:rPr>
          <w:szCs w:val="26"/>
        </w:rPr>
        <w:t>,</w:t>
      </w:r>
      <w:r>
        <w:rPr>
          <w:szCs w:val="26"/>
        </w:rPr>
        <w:t>access</w:t>
      </w:r>
      <w:proofErr w:type="gramEnd"/>
      <w:r>
        <w:rPr>
          <w:szCs w:val="26"/>
        </w:rPr>
        <w:t xml:space="preserve"> to individual tailored employment supports</w:t>
      </w:r>
      <w:r w:rsidR="005E1E82">
        <w:rPr>
          <w:szCs w:val="26"/>
        </w:rPr>
        <w:t>,</w:t>
      </w:r>
      <w:r w:rsidR="00AA454F">
        <w:rPr>
          <w:szCs w:val="26"/>
        </w:rPr>
        <w:t xml:space="preserve"> and measures to address the extra costs of having a disability.</w:t>
      </w:r>
      <w:r w:rsidR="00D94848">
        <w:rPr>
          <w:szCs w:val="26"/>
        </w:rPr>
        <w:t xml:space="preserve"> Supports to return to work having acquired a disability such as through a vocational rehabilitation programme are also required.</w:t>
      </w:r>
      <w:r w:rsidR="00AA454F">
        <w:rPr>
          <w:szCs w:val="26"/>
        </w:rPr>
        <w:t xml:space="preserve"> </w:t>
      </w:r>
      <w:r w:rsidR="007B47DE">
        <w:rPr>
          <w:szCs w:val="26"/>
        </w:rPr>
        <w:t>F</w:t>
      </w:r>
      <w:r>
        <w:rPr>
          <w:szCs w:val="26"/>
        </w:rPr>
        <w:t>rom the employer’s perspective continuous availability of information, support and in particular guidance is required to support more disabled people with their journey into work.</w:t>
      </w:r>
    </w:p>
    <w:p w14:paraId="24A50160" w14:textId="77D49C9D" w:rsidR="007424F6" w:rsidRPr="00322137" w:rsidRDefault="007424F6" w:rsidP="00322137">
      <w:r>
        <w:rPr>
          <w:szCs w:val="26"/>
        </w:rPr>
        <w:t xml:space="preserve">The NDA recommend that during 2024 a final meeting of the CESIG should be convened to </w:t>
      </w:r>
      <w:r w:rsidR="00D94848">
        <w:rPr>
          <w:szCs w:val="26"/>
        </w:rPr>
        <w:t>assess</w:t>
      </w:r>
      <w:r>
        <w:rPr>
          <w:szCs w:val="26"/>
        </w:rPr>
        <w:t xml:space="preserve"> the work progressed during the CES and outline what actions </w:t>
      </w:r>
      <w:r w:rsidR="00D94848">
        <w:rPr>
          <w:szCs w:val="26"/>
        </w:rPr>
        <w:t>need to be prioritised</w:t>
      </w:r>
      <w:r>
        <w:rPr>
          <w:szCs w:val="26"/>
        </w:rPr>
        <w:t xml:space="preserve"> in the new National Disability Strategy.</w:t>
      </w:r>
    </w:p>
    <w:p w14:paraId="4D328B78" w14:textId="77777777" w:rsidR="009C3BD7" w:rsidRDefault="00FA249B" w:rsidP="009C3BD7">
      <w:pPr>
        <w:pStyle w:val="Heading1"/>
      </w:pPr>
      <w:bookmarkStart w:id="8" w:name="_Toc130474352"/>
      <w:bookmarkStart w:id="9" w:name="_Toc170203427"/>
      <w:r>
        <w:lastRenderedPageBreak/>
        <w:t>Introduction</w:t>
      </w:r>
      <w:bookmarkEnd w:id="8"/>
      <w:bookmarkEnd w:id="9"/>
    </w:p>
    <w:p w14:paraId="271D490C" w14:textId="4E735906" w:rsidR="0047329B" w:rsidRDefault="0047329B" w:rsidP="00D87792">
      <w:r w:rsidRPr="00137A8B">
        <w:t xml:space="preserve">This paper sets out the National Disability Authority’s (NDA) independent assessment of </w:t>
      </w:r>
      <w:r>
        <w:t>progress made regarding the Comprehensive Employment Strategy for people with disabilities 2015 to 2024 (</w:t>
      </w:r>
      <w:r w:rsidRPr="00137A8B">
        <w:t>CES</w:t>
      </w:r>
      <w:r>
        <w:t>)</w:t>
      </w:r>
      <w:r w:rsidRPr="00137A8B">
        <w:t xml:space="preserve"> in the context of</w:t>
      </w:r>
      <w:r>
        <w:t xml:space="preserve"> </w:t>
      </w:r>
      <w:r w:rsidR="00E00F83">
        <w:t>progress</w:t>
      </w:r>
      <w:r w:rsidR="00116A3B">
        <w:t xml:space="preserve"> </w:t>
      </w:r>
      <w:r>
        <w:t>during 202</w:t>
      </w:r>
      <w:r w:rsidR="001A3852">
        <w:t>3</w:t>
      </w:r>
      <w:r w:rsidR="00ED55FB">
        <w:t>.</w:t>
      </w:r>
      <w:r>
        <w:t xml:space="preserve"> This is the </w:t>
      </w:r>
      <w:r w:rsidR="000210B7">
        <w:t>eighth</w:t>
      </w:r>
      <w:r w:rsidRPr="00476D15">
        <w:t xml:space="preserve"> </w:t>
      </w:r>
      <w:r>
        <w:t>annual assessment conducted by the NDA.</w:t>
      </w:r>
    </w:p>
    <w:p w14:paraId="64CB3D73" w14:textId="4FE1CFFF" w:rsidR="00ED06E1" w:rsidRDefault="0047329B" w:rsidP="00820927">
      <w:pPr>
        <w:rPr>
          <w:szCs w:val="26"/>
        </w:rPr>
      </w:pPr>
      <w:r w:rsidRPr="00DD62CF">
        <w:rPr>
          <w:szCs w:val="26"/>
        </w:rPr>
        <w:t xml:space="preserve">The assessment is based on evidence gathered </w:t>
      </w:r>
      <w:r w:rsidR="0006375C">
        <w:rPr>
          <w:szCs w:val="26"/>
        </w:rPr>
        <w:t xml:space="preserve">over </w:t>
      </w:r>
      <w:r w:rsidR="00820927">
        <w:rPr>
          <w:szCs w:val="26"/>
        </w:rPr>
        <w:t xml:space="preserve">2023 </w:t>
      </w:r>
      <w:r w:rsidRPr="00DD62CF">
        <w:rPr>
          <w:szCs w:val="26"/>
        </w:rPr>
        <w:t>that relates to the</w:t>
      </w:r>
      <w:r>
        <w:rPr>
          <w:szCs w:val="26"/>
        </w:rPr>
        <w:t xml:space="preserve"> </w:t>
      </w:r>
      <w:r w:rsidRPr="00DD62CF">
        <w:rPr>
          <w:szCs w:val="26"/>
        </w:rPr>
        <w:t xml:space="preserve">employment environment </w:t>
      </w:r>
      <w:r w:rsidR="00820927">
        <w:rPr>
          <w:szCs w:val="26"/>
        </w:rPr>
        <w:t xml:space="preserve">experienced by </w:t>
      </w:r>
      <w:r w:rsidR="002621A2">
        <w:rPr>
          <w:szCs w:val="26"/>
        </w:rPr>
        <w:t>disabled people</w:t>
      </w:r>
      <w:r w:rsidRPr="00DD62CF">
        <w:rPr>
          <w:szCs w:val="26"/>
        </w:rPr>
        <w:t>. This approach includes evidence gathered on the lived experience of persons with disabilities by the NDA a</w:t>
      </w:r>
      <w:r w:rsidR="00373163">
        <w:rPr>
          <w:szCs w:val="26"/>
        </w:rPr>
        <w:t>nd others,</w:t>
      </w:r>
      <w:r w:rsidR="00C76191">
        <w:rPr>
          <w:szCs w:val="26"/>
        </w:rPr>
        <w:t xml:space="preserve"> information from government departments and agencies</w:t>
      </w:r>
      <w:r w:rsidR="00373163">
        <w:rPr>
          <w:szCs w:val="26"/>
        </w:rPr>
        <w:t xml:space="preserve"> </w:t>
      </w:r>
      <w:r w:rsidRPr="00DD62CF">
        <w:rPr>
          <w:szCs w:val="26"/>
        </w:rPr>
        <w:t xml:space="preserve">and new data on the employment of persons with disabilities. </w:t>
      </w:r>
    </w:p>
    <w:p w14:paraId="6D35C2D0" w14:textId="531B0CF1" w:rsidR="00B05E1A" w:rsidRDefault="001A3852" w:rsidP="00820927">
      <w:pPr>
        <w:rPr>
          <w:szCs w:val="26"/>
          <w:lang w:eastAsia="en-IE"/>
        </w:rPr>
      </w:pPr>
      <w:r>
        <w:rPr>
          <w:szCs w:val="26"/>
          <w:lang w:eastAsia="en-IE"/>
        </w:rPr>
        <w:t xml:space="preserve">2023 presents the </w:t>
      </w:r>
      <w:r w:rsidR="00836C17">
        <w:rPr>
          <w:szCs w:val="26"/>
          <w:lang w:eastAsia="en-IE"/>
        </w:rPr>
        <w:t xml:space="preserve">penultimate year of </w:t>
      </w:r>
      <w:r w:rsidR="00836C17">
        <w:t xml:space="preserve">a ten-year approach </w:t>
      </w:r>
      <w:r w:rsidR="00ED06E1">
        <w:t xml:space="preserve">by government </w:t>
      </w:r>
      <w:r w:rsidR="00836C17">
        <w:t>to</w:t>
      </w:r>
      <w:r w:rsidR="00836C17" w:rsidRPr="005D6949">
        <w:t xml:space="preserve"> ensur</w:t>
      </w:r>
      <w:r w:rsidR="00ED06E1">
        <w:t>e</w:t>
      </w:r>
      <w:r w:rsidR="00836C17" w:rsidRPr="005D6949">
        <w:t xml:space="preserve"> that people with disabilities, who </w:t>
      </w:r>
      <w:r w:rsidR="00D94848" w:rsidRPr="005D6949">
        <w:t>can</w:t>
      </w:r>
      <w:r w:rsidR="00836C17">
        <w:t>,</w:t>
      </w:r>
      <w:r w:rsidR="00836C17" w:rsidRPr="005D6949">
        <w:t xml:space="preserve"> and want to work are supported and enabled to do so</w:t>
      </w:r>
      <w:r w:rsidR="00836C17">
        <w:t xml:space="preserve">. </w:t>
      </w:r>
      <w:r w:rsidR="003C584A">
        <w:t>No</w:t>
      </w:r>
      <w:r>
        <w:rPr>
          <w:szCs w:val="26"/>
          <w:lang w:eastAsia="en-IE"/>
        </w:rPr>
        <w:t xml:space="preserve"> CESIG meetings took place, </w:t>
      </w:r>
      <w:r w:rsidR="00836C17">
        <w:rPr>
          <w:szCs w:val="26"/>
          <w:lang w:eastAsia="en-IE"/>
        </w:rPr>
        <w:t xml:space="preserve">and no agreement was reached on the shape and content of the final action plan that would take the strategy to its conclusion. </w:t>
      </w:r>
      <w:r w:rsidR="00B05E1A">
        <w:rPr>
          <w:szCs w:val="26"/>
          <w:lang w:eastAsia="en-IE"/>
        </w:rPr>
        <w:t>However, the</w:t>
      </w:r>
      <w:r w:rsidR="007928FE">
        <w:rPr>
          <w:szCs w:val="26"/>
          <w:lang w:eastAsia="en-IE"/>
        </w:rPr>
        <w:t xml:space="preserve"> Department of Children Equality </w:t>
      </w:r>
      <w:r w:rsidR="00B05E1A">
        <w:rPr>
          <w:szCs w:val="26"/>
          <w:lang w:eastAsia="en-IE"/>
        </w:rPr>
        <w:t>Disability</w:t>
      </w:r>
      <w:r w:rsidR="007928FE">
        <w:rPr>
          <w:szCs w:val="26"/>
          <w:lang w:eastAsia="en-IE"/>
        </w:rPr>
        <w:t xml:space="preserve"> Integration and Youth</w:t>
      </w:r>
      <w:r w:rsidR="003C584A">
        <w:rPr>
          <w:szCs w:val="26"/>
          <w:lang w:eastAsia="en-IE"/>
        </w:rPr>
        <w:t xml:space="preserve"> (DCEDIY)</w:t>
      </w:r>
      <w:r w:rsidR="007928FE">
        <w:rPr>
          <w:szCs w:val="26"/>
          <w:lang w:eastAsia="en-IE"/>
        </w:rPr>
        <w:t xml:space="preserve"> began work to develop a new National Disability Strategy which will include a key pillar on employment. </w:t>
      </w:r>
    </w:p>
    <w:p w14:paraId="333EE9FD" w14:textId="3A42C00C" w:rsidR="0047329B" w:rsidRDefault="00AD4B76" w:rsidP="00AD4B76">
      <w:pPr>
        <w:pStyle w:val="Heading1"/>
        <w:rPr>
          <w:lang w:eastAsia="en-IE"/>
        </w:rPr>
      </w:pPr>
      <w:bookmarkStart w:id="10" w:name="_Toc130474353"/>
      <w:bookmarkStart w:id="11" w:name="_Toc170203428"/>
      <w:r>
        <w:rPr>
          <w:lang w:eastAsia="en-IE"/>
        </w:rPr>
        <w:t>202</w:t>
      </w:r>
      <w:r w:rsidR="001A3852">
        <w:rPr>
          <w:lang w:eastAsia="en-IE"/>
        </w:rPr>
        <w:t>3</w:t>
      </w:r>
      <w:r>
        <w:rPr>
          <w:lang w:eastAsia="en-IE"/>
        </w:rPr>
        <w:t xml:space="preserve"> in context</w:t>
      </w:r>
      <w:bookmarkEnd w:id="10"/>
      <w:bookmarkEnd w:id="11"/>
    </w:p>
    <w:p w14:paraId="04829A53" w14:textId="13C8F574" w:rsidR="004275A8" w:rsidRPr="007424F6" w:rsidRDefault="008D6BEF" w:rsidP="000210B7">
      <w:pPr>
        <w:shd w:val="clear" w:color="auto" w:fill="FFFFFF"/>
        <w:spacing w:after="120"/>
        <w:rPr>
          <w:szCs w:val="26"/>
          <w:lang w:val="x-none"/>
        </w:rPr>
      </w:pPr>
      <w:r>
        <w:t xml:space="preserve">In this section, the NDA highlight </w:t>
      </w:r>
      <w:r w:rsidR="00F052BC">
        <w:t xml:space="preserve">data </w:t>
      </w:r>
      <w:r>
        <w:t>and research published in 2023</w:t>
      </w:r>
      <w:r w:rsidR="00A71708">
        <w:t>, relevant to</w:t>
      </w:r>
      <w:r w:rsidR="002476E4">
        <w:t xml:space="preserve"> disability employment policy and practice. </w:t>
      </w:r>
    </w:p>
    <w:p w14:paraId="69162589" w14:textId="59474C37" w:rsidR="00A71708" w:rsidRPr="00C12006" w:rsidRDefault="00A71708" w:rsidP="007928FE">
      <w:pPr>
        <w:pStyle w:val="Heading2"/>
      </w:pPr>
      <w:bookmarkStart w:id="12" w:name="_Toc170203429"/>
      <w:r w:rsidRPr="00C12006">
        <w:t>Census</w:t>
      </w:r>
      <w:r w:rsidR="003C584A">
        <w:t xml:space="preserve"> 2022</w:t>
      </w:r>
      <w:r w:rsidRPr="00C12006">
        <w:t xml:space="preserve"> Data</w:t>
      </w:r>
      <w:bookmarkEnd w:id="12"/>
    </w:p>
    <w:p w14:paraId="6068260A" w14:textId="0555F9F2" w:rsidR="004275A8" w:rsidRDefault="004275A8" w:rsidP="000210B7">
      <w:pPr>
        <w:shd w:val="clear" w:color="auto" w:fill="FFFFFF"/>
        <w:spacing w:after="120"/>
        <w:rPr>
          <w:szCs w:val="26"/>
        </w:rPr>
      </w:pPr>
      <w:r>
        <w:rPr>
          <w:szCs w:val="26"/>
        </w:rPr>
        <w:t xml:space="preserve">In September 2023 the CSO published its census profile 4 Disability, </w:t>
      </w:r>
      <w:proofErr w:type="gramStart"/>
      <w:r>
        <w:rPr>
          <w:szCs w:val="26"/>
        </w:rPr>
        <w:t>Health</w:t>
      </w:r>
      <w:proofErr w:type="gramEnd"/>
      <w:r>
        <w:rPr>
          <w:szCs w:val="26"/>
        </w:rPr>
        <w:t xml:space="preserve"> and Carers report</w:t>
      </w:r>
      <w:r w:rsidR="003C584A">
        <w:rPr>
          <w:szCs w:val="26"/>
        </w:rPr>
        <w:t>.</w:t>
      </w:r>
      <w:r>
        <w:rPr>
          <w:rStyle w:val="FootnoteReference"/>
          <w:szCs w:val="26"/>
        </w:rPr>
        <w:footnoteReference w:id="1"/>
      </w:r>
      <w:r>
        <w:rPr>
          <w:szCs w:val="26"/>
        </w:rPr>
        <w:t xml:space="preserve"> Some initial findings are presented here</w:t>
      </w:r>
      <w:r w:rsidR="00FA5323">
        <w:rPr>
          <w:szCs w:val="26"/>
        </w:rPr>
        <w:t>:</w:t>
      </w:r>
      <w:r>
        <w:rPr>
          <w:szCs w:val="26"/>
        </w:rPr>
        <w:t xml:space="preserve"> </w:t>
      </w:r>
    </w:p>
    <w:p w14:paraId="4B7BCF28" w14:textId="4FCC6632" w:rsidR="003C584A" w:rsidRPr="003C584A" w:rsidRDefault="004275A8" w:rsidP="00867368">
      <w:pPr>
        <w:pStyle w:val="NormalWeb"/>
        <w:numPr>
          <w:ilvl w:val="0"/>
          <w:numId w:val="50"/>
        </w:numPr>
        <w:spacing w:before="0" w:beforeAutospacing="0" w:after="120" w:afterAutospacing="0"/>
        <w:ind w:left="714" w:hanging="357"/>
        <w:rPr>
          <w:rFonts w:ascii="Gill Sans MT" w:hAnsi="Gill Sans MT" w:cs="Arial"/>
          <w:sz w:val="26"/>
          <w:szCs w:val="26"/>
        </w:rPr>
      </w:pPr>
      <w:r w:rsidRPr="003C584A">
        <w:rPr>
          <w:rFonts w:ascii="Gill Sans MT" w:hAnsi="Gill Sans MT" w:cs="Arial"/>
          <w:sz w:val="26"/>
          <w:szCs w:val="26"/>
        </w:rPr>
        <w:t>In April 2022, over 1.1 million people (22% of the population) reported having experienced at least one long-lasting condition or difficulty</w:t>
      </w:r>
      <w:r w:rsidR="00D94848">
        <w:rPr>
          <w:rFonts w:ascii="Gill Sans MT" w:hAnsi="Gill Sans MT" w:cs="Arial"/>
          <w:sz w:val="26"/>
          <w:szCs w:val="26"/>
        </w:rPr>
        <w:t>;</w:t>
      </w:r>
    </w:p>
    <w:p w14:paraId="1C7AE367" w14:textId="6F797489" w:rsidR="003C584A" w:rsidRPr="003C584A" w:rsidRDefault="003C584A" w:rsidP="00867368">
      <w:pPr>
        <w:pStyle w:val="NormalWeb"/>
        <w:numPr>
          <w:ilvl w:val="0"/>
          <w:numId w:val="50"/>
        </w:numPr>
        <w:spacing w:before="0" w:beforeAutospacing="0" w:after="120" w:afterAutospacing="0"/>
        <w:ind w:left="714" w:hanging="357"/>
        <w:rPr>
          <w:rFonts w:ascii="Gill Sans MT" w:hAnsi="Gill Sans MT" w:cs="Arial"/>
          <w:sz w:val="26"/>
          <w:szCs w:val="26"/>
        </w:rPr>
      </w:pPr>
      <w:r w:rsidRPr="003C584A">
        <w:rPr>
          <w:rFonts w:ascii="Gill Sans MT" w:hAnsi="Gill Sans MT"/>
          <w:sz w:val="26"/>
          <w:szCs w:val="26"/>
        </w:rPr>
        <w:t>A</w:t>
      </w:r>
      <w:r w:rsidR="005B16DC" w:rsidRPr="003C584A">
        <w:rPr>
          <w:rFonts w:ascii="Gill Sans MT" w:hAnsi="Gill Sans MT"/>
          <w:sz w:val="26"/>
          <w:szCs w:val="26"/>
        </w:rPr>
        <w:t xml:space="preserve">lmost half (49.3%) of people with disabilities of working age </w:t>
      </w:r>
      <w:r w:rsidRPr="003C584A">
        <w:rPr>
          <w:rFonts w:ascii="Gill Sans MT" w:hAnsi="Gill Sans MT"/>
          <w:sz w:val="26"/>
          <w:szCs w:val="26"/>
        </w:rPr>
        <w:t>were</w:t>
      </w:r>
      <w:r w:rsidR="005B16DC" w:rsidRPr="003C584A">
        <w:rPr>
          <w:rFonts w:ascii="Gill Sans MT" w:hAnsi="Gill Sans MT"/>
          <w:sz w:val="26"/>
          <w:szCs w:val="26"/>
        </w:rPr>
        <w:t xml:space="preserve"> at work, compared to 70.8% of people without disabilities</w:t>
      </w:r>
      <w:r w:rsidR="00D94848">
        <w:rPr>
          <w:rFonts w:ascii="Gill Sans MT" w:hAnsi="Gill Sans MT"/>
          <w:sz w:val="26"/>
          <w:szCs w:val="26"/>
        </w:rPr>
        <w:t>;</w:t>
      </w:r>
    </w:p>
    <w:p w14:paraId="2E373052" w14:textId="2D8F9F73" w:rsidR="003C584A" w:rsidRPr="003C584A" w:rsidRDefault="003C584A" w:rsidP="00867368">
      <w:pPr>
        <w:pStyle w:val="ListParagraph"/>
        <w:numPr>
          <w:ilvl w:val="0"/>
          <w:numId w:val="50"/>
        </w:numPr>
        <w:spacing w:after="120"/>
        <w:ind w:left="714" w:hanging="357"/>
        <w:rPr>
          <w:rFonts w:ascii="Gill Sans MT" w:hAnsi="Gill Sans MT"/>
          <w:sz w:val="26"/>
          <w:szCs w:val="26"/>
        </w:rPr>
      </w:pPr>
      <w:r w:rsidRPr="003C584A">
        <w:rPr>
          <w:rFonts w:ascii="Gill Sans MT" w:hAnsi="Gill Sans MT"/>
          <w:sz w:val="26"/>
          <w:szCs w:val="26"/>
        </w:rPr>
        <w:t>The employment rate of people with a disability to some extent (60.3%) was more than double that of people with a disability to a great extent (27.3%)</w:t>
      </w:r>
      <w:r w:rsidR="00D94848">
        <w:rPr>
          <w:rFonts w:ascii="Gill Sans MT" w:hAnsi="Gill Sans MT"/>
          <w:sz w:val="26"/>
          <w:szCs w:val="26"/>
        </w:rPr>
        <w:t>;</w:t>
      </w:r>
      <w:r w:rsidRPr="003C584A">
        <w:rPr>
          <w:rFonts w:ascii="Gill Sans MT" w:hAnsi="Gill Sans MT"/>
          <w:sz w:val="26"/>
          <w:szCs w:val="26"/>
        </w:rPr>
        <w:t xml:space="preserve"> </w:t>
      </w:r>
    </w:p>
    <w:p w14:paraId="11DBD8D0" w14:textId="79E4C8F4" w:rsidR="003C584A" w:rsidRPr="003C584A" w:rsidRDefault="005B16DC" w:rsidP="00867368">
      <w:pPr>
        <w:pStyle w:val="NormalWeb"/>
        <w:numPr>
          <w:ilvl w:val="0"/>
          <w:numId w:val="50"/>
        </w:numPr>
        <w:spacing w:before="0" w:beforeAutospacing="0" w:after="120" w:afterAutospacing="0"/>
        <w:ind w:left="714" w:hanging="357"/>
        <w:rPr>
          <w:rFonts w:ascii="Gill Sans MT" w:hAnsi="Gill Sans MT" w:cs="Arial"/>
          <w:sz w:val="26"/>
          <w:szCs w:val="26"/>
        </w:rPr>
      </w:pPr>
      <w:r w:rsidRPr="003C584A">
        <w:rPr>
          <w:rFonts w:ascii="Gill Sans MT" w:hAnsi="Gill Sans MT"/>
          <w:sz w:val="26"/>
          <w:szCs w:val="26"/>
        </w:rPr>
        <w:lastRenderedPageBreak/>
        <w:t>the disability employment gap</w:t>
      </w:r>
      <w:r w:rsidR="003C584A" w:rsidRPr="003C584A">
        <w:rPr>
          <w:rFonts w:ascii="Gill Sans MT" w:hAnsi="Gill Sans MT"/>
          <w:sz w:val="26"/>
          <w:szCs w:val="26"/>
        </w:rPr>
        <w:t xml:space="preserve"> (that is the difference in employment rates between people with and without disabilities)</w:t>
      </w:r>
      <w:r w:rsidRPr="003C584A">
        <w:rPr>
          <w:rFonts w:ascii="Gill Sans MT" w:hAnsi="Gill Sans MT"/>
          <w:sz w:val="26"/>
          <w:szCs w:val="26"/>
        </w:rPr>
        <w:t xml:space="preserve"> </w:t>
      </w:r>
      <w:r w:rsidR="003C584A" w:rsidRPr="003C584A">
        <w:rPr>
          <w:rFonts w:ascii="Gill Sans MT" w:hAnsi="Gill Sans MT"/>
          <w:sz w:val="26"/>
          <w:szCs w:val="26"/>
        </w:rPr>
        <w:t>was</w:t>
      </w:r>
      <w:r w:rsidRPr="003C584A">
        <w:rPr>
          <w:rFonts w:ascii="Gill Sans MT" w:hAnsi="Gill Sans MT"/>
          <w:sz w:val="26"/>
          <w:szCs w:val="26"/>
        </w:rPr>
        <w:t xml:space="preserve"> 21.5 percentage points</w:t>
      </w:r>
      <w:r w:rsidR="003C584A" w:rsidRPr="003C584A">
        <w:rPr>
          <w:rFonts w:ascii="Gill Sans MT" w:hAnsi="Gill Sans MT"/>
          <w:sz w:val="26"/>
          <w:szCs w:val="26"/>
        </w:rPr>
        <w:t xml:space="preserve"> (Ireland has historically had one of the highest disability employment gaps in the EU)</w:t>
      </w:r>
      <w:r w:rsidR="00D94848">
        <w:rPr>
          <w:rFonts w:ascii="Gill Sans MT" w:hAnsi="Gill Sans MT"/>
          <w:sz w:val="26"/>
          <w:szCs w:val="26"/>
        </w:rPr>
        <w:t>;</w:t>
      </w:r>
      <w:r w:rsidRPr="003C584A">
        <w:rPr>
          <w:rStyle w:val="FootnoteReference"/>
          <w:rFonts w:ascii="Gill Sans MT" w:hAnsi="Gill Sans MT"/>
          <w:sz w:val="26"/>
          <w:szCs w:val="26"/>
        </w:rPr>
        <w:footnoteReference w:id="2"/>
      </w:r>
      <w:r w:rsidRPr="003C584A">
        <w:rPr>
          <w:rFonts w:ascii="Gill Sans MT" w:hAnsi="Gill Sans MT"/>
          <w:sz w:val="26"/>
          <w:szCs w:val="26"/>
        </w:rPr>
        <w:t xml:space="preserve"> </w:t>
      </w:r>
    </w:p>
    <w:p w14:paraId="7E3CB377" w14:textId="12000789" w:rsidR="003C584A" w:rsidRPr="003C584A" w:rsidRDefault="003C584A" w:rsidP="00867368">
      <w:pPr>
        <w:pStyle w:val="NormalWeb"/>
        <w:numPr>
          <w:ilvl w:val="0"/>
          <w:numId w:val="50"/>
        </w:numPr>
        <w:spacing w:before="0" w:beforeAutospacing="0" w:after="120" w:afterAutospacing="0"/>
        <w:ind w:left="714" w:hanging="357"/>
        <w:rPr>
          <w:rFonts w:ascii="Gill Sans MT" w:hAnsi="Gill Sans MT" w:cs="Arial"/>
          <w:sz w:val="26"/>
          <w:szCs w:val="26"/>
        </w:rPr>
      </w:pPr>
      <w:r w:rsidRPr="003C584A">
        <w:rPr>
          <w:rFonts w:ascii="Gill Sans MT" w:hAnsi="Gill Sans MT"/>
          <w:sz w:val="26"/>
          <w:szCs w:val="26"/>
        </w:rPr>
        <w:t xml:space="preserve">The </w:t>
      </w:r>
      <w:r w:rsidR="005B16DC" w:rsidRPr="003C584A">
        <w:rPr>
          <w:rFonts w:ascii="Gill Sans MT" w:hAnsi="Gill Sans MT"/>
          <w:sz w:val="26"/>
          <w:szCs w:val="26"/>
        </w:rPr>
        <w:t xml:space="preserve">unemployment rate for people with a disability </w:t>
      </w:r>
      <w:r w:rsidRPr="003C584A">
        <w:rPr>
          <w:rFonts w:ascii="Gill Sans MT" w:hAnsi="Gill Sans MT"/>
          <w:sz w:val="26"/>
          <w:szCs w:val="26"/>
        </w:rPr>
        <w:t>was</w:t>
      </w:r>
      <w:r w:rsidR="005B16DC" w:rsidRPr="003C584A">
        <w:rPr>
          <w:rFonts w:ascii="Gill Sans MT" w:hAnsi="Gill Sans MT"/>
          <w:sz w:val="26"/>
          <w:szCs w:val="26"/>
        </w:rPr>
        <w:t xml:space="preserve"> 13.9% compared to 7.5% for people who do not have a disability</w:t>
      </w:r>
      <w:r w:rsidR="00D94848">
        <w:rPr>
          <w:rFonts w:ascii="Gill Sans MT" w:hAnsi="Gill Sans MT"/>
          <w:sz w:val="26"/>
          <w:szCs w:val="26"/>
        </w:rPr>
        <w:t>;</w:t>
      </w:r>
      <w:r w:rsidR="005B16DC" w:rsidRPr="003C584A">
        <w:rPr>
          <w:rFonts w:ascii="Gill Sans MT" w:hAnsi="Gill Sans MT"/>
          <w:sz w:val="26"/>
          <w:szCs w:val="26"/>
        </w:rPr>
        <w:t xml:space="preserve"> </w:t>
      </w:r>
      <w:r w:rsidR="00D94848">
        <w:rPr>
          <w:rFonts w:ascii="Gill Sans MT" w:hAnsi="Gill Sans MT"/>
          <w:sz w:val="26"/>
          <w:szCs w:val="26"/>
        </w:rPr>
        <w:t>and</w:t>
      </w:r>
    </w:p>
    <w:p w14:paraId="06873E0C" w14:textId="7FF286E9" w:rsidR="005B16DC" w:rsidRPr="003C584A" w:rsidRDefault="005B16DC" w:rsidP="00867368">
      <w:pPr>
        <w:pStyle w:val="NormalWeb"/>
        <w:numPr>
          <w:ilvl w:val="0"/>
          <w:numId w:val="50"/>
        </w:numPr>
        <w:spacing w:before="0" w:beforeAutospacing="0" w:after="120" w:afterAutospacing="0"/>
        <w:ind w:left="714" w:hanging="357"/>
        <w:rPr>
          <w:rFonts w:ascii="Gill Sans MT" w:hAnsi="Gill Sans MT" w:cs="Arial"/>
          <w:sz w:val="26"/>
          <w:szCs w:val="26"/>
        </w:rPr>
      </w:pPr>
      <w:r w:rsidRPr="003C584A">
        <w:rPr>
          <w:rFonts w:ascii="Gill Sans MT" w:hAnsi="Gill Sans MT"/>
          <w:sz w:val="26"/>
          <w:szCs w:val="26"/>
        </w:rPr>
        <w:t>The unemployment rate of people with a disability to some extent is 11.7%, around half that of people with a disability to a great extent</w:t>
      </w:r>
      <w:r w:rsidR="00D94848">
        <w:rPr>
          <w:rFonts w:ascii="Gill Sans MT" w:hAnsi="Gill Sans MT"/>
          <w:sz w:val="26"/>
          <w:szCs w:val="26"/>
        </w:rPr>
        <w:t>.</w:t>
      </w:r>
    </w:p>
    <w:p w14:paraId="4340E502" w14:textId="20EE59BE" w:rsidR="005B16DC" w:rsidRDefault="005B16DC" w:rsidP="007424F6">
      <w:pPr>
        <w:rPr>
          <w:szCs w:val="26"/>
        </w:rPr>
      </w:pPr>
      <w:r>
        <w:rPr>
          <w:szCs w:val="26"/>
        </w:rPr>
        <w:t>This data illustrates that tailored responses are required to support more people with disabilities into employment.</w:t>
      </w:r>
    </w:p>
    <w:p w14:paraId="4B62E5AB" w14:textId="56904769" w:rsidR="00F17BA5" w:rsidRDefault="00F17BA5" w:rsidP="002A5BF4">
      <w:pPr>
        <w:pStyle w:val="Heading2"/>
      </w:pPr>
      <w:bookmarkStart w:id="14" w:name="_Toc170203430"/>
      <w:r>
        <w:t>Higher Education, Further Education and Training</w:t>
      </w:r>
      <w:bookmarkEnd w:id="14"/>
    </w:p>
    <w:p w14:paraId="62472A3D" w14:textId="09ACE4AB" w:rsidR="0034320F" w:rsidRPr="007928FE" w:rsidRDefault="000210B7" w:rsidP="007928FE">
      <w:pPr>
        <w:shd w:val="clear" w:color="auto" w:fill="FFFFFF"/>
        <w:spacing w:after="120"/>
        <w:rPr>
          <w:szCs w:val="26"/>
          <w:lang w:eastAsia="en-IE"/>
        </w:rPr>
      </w:pPr>
      <w:r w:rsidRPr="00F21C7A">
        <w:rPr>
          <w:szCs w:val="26"/>
        </w:rPr>
        <w:t xml:space="preserve">During 2023 the </w:t>
      </w:r>
      <w:r w:rsidR="003C584A">
        <w:rPr>
          <w:szCs w:val="26"/>
        </w:rPr>
        <w:t>Higher Education Authority (</w:t>
      </w:r>
      <w:r w:rsidRPr="00F21C7A">
        <w:rPr>
          <w:szCs w:val="26"/>
        </w:rPr>
        <w:t>HEA</w:t>
      </w:r>
      <w:r w:rsidR="003C584A">
        <w:rPr>
          <w:szCs w:val="26"/>
        </w:rPr>
        <w:t>)</w:t>
      </w:r>
      <w:r w:rsidRPr="00F21C7A">
        <w:rPr>
          <w:szCs w:val="26"/>
        </w:rPr>
        <w:t xml:space="preserve"> published </w:t>
      </w:r>
      <w:r w:rsidR="00D7468E" w:rsidRPr="00F21C7A">
        <w:rPr>
          <w:szCs w:val="26"/>
        </w:rPr>
        <w:t>the</w:t>
      </w:r>
      <w:r w:rsidR="0034320F" w:rsidRPr="002A79B2">
        <w:rPr>
          <w:szCs w:val="26"/>
        </w:rPr>
        <w:t>ir</w:t>
      </w:r>
      <w:r w:rsidRPr="00F21C7A">
        <w:rPr>
          <w:szCs w:val="26"/>
        </w:rPr>
        <w:t xml:space="preserve"> </w:t>
      </w:r>
      <w:r w:rsidR="0034320F" w:rsidRPr="00F21C7A">
        <w:rPr>
          <w:szCs w:val="26"/>
        </w:rPr>
        <w:t>Graduate Outcomes and Disability report</w:t>
      </w:r>
      <w:r w:rsidR="003C584A">
        <w:rPr>
          <w:szCs w:val="26"/>
        </w:rPr>
        <w:t>.</w:t>
      </w:r>
      <w:r>
        <w:rPr>
          <w:rStyle w:val="FootnoteReference"/>
          <w:szCs w:val="26"/>
        </w:rPr>
        <w:footnoteReference w:id="3"/>
      </w:r>
      <w:r w:rsidR="00D7468E" w:rsidRPr="00F21C7A">
        <w:rPr>
          <w:szCs w:val="26"/>
        </w:rPr>
        <w:t xml:space="preserve"> </w:t>
      </w:r>
      <w:r w:rsidR="00F21C7A" w:rsidRPr="007928FE">
        <w:rPr>
          <w:color w:val="000000"/>
          <w:szCs w:val="26"/>
          <w:lang w:eastAsia="en-IE"/>
        </w:rPr>
        <w:t xml:space="preserve">This report is based on </w:t>
      </w:r>
      <w:r w:rsidR="00F21C7A" w:rsidRPr="007928FE">
        <w:rPr>
          <w:color w:val="000000"/>
          <w:szCs w:val="26"/>
          <w:shd w:val="clear" w:color="auto" w:fill="FFFFFF"/>
        </w:rPr>
        <w:t>a national survey distributed to all graduates of higher education institutions (HEIs), nine months after graduation.</w:t>
      </w:r>
      <w:r w:rsidR="00F21C7A">
        <w:rPr>
          <w:szCs w:val="26"/>
        </w:rPr>
        <w:t xml:space="preserve"> </w:t>
      </w:r>
      <w:r w:rsidR="0034320F">
        <w:rPr>
          <w:szCs w:val="26"/>
        </w:rPr>
        <w:t>It found that</w:t>
      </w:r>
      <w:r w:rsidR="0034320F" w:rsidRPr="007928FE">
        <w:rPr>
          <w:szCs w:val="26"/>
          <w:lang w:eastAsia="en-IE"/>
        </w:rPr>
        <w:t xml:space="preserve"> 69% of graduates with a disability were in employment nine months after graduation compare</w:t>
      </w:r>
      <w:r w:rsidR="00F21C7A">
        <w:rPr>
          <w:szCs w:val="26"/>
          <w:lang w:eastAsia="en-IE"/>
        </w:rPr>
        <w:t>d</w:t>
      </w:r>
      <w:r w:rsidR="0034320F" w:rsidRPr="007928FE">
        <w:rPr>
          <w:szCs w:val="26"/>
          <w:lang w:eastAsia="en-IE"/>
        </w:rPr>
        <w:t xml:space="preserve"> with 74% of graduates with no disability.</w:t>
      </w:r>
      <w:r w:rsidR="0034320F">
        <w:rPr>
          <w:szCs w:val="26"/>
          <w:lang w:eastAsia="en-IE"/>
        </w:rPr>
        <w:t xml:space="preserve"> The proportions with and without a disability pursuing further education were similar. </w:t>
      </w:r>
    </w:p>
    <w:p w14:paraId="685B0F08" w14:textId="76B63247" w:rsidR="00A03016" w:rsidRDefault="0094677B" w:rsidP="00DD138E">
      <w:pPr>
        <w:pStyle w:val="NormalAfterList"/>
      </w:pPr>
      <w:r>
        <w:rPr>
          <w:szCs w:val="26"/>
        </w:rPr>
        <w:t>A k</w:t>
      </w:r>
      <w:r w:rsidR="00D7468E" w:rsidRPr="0034320F">
        <w:rPr>
          <w:szCs w:val="26"/>
        </w:rPr>
        <w:t>ey finding</w:t>
      </w:r>
      <w:r>
        <w:rPr>
          <w:szCs w:val="26"/>
        </w:rPr>
        <w:t xml:space="preserve"> was</w:t>
      </w:r>
      <w:r w:rsidR="00D7468E" w:rsidRPr="0034320F">
        <w:rPr>
          <w:szCs w:val="26"/>
        </w:rPr>
        <w:t xml:space="preserve"> the </w:t>
      </w:r>
      <w:r w:rsidR="000210B7">
        <w:rPr>
          <w:szCs w:val="26"/>
        </w:rPr>
        <w:t xml:space="preserve">disparity in </w:t>
      </w:r>
      <w:r w:rsidR="003C584A">
        <w:rPr>
          <w:szCs w:val="26"/>
        </w:rPr>
        <w:t>pay whereby</w:t>
      </w:r>
      <w:r w:rsidR="00B05E1A">
        <w:rPr>
          <w:color w:val="000000"/>
          <w:szCs w:val="26"/>
          <w:lang w:eastAsia="en-IE"/>
        </w:rPr>
        <w:t xml:space="preserve"> </w:t>
      </w:r>
      <w:r>
        <w:rPr>
          <w:color w:val="000000"/>
          <w:szCs w:val="26"/>
          <w:lang w:eastAsia="en-IE"/>
        </w:rPr>
        <w:t>’G</w:t>
      </w:r>
      <w:r w:rsidR="000210B7" w:rsidRPr="000210B7">
        <w:rPr>
          <w:color w:val="000000"/>
          <w:szCs w:val="26"/>
          <w:lang w:eastAsia="en-IE"/>
        </w:rPr>
        <w:t>raduates with disabilities were more represented in each of the lower salary bands</w:t>
      </w:r>
      <w:r w:rsidR="003C584A">
        <w:rPr>
          <w:color w:val="000000"/>
          <w:szCs w:val="26"/>
          <w:lang w:eastAsia="en-IE"/>
        </w:rPr>
        <w:t xml:space="preserve"> </w:t>
      </w:r>
      <w:r w:rsidR="000210B7" w:rsidRPr="000210B7">
        <w:rPr>
          <w:color w:val="000000"/>
          <w:szCs w:val="26"/>
          <w:lang w:eastAsia="en-IE"/>
        </w:rPr>
        <w:t>up to salaries of €20,000-€24,999. In each band thereafter graduates with no disabilities had a higher share of their total group than those with a disability</w:t>
      </w:r>
      <w:r w:rsidR="006C6CFD">
        <w:rPr>
          <w:color w:val="000000"/>
          <w:szCs w:val="26"/>
          <w:lang w:eastAsia="en-IE"/>
        </w:rPr>
        <w:t>’</w:t>
      </w:r>
      <w:r w:rsidR="000210B7" w:rsidRPr="000210B7">
        <w:rPr>
          <w:color w:val="000000"/>
          <w:szCs w:val="26"/>
          <w:lang w:eastAsia="en-IE"/>
        </w:rPr>
        <w:t>.</w:t>
      </w:r>
      <w:r w:rsidR="006C6CFD">
        <w:rPr>
          <w:color w:val="000000"/>
          <w:szCs w:val="26"/>
          <w:lang w:eastAsia="en-IE"/>
        </w:rPr>
        <w:t xml:space="preserve"> </w:t>
      </w:r>
    </w:p>
    <w:p w14:paraId="1BF1954D" w14:textId="22E77AC0" w:rsidR="00A74DF7" w:rsidRDefault="0094677B" w:rsidP="00DD138E">
      <w:pPr>
        <w:pStyle w:val="NormalAfterList"/>
      </w:pPr>
      <w:r>
        <w:t xml:space="preserve">The HEA and AHEAD held an online event on </w:t>
      </w:r>
      <w:r w:rsidR="00D60D2C">
        <w:t>e</w:t>
      </w:r>
      <w:r>
        <w:t xml:space="preserve">xperiences and challenges </w:t>
      </w:r>
      <w:r w:rsidR="00D60D2C">
        <w:t>f</w:t>
      </w:r>
      <w:r>
        <w:t>aced by Disabled Postgraduate Students.</w:t>
      </w:r>
      <w:r w:rsidR="00F21C7A" w:rsidRPr="00F21C7A">
        <w:rPr>
          <w:rStyle w:val="FootnoteReference"/>
        </w:rPr>
        <w:t xml:space="preserve"> </w:t>
      </w:r>
      <w:r w:rsidR="00F21C7A">
        <w:rPr>
          <w:rStyle w:val="FootnoteReference"/>
        </w:rPr>
        <w:footnoteReference w:id="4"/>
      </w:r>
      <w:r>
        <w:t xml:space="preserve"> </w:t>
      </w:r>
      <w:r w:rsidR="00F21C7A">
        <w:t>In</w:t>
      </w:r>
      <w:r w:rsidR="00B94CD6" w:rsidRPr="00DD138E">
        <w:t xml:space="preserve"> 2023</w:t>
      </w:r>
      <w:r w:rsidR="003C584A">
        <w:t>,</w:t>
      </w:r>
      <w:r w:rsidR="00B94CD6" w:rsidRPr="00DD138E">
        <w:t xml:space="preserve"> disabled postgraduates represent</w:t>
      </w:r>
      <w:r w:rsidR="003C584A">
        <w:t>ed</w:t>
      </w:r>
      <w:r w:rsidR="00B94CD6" w:rsidRPr="00DD138E">
        <w:t xml:space="preserve"> </w:t>
      </w:r>
      <w:r w:rsidR="00D7468E">
        <w:t xml:space="preserve">only </w:t>
      </w:r>
      <w:r w:rsidR="00B94CD6" w:rsidRPr="00DD138E">
        <w:t>3% of the total postgraduate population</w:t>
      </w:r>
      <w:r w:rsidR="00D7468E">
        <w:t xml:space="preserve">, showing that they </w:t>
      </w:r>
      <w:r w:rsidR="00B94CD6" w:rsidRPr="00DD138E">
        <w:t>are under- represented across higher education. This compares to 8.1% representation at undergraduate level (AHEAD, 2023).</w:t>
      </w:r>
      <w:r w:rsidR="00F21C7A">
        <w:rPr>
          <w:rStyle w:val="FootnoteReference"/>
        </w:rPr>
        <w:footnoteReference w:id="5"/>
      </w:r>
      <w:r w:rsidR="006C3644">
        <w:t xml:space="preserve"> </w:t>
      </w:r>
      <w:r w:rsidR="00A74DF7">
        <w:t xml:space="preserve">Recommendations from this discussion and included in the </w:t>
      </w:r>
      <w:r w:rsidR="006064F8">
        <w:t xml:space="preserve">event </w:t>
      </w:r>
      <w:r w:rsidR="00A74DF7">
        <w:t>report</w:t>
      </w:r>
      <w:r w:rsidR="006064F8">
        <w:t xml:space="preserve"> include the following measure</w:t>
      </w:r>
      <w:r w:rsidR="006C3644">
        <w:t>s</w:t>
      </w:r>
      <w:r w:rsidR="006064F8">
        <w:t xml:space="preserve"> for disabled students</w:t>
      </w:r>
      <w:r w:rsidR="00A74DF7">
        <w:t xml:space="preserve">: </w:t>
      </w:r>
    </w:p>
    <w:p w14:paraId="03612B2D" w14:textId="6BE2F4A1" w:rsidR="00A74DF7" w:rsidRDefault="00A74DF7" w:rsidP="00867368">
      <w:pPr>
        <w:pStyle w:val="NormalAfterList"/>
        <w:numPr>
          <w:ilvl w:val="0"/>
          <w:numId w:val="67"/>
        </w:numPr>
        <w:spacing w:before="0" w:after="0"/>
      </w:pPr>
      <w:r>
        <w:t xml:space="preserve">transition pathways to postgraduate study </w:t>
      </w:r>
    </w:p>
    <w:p w14:paraId="4DB2F8D3" w14:textId="40FA474A" w:rsidR="00A74DF7" w:rsidRDefault="00A74DF7" w:rsidP="00867368">
      <w:pPr>
        <w:pStyle w:val="NormalAfterList"/>
        <w:numPr>
          <w:ilvl w:val="0"/>
          <w:numId w:val="67"/>
        </w:numPr>
        <w:spacing w:before="0" w:after="0"/>
      </w:pPr>
      <w:r>
        <w:t xml:space="preserve">financial supports </w:t>
      </w:r>
    </w:p>
    <w:p w14:paraId="3D4F937B" w14:textId="6A126EC8" w:rsidR="00A74DF7" w:rsidRDefault="00A74DF7" w:rsidP="00867368">
      <w:pPr>
        <w:pStyle w:val="NormalAfterList"/>
        <w:numPr>
          <w:ilvl w:val="0"/>
          <w:numId w:val="67"/>
        </w:numPr>
        <w:spacing w:before="0" w:after="0"/>
      </w:pPr>
      <w:r>
        <w:lastRenderedPageBreak/>
        <w:t>a whole of institution and holistic approach to supporting students with disabilities.</w:t>
      </w:r>
    </w:p>
    <w:p w14:paraId="2BF5A4EB" w14:textId="44591A87" w:rsidR="00A74DF7" w:rsidRDefault="00A74DF7" w:rsidP="00867368">
      <w:pPr>
        <w:pStyle w:val="NormalAfterList"/>
        <w:numPr>
          <w:ilvl w:val="0"/>
          <w:numId w:val="67"/>
        </w:numPr>
        <w:spacing w:before="0" w:after="0"/>
      </w:pPr>
      <w:r>
        <w:t>flexibility in academic practices and supports</w:t>
      </w:r>
    </w:p>
    <w:p w14:paraId="5819D941" w14:textId="295B74AD" w:rsidR="00A74DF7" w:rsidRDefault="00A74DF7" w:rsidP="00867368">
      <w:pPr>
        <w:pStyle w:val="NormalAfterList"/>
        <w:numPr>
          <w:ilvl w:val="0"/>
          <w:numId w:val="67"/>
        </w:numPr>
        <w:spacing w:before="0" w:after="0"/>
      </w:pPr>
      <w:r>
        <w:t>a review of supports for disabled students</w:t>
      </w:r>
    </w:p>
    <w:p w14:paraId="75FB2746" w14:textId="3497DD33" w:rsidR="00A74DF7" w:rsidRDefault="00A74DF7" w:rsidP="00867368">
      <w:pPr>
        <w:pStyle w:val="NormalAfterList"/>
        <w:numPr>
          <w:ilvl w:val="0"/>
          <w:numId w:val="67"/>
        </w:numPr>
        <w:spacing w:before="0" w:after="0"/>
      </w:pPr>
      <w:r>
        <w:t xml:space="preserve">greater policy coherence </w:t>
      </w:r>
    </w:p>
    <w:p w14:paraId="15A2A754" w14:textId="410DCAE3" w:rsidR="00A74DF7" w:rsidRDefault="00A74DF7" w:rsidP="00867368">
      <w:pPr>
        <w:pStyle w:val="NormalAfterList"/>
        <w:numPr>
          <w:ilvl w:val="0"/>
          <w:numId w:val="67"/>
        </w:numPr>
        <w:spacing w:before="0" w:after="0"/>
      </w:pPr>
      <w:r>
        <w:t xml:space="preserve">career progression pathways, post-postgraduate study, and research </w:t>
      </w:r>
    </w:p>
    <w:p w14:paraId="79588804" w14:textId="492D4CBE" w:rsidR="00A74DF7" w:rsidRDefault="00A74DF7" w:rsidP="00867368">
      <w:pPr>
        <w:pStyle w:val="NormalAfterList"/>
        <w:numPr>
          <w:ilvl w:val="0"/>
          <w:numId w:val="67"/>
        </w:numPr>
        <w:spacing w:before="0"/>
      </w:pPr>
      <w:r>
        <w:t xml:space="preserve">research into best practices and better data on postgraduate students with disabilities </w:t>
      </w:r>
    </w:p>
    <w:p w14:paraId="4116BED5" w14:textId="4A7B92D7" w:rsidR="0040620B" w:rsidRDefault="00291EB7" w:rsidP="006064F8">
      <w:pPr>
        <w:pStyle w:val="NormalAfterList"/>
      </w:pPr>
      <w:r>
        <w:t xml:space="preserve">The work </w:t>
      </w:r>
      <w:r w:rsidR="00A55EA5">
        <w:t>between the</w:t>
      </w:r>
      <w:r>
        <w:t xml:space="preserve"> HEA</w:t>
      </w:r>
      <w:r w:rsidR="00A55EA5">
        <w:t xml:space="preserve"> and the National Disability Postgraduate Advisory Committee</w:t>
      </w:r>
      <w:r>
        <w:t xml:space="preserve"> falls within the aims of the National Access Plan: A Strategic Action Plan for Equity of Access, Participation and Success in Higher Education 2022-2028 (NAP).</w:t>
      </w:r>
    </w:p>
    <w:p w14:paraId="5EAE1098" w14:textId="77777777" w:rsidR="00F17BA5" w:rsidRDefault="00F17BA5" w:rsidP="00F17BA5">
      <w:pPr>
        <w:spacing w:after="120"/>
        <w:rPr>
          <w:bCs/>
        </w:rPr>
      </w:pPr>
      <w:r>
        <w:t xml:space="preserve">In 2023 </w:t>
      </w:r>
      <w:proofErr w:type="spellStart"/>
      <w:r>
        <w:t>Solas</w:t>
      </w:r>
      <w:proofErr w:type="spellEnd"/>
      <w:r>
        <w:t xml:space="preserve"> published their data on Learners with Disabilities in 2022</w:t>
      </w:r>
      <w:r w:rsidRPr="00F17BA5">
        <w:t xml:space="preserve"> </w:t>
      </w:r>
      <w:r>
        <w:t>in their further education and training (FET) programmes.</w:t>
      </w:r>
      <w:r w:rsidRPr="00F17BA5">
        <w:rPr>
          <w:rStyle w:val="FootnoteReference"/>
        </w:rPr>
        <w:t xml:space="preserve"> </w:t>
      </w:r>
      <w:r>
        <w:rPr>
          <w:rStyle w:val="FootnoteReference"/>
        </w:rPr>
        <w:footnoteReference w:id="6"/>
      </w:r>
      <w:r>
        <w:t xml:space="preserve"> They found that 12,704 learners reported having at least one type of disability, constituting 6.8% of all learners enrolled. Of the learner enrolments that reported a disability, 42.2% were men and 57.8% were women. The majority (62.5%) were older than 25 years of age, </w:t>
      </w:r>
      <w:r>
        <w:rPr>
          <w:bCs/>
        </w:rPr>
        <w:t xml:space="preserve">which </w:t>
      </w:r>
      <w:r w:rsidRPr="002E7597">
        <w:rPr>
          <w:bCs/>
        </w:rPr>
        <w:t>illustrat</w:t>
      </w:r>
      <w:r>
        <w:rPr>
          <w:bCs/>
        </w:rPr>
        <w:t>es the importance</w:t>
      </w:r>
      <w:r w:rsidRPr="002E7597">
        <w:rPr>
          <w:bCs/>
        </w:rPr>
        <w:t xml:space="preserve"> of </w:t>
      </w:r>
      <w:r>
        <w:rPr>
          <w:bCs/>
        </w:rPr>
        <w:t xml:space="preserve">re-entering learning for those who are either re-skilling or upskilling. </w:t>
      </w:r>
    </w:p>
    <w:p w14:paraId="56BF75C7" w14:textId="71CA7EAA" w:rsidR="00F17BA5" w:rsidRDefault="00867368" w:rsidP="00F17BA5">
      <w:pPr>
        <w:spacing w:after="120"/>
      </w:pPr>
      <w:r>
        <w:rPr>
          <w:bCs/>
        </w:rPr>
        <w:t>Most</w:t>
      </w:r>
      <w:r w:rsidR="00F17BA5">
        <w:rPr>
          <w:bCs/>
        </w:rPr>
        <w:t xml:space="preserve"> disabled learners (</w:t>
      </w:r>
      <w:r w:rsidR="00F17BA5">
        <w:t>91.6%) partially or fully completed a course in 2022. The certification rate increased from 52.1% in 2022 to 61.3% in 2022. That increase is welcome and may be a feature of FET post Covid.</w:t>
      </w:r>
    </w:p>
    <w:p w14:paraId="14819CD7" w14:textId="0AF4204A" w:rsidR="000B4BE1" w:rsidRPr="00197AAE" w:rsidRDefault="000B4BE1" w:rsidP="000B4BE1">
      <w:pPr>
        <w:pStyle w:val="xmsonormal"/>
        <w:rPr>
          <w:rFonts w:ascii="Gill Sans MT" w:hAnsi="Gill Sans MT"/>
          <w:sz w:val="26"/>
          <w:szCs w:val="26"/>
        </w:rPr>
      </w:pPr>
      <w:r>
        <w:rPr>
          <w:rFonts w:ascii="Gill Sans MT" w:hAnsi="Gill Sans MT" w:cs="Times New Roman"/>
          <w:b/>
          <w:bCs/>
          <w:sz w:val="26"/>
          <w:szCs w:val="26"/>
        </w:rPr>
        <w:t xml:space="preserve">Future </w:t>
      </w:r>
      <w:r w:rsidRPr="00197AAE">
        <w:rPr>
          <w:rFonts w:ascii="Gill Sans MT" w:hAnsi="Gill Sans MT" w:cs="Times New Roman"/>
          <w:b/>
          <w:bCs/>
          <w:sz w:val="26"/>
          <w:szCs w:val="26"/>
        </w:rPr>
        <w:t>Provision</w:t>
      </w:r>
      <w:r>
        <w:rPr>
          <w:rFonts w:ascii="Gill Sans MT" w:hAnsi="Gill Sans MT" w:cs="Times New Roman"/>
          <w:b/>
          <w:bCs/>
          <w:sz w:val="26"/>
          <w:szCs w:val="26"/>
        </w:rPr>
        <w:t xml:space="preserve"> of Special Education</w:t>
      </w:r>
    </w:p>
    <w:p w14:paraId="4B6A9017" w14:textId="77777777" w:rsidR="000B4BE1" w:rsidRPr="00197AAE" w:rsidRDefault="000B4BE1" w:rsidP="000B4BE1">
      <w:pPr>
        <w:pStyle w:val="xmsonormal"/>
        <w:rPr>
          <w:rFonts w:ascii="Gill Sans MT" w:hAnsi="Gill Sans MT"/>
          <w:sz w:val="26"/>
          <w:szCs w:val="26"/>
        </w:rPr>
      </w:pPr>
    </w:p>
    <w:p w14:paraId="698703B6" w14:textId="7EBEC280" w:rsidR="0010426C" w:rsidRPr="006D7B4C" w:rsidRDefault="006C3644" w:rsidP="006D7B4C">
      <w:pPr>
        <w:pStyle w:val="xmsonormal"/>
        <w:spacing w:after="240"/>
        <w:rPr>
          <w:rFonts w:ascii="Gill Sans MT" w:hAnsi="Gill Sans MT" w:cs="Times New Roman"/>
          <w:sz w:val="26"/>
          <w:szCs w:val="26"/>
        </w:rPr>
      </w:pPr>
      <w:r>
        <w:rPr>
          <w:rFonts w:ascii="Gill Sans MT" w:hAnsi="Gill Sans MT" w:cs="Times New Roman"/>
          <w:sz w:val="26"/>
          <w:szCs w:val="26"/>
        </w:rPr>
        <w:t xml:space="preserve">The </w:t>
      </w:r>
      <w:r w:rsidR="000B4BE1" w:rsidRPr="00197AAE">
        <w:rPr>
          <w:rFonts w:ascii="Gill Sans MT" w:hAnsi="Gill Sans MT" w:cs="Times New Roman"/>
          <w:sz w:val="26"/>
          <w:szCs w:val="26"/>
        </w:rPr>
        <w:t>D</w:t>
      </w:r>
      <w:r>
        <w:rPr>
          <w:rFonts w:ascii="Gill Sans MT" w:hAnsi="Gill Sans MT" w:cs="Times New Roman"/>
          <w:sz w:val="26"/>
          <w:szCs w:val="26"/>
        </w:rPr>
        <w:t xml:space="preserve">epartment </w:t>
      </w:r>
      <w:r w:rsidR="000B4BE1" w:rsidRPr="00197AAE">
        <w:rPr>
          <w:rFonts w:ascii="Gill Sans MT" w:hAnsi="Gill Sans MT" w:cs="Times New Roman"/>
          <w:sz w:val="26"/>
          <w:szCs w:val="26"/>
        </w:rPr>
        <w:t>o</w:t>
      </w:r>
      <w:r>
        <w:rPr>
          <w:rFonts w:ascii="Gill Sans MT" w:hAnsi="Gill Sans MT" w:cs="Times New Roman"/>
          <w:sz w:val="26"/>
          <w:szCs w:val="26"/>
        </w:rPr>
        <w:t xml:space="preserve">f </w:t>
      </w:r>
      <w:r w:rsidR="000B4BE1" w:rsidRPr="00197AAE">
        <w:rPr>
          <w:rFonts w:ascii="Gill Sans MT" w:hAnsi="Gill Sans MT" w:cs="Times New Roman"/>
          <w:sz w:val="26"/>
          <w:szCs w:val="26"/>
        </w:rPr>
        <w:t>E</w:t>
      </w:r>
      <w:r>
        <w:rPr>
          <w:rFonts w:ascii="Gill Sans MT" w:hAnsi="Gill Sans MT" w:cs="Times New Roman"/>
          <w:sz w:val="26"/>
          <w:szCs w:val="26"/>
        </w:rPr>
        <w:t>ducation (DoE)</w:t>
      </w:r>
      <w:r w:rsidR="000B4BE1" w:rsidRPr="00197AAE">
        <w:rPr>
          <w:rFonts w:ascii="Gill Sans MT" w:hAnsi="Gill Sans MT" w:cs="Times New Roman"/>
          <w:sz w:val="26"/>
          <w:szCs w:val="26"/>
        </w:rPr>
        <w:t xml:space="preserve"> has commenced work to future proof the provision of education needs and supports, with a focus on planning and coordination of special educational needs. To inform these developments DoE </w:t>
      </w:r>
      <w:r w:rsidR="000B4BE1">
        <w:rPr>
          <w:rFonts w:ascii="Gill Sans MT" w:hAnsi="Gill Sans MT" w:cs="Times New Roman"/>
          <w:sz w:val="26"/>
          <w:szCs w:val="26"/>
        </w:rPr>
        <w:t xml:space="preserve">has </w:t>
      </w:r>
      <w:r w:rsidR="000B4BE1" w:rsidRPr="00197AAE">
        <w:rPr>
          <w:rFonts w:ascii="Gill Sans MT" w:hAnsi="Gill Sans MT" w:cs="Times New Roman"/>
          <w:sz w:val="26"/>
          <w:szCs w:val="26"/>
        </w:rPr>
        <w:t>utilis</w:t>
      </w:r>
      <w:r w:rsidR="000B4BE1">
        <w:rPr>
          <w:rFonts w:ascii="Gill Sans MT" w:hAnsi="Gill Sans MT" w:cs="Times New Roman"/>
          <w:sz w:val="26"/>
          <w:szCs w:val="26"/>
        </w:rPr>
        <w:t>ed</w:t>
      </w:r>
      <w:r w:rsidR="000B4BE1" w:rsidRPr="00197AAE">
        <w:rPr>
          <w:rFonts w:ascii="Gill Sans MT" w:hAnsi="Gill Sans MT" w:cs="Times New Roman"/>
          <w:sz w:val="26"/>
          <w:szCs w:val="26"/>
        </w:rPr>
        <w:t xml:space="preserve"> its Geographic Information System (GIS) with data and information </w:t>
      </w:r>
      <w:r w:rsidR="00C16919">
        <w:rPr>
          <w:rFonts w:ascii="Gill Sans MT" w:hAnsi="Gill Sans MT" w:cs="Times New Roman"/>
          <w:sz w:val="26"/>
          <w:szCs w:val="26"/>
        </w:rPr>
        <w:t xml:space="preserve">that </w:t>
      </w:r>
      <w:r w:rsidR="000B4BE1" w:rsidRPr="00197AAE">
        <w:rPr>
          <w:rFonts w:ascii="Gill Sans MT" w:hAnsi="Gill Sans MT" w:cs="Times New Roman"/>
          <w:sz w:val="26"/>
          <w:szCs w:val="26"/>
        </w:rPr>
        <w:t>will support a strategic and coordinated approach to planning and delivery of special educational need</w:t>
      </w:r>
      <w:r w:rsidR="00C16919">
        <w:rPr>
          <w:rFonts w:ascii="Gill Sans MT" w:hAnsi="Gill Sans MT" w:cs="Times New Roman"/>
          <w:sz w:val="26"/>
          <w:szCs w:val="26"/>
        </w:rPr>
        <w:t>s</w:t>
      </w:r>
      <w:r w:rsidR="000B4BE1" w:rsidRPr="00197AAE">
        <w:rPr>
          <w:rFonts w:ascii="Gill Sans MT" w:hAnsi="Gill Sans MT" w:cs="Times New Roman"/>
          <w:sz w:val="26"/>
          <w:szCs w:val="26"/>
        </w:rPr>
        <w:t xml:space="preserve">. This includes “real-time” data on capacity across the school system, and work to produce updated technical guidance for building projects involving special educational needs provision </w:t>
      </w:r>
      <w:r w:rsidR="00C16919">
        <w:rPr>
          <w:rFonts w:ascii="Gill Sans MT" w:hAnsi="Gill Sans MT" w:cs="Times New Roman"/>
          <w:sz w:val="26"/>
          <w:szCs w:val="26"/>
        </w:rPr>
        <w:t xml:space="preserve">which will </w:t>
      </w:r>
      <w:r w:rsidR="000B4BE1" w:rsidRPr="00197AAE">
        <w:rPr>
          <w:rFonts w:ascii="Gill Sans MT" w:hAnsi="Gill Sans MT" w:cs="Times New Roman"/>
          <w:sz w:val="26"/>
          <w:szCs w:val="26"/>
        </w:rPr>
        <w:t>includ</w:t>
      </w:r>
      <w:r w:rsidR="00C16919">
        <w:rPr>
          <w:rFonts w:ascii="Gill Sans MT" w:hAnsi="Gill Sans MT" w:cs="Times New Roman"/>
          <w:sz w:val="26"/>
          <w:szCs w:val="26"/>
        </w:rPr>
        <w:t>e</w:t>
      </w:r>
      <w:r w:rsidR="000B4BE1" w:rsidRPr="00197AAE">
        <w:rPr>
          <w:rFonts w:ascii="Gill Sans MT" w:hAnsi="Gill Sans MT" w:cs="Times New Roman"/>
          <w:sz w:val="26"/>
          <w:szCs w:val="26"/>
        </w:rPr>
        <w:t xml:space="preserve"> guidance on reconfiguration of existing accommodation.</w:t>
      </w:r>
      <w:r w:rsidR="000B4BE1" w:rsidRPr="00197AAE">
        <w:rPr>
          <w:rFonts w:ascii="Gill Sans MT" w:hAnsi="Gill Sans MT"/>
          <w:sz w:val="26"/>
          <w:szCs w:val="26"/>
        </w:rPr>
        <w:t xml:space="preserve"> </w:t>
      </w:r>
      <w:r w:rsidR="00C16919">
        <w:rPr>
          <w:rFonts w:ascii="Gill Sans MT" w:hAnsi="Gill Sans MT" w:cs="Times New Roman"/>
          <w:sz w:val="26"/>
          <w:szCs w:val="26"/>
        </w:rPr>
        <w:t>It is also intended to</w:t>
      </w:r>
      <w:r w:rsidR="000B4BE1" w:rsidRPr="00197AAE">
        <w:rPr>
          <w:rFonts w:ascii="Gill Sans MT" w:hAnsi="Gill Sans MT" w:cs="Times New Roman"/>
          <w:sz w:val="26"/>
          <w:szCs w:val="26"/>
        </w:rPr>
        <w:t xml:space="preserve"> include the incorporation of four special classes in all new 1,000 student post-primary schools and other large-scale projects and pro-rata for medium to smaller </w:t>
      </w:r>
      <w:r w:rsidR="000B4BE1" w:rsidRPr="00197AAE">
        <w:rPr>
          <w:rFonts w:ascii="Gill Sans MT" w:hAnsi="Gill Sans MT" w:cs="Times New Roman"/>
          <w:sz w:val="26"/>
          <w:szCs w:val="26"/>
        </w:rPr>
        <w:lastRenderedPageBreak/>
        <w:t>schools.</w:t>
      </w:r>
      <w:r w:rsidR="00C16919">
        <w:rPr>
          <w:rFonts w:ascii="Gill Sans MT" w:hAnsi="Gill Sans MT" w:cs="Times New Roman"/>
          <w:sz w:val="26"/>
          <w:szCs w:val="26"/>
        </w:rPr>
        <w:t xml:space="preserve"> </w:t>
      </w:r>
      <w:r w:rsidR="000B4BE1" w:rsidRPr="00197AAE">
        <w:rPr>
          <w:rFonts w:ascii="Gill Sans MT" w:hAnsi="Gill Sans MT" w:cs="Times New Roman"/>
          <w:sz w:val="26"/>
          <w:szCs w:val="26"/>
        </w:rPr>
        <w:t>The NDA welcome the work underway and advise that universal design principles</w:t>
      </w:r>
      <w:r w:rsidR="00433926">
        <w:rPr>
          <w:rStyle w:val="FootnoteReference"/>
          <w:rFonts w:cs="Times New Roman"/>
          <w:szCs w:val="26"/>
        </w:rPr>
        <w:footnoteReference w:id="7"/>
      </w:r>
      <w:r w:rsidR="000B4BE1" w:rsidRPr="00197AAE">
        <w:rPr>
          <w:rFonts w:ascii="Gill Sans MT" w:hAnsi="Gill Sans MT" w:cs="Times New Roman"/>
          <w:sz w:val="26"/>
          <w:szCs w:val="26"/>
        </w:rPr>
        <w:t xml:space="preserve"> inform all future development</w:t>
      </w:r>
      <w:r w:rsidR="00433926">
        <w:rPr>
          <w:rFonts w:ascii="Gill Sans MT" w:hAnsi="Gill Sans MT" w:cs="Times New Roman"/>
          <w:sz w:val="26"/>
          <w:szCs w:val="26"/>
        </w:rPr>
        <w:t>s, including built environment</w:t>
      </w:r>
      <w:r w:rsidR="000B4BE1">
        <w:rPr>
          <w:rStyle w:val="FootnoteReference"/>
          <w:rFonts w:ascii="Times New Roman" w:hAnsi="Times New Roman" w:cs="Times New Roman"/>
          <w:sz w:val="24"/>
          <w:szCs w:val="24"/>
        </w:rPr>
        <w:footnoteReference w:id="8"/>
      </w:r>
      <w:r w:rsidR="000B4BE1">
        <w:rPr>
          <w:rFonts w:ascii="Times New Roman" w:hAnsi="Times New Roman" w:cs="Times New Roman"/>
          <w:sz w:val="24"/>
          <w:szCs w:val="24"/>
        </w:rPr>
        <w:t>.</w:t>
      </w:r>
    </w:p>
    <w:p w14:paraId="0223C4FA" w14:textId="5BF6BFC3" w:rsidR="001B675D" w:rsidRDefault="001B675D" w:rsidP="007928FE">
      <w:pPr>
        <w:pStyle w:val="Heading2"/>
      </w:pPr>
      <w:bookmarkStart w:id="15" w:name="_Toc170203431"/>
      <w:r w:rsidRPr="006A30A7">
        <w:t xml:space="preserve">Consultation </w:t>
      </w:r>
      <w:r w:rsidR="00D60D2C">
        <w:t>with disabled people</w:t>
      </w:r>
      <w:bookmarkEnd w:id="15"/>
      <w:r w:rsidR="00D60D2C">
        <w:t xml:space="preserve"> </w:t>
      </w:r>
    </w:p>
    <w:p w14:paraId="0350203A" w14:textId="01BD1162" w:rsidR="00454821" w:rsidRPr="007928FE" w:rsidRDefault="00454821" w:rsidP="001B675D">
      <w:r w:rsidRPr="007928FE">
        <w:t xml:space="preserve">Consultations were conducted by the NDA on social inclusion in early 2023 and on a new National Disability Strategy in late 2023 and early 2024. </w:t>
      </w:r>
      <w:r>
        <w:t>Both were done in collaboration with DECDIY.</w:t>
      </w:r>
    </w:p>
    <w:p w14:paraId="4D10C686" w14:textId="02AC8597" w:rsidR="00454821" w:rsidRDefault="00454821" w:rsidP="00454821">
      <w:r>
        <w:t xml:space="preserve">In the survey report on wellbeing and social inclusion, access to education and training for disadvantaged groups was the </w:t>
      </w:r>
      <w:r w:rsidR="00867368">
        <w:t>most selected</w:t>
      </w:r>
      <w:r>
        <w:t xml:space="preserve"> option to improving social inclusion (selected by 39% of respondents), followed by measures to improve access to employment for disadvantaged groups (37%).</w:t>
      </w:r>
      <w:r>
        <w:rPr>
          <w:rStyle w:val="FootnoteReference"/>
        </w:rPr>
        <w:footnoteReference w:id="9"/>
      </w:r>
    </w:p>
    <w:p w14:paraId="6C7662C0" w14:textId="04CFBB5A" w:rsidR="00454821" w:rsidRPr="00B05E1A" w:rsidRDefault="00454821" w:rsidP="001B675D">
      <w:r>
        <w:t xml:space="preserve">Many of the participants in the follow up social inclusion consultation felt that the CES was not being rolled out effectively and that its aims were weak. They also felt that the number of people with a disability in employment </w:t>
      </w:r>
      <w:r w:rsidR="006064F8">
        <w:t>was</w:t>
      </w:r>
      <w:r>
        <w:t xml:space="preserve"> not being recorded correctly, although details on why they felt this way were not captured during the discussions.</w:t>
      </w:r>
      <w:r>
        <w:rPr>
          <w:rStyle w:val="FootnoteReference"/>
        </w:rPr>
        <w:footnoteReference w:id="10"/>
      </w:r>
      <w:r>
        <w:t xml:space="preserve">  </w:t>
      </w:r>
    </w:p>
    <w:p w14:paraId="314865A4" w14:textId="73C28E1A" w:rsidR="001B675D" w:rsidRPr="006A30A7" w:rsidRDefault="00454821" w:rsidP="001B675D">
      <w:r>
        <w:rPr>
          <w:lang w:val="en-US"/>
        </w:rPr>
        <w:t xml:space="preserve">Employment was a frequent topic raised during the consultation on the new National Disability Strategy. </w:t>
      </w:r>
      <w:r w:rsidR="00B90F69">
        <w:rPr>
          <w:lang w:val="en-US"/>
        </w:rPr>
        <w:t xml:space="preserve">This consultation was conducted </w:t>
      </w:r>
      <w:r w:rsidR="006064F8">
        <w:rPr>
          <w:lang w:val="en-US"/>
        </w:rPr>
        <w:t xml:space="preserve">at the same time as </w:t>
      </w:r>
      <w:r w:rsidR="00B90F69">
        <w:rPr>
          <w:lang w:val="en-US"/>
        </w:rPr>
        <w:t xml:space="preserve">consultation </w:t>
      </w:r>
      <w:r w:rsidR="001B675D">
        <w:rPr>
          <w:lang w:val="en-US"/>
        </w:rPr>
        <w:t>o</w:t>
      </w:r>
      <w:r w:rsidR="006064F8">
        <w:rPr>
          <w:lang w:val="en-US"/>
        </w:rPr>
        <w:t>n</w:t>
      </w:r>
      <w:r w:rsidR="001B675D">
        <w:rPr>
          <w:lang w:val="en-US"/>
        </w:rPr>
        <w:t xml:space="preserve"> the Green Paper on disability payment</w:t>
      </w:r>
      <w:r w:rsidR="006064F8">
        <w:rPr>
          <w:lang w:val="en-US"/>
        </w:rPr>
        <w:t xml:space="preserve"> reform</w:t>
      </w:r>
      <w:r w:rsidR="00B90F69">
        <w:rPr>
          <w:lang w:val="en-US"/>
        </w:rPr>
        <w:t xml:space="preserve"> was occurring. Therefore, to some extent the NDS consultation was informed by disabled peoples view of the Green Paper</w:t>
      </w:r>
      <w:r w:rsidR="006064F8">
        <w:rPr>
          <w:lang w:val="en-US"/>
        </w:rPr>
        <w:t xml:space="preserve"> (see more on the Green Paper below)</w:t>
      </w:r>
      <w:r w:rsidR="001B675D">
        <w:rPr>
          <w:lang w:val="en-US"/>
        </w:rPr>
        <w:t xml:space="preserve">. </w:t>
      </w:r>
      <w:r w:rsidR="00B90F69">
        <w:rPr>
          <w:lang w:val="en-US"/>
        </w:rPr>
        <w:t>A</w:t>
      </w:r>
      <w:r w:rsidR="00F86F89">
        <w:rPr>
          <w:lang w:val="en-US"/>
        </w:rPr>
        <w:t xml:space="preserve">n </w:t>
      </w:r>
      <w:r w:rsidR="001B675D" w:rsidRPr="006A30A7">
        <w:rPr>
          <w:lang w:val="en-US"/>
        </w:rPr>
        <w:t>importan</w:t>
      </w:r>
      <w:r w:rsidR="00F86F89">
        <w:rPr>
          <w:lang w:val="en-US"/>
        </w:rPr>
        <w:t>t feature of this consultation was</w:t>
      </w:r>
      <w:r w:rsidR="001B675D" w:rsidRPr="006A30A7">
        <w:rPr>
          <w:lang w:val="en-US"/>
        </w:rPr>
        <w:t xml:space="preserve"> </w:t>
      </w:r>
      <w:proofErr w:type="spellStart"/>
      <w:r w:rsidR="001B675D" w:rsidRPr="006A30A7">
        <w:rPr>
          <w:lang w:val="en-US"/>
        </w:rPr>
        <w:t>recognising</w:t>
      </w:r>
      <w:proofErr w:type="spellEnd"/>
      <w:r w:rsidR="001B675D" w:rsidRPr="006A30A7">
        <w:rPr>
          <w:lang w:val="en-US"/>
        </w:rPr>
        <w:t xml:space="preserve"> that some disabled people will not be able to work and must not be pressured to do so.</w:t>
      </w:r>
      <w:r w:rsidR="001B675D">
        <w:rPr>
          <w:lang w:val="en-US"/>
        </w:rPr>
        <w:t xml:space="preserve"> However</w:t>
      </w:r>
      <w:r w:rsidR="00F86F89">
        <w:rPr>
          <w:lang w:val="en-US"/>
        </w:rPr>
        <w:t xml:space="preserve">, </w:t>
      </w:r>
      <w:r w:rsidR="001B675D">
        <w:rPr>
          <w:lang w:val="en-US"/>
        </w:rPr>
        <w:t xml:space="preserve">specific concerns raised </w:t>
      </w:r>
      <w:r w:rsidR="007B47DE">
        <w:rPr>
          <w:lang w:val="en-US"/>
        </w:rPr>
        <w:t>were</w:t>
      </w:r>
      <w:r w:rsidR="006064F8">
        <w:rPr>
          <w:lang w:val="en-US"/>
        </w:rPr>
        <w:t xml:space="preserve"> the need for:</w:t>
      </w:r>
      <w:r w:rsidR="001B675D">
        <w:rPr>
          <w:lang w:val="en-US"/>
        </w:rPr>
        <w:t xml:space="preserve"> </w:t>
      </w:r>
    </w:p>
    <w:p w14:paraId="41700E9C" w14:textId="6BDB55AB" w:rsidR="001B675D" w:rsidRPr="00867368" w:rsidRDefault="00B05E1A"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 xml:space="preserve">Improved </w:t>
      </w:r>
      <w:r w:rsidR="001B675D" w:rsidRPr="00867368">
        <w:rPr>
          <w:rFonts w:ascii="Gill Sans MT" w:hAnsi="Gill Sans MT"/>
          <w:sz w:val="26"/>
          <w:szCs w:val="26"/>
          <w:lang w:val="en-US"/>
        </w:rPr>
        <w:t>recruitment processes</w:t>
      </w:r>
      <w:r w:rsidR="00454821" w:rsidRPr="00867368">
        <w:rPr>
          <w:rFonts w:ascii="Gill Sans MT" w:hAnsi="Gill Sans MT"/>
          <w:sz w:val="26"/>
          <w:szCs w:val="26"/>
          <w:lang w:val="en-US"/>
        </w:rPr>
        <w:t xml:space="preserve"> </w:t>
      </w:r>
      <w:r w:rsidRPr="00867368">
        <w:rPr>
          <w:rFonts w:ascii="Gill Sans MT" w:hAnsi="Gill Sans MT"/>
          <w:sz w:val="26"/>
          <w:szCs w:val="26"/>
          <w:lang w:val="en-US"/>
        </w:rPr>
        <w:t xml:space="preserve">to ensure </w:t>
      </w:r>
      <w:proofErr w:type="gramStart"/>
      <w:r w:rsidR="00454821" w:rsidRPr="00867368">
        <w:rPr>
          <w:rFonts w:ascii="Gill Sans MT" w:hAnsi="Gill Sans MT"/>
          <w:sz w:val="26"/>
          <w:szCs w:val="26"/>
          <w:lang w:val="en-US"/>
        </w:rPr>
        <w:t>accessib</w:t>
      </w:r>
      <w:r w:rsidR="00D2358D" w:rsidRPr="00867368">
        <w:rPr>
          <w:rFonts w:ascii="Gill Sans MT" w:hAnsi="Gill Sans MT"/>
          <w:sz w:val="26"/>
          <w:szCs w:val="26"/>
          <w:lang w:val="en-US"/>
        </w:rPr>
        <w:t>ility</w:t>
      </w:r>
      <w:r w:rsidR="006064F8" w:rsidRPr="00867368">
        <w:rPr>
          <w:rFonts w:ascii="Gill Sans MT" w:hAnsi="Gill Sans MT"/>
          <w:sz w:val="26"/>
          <w:szCs w:val="26"/>
          <w:lang w:val="en-US"/>
        </w:rPr>
        <w:t>;</w:t>
      </w:r>
      <w:proofErr w:type="gramEnd"/>
    </w:p>
    <w:p w14:paraId="02ED52D6" w14:textId="3A3751BA" w:rsidR="001B675D" w:rsidRPr="00867368" w:rsidRDefault="00D2358D"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 xml:space="preserve">Improve </w:t>
      </w:r>
      <w:r w:rsidR="001B675D" w:rsidRPr="00867368">
        <w:rPr>
          <w:rFonts w:ascii="Gill Sans MT" w:hAnsi="Gill Sans MT"/>
          <w:sz w:val="26"/>
          <w:szCs w:val="26"/>
          <w:lang w:val="en-US"/>
        </w:rPr>
        <w:t xml:space="preserve">disability awareness and </w:t>
      </w:r>
      <w:r w:rsidRPr="00867368">
        <w:rPr>
          <w:rFonts w:ascii="Gill Sans MT" w:hAnsi="Gill Sans MT"/>
          <w:sz w:val="26"/>
          <w:szCs w:val="26"/>
          <w:lang w:val="en-US"/>
        </w:rPr>
        <w:t xml:space="preserve">competencies </w:t>
      </w:r>
      <w:r w:rsidR="001B675D" w:rsidRPr="00867368">
        <w:rPr>
          <w:rFonts w:ascii="Gill Sans MT" w:hAnsi="Gill Sans MT"/>
          <w:sz w:val="26"/>
          <w:szCs w:val="26"/>
          <w:lang w:val="en-US"/>
        </w:rPr>
        <w:t xml:space="preserve">among </w:t>
      </w:r>
      <w:proofErr w:type="gramStart"/>
      <w:r w:rsidR="001B675D" w:rsidRPr="00867368">
        <w:rPr>
          <w:rFonts w:ascii="Gill Sans MT" w:hAnsi="Gill Sans MT"/>
          <w:sz w:val="26"/>
          <w:szCs w:val="26"/>
          <w:lang w:val="en-US"/>
        </w:rPr>
        <w:t>employers</w:t>
      </w:r>
      <w:r w:rsidR="006064F8" w:rsidRPr="00867368">
        <w:rPr>
          <w:rFonts w:ascii="Gill Sans MT" w:hAnsi="Gill Sans MT"/>
          <w:sz w:val="26"/>
          <w:szCs w:val="26"/>
          <w:lang w:val="en-US"/>
        </w:rPr>
        <w:t>;</w:t>
      </w:r>
      <w:proofErr w:type="gramEnd"/>
      <w:r w:rsidR="00454821" w:rsidRPr="00867368">
        <w:rPr>
          <w:rFonts w:ascii="Gill Sans MT" w:hAnsi="Gill Sans MT"/>
          <w:sz w:val="26"/>
          <w:szCs w:val="26"/>
          <w:lang w:val="en-US"/>
        </w:rPr>
        <w:t xml:space="preserve"> </w:t>
      </w:r>
    </w:p>
    <w:p w14:paraId="658F9F40" w14:textId="7F2F0099" w:rsidR="001B675D" w:rsidRPr="00867368" w:rsidRDefault="001B675D"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 xml:space="preserve">Enhanced incentives for employers to hire disabled </w:t>
      </w:r>
      <w:proofErr w:type="gramStart"/>
      <w:r w:rsidRPr="00867368">
        <w:rPr>
          <w:rFonts w:ascii="Gill Sans MT" w:hAnsi="Gill Sans MT"/>
          <w:sz w:val="26"/>
          <w:szCs w:val="26"/>
          <w:lang w:val="en-US"/>
        </w:rPr>
        <w:t>people</w:t>
      </w:r>
      <w:r w:rsidR="006064F8" w:rsidRPr="00867368">
        <w:rPr>
          <w:rFonts w:ascii="Gill Sans MT" w:hAnsi="Gill Sans MT"/>
          <w:sz w:val="26"/>
          <w:szCs w:val="26"/>
          <w:lang w:val="en-US"/>
        </w:rPr>
        <w:t>;</w:t>
      </w:r>
      <w:proofErr w:type="gramEnd"/>
    </w:p>
    <w:p w14:paraId="51DD4D57" w14:textId="2EC1CAE4" w:rsidR="001B675D" w:rsidRPr="00867368" w:rsidRDefault="006064F8"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Making</w:t>
      </w:r>
      <w:r w:rsidR="00D2358D" w:rsidRPr="00867368">
        <w:rPr>
          <w:rFonts w:ascii="Gill Sans MT" w:hAnsi="Gill Sans MT"/>
          <w:sz w:val="26"/>
          <w:szCs w:val="26"/>
          <w:lang w:val="en-US"/>
        </w:rPr>
        <w:t xml:space="preserve"> </w:t>
      </w:r>
      <w:r w:rsidR="001B675D" w:rsidRPr="00867368">
        <w:rPr>
          <w:rFonts w:ascii="Gill Sans MT" w:hAnsi="Gill Sans MT"/>
          <w:sz w:val="26"/>
          <w:szCs w:val="26"/>
          <w:lang w:val="en-US"/>
        </w:rPr>
        <w:t>reasonable accommodations</w:t>
      </w:r>
      <w:r w:rsidR="00454821" w:rsidRPr="00867368">
        <w:rPr>
          <w:rFonts w:ascii="Gill Sans MT" w:hAnsi="Gill Sans MT"/>
          <w:sz w:val="26"/>
          <w:szCs w:val="26"/>
          <w:lang w:val="en-US"/>
        </w:rPr>
        <w:t xml:space="preserve"> more </w:t>
      </w:r>
      <w:r w:rsidR="00D60D2C" w:rsidRPr="00867368">
        <w:rPr>
          <w:rFonts w:ascii="Gill Sans MT" w:hAnsi="Gill Sans MT"/>
          <w:sz w:val="26"/>
          <w:szCs w:val="26"/>
          <w:lang w:val="en-US"/>
        </w:rPr>
        <w:t>accessible and</w:t>
      </w:r>
      <w:r w:rsidR="001B675D" w:rsidRPr="00867368">
        <w:rPr>
          <w:rFonts w:ascii="Gill Sans MT" w:hAnsi="Gill Sans MT"/>
          <w:sz w:val="26"/>
          <w:szCs w:val="26"/>
          <w:lang w:val="en-US"/>
        </w:rPr>
        <w:t xml:space="preserve"> more </w:t>
      </w:r>
      <w:proofErr w:type="gramStart"/>
      <w:r w:rsidR="001B675D" w:rsidRPr="00867368">
        <w:rPr>
          <w:rFonts w:ascii="Gill Sans MT" w:hAnsi="Gill Sans MT"/>
          <w:sz w:val="26"/>
          <w:szCs w:val="26"/>
          <w:lang w:val="en-US"/>
        </w:rPr>
        <w:t>flexible</w:t>
      </w:r>
      <w:r w:rsidRPr="00867368">
        <w:rPr>
          <w:rFonts w:ascii="Gill Sans MT" w:hAnsi="Gill Sans MT"/>
          <w:sz w:val="26"/>
          <w:szCs w:val="26"/>
          <w:lang w:val="en-US"/>
        </w:rPr>
        <w:t>;</w:t>
      </w:r>
      <w:proofErr w:type="gramEnd"/>
    </w:p>
    <w:p w14:paraId="31ECF373" w14:textId="155D8A35" w:rsidR="001B675D" w:rsidRPr="00867368" w:rsidRDefault="00D2358D"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Continue</w:t>
      </w:r>
      <w:r w:rsidR="006064F8" w:rsidRPr="00867368">
        <w:rPr>
          <w:rFonts w:ascii="Gill Sans MT" w:hAnsi="Gill Sans MT"/>
          <w:sz w:val="26"/>
          <w:szCs w:val="26"/>
          <w:lang w:val="en-US"/>
        </w:rPr>
        <w:t>d i</w:t>
      </w:r>
      <w:r w:rsidRPr="00867368">
        <w:rPr>
          <w:rFonts w:ascii="Gill Sans MT" w:hAnsi="Gill Sans MT"/>
          <w:sz w:val="26"/>
          <w:szCs w:val="26"/>
          <w:lang w:val="en-US"/>
        </w:rPr>
        <w:t>mprove</w:t>
      </w:r>
      <w:r w:rsidR="006064F8" w:rsidRPr="00867368">
        <w:rPr>
          <w:rFonts w:ascii="Gill Sans MT" w:hAnsi="Gill Sans MT"/>
          <w:sz w:val="26"/>
          <w:szCs w:val="26"/>
          <w:lang w:val="en-US"/>
        </w:rPr>
        <w:t>ment to</w:t>
      </w:r>
      <w:r w:rsidRPr="00867368">
        <w:rPr>
          <w:rFonts w:ascii="Gill Sans MT" w:hAnsi="Gill Sans MT"/>
          <w:sz w:val="26"/>
          <w:szCs w:val="26"/>
          <w:lang w:val="en-US"/>
        </w:rPr>
        <w:t xml:space="preserve"> the</w:t>
      </w:r>
      <w:r w:rsidR="001B675D" w:rsidRPr="00867368">
        <w:rPr>
          <w:rFonts w:ascii="Gill Sans MT" w:hAnsi="Gill Sans MT"/>
          <w:sz w:val="26"/>
          <w:szCs w:val="26"/>
          <w:lang w:val="en-US"/>
        </w:rPr>
        <w:t xml:space="preserve"> </w:t>
      </w:r>
      <w:r w:rsidR="006064F8" w:rsidRPr="00867368">
        <w:rPr>
          <w:rFonts w:ascii="Gill Sans MT" w:hAnsi="Gill Sans MT"/>
          <w:sz w:val="26"/>
          <w:szCs w:val="26"/>
          <w:lang w:val="en-US"/>
        </w:rPr>
        <w:t>return</w:t>
      </w:r>
      <w:r w:rsidR="001B675D" w:rsidRPr="00867368">
        <w:rPr>
          <w:rFonts w:ascii="Gill Sans MT" w:hAnsi="Gill Sans MT"/>
          <w:sz w:val="26"/>
          <w:szCs w:val="26"/>
          <w:lang w:val="en-US"/>
        </w:rPr>
        <w:t xml:space="preserve"> to disability allowance if employment does not work </w:t>
      </w:r>
      <w:proofErr w:type="gramStart"/>
      <w:r w:rsidR="001B675D" w:rsidRPr="00867368">
        <w:rPr>
          <w:rFonts w:ascii="Gill Sans MT" w:hAnsi="Gill Sans MT"/>
          <w:sz w:val="26"/>
          <w:szCs w:val="26"/>
          <w:lang w:val="en-US"/>
        </w:rPr>
        <w:t>out</w:t>
      </w:r>
      <w:r w:rsidR="006064F8" w:rsidRPr="00867368">
        <w:rPr>
          <w:rFonts w:ascii="Gill Sans MT" w:hAnsi="Gill Sans MT"/>
          <w:sz w:val="26"/>
          <w:szCs w:val="26"/>
          <w:lang w:val="en-US"/>
        </w:rPr>
        <w:t>;</w:t>
      </w:r>
      <w:proofErr w:type="gramEnd"/>
    </w:p>
    <w:p w14:paraId="6A444B61" w14:textId="58200CEF" w:rsidR="001B675D" w:rsidRPr="00867368" w:rsidRDefault="006064F8"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Allowing</w:t>
      </w:r>
      <w:r w:rsidR="001B675D" w:rsidRPr="00867368">
        <w:rPr>
          <w:rFonts w:ascii="Gill Sans MT" w:hAnsi="Gill Sans MT"/>
          <w:sz w:val="26"/>
          <w:szCs w:val="26"/>
          <w:lang w:val="en-US"/>
        </w:rPr>
        <w:t xml:space="preserve"> ret</w:t>
      </w:r>
      <w:r w:rsidRPr="00867368">
        <w:rPr>
          <w:rFonts w:ascii="Gill Sans MT" w:hAnsi="Gill Sans MT"/>
          <w:sz w:val="26"/>
          <w:szCs w:val="26"/>
          <w:lang w:val="en-US"/>
        </w:rPr>
        <w:t>ention of</w:t>
      </w:r>
      <w:r w:rsidR="001B675D" w:rsidRPr="00867368">
        <w:rPr>
          <w:rFonts w:ascii="Gill Sans MT" w:hAnsi="Gill Sans MT"/>
          <w:sz w:val="26"/>
          <w:szCs w:val="26"/>
          <w:lang w:val="en-US"/>
        </w:rPr>
        <w:t xml:space="preserve"> secondary benefits such as the medical card and free travel pass </w:t>
      </w:r>
      <w:r w:rsidRPr="00867368">
        <w:rPr>
          <w:rFonts w:ascii="Gill Sans MT" w:hAnsi="Gill Sans MT"/>
          <w:sz w:val="26"/>
          <w:szCs w:val="26"/>
          <w:lang w:val="en-US"/>
        </w:rPr>
        <w:t>when people with disabilities take up</w:t>
      </w:r>
      <w:r w:rsidR="001B675D" w:rsidRPr="00867368">
        <w:rPr>
          <w:rFonts w:ascii="Gill Sans MT" w:hAnsi="Gill Sans MT"/>
          <w:sz w:val="26"/>
          <w:szCs w:val="26"/>
          <w:lang w:val="en-US"/>
        </w:rPr>
        <w:t xml:space="preserve"> </w:t>
      </w:r>
      <w:proofErr w:type="gramStart"/>
      <w:r w:rsidR="001B675D" w:rsidRPr="00867368">
        <w:rPr>
          <w:rFonts w:ascii="Gill Sans MT" w:hAnsi="Gill Sans MT"/>
          <w:sz w:val="26"/>
          <w:szCs w:val="26"/>
          <w:lang w:val="en-US"/>
        </w:rPr>
        <w:t>employment</w:t>
      </w:r>
      <w:r w:rsidRPr="00867368">
        <w:rPr>
          <w:rFonts w:ascii="Gill Sans MT" w:hAnsi="Gill Sans MT"/>
          <w:sz w:val="26"/>
          <w:szCs w:val="26"/>
          <w:lang w:val="en-US"/>
        </w:rPr>
        <w:t>;</w:t>
      </w:r>
      <w:proofErr w:type="gramEnd"/>
    </w:p>
    <w:p w14:paraId="590CC8D0" w14:textId="609D0AC8" w:rsidR="001B675D" w:rsidRPr="00867368" w:rsidRDefault="001B675D"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lastRenderedPageBreak/>
        <w:t xml:space="preserve">Specific, measurable targets for the employment of disabled people and a closing of the disability employment </w:t>
      </w:r>
      <w:proofErr w:type="gramStart"/>
      <w:r w:rsidRPr="00867368">
        <w:rPr>
          <w:rFonts w:ascii="Gill Sans MT" w:hAnsi="Gill Sans MT"/>
          <w:sz w:val="26"/>
          <w:szCs w:val="26"/>
          <w:lang w:val="en-US"/>
        </w:rPr>
        <w:t>gap</w:t>
      </w:r>
      <w:r w:rsidR="006064F8" w:rsidRPr="00867368">
        <w:rPr>
          <w:rFonts w:ascii="Gill Sans MT" w:hAnsi="Gill Sans MT"/>
          <w:sz w:val="26"/>
          <w:szCs w:val="26"/>
          <w:lang w:val="en-US"/>
        </w:rPr>
        <w:t>;</w:t>
      </w:r>
      <w:proofErr w:type="gramEnd"/>
    </w:p>
    <w:p w14:paraId="5A80C813" w14:textId="03585E71" w:rsidR="001B675D" w:rsidRPr="00867368" w:rsidRDefault="006064F8"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 xml:space="preserve">Provision of </w:t>
      </w:r>
      <w:r w:rsidR="001B675D" w:rsidRPr="00867368">
        <w:rPr>
          <w:rFonts w:ascii="Gill Sans MT" w:hAnsi="Gill Sans MT"/>
          <w:sz w:val="26"/>
          <w:szCs w:val="26"/>
          <w:lang w:val="en-US"/>
        </w:rPr>
        <w:t xml:space="preserve">employment supports, including support to find suitable employment and in-work supports such as personal assistance and ISL </w:t>
      </w:r>
      <w:proofErr w:type="gramStart"/>
      <w:r w:rsidR="001B675D" w:rsidRPr="00867368">
        <w:rPr>
          <w:rFonts w:ascii="Gill Sans MT" w:hAnsi="Gill Sans MT"/>
          <w:sz w:val="26"/>
          <w:szCs w:val="26"/>
          <w:lang w:val="en-US"/>
        </w:rPr>
        <w:t>interpretation</w:t>
      </w:r>
      <w:proofErr w:type="gramEnd"/>
      <w:r w:rsidR="00454821" w:rsidRPr="00867368">
        <w:rPr>
          <w:rFonts w:ascii="Gill Sans MT" w:hAnsi="Gill Sans MT"/>
          <w:sz w:val="26"/>
          <w:szCs w:val="26"/>
          <w:lang w:val="en-US"/>
        </w:rPr>
        <w:t xml:space="preserve"> </w:t>
      </w:r>
    </w:p>
    <w:p w14:paraId="19886C0D" w14:textId="3A3ED34D" w:rsidR="001B675D" w:rsidRPr="00867368" w:rsidRDefault="006064F8"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S</w:t>
      </w:r>
      <w:r w:rsidR="001B675D" w:rsidRPr="00867368">
        <w:rPr>
          <w:rFonts w:ascii="Gill Sans MT" w:hAnsi="Gill Sans MT"/>
          <w:sz w:val="26"/>
          <w:szCs w:val="26"/>
          <w:lang w:val="en-US"/>
        </w:rPr>
        <w:t>upport</w:t>
      </w:r>
      <w:r w:rsidRPr="00867368">
        <w:rPr>
          <w:rFonts w:ascii="Gill Sans MT" w:hAnsi="Gill Sans MT"/>
          <w:sz w:val="26"/>
          <w:szCs w:val="26"/>
          <w:lang w:val="en-US"/>
        </w:rPr>
        <w:t>s</w:t>
      </w:r>
      <w:r w:rsidR="001B675D" w:rsidRPr="00867368">
        <w:rPr>
          <w:rFonts w:ascii="Gill Sans MT" w:hAnsi="Gill Sans MT"/>
          <w:sz w:val="26"/>
          <w:szCs w:val="26"/>
          <w:lang w:val="en-US"/>
        </w:rPr>
        <w:t xml:space="preserve"> to return to work following the acquisition of a disability</w:t>
      </w:r>
      <w:r w:rsidRPr="00867368">
        <w:rPr>
          <w:rFonts w:ascii="Gill Sans MT" w:hAnsi="Gill Sans MT"/>
          <w:sz w:val="26"/>
          <w:szCs w:val="26"/>
          <w:lang w:val="en-US"/>
        </w:rPr>
        <w:t>; and</w:t>
      </w:r>
    </w:p>
    <w:p w14:paraId="21A5FED3" w14:textId="7CEDBF2A" w:rsidR="001B675D" w:rsidRPr="00867368" w:rsidRDefault="006064F8" w:rsidP="00867368">
      <w:pPr>
        <w:pStyle w:val="ListParagraph"/>
        <w:numPr>
          <w:ilvl w:val="0"/>
          <w:numId w:val="44"/>
        </w:numPr>
        <w:rPr>
          <w:rFonts w:ascii="Gill Sans MT" w:hAnsi="Gill Sans MT"/>
          <w:sz w:val="26"/>
          <w:szCs w:val="26"/>
        </w:rPr>
      </w:pPr>
      <w:r w:rsidRPr="00867368">
        <w:rPr>
          <w:rFonts w:ascii="Gill Sans MT" w:hAnsi="Gill Sans MT"/>
          <w:sz w:val="26"/>
          <w:szCs w:val="26"/>
          <w:lang w:val="en-US"/>
        </w:rPr>
        <w:t>Raising the</w:t>
      </w:r>
      <w:r w:rsidR="001B675D" w:rsidRPr="00867368">
        <w:rPr>
          <w:rFonts w:ascii="Gill Sans MT" w:hAnsi="Gill Sans MT"/>
          <w:sz w:val="26"/>
          <w:szCs w:val="26"/>
          <w:lang w:val="en-US"/>
        </w:rPr>
        <w:t xml:space="preserve"> public sector minimum employment target</w:t>
      </w:r>
      <w:r w:rsidR="006A18B4" w:rsidRPr="00867368">
        <w:rPr>
          <w:rFonts w:ascii="Gill Sans MT" w:hAnsi="Gill Sans MT"/>
          <w:sz w:val="26"/>
          <w:szCs w:val="26"/>
          <w:lang w:val="en-US"/>
        </w:rPr>
        <w:t xml:space="preserve"> and extend </w:t>
      </w:r>
      <w:r w:rsidR="001B675D" w:rsidRPr="00867368">
        <w:rPr>
          <w:rFonts w:ascii="Gill Sans MT" w:hAnsi="Gill Sans MT"/>
          <w:sz w:val="26"/>
          <w:szCs w:val="26"/>
          <w:lang w:val="en-US"/>
        </w:rPr>
        <w:t>to NGOs and the private sector</w:t>
      </w:r>
      <w:r w:rsidR="00D60D2C" w:rsidRPr="00867368">
        <w:rPr>
          <w:rFonts w:ascii="Gill Sans MT" w:hAnsi="Gill Sans MT"/>
          <w:sz w:val="26"/>
          <w:szCs w:val="26"/>
          <w:lang w:val="en-US"/>
        </w:rPr>
        <w:t>.</w:t>
      </w:r>
    </w:p>
    <w:p w14:paraId="054C7801" w14:textId="6C9D0DC2" w:rsidR="00D60D2C" w:rsidRPr="00D60D2C" w:rsidRDefault="00D60D2C" w:rsidP="000E74C3">
      <w:pPr>
        <w:rPr>
          <w:szCs w:val="26"/>
        </w:rPr>
      </w:pPr>
      <w:r>
        <w:rPr>
          <w:szCs w:val="26"/>
        </w:rPr>
        <w:t>T</w:t>
      </w:r>
      <w:r w:rsidR="000E74C3">
        <w:rPr>
          <w:szCs w:val="26"/>
        </w:rPr>
        <w:t xml:space="preserve">ogether these </w:t>
      </w:r>
      <w:r>
        <w:rPr>
          <w:szCs w:val="26"/>
        </w:rPr>
        <w:t xml:space="preserve">consultations provide concrete views from disabled people about what is necessary to support their </w:t>
      </w:r>
      <w:r w:rsidR="000E74C3">
        <w:rPr>
          <w:szCs w:val="26"/>
        </w:rPr>
        <w:t>social inclusion and employment</w:t>
      </w:r>
      <w:r w:rsidR="00316A7E">
        <w:rPr>
          <w:szCs w:val="26"/>
        </w:rPr>
        <w:t xml:space="preserve"> opportunities</w:t>
      </w:r>
      <w:r w:rsidR="000E74C3">
        <w:rPr>
          <w:szCs w:val="26"/>
        </w:rPr>
        <w:t xml:space="preserve">. </w:t>
      </w:r>
      <w:r w:rsidR="00316A7E">
        <w:t>People with disabilities have clearly articulated that supports to access employment are not tailored or readily available and that a fear of losing secondary benefits are a barrier to work.</w:t>
      </w:r>
      <w:r w:rsidR="00316A7E">
        <w:rPr>
          <w:szCs w:val="26"/>
        </w:rPr>
        <w:t xml:space="preserve"> </w:t>
      </w:r>
      <w:r w:rsidR="000E74C3">
        <w:rPr>
          <w:szCs w:val="26"/>
        </w:rPr>
        <w:t>The</w:t>
      </w:r>
      <w:r w:rsidR="00E86519">
        <w:rPr>
          <w:szCs w:val="26"/>
        </w:rPr>
        <w:t xml:space="preserve"> NDA advi</w:t>
      </w:r>
      <w:r w:rsidR="00316A7E">
        <w:rPr>
          <w:szCs w:val="26"/>
        </w:rPr>
        <w:t>s</w:t>
      </w:r>
      <w:r w:rsidR="00E86519">
        <w:rPr>
          <w:szCs w:val="26"/>
        </w:rPr>
        <w:t>e that further effort is required to ensure these areas of action are delivered.</w:t>
      </w:r>
    </w:p>
    <w:p w14:paraId="03D1B961" w14:textId="39A723E5" w:rsidR="00F86F89" w:rsidRPr="00456EE1" w:rsidRDefault="006A18B4" w:rsidP="007928FE">
      <w:pPr>
        <w:pStyle w:val="Heading2"/>
      </w:pPr>
      <w:bookmarkStart w:id="16" w:name="_Toc170203432"/>
      <w:r>
        <w:t>Proposed disability payment reform</w:t>
      </w:r>
      <w:bookmarkEnd w:id="16"/>
    </w:p>
    <w:p w14:paraId="1FC16953" w14:textId="255CEE85" w:rsidR="00F86F89" w:rsidRDefault="00316A7E" w:rsidP="00F86F89">
      <w:r>
        <w:t>The Department of Social Protection (</w:t>
      </w:r>
      <w:r w:rsidR="00F86F89">
        <w:t>DSP</w:t>
      </w:r>
      <w:r>
        <w:t>)</w:t>
      </w:r>
      <w:r w:rsidR="00F86F89">
        <w:t xml:space="preserve"> published a Green Paper on disability payment</w:t>
      </w:r>
      <w:r>
        <w:t xml:space="preserve"> reform</w:t>
      </w:r>
      <w:r w:rsidR="00F86F89">
        <w:t xml:space="preserve"> in September 2023, </w:t>
      </w:r>
      <w:r w:rsidR="006A18B4">
        <w:t xml:space="preserve">with </w:t>
      </w:r>
      <w:r w:rsidR="00F86F89">
        <w:t>proposals to replace the existing long-term disability payments with a new scheme, the Personal Support Payment.</w:t>
      </w:r>
      <w:r w:rsidR="00017BEF">
        <w:rPr>
          <w:rStyle w:val="FootnoteReference"/>
        </w:rPr>
        <w:footnoteReference w:id="11"/>
      </w:r>
      <w:r w:rsidR="00F86F89">
        <w:t xml:space="preserve"> </w:t>
      </w:r>
      <w:r w:rsidR="0017457F">
        <w:t>It proposed that f</w:t>
      </w:r>
      <w:r w:rsidR="00F86F89">
        <w:t>or people who work, a new Working Age Payment would replace the current system of employment supports. The</w:t>
      </w:r>
      <w:r>
        <w:t xml:space="preserve"> proposed</w:t>
      </w:r>
      <w:r w:rsidR="00F86F89">
        <w:t xml:space="preserve"> P</w:t>
      </w:r>
      <w:r w:rsidR="00E86519">
        <w:t xml:space="preserve">ersonal Support </w:t>
      </w:r>
      <w:r w:rsidR="00AA454F">
        <w:t>Payment would</w:t>
      </w:r>
      <w:r w:rsidR="00F86F89">
        <w:t xml:space="preserve"> have three tiers: </w:t>
      </w:r>
    </w:p>
    <w:p w14:paraId="59F259A3" w14:textId="2641725E" w:rsidR="00F86F89" w:rsidRPr="00316A7E" w:rsidRDefault="00F86F89" w:rsidP="00316A7E">
      <w:pPr>
        <w:pStyle w:val="ListParagraph"/>
        <w:numPr>
          <w:ilvl w:val="0"/>
          <w:numId w:val="68"/>
        </w:numPr>
        <w:rPr>
          <w:rFonts w:ascii="Gill Sans MT" w:hAnsi="Gill Sans MT"/>
          <w:sz w:val="26"/>
          <w:szCs w:val="26"/>
        </w:rPr>
      </w:pPr>
      <w:r w:rsidRPr="00316A7E">
        <w:rPr>
          <w:rFonts w:ascii="Gill Sans MT" w:hAnsi="Gill Sans MT"/>
          <w:sz w:val="26"/>
          <w:szCs w:val="26"/>
        </w:rPr>
        <w:t>Level 1: High support – Very low capacity to work (very unlikely to be able to take up any kind of paid employment for at least 2 years)</w:t>
      </w:r>
      <w:r w:rsidR="0017457F">
        <w:rPr>
          <w:rFonts w:ascii="Gill Sans MT" w:hAnsi="Gill Sans MT"/>
          <w:sz w:val="26"/>
          <w:szCs w:val="26"/>
        </w:rPr>
        <w:t>;</w:t>
      </w:r>
      <w:r w:rsidRPr="00316A7E">
        <w:rPr>
          <w:rFonts w:ascii="Gill Sans MT" w:hAnsi="Gill Sans MT"/>
          <w:sz w:val="26"/>
          <w:szCs w:val="26"/>
        </w:rPr>
        <w:t xml:space="preserve"> </w:t>
      </w:r>
    </w:p>
    <w:p w14:paraId="41659CCE" w14:textId="793724D4" w:rsidR="00F86F89" w:rsidRPr="00316A7E" w:rsidRDefault="00F86F89" w:rsidP="00316A7E">
      <w:pPr>
        <w:pStyle w:val="ListParagraph"/>
        <w:numPr>
          <w:ilvl w:val="0"/>
          <w:numId w:val="68"/>
        </w:numPr>
        <w:rPr>
          <w:rFonts w:ascii="Gill Sans MT" w:hAnsi="Gill Sans MT"/>
          <w:sz w:val="26"/>
          <w:szCs w:val="26"/>
        </w:rPr>
      </w:pPr>
      <w:r w:rsidRPr="00316A7E">
        <w:rPr>
          <w:rFonts w:ascii="Gill Sans MT" w:hAnsi="Gill Sans MT"/>
          <w:sz w:val="26"/>
          <w:szCs w:val="26"/>
        </w:rPr>
        <w:t>Level 2: Medium support – Low to moderate capacity to work (a disability that is expected to limit capacity to work for at least 24 months but may allow some limited types and durations of work)</w:t>
      </w:r>
      <w:r w:rsidR="0017457F">
        <w:rPr>
          <w:rFonts w:ascii="Gill Sans MT" w:hAnsi="Gill Sans MT"/>
          <w:sz w:val="26"/>
          <w:szCs w:val="26"/>
        </w:rPr>
        <w:t>; and</w:t>
      </w:r>
      <w:r w:rsidRPr="00316A7E">
        <w:rPr>
          <w:rFonts w:ascii="Gill Sans MT" w:hAnsi="Gill Sans MT"/>
          <w:sz w:val="26"/>
          <w:szCs w:val="26"/>
        </w:rPr>
        <w:t xml:space="preserve"> </w:t>
      </w:r>
    </w:p>
    <w:p w14:paraId="723D5576" w14:textId="2F2731C9" w:rsidR="00F86F89" w:rsidRPr="00316A7E" w:rsidRDefault="00F86F89" w:rsidP="00316A7E">
      <w:pPr>
        <w:pStyle w:val="ListParagraph"/>
        <w:numPr>
          <w:ilvl w:val="0"/>
          <w:numId w:val="68"/>
        </w:numPr>
        <w:rPr>
          <w:rFonts w:ascii="Gill Sans MT" w:hAnsi="Gill Sans MT"/>
          <w:sz w:val="26"/>
          <w:szCs w:val="26"/>
        </w:rPr>
      </w:pPr>
      <w:r w:rsidRPr="00316A7E">
        <w:rPr>
          <w:rFonts w:ascii="Gill Sans MT" w:hAnsi="Gill Sans MT"/>
          <w:sz w:val="26"/>
          <w:szCs w:val="26"/>
        </w:rPr>
        <w:t>Level 3: Low support – Moderate to high capacity to work (incapable of the type of type of work they were doing before acquiring their disability but capable of taking up other forms of employment and to do many types of work activity).</w:t>
      </w:r>
    </w:p>
    <w:p w14:paraId="6BFA7E72" w14:textId="2BD71EAC" w:rsidR="00F86F89" w:rsidRDefault="00F86F89" w:rsidP="00623A7E">
      <w:r>
        <w:t>The NDA understood that the Green Paper was a series of proposals or suggestions to ‘encourage a focused debate around key design issues to reform disability payments in Ireland.</w:t>
      </w:r>
      <w:r w:rsidR="00316A7E">
        <w:t>’</w:t>
      </w:r>
      <w:r>
        <w:t xml:space="preserve"> However</w:t>
      </w:r>
      <w:r w:rsidR="00867368">
        <w:t>,</w:t>
      </w:r>
      <w:r>
        <w:t xml:space="preserve"> the considerable gaps in </w:t>
      </w:r>
      <w:r w:rsidR="00316A7E">
        <w:t xml:space="preserve">information about </w:t>
      </w:r>
      <w:r>
        <w:t>how this new system would work caused significant un</w:t>
      </w:r>
      <w:r w:rsidR="00782DB1">
        <w:t xml:space="preserve">ease </w:t>
      </w:r>
      <w:r w:rsidR="006A18B4">
        <w:t>among</w:t>
      </w:r>
      <w:r>
        <w:t xml:space="preserve"> disabled people. While the simplification of payment schemes</w:t>
      </w:r>
      <w:r w:rsidR="00316A7E">
        <w:t xml:space="preserve"> and supporting people to </w:t>
      </w:r>
      <w:r w:rsidR="00316A7E">
        <w:lastRenderedPageBreak/>
        <w:t>work</w:t>
      </w:r>
      <w:r>
        <w:t xml:space="preserve"> is worthwhile</w:t>
      </w:r>
      <w:r w:rsidR="00316A7E">
        <w:t>,</w:t>
      </w:r>
      <w:r>
        <w:t xml:space="preserve"> the proposals did not</w:t>
      </w:r>
      <w:r w:rsidR="007C721D">
        <w:t xml:space="preserve"> adequately</w:t>
      </w:r>
      <w:r>
        <w:t xml:space="preserve"> address the extra costs of disability and the proposition of a work capacity assessment linked to a </w:t>
      </w:r>
      <w:r w:rsidR="00034F00">
        <w:t>payment level</w:t>
      </w:r>
      <w:r w:rsidR="006A18B4">
        <w:t xml:space="preserve"> was unpalatable for many</w:t>
      </w:r>
      <w:r>
        <w:t xml:space="preserve">. </w:t>
      </w:r>
      <w:r w:rsidR="00331440">
        <w:t>The</w:t>
      </w:r>
      <w:r>
        <w:t xml:space="preserve"> NDA recommended that the</w:t>
      </w:r>
      <w:r w:rsidR="00331440">
        <w:t>se</w:t>
      </w:r>
      <w:r>
        <w:t xml:space="preserve"> proposals </w:t>
      </w:r>
      <w:r w:rsidR="00331440">
        <w:t>would</w:t>
      </w:r>
      <w:r>
        <w:t xml:space="preserve"> have </w:t>
      </w:r>
      <w:r w:rsidR="00331440">
        <w:t xml:space="preserve">benefited from </w:t>
      </w:r>
      <w:r>
        <w:t>follow</w:t>
      </w:r>
      <w:r w:rsidR="00331440">
        <w:t>ing</w:t>
      </w:r>
      <w:r>
        <w:t xml:space="preserve"> a </w:t>
      </w:r>
      <w:r w:rsidR="00C76191" w:rsidRPr="00034D95">
        <w:rPr>
          <w:szCs w:val="26"/>
        </w:rPr>
        <w:t>United Nations Convention on the Rights of Persons with Disabilities</w:t>
      </w:r>
      <w:r w:rsidR="00C76191">
        <w:t xml:space="preserve"> (</w:t>
      </w:r>
      <w:r>
        <w:t>UNCRPD</w:t>
      </w:r>
      <w:r w:rsidR="00C76191">
        <w:t>)</w:t>
      </w:r>
      <w:r>
        <w:t xml:space="preserve"> approach </w:t>
      </w:r>
      <w:r w:rsidR="00316A7E">
        <w:t>that</w:t>
      </w:r>
      <w:r>
        <w:t xml:space="preserve"> actively involved DPO’s in both the design and communications regarding the proposals.</w:t>
      </w:r>
      <w:r w:rsidR="00C70F2A">
        <w:t xml:space="preserve"> It is important to note that this paper was withdrawn in 2024</w:t>
      </w:r>
      <w:r w:rsidR="00316A7E">
        <w:t xml:space="preserve"> and the NDA encourage that the learnings from the submissions </w:t>
      </w:r>
      <w:r w:rsidR="00867368">
        <w:t>received,</w:t>
      </w:r>
      <w:r w:rsidR="00316A7E">
        <w:t xml:space="preserve"> and consultations conducted are used to inform future reforms</w:t>
      </w:r>
      <w:r w:rsidR="00C70F2A">
        <w:t>.</w:t>
      </w:r>
      <w:r w:rsidR="00034F00">
        <w:t xml:space="preserve"> </w:t>
      </w:r>
    </w:p>
    <w:p w14:paraId="797EFA05" w14:textId="7A08A6FD" w:rsidR="001B675D" w:rsidRDefault="001B675D" w:rsidP="001B675D">
      <w:pPr>
        <w:pStyle w:val="Heading1"/>
      </w:pPr>
      <w:bookmarkStart w:id="17" w:name="_Toc170203433"/>
      <w:r>
        <w:t>Key Developments during 2023</w:t>
      </w:r>
      <w:bookmarkEnd w:id="17"/>
    </w:p>
    <w:p w14:paraId="4050101B" w14:textId="5B010D6F" w:rsidR="00ED06E1" w:rsidRDefault="00C12006" w:rsidP="00017BEF">
      <w:pPr>
        <w:shd w:val="clear" w:color="auto" w:fill="FFFFFF"/>
        <w:spacing w:after="120"/>
      </w:pPr>
      <w:r>
        <w:t xml:space="preserve">This section contains activity directly related to the CES </w:t>
      </w:r>
      <w:r w:rsidR="00836C17">
        <w:t xml:space="preserve">six </w:t>
      </w:r>
      <w:r>
        <w:t>pillars.</w:t>
      </w:r>
      <w:bookmarkStart w:id="18" w:name="_Toc96521878"/>
      <w:r w:rsidR="00017BEF">
        <w:t xml:space="preserve"> </w:t>
      </w:r>
      <w:r w:rsidR="00A80318">
        <w:t xml:space="preserve">The </w:t>
      </w:r>
      <w:r w:rsidR="00820927">
        <w:t>original CES</w:t>
      </w:r>
      <w:r w:rsidR="00A80318">
        <w:t xml:space="preserve"> strategy </w:t>
      </w:r>
      <w:r w:rsidR="00E1009A">
        <w:t>advocated</w:t>
      </w:r>
      <w:r w:rsidR="00A80318">
        <w:t xml:space="preserve"> </w:t>
      </w:r>
      <w:r w:rsidR="00E1009A">
        <w:t>‘</w:t>
      </w:r>
      <w:r w:rsidR="00A80318" w:rsidRPr="00552EB3">
        <w:t>a cross-government approach that brings together actions by different Departments and state agencies in a concerted effort to address the barriers and challenges that impact on employment of people with disabilities. In tandem with that, it seeks to ensure there will be joined-up services and supports at local level to support individuals on their journey into and in employment</w:t>
      </w:r>
      <w:r w:rsidR="00A80318">
        <w:t>’</w:t>
      </w:r>
      <w:r w:rsidR="00E1009A">
        <w:t>. These elements of the strategy are still relevant as the following assessment will outline.</w:t>
      </w:r>
    </w:p>
    <w:p w14:paraId="3850F180" w14:textId="74AE4C0D" w:rsidR="0083747C" w:rsidRPr="000258CB" w:rsidRDefault="005B288A" w:rsidP="000258CB">
      <w:pPr>
        <w:pStyle w:val="Heading2"/>
      </w:pPr>
      <w:bookmarkStart w:id="19" w:name="_Toc130474358"/>
      <w:bookmarkStart w:id="20" w:name="_Toc170203434"/>
      <w:r w:rsidRPr="000258CB">
        <w:t>S</w:t>
      </w:r>
      <w:r w:rsidR="00017BEF">
        <w:t xml:space="preserve">trategic </w:t>
      </w:r>
      <w:r w:rsidRPr="000258CB">
        <w:t>P</w:t>
      </w:r>
      <w:r w:rsidR="00017BEF">
        <w:t>riority</w:t>
      </w:r>
      <w:r w:rsidRPr="000258CB">
        <w:t>1</w:t>
      </w:r>
      <w:r w:rsidR="00017BEF">
        <w:t>:</w:t>
      </w:r>
      <w:r w:rsidRPr="000258CB">
        <w:t xml:space="preserve"> Build skills, </w:t>
      </w:r>
      <w:proofErr w:type="gramStart"/>
      <w:r w:rsidRPr="000258CB">
        <w:t>capacity</w:t>
      </w:r>
      <w:proofErr w:type="gramEnd"/>
      <w:r w:rsidRPr="000258CB">
        <w:t xml:space="preserve"> and independence</w:t>
      </w:r>
      <w:bookmarkEnd w:id="18"/>
      <w:bookmarkEnd w:id="19"/>
      <w:bookmarkEnd w:id="20"/>
      <w:r w:rsidR="00A94B0A" w:rsidRPr="000258CB">
        <w:t xml:space="preserve"> </w:t>
      </w:r>
    </w:p>
    <w:p w14:paraId="144D920C" w14:textId="4DBD7539" w:rsidR="001E7BD2" w:rsidRDefault="000258CB" w:rsidP="001E7BD2">
      <w:r>
        <w:t>Under this strategic priority a</w:t>
      </w:r>
      <w:r w:rsidR="00E1009A">
        <w:t xml:space="preserve">ctions </w:t>
      </w:r>
      <w:r w:rsidR="001E7BD2" w:rsidRPr="0067217F">
        <w:t>to improve education, raise expectations, and expose post-primary students with disabilities to work opportunities</w:t>
      </w:r>
      <w:r w:rsidR="00F83508">
        <w:t xml:space="preserve"> were progressed during 202</w:t>
      </w:r>
      <w:r>
        <w:t>3</w:t>
      </w:r>
      <w:r w:rsidR="00F83508">
        <w:t xml:space="preserve"> </w:t>
      </w:r>
      <w:r w:rsidR="00FE13A5">
        <w:t>through</w:t>
      </w:r>
      <w:r w:rsidR="00F83508">
        <w:t xml:space="preserve"> the initiatives</w:t>
      </w:r>
      <w:r w:rsidR="00017BEF">
        <w:t xml:space="preserve"> outlined below.</w:t>
      </w:r>
    </w:p>
    <w:p w14:paraId="233D19BC" w14:textId="0E2D2ADF" w:rsidR="007B47DE" w:rsidRPr="00316A7E" w:rsidRDefault="00961595" w:rsidP="00316A7E">
      <w:pPr>
        <w:pStyle w:val="Heading3"/>
      </w:pPr>
      <w:bookmarkStart w:id="21" w:name="_Toc170203435"/>
      <w:r>
        <w:t>Transitions</w:t>
      </w:r>
      <w:bookmarkEnd w:id="21"/>
    </w:p>
    <w:p w14:paraId="6C3C7834" w14:textId="7D0FB146" w:rsidR="007B47DE" w:rsidRPr="007B47DE" w:rsidRDefault="00017BEF" w:rsidP="007B47DE">
      <w:pPr>
        <w:rPr>
          <w:sz w:val="22"/>
          <w:szCs w:val="22"/>
          <w:lang w:val="en-GB" w:eastAsia="en-GB"/>
        </w:rPr>
      </w:pPr>
      <w:r>
        <w:t>The Department of Education (DoE)</w:t>
      </w:r>
      <w:r w:rsidR="007B47DE" w:rsidRPr="007B47DE">
        <w:t xml:space="preserve"> </w:t>
      </w:r>
      <w:r>
        <w:t>are</w:t>
      </w:r>
      <w:r w:rsidR="007B47DE" w:rsidRPr="007B47DE">
        <w:t xml:space="preserve"> operating a CES Transitions Pilot Programme.</w:t>
      </w:r>
      <w:r w:rsidR="00867368">
        <w:t xml:space="preserve"> </w:t>
      </w:r>
      <w:r w:rsidR="007B47DE" w:rsidRPr="007B47DE">
        <w:t>The pilot project, which is currently running in 20 schools (10 in Dublin/10 in Galway) since late 2022, provides an opportunity for Education and other key stakeholders to work together to provide wraparound support</w:t>
      </w:r>
      <w:r>
        <w:t>s</w:t>
      </w:r>
      <w:r w:rsidR="007B47DE" w:rsidRPr="007B47DE">
        <w:t xml:space="preserve"> and joined up thinking</w:t>
      </w:r>
      <w:r>
        <w:t xml:space="preserve">. </w:t>
      </w:r>
      <w:r w:rsidRPr="007B47DE">
        <w:t xml:space="preserve">The target group are young people with intellectual disabilities or complex educational needs in our post-primary and special schools. </w:t>
      </w:r>
      <w:r>
        <w:t>The programme aims to</w:t>
      </w:r>
      <w:r w:rsidR="007B47DE" w:rsidRPr="007B47DE">
        <w:t xml:space="preserve"> builds capacity in schools to meet the transition needs of young people thus preparing them for greater independence and participation in society after school.</w:t>
      </w:r>
    </w:p>
    <w:p w14:paraId="2B4635EB" w14:textId="3E89B788" w:rsidR="007B47DE" w:rsidRPr="007B47DE" w:rsidRDefault="007B47DE" w:rsidP="007B47DE">
      <w:r w:rsidRPr="007B47DE">
        <w:t xml:space="preserve">The work is overseen by the National Council for Special Education. </w:t>
      </w:r>
      <w:r w:rsidR="00017BEF">
        <w:t>The progress of the target young people</w:t>
      </w:r>
      <w:r w:rsidRPr="007B47DE">
        <w:t xml:space="preserve"> is being tracked over 2.5 to 3 years starting initially with students who are aged 16 in special school settings and those in 5th year in post-primary schools. These students have access to supports over the two-year timespan that they are in school, </w:t>
      </w:r>
      <w:proofErr w:type="gramStart"/>
      <w:r w:rsidRPr="007B47DE">
        <w:t>and also</w:t>
      </w:r>
      <w:proofErr w:type="gramEnd"/>
      <w:r w:rsidRPr="007B47DE">
        <w:t xml:space="preserve"> in the </w:t>
      </w:r>
      <w:r w:rsidR="00867368" w:rsidRPr="007B47DE">
        <w:t>6-to-9-month</w:t>
      </w:r>
      <w:r w:rsidRPr="007B47DE">
        <w:t xml:space="preserve"> period </w:t>
      </w:r>
      <w:r w:rsidRPr="007B47DE">
        <w:lastRenderedPageBreak/>
        <w:t xml:space="preserve">post school in whatever pathway they choose. </w:t>
      </w:r>
      <w:r w:rsidR="00017BEF">
        <w:t>The first tranch</w:t>
      </w:r>
      <w:r w:rsidR="00867368">
        <w:t>e</w:t>
      </w:r>
      <w:r w:rsidR="00017BEF">
        <w:t xml:space="preserve"> of students will be exiting school during 2024. </w:t>
      </w:r>
    </w:p>
    <w:p w14:paraId="48296BE7" w14:textId="4BEBC401" w:rsidR="00EF76DB" w:rsidRDefault="00EF76DB" w:rsidP="00EF76DB">
      <w:pPr>
        <w:rPr>
          <w:rFonts w:ascii="Times New Roman" w:hAnsi="Times New Roman"/>
          <w:sz w:val="24"/>
        </w:rPr>
      </w:pPr>
      <w:r w:rsidRPr="00EF76DB">
        <w:rPr>
          <w:szCs w:val="26"/>
        </w:rPr>
        <w:t xml:space="preserve">The </w:t>
      </w:r>
      <w:r w:rsidR="007B47DE">
        <w:rPr>
          <w:szCs w:val="26"/>
        </w:rPr>
        <w:t>NDA advi</w:t>
      </w:r>
      <w:r w:rsidR="00017BEF">
        <w:rPr>
          <w:szCs w:val="26"/>
        </w:rPr>
        <w:t>se</w:t>
      </w:r>
      <w:r w:rsidR="007B47DE">
        <w:rPr>
          <w:szCs w:val="26"/>
        </w:rPr>
        <w:t xml:space="preserve"> that the </w:t>
      </w:r>
      <w:r w:rsidR="00EE0650">
        <w:rPr>
          <w:szCs w:val="26"/>
        </w:rPr>
        <w:t>learnings from this programme</w:t>
      </w:r>
      <w:r w:rsidR="00124E18">
        <w:rPr>
          <w:szCs w:val="26"/>
        </w:rPr>
        <w:t xml:space="preserve"> will</w:t>
      </w:r>
      <w:r w:rsidR="00EE0650">
        <w:rPr>
          <w:szCs w:val="26"/>
        </w:rPr>
        <w:t xml:space="preserve"> inform </w:t>
      </w:r>
      <w:r w:rsidR="007B47DE">
        <w:rPr>
          <w:szCs w:val="26"/>
        </w:rPr>
        <w:t>a national roll out</w:t>
      </w:r>
      <w:r w:rsidR="00EE0650">
        <w:rPr>
          <w:szCs w:val="26"/>
        </w:rPr>
        <w:t xml:space="preserve"> so that disabled students can be supported to</w:t>
      </w:r>
      <w:r w:rsidRPr="00EF76DB">
        <w:rPr>
          <w:szCs w:val="26"/>
        </w:rPr>
        <w:t xml:space="preserve"> transition to the post-school option</w:t>
      </w:r>
      <w:r w:rsidR="00EE0650">
        <w:rPr>
          <w:szCs w:val="26"/>
        </w:rPr>
        <w:t>s</w:t>
      </w:r>
      <w:r w:rsidRPr="00EF76DB">
        <w:rPr>
          <w:szCs w:val="26"/>
        </w:rPr>
        <w:t xml:space="preserve"> which suits them </w:t>
      </w:r>
      <w:r w:rsidR="004C4FAE" w:rsidRPr="00EF76DB">
        <w:rPr>
          <w:szCs w:val="26"/>
        </w:rPr>
        <w:t>best</w:t>
      </w:r>
      <w:r w:rsidRPr="00EF76DB">
        <w:rPr>
          <w:szCs w:val="26"/>
        </w:rPr>
        <w:t>.</w:t>
      </w:r>
    </w:p>
    <w:p w14:paraId="6735A52F" w14:textId="0F8A78A3" w:rsidR="005B616D" w:rsidRDefault="004C4FAE" w:rsidP="00961595">
      <w:r>
        <w:rPr>
          <w:szCs w:val="26"/>
        </w:rPr>
        <w:t>The</w:t>
      </w:r>
      <w:r w:rsidR="00961595" w:rsidRPr="00435B65">
        <w:rPr>
          <w:szCs w:val="26"/>
        </w:rPr>
        <w:t xml:space="preserve"> </w:t>
      </w:r>
      <w:r w:rsidR="00EE0650">
        <w:t>DoE</w:t>
      </w:r>
      <w:r>
        <w:t xml:space="preserve"> </w:t>
      </w:r>
      <w:r>
        <w:rPr>
          <w:szCs w:val="26"/>
        </w:rPr>
        <w:t>are</w:t>
      </w:r>
      <w:r w:rsidR="00961595" w:rsidRPr="00435B65">
        <w:rPr>
          <w:szCs w:val="26"/>
        </w:rPr>
        <w:t xml:space="preserve"> also leading on a second ‘transitions’ pilot programme, </w:t>
      </w:r>
      <w:r w:rsidR="00EE0650">
        <w:rPr>
          <w:szCs w:val="26"/>
        </w:rPr>
        <w:t>funded with</w:t>
      </w:r>
      <w:r w:rsidR="00435B65">
        <w:rPr>
          <w:szCs w:val="26"/>
        </w:rPr>
        <w:t xml:space="preserve"> </w:t>
      </w:r>
      <w:r w:rsidR="00961595" w:rsidRPr="00435B65">
        <w:rPr>
          <w:szCs w:val="26"/>
        </w:rPr>
        <w:t>Dormant Account Fund</w:t>
      </w:r>
      <w:r w:rsidR="00435B65">
        <w:rPr>
          <w:szCs w:val="26"/>
        </w:rPr>
        <w:t>s.</w:t>
      </w:r>
      <w:r w:rsidR="00961595" w:rsidRPr="00435B65">
        <w:rPr>
          <w:szCs w:val="26"/>
        </w:rPr>
        <w:t xml:space="preserve"> </w:t>
      </w:r>
      <w:r w:rsidR="00EE0650">
        <w:rPr>
          <w:szCs w:val="26"/>
        </w:rPr>
        <w:t>DoE have partnered with the</w:t>
      </w:r>
      <w:r w:rsidR="00D32E30">
        <w:t xml:space="preserve"> </w:t>
      </w:r>
      <w:r w:rsidR="005B616D">
        <w:t>Walkinstown Association for People with an Intellectual Disability (WALK), an NGO experienced in this area</w:t>
      </w:r>
      <w:r w:rsidR="005E712C">
        <w:t>. WALK</w:t>
      </w:r>
      <w:r w:rsidR="005B616D">
        <w:t xml:space="preserve"> </w:t>
      </w:r>
      <w:r w:rsidR="00D36481">
        <w:t>is</w:t>
      </w:r>
      <w:r w:rsidR="00124E18">
        <w:t xml:space="preserve"> </w:t>
      </w:r>
      <w:r w:rsidR="005B616D">
        <w:t xml:space="preserve">delivering their existing Peer Ability programme in 10 schools based in Louth, Dublin, Westmeath, Cavan, and Cork The programme is designed to support young people over a period of five years, both </w:t>
      </w:r>
      <w:r w:rsidR="00D32E30">
        <w:t>in school</w:t>
      </w:r>
      <w:r w:rsidR="005B616D">
        <w:t xml:space="preserve"> and post transition to mainstream opportunities. Each partner school facilitates a WALK careers and employment facilitator (one per school) to engage with students and their parents and collaborate with teachers in complementary activities such as mini-companies, work experiences and transition planning. The partnership operates as an ‘open collaboration’ with on-going communication between the school staff and WALK project staff in support of the students. Formal meetings are held in line with the Memorandum of Understanding (signed by each of the participating schools) which outlines terms of the partnership. The project is primarily focused on the student’s career aspirations and dreams</w:t>
      </w:r>
      <w:r w:rsidR="00EE0650">
        <w:t xml:space="preserve"> and </w:t>
      </w:r>
      <w:r w:rsidR="005B616D">
        <w:t>facilitates them in experiencing the world of work in the open labour market and sustains transitions to mainstream post-school pathways to employment.</w:t>
      </w:r>
    </w:p>
    <w:p w14:paraId="1B791A2F" w14:textId="0C088B94" w:rsidR="007A1784" w:rsidRPr="00316A7E" w:rsidRDefault="005E712C" w:rsidP="00B706EE">
      <w:r>
        <w:t>The NDA advi</w:t>
      </w:r>
      <w:r w:rsidR="00EE0650">
        <w:t>s</w:t>
      </w:r>
      <w:r>
        <w:t xml:space="preserve">e that transitions programmes need to be inclusive and delivered across secondary and special education provision. These </w:t>
      </w:r>
      <w:r w:rsidR="007C721D">
        <w:t xml:space="preserve">pilot </w:t>
      </w:r>
      <w:r>
        <w:t xml:space="preserve">programmes need to be </w:t>
      </w:r>
      <w:r w:rsidR="007C721D">
        <w:t xml:space="preserve">scaled up and </w:t>
      </w:r>
      <w:r>
        <w:t>available as a mainstream aspect of education and should be linked to provision of career guidance and transition year</w:t>
      </w:r>
      <w:r w:rsidR="00EE0650">
        <w:t xml:space="preserve"> </w:t>
      </w:r>
      <w:r w:rsidR="00867368">
        <w:t>experiences</w:t>
      </w:r>
      <w:r>
        <w:t>.</w:t>
      </w:r>
    </w:p>
    <w:p w14:paraId="6A8F2296" w14:textId="7B12B231" w:rsidR="008A105E" w:rsidRPr="008A105E" w:rsidRDefault="008A105E" w:rsidP="007928FE">
      <w:pPr>
        <w:pStyle w:val="Heading3"/>
      </w:pPr>
      <w:bookmarkStart w:id="22" w:name="_Toc170203436"/>
      <w:r w:rsidRPr="008A105E">
        <w:t>Career Guidance</w:t>
      </w:r>
      <w:bookmarkEnd w:id="22"/>
    </w:p>
    <w:p w14:paraId="46F272C8" w14:textId="17A45F8E" w:rsidR="00CB0DF8" w:rsidRDefault="008A105E" w:rsidP="009C590B">
      <w:pPr>
        <w:shd w:val="clear" w:color="auto" w:fill="FFFFFF"/>
      </w:pPr>
      <w:r>
        <w:rPr>
          <w:color w:val="000000"/>
          <w:szCs w:val="26"/>
          <w:lang w:eastAsia="en-IE"/>
        </w:rPr>
        <w:t xml:space="preserve">The lack of a consistent approach to </w:t>
      </w:r>
      <w:r w:rsidR="00F53244">
        <w:rPr>
          <w:color w:val="000000"/>
          <w:szCs w:val="26"/>
          <w:lang w:eastAsia="en-IE"/>
        </w:rPr>
        <w:t xml:space="preserve">the </w:t>
      </w:r>
      <w:r>
        <w:rPr>
          <w:color w:val="000000"/>
          <w:szCs w:val="26"/>
          <w:lang w:eastAsia="en-IE"/>
        </w:rPr>
        <w:t xml:space="preserve">provision of career guidance has been identified in both research and through consultation with disabled people. The original CES described actions to improve </w:t>
      </w:r>
      <w:r w:rsidR="00F53244">
        <w:rPr>
          <w:color w:val="000000"/>
          <w:szCs w:val="26"/>
          <w:lang w:eastAsia="en-IE"/>
        </w:rPr>
        <w:t>career guidance provision including commencing</w:t>
      </w:r>
      <w:r w:rsidR="004E2F5D">
        <w:rPr>
          <w:color w:val="000000"/>
          <w:szCs w:val="26"/>
          <w:lang w:eastAsia="en-IE"/>
        </w:rPr>
        <w:t xml:space="preserve"> the </w:t>
      </w:r>
      <w:r w:rsidR="006C1AB5">
        <w:rPr>
          <w:color w:val="000000"/>
          <w:szCs w:val="26"/>
          <w:lang w:eastAsia="en-IE"/>
        </w:rPr>
        <w:t>conversation</w:t>
      </w:r>
      <w:r w:rsidR="004E2F5D">
        <w:rPr>
          <w:color w:val="000000"/>
          <w:szCs w:val="26"/>
          <w:lang w:eastAsia="en-IE"/>
        </w:rPr>
        <w:t xml:space="preserve"> about careers</w:t>
      </w:r>
      <w:r w:rsidR="00DA3D30">
        <w:rPr>
          <w:color w:val="000000"/>
          <w:szCs w:val="26"/>
          <w:lang w:eastAsia="en-IE"/>
        </w:rPr>
        <w:t xml:space="preserve"> as early as age 13.</w:t>
      </w:r>
      <w:r w:rsidR="004E2F5D">
        <w:rPr>
          <w:color w:val="000000"/>
          <w:szCs w:val="26"/>
          <w:lang w:eastAsia="en-IE"/>
        </w:rPr>
        <w:t xml:space="preserve"> </w:t>
      </w:r>
      <w:r w:rsidR="007C721D">
        <w:rPr>
          <w:color w:val="000000"/>
          <w:szCs w:val="26"/>
          <w:lang w:eastAsia="en-IE"/>
        </w:rPr>
        <w:t>While the Lifelong Guidance action plan is welcomed, there are critical elements career guidance that need to be implemented.</w:t>
      </w:r>
    </w:p>
    <w:p w14:paraId="00B1F188" w14:textId="635DEA34" w:rsidR="00CB0DF8" w:rsidRDefault="00CB0DF8" w:rsidP="00CB0DF8">
      <w:pPr>
        <w:shd w:val="clear" w:color="auto" w:fill="FFFFFF"/>
      </w:pPr>
      <w:r>
        <w:t>During 2023 the NDA issued a</w:t>
      </w:r>
      <w:r>
        <w:rPr>
          <w:rFonts w:eastAsia="SimSun"/>
        </w:rPr>
        <w:t xml:space="preserve"> policy advice paper to </w:t>
      </w:r>
      <w:r w:rsidR="00F53244">
        <w:rPr>
          <w:rFonts w:eastAsia="SimSun"/>
        </w:rPr>
        <w:t>DoE officia</w:t>
      </w:r>
      <w:r w:rsidR="00867368">
        <w:rPr>
          <w:rFonts w:eastAsia="SimSun"/>
        </w:rPr>
        <w:t>l</w:t>
      </w:r>
      <w:r w:rsidR="00F53244">
        <w:rPr>
          <w:rFonts w:eastAsia="SimSun"/>
        </w:rPr>
        <w:t>s</w:t>
      </w:r>
      <w:r>
        <w:rPr>
          <w:rFonts w:eastAsia="SimSun"/>
        </w:rPr>
        <w:t xml:space="preserve"> on the development of a career guidance approach that is inclusive of all learners with disabilities including those who are in special education and or </w:t>
      </w:r>
      <w:r w:rsidR="0017457F">
        <w:rPr>
          <w:rFonts w:eastAsia="SimSun"/>
        </w:rPr>
        <w:t xml:space="preserve">in a </w:t>
      </w:r>
      <w:r>
        <w:rPr>
          <w:rFonts w:eastAsia="SimSun"/>
        </w:rPr>
        <w:t xml:space="preserve">special class in mainstream school. The paper was informed by a </w:t>
      </w:r>
      <w:r>
        <w:t>literature</w:t>
      </w:r>
      <w:r w:rsidR="00786D11">
        <w:t xml:space="preserve"> review</w:t>
      </w:r>
      <w:r>
        <w:t xml:space="preserve"> that examined </w:t>
      </w:r>
      <w:r>
        <w:lastRenderedPageBreak/>
        <w:t>career guidance for learners with disabilities in second level education</w:t>
      </w:r>
      <w:r w:rsidR="002D2B2F">
        <w:t>.</w:t>
      </w:r>
      <w:r w:rsidR="00DA3D30">
        <w:rPr>
          <w:rStyle w:val="FootnoteReference"/>
        </w:rPr>
        <w:footnoteReference w:id="12"/>
      </w:r>
      <w:r>
        <w:t>. It was also informed by consultation with two groups of young disabled people who had recent experience of mainstream post-primary school, special classes within mainstream and of special education schooling.</w:t>
      </w:r>
      <w:r w:rsidRPr="009F23AC">
        <w:rPr>
          <w:rStyle w:val="FootnoteReference"/>
        </w:rPr>
        <w:t xml:space="preserve"> </w:t>
      </w:r>
      <w:r w:rsidR="00ED59E9">
        <w:t xml:space="preserve"> Wider stakeholder engagement through focus groups and roundtable discussions also informed the paper. </w:t>
      </w:r>
    </w:p>
    <w:p w14:paraId="02F264AD" w14:textId="2B70B252" w:rsidR="00ED59E9" w:rsidRPr="005A6AE7" w:rsidRDefault="00DA3D30" w:rsidP="00ED59E9">
      <w:r>
        <w:t>T</w:t>
      </w:r>
      <w:r w:rsidR="00ED59E9">
        <w:t xml:space="preserve">he NDA advised that the Departments and its officials </w:t>
      </w:r>
      <w:r w:rsidR="00ED59E9" w:rsidRPr="005A6AE7">
        <w:t>consider:</w:t>
      </w:r>
      <w:r w:rsidR="00ED59E9">
        <w:t xml:space="preserve"> </w:t>
      </w:r>
    </w:p>
    <w:p w14:paraId="280CF4ED" w14:textId="2BC95FC0" w:rsidR="00ED59E9" w:rsidRPr="005A6AE7" w:rsidRDefault="00ED59E9" w:rsidP="00ED59E9">
      <w:pPr>
        <w:pStyle w:val="ListBullet"/>
      </w:pPr>
      <w:r w:rsidRPr="005A6AE7">
        <w:t>Underpinning the guidance with UNCRPD principles</w:t>
      </w:r>
      <w:r w:rsidR="002D2B2F">
        <w:t>;</w:t>
      </w:r>
    </w:p>
    <w:p w14:paraId="141CE4CC" w14:textId="133D767D" w:rsidR="00ED59E9" w:rsidRPr="005A6AE7" w:rsidRDefault="00ED59E9" w:rsidP="00ED59E9">
      <w:pPr>
        <w:pStyle w:val="ListBullet"/>
      </w:pPr>
      <w:r w:rsidRPr="005A6AE7">
        <w:t>Establishing an oversight body specifically on Career Guidance in schools</w:t>
      </w:r>
      <w:r>
        <w:t xml:space="preserve"> that would have due regard to provision of guidance for learners with disabilities</w:t>
      </w:r>
      <w:r w:rsidR="002D2B2F">
        <w:t>;</w:t>
      </w:r>
    </w:p>
    <w:p w14:paraId="33820F2C" w14:textId="78B17018" w:rsidR="00ED59E9" w:rsidRPr="005A6AE7" w:rsidRDefault="002D2B2F" w:rsidP="00ED59E9">
      <w:pPr>
        <w:pStyle w:val="ListBullet"/>
      </w:pPr>
      <w:r>
        <w:t>Ensuring that learners with disabilities, including those in special sch</w:t>
      </w:r>
      <w:r w:rsidR="00867368">
        <w:t>o</w:t>
      </w:r>
      <w:r>
        <w:t>ols</w:t>
      </w:r>
      <w:r w:rsidR="00ED59E9" w:rsidRPr="005A6AE7">
        <w:t xml:space="preserve"> have equal access to career guidance, transition year, peer mentoring or work placements</w:t>
      </w:r>
      <w:r>
        <w:t>;</w:t>
      </w:r>
      <w:r w:rsidRPr="002D2B2F">
        <w:rPr>
          <w:rStyle w:val="FootnoteReference"/>
        </w:rPr>
        <w:t xml:space="preserve"> </w:t>
      </w:r>
      <w:r>
        <w:rPr>
          <w:rStyle w:val="FootnoteReference"/>
        </w:rPr>
        <w:footnoteReference w:id="13"/>
      </w:r>
    </w:p>
    <w:p w14:paraId="1F8CD325" w14:textId="771EF7FB" w:rsidR="00ED59E9" w:rsidRPr="005A6AE7" w:rsidRDefault="00A47AB6" w:rsidP="00ED59E9">
      <w:pPr>
        <w:pStyle w:val="ListBullet"/>
        <w:rPr>
          <w:szCs w:val="26"/>
        </w:rPr>
      </w:pPr>
      <w:r>
        <w:rPr>
          <w:rFonts w:cs="Arial Bold"/>
          <w:bCs/>
          <w:iCs/>
          <w:color w:val="000000"/>
          <w:szCs w:val="26"/>
        </w:rPr>
        <w:t>Introducing</w:t>
      </w:r>
      <w:r w:rsidRPr="005A6AE7">
        <w:rPr>
          <w:rFonts w:cs="Arial Bold"/>
          <w:bCs/>
          <w:iCs/>
          <w:color w:val="000000"/>
          <w:szCs w:val="26"/>
        </w:rPr>
        <w:t xml:space="preserve"> </w:t>
      </w:r>
      <w:r w:rsidR="00ED59E9">
        <w:rPr>
          <w:rFonts w:cs="Arial Bold"/>
          <w:bCs/>
          <w:iCs/>
          <w:color w:val="000000"/>
          <w:szCs w:val="26"/>
        </w:rPr>
        <w:t xml:space="preserve">a </w:t>
      </w:r>
      <w:r w:rsidR="00ED59E9" w:rsidRPr="005A6AE7">
        <w:rPr>
          <w:rFonts w:cs="Arial Bold"/>
          <w:bCs/>
          <w:iCs/>
          <w:color w:val="000000"/>
          <w:szCs w:val="26"/>
        </w:rPr>
        <w:t>Universal Design for Education approach</w:t>
      </w:r>
      <w:r w:rsidR="002D2B2F">
        <w:rPr>
          <w:rFonts w:cs="Arial Bold"/>
          <w:bCs/>
          <w:iCs/>
          <w:color w:val="000000"/>
          <w:szCs w:val="26"/>
        </w:rPr>
        <w:t>;</w:t>
      </w:r>
      <w:r w:rsidR="00ED59E9" w:rsidRPr="005A6AE7">
        <w:rPr>
          <w:rFonts w:cs="Arial Bold"/>
          <w:bCs/>
          <w:iCs/>
          <w:color w:val="000000"/>
          <w:szCs w:val="26"/>
        </w:rPr>
        <w:t xml:space="preserve"> </w:t>
      </w:r>
      <w:r w:rsidR="00867368">
        <w:rPr>
          <w:rFonts w:cs="Arial Bold"/>
          <w:bCs/>
          <w:iCs/>
          <w:color w:val="000000"/>
          <w:szCs w:val="26"/>
        </w:rPr>
        <w:t>and</w:t>
      </w:r>
    </w:p>
    <w:p w14:paraId="20FE2258" w14:textId="52C88743" w:rsidR="00DA3D30" w:rsidRDefault="00ED59E9" w:rsidP="00316A7E">
      <w:pPr>
        <w:pStyle w:val="ListBullet"/>
      </w:pPr>
      <w:r w:rsidRPr="005A6AE7">
        <w:rPr>
          <w:szCs w:val="26"/>
        </w:rPr>
        <w:t xml:space="preserve">Improving </w:t>
      </w:r>
      <w:r w:rsidRPr="005A6AE7">
        <w:t>policy integration and coordination between government departments and agencies</w:t>
      </w:r>
      <w:r w:rsidR="002D2B2F">
        <w:t>,</w:t>
      </w:r>
      <w:r w:rsidR="00A47AB6">
        <w:t xml:space="preserve"> for example,</w:t>
      </w:r>
      <w:r w:rsidR="002D2B2F">
        <w:t xml:space="preserve"> </w:t>
      </w:r>
      <w:r w:rsidRPr="005A6AE7">
        <w:t xml:space="preserve">within the context of planning and supporting transitions, better access to </w:t>
      </w:r>
      <w:proofErr w:type="spellStart"/>
      <w:r w:rsidRPr="005A6AE7">
        <w:t>Intreo</w:t>
      </w:r>
      <w:proofErr w:type="spellEnd"/>
      <w:r w:rsidRPr="005A6AE7">
        <w:t xml:space="preserve"> Public Employment Services, and a clear employment goals pathway.</w:t>
      </w:r>
    </w:p>
    <w:p w14:paraId="45B77679" w14:textId="1C678615" w:rsidR="009C590B" w:rsidRPr="001120DD" w:rsidRDefault="008A105E" w:rsidP="009C590B">
      <w:pPr>
        <w:shd w:val="clear" w:color="auto" w:fill="FFFFFF"/>
        <w:rPr>
          <w:color w:val="000000"/>
          <w:szCs w:val="26"/>
          <w:lang w:eastAsia="en-IE"/>
        </w:rPr>
      </w:pPr>
      <w:r>
        <w:t>The</w:t>
      </w:r>
      <w:r w:rsidR="009C590B" w:rsidRPr="001120DD">
        <w:rPr>
          <w:color w:val="000000"/>
          <w:szCs w:val="26"/>
          <w:lang w:eastAsia="en-IE"/>
        </w:rPr>
        <w:t xml:space="preserve"> publication of a </w:t>
      </w:r>
      <w:hyperlink r:id="rId9" w:history="1">
        <w:r w:rsidR="009C590B" w:rsidRPr="001120DD">
          <w:rPr>
            <w:szCs w:val="26"/>
            <w:lang w:eastAsia="en-IE"/>
          </w:rPr>
          <w:t>national strategy and action plan for lifelong guidance</w:t>
        </w:r>
        <w:r w:rsidR="00DA3D30">
          <w:rPr>
            <w:rStyle w:val="FootnoteReference"/>
            <w:szCs w:val="26"/>
            <w:lang w:eastAsia="en-IE"/>
          </w:rPr>
          <w:footnoteReference w:id="14"/>
        </w:r>
        <w:r w:rsidR="009C590B" w:rsidRPr="001120DD">
          <w:rPr>
            <w:szCs w:val="26"/>
            <w:lang w:eastAsia="en-IE"/>
          </w:rPr>
          <w:t xml:space="preserve"> in late 2023 </w:t>
        </w:r>
        <w:r>
          <w:rPr>
            <w:szCs w:val="26"/>
            <w:lang w:eastAsia="en-IE"/>
          </w:rPr>
          <w:t xml:space="preserve">addressed some </w:t>
        </w:r>
        <w:r w:rsidR="004E2F5D">
          <w:rPr>
            <w:szCs w:val="26"/>
            <w:lang w:eastAsia="en-IE"/>
          </w:rPr>
          <w:t xml:space="preserve">of these </w:t>
        </w:r>
        <w:r>
          <w:rPr>
            <w:szCs w:val="26"/>
            <w:lang w:eastAsia="en-IE"/>
          </w:rPr>
          <w:t>issues</w:t>
        </w:r>
        <w:r w:rsidR="004E2F5D">
          <w:rPr>
            <w:szCs w:val="26"/>
            <w:lang w:eastAsia="en-IE"/>
          </w:rPr>
          <w:t>, with actions</w:t>
        </w:r>
        <w:r w:rsidR="006D7B4C">
          <w:rPr>
            <w:szCs w:val="26"/>
            <w:lang w:eastAsia="en-IE"/>
          </w:rPr>
          <w:t xml:space="preserve"> </w:t>
        </w:r>
        <w:r w:rsidR="00DA3D30">
          <w:rPr>
            <w:szCs w:val="26"/>
            <w:lang w:eastAsia="en-IE"/>
          </w:rPr>
          <w:t>to</w:t>
        </w:r>
      </w:hyperlink>
      <w:r w:rsidR="00713B54">
        <w:rPr>
          <w:szCs w:val="26"/>
          <w:lang w:eastAsia="en-IE"/>
        </w:rPr>
        <w:t xml:space="preserve"> be implemented inclu</w:t>
      </w:r>
      <w:r w:rsidR="0017457F">
        <w:rPr>
          <w:szCs w:val="26"/>
          <w:lang w:eastAsia="en-IE"/>
        </w:rPr>
        <w:t>d</w:t>
      </w:r>
      <w:r w:rsidR="00713B54">
        <w:rPr>
          <w:szCs w:val="26"/>
          <w:lang w:eastAsia="en-IE"/>
        </w:rPr>
        <w:t>ing</w:t>
      </w:r>
      <w:r w:rsidR="002D2B2F">
        <w:rPr>
          <w:szCs w:val="26"/>
          <w:lang w:eastAsia="en-IE"/>
        </w:rPr>
        <w:t>:</w:t>
      </w:r>
    </w:p>
    <w:p w14:paraId="2A48E7E2" w14:textId="4E18898F" w:rsidR="009C590B" w:rsidRPr="001120DD" w:rsidRDefault="006C1AB5" w:rsidP="009C590B">
      <w:pPr>
        <w:numPr>
          <w:ilvl w:val="0"/>
          <w:numId w:val="52"/>
        </w:numPr>
        <w:shd w:val="clear" w:color="auto" w:fill="FFFFFF"/>
        <w:spacing w:before="100" w:beforeAutospacing="1" w:after="150"/>
        <w:ind w:hanging="225"/>
        <w:rPr>
          <w:color w:val="000000"/>
          <w:szCs w:val="26"/>
          <w:lang w:eastAsia="en-IE"/>
        </w:rPr>
      </w:pPr>
      <w:r>
        <w:rPr>
          <w:color w:val="000000"/>
          <w:szCs w:val="26"/>
          <w:lang w:eastAsia="en-IE"/>
        </w:rPr>
        <w:t>P</w:t>
      </w:r>
      <w:r w:rsidR="009C590B" w:rsidRPr="001120DD">
        <w:rPr>
          <w:color w:val="000000"/>
          <w:szCs w:val="26"/>
          <w:lang w:eastAsia="en-IE"/>
        </w:rPr>
        <w:t>rovid</w:t>
      </w:r>
      <w:r w:rsidR="009C590B">
        <w:rPr>
          <w:color w:val="000000"/>
          <w:szCs w:val="26"/>
          <w:lang w:eastAsia="en-IE"/>
        </w:rPr>
        <w:t>e</w:t>
      </w:r>
      <w:r w:rsidR="009C590B" w:rsidRPr="001120DD">
        <w:rPr>
          <w:color w:val="000000"/>
          <w:szCs w:val="26"/>
          <w:lang w:eastAsia="en-IE"/>
        </w:rPr>
        <w:t xml:space="preserve"> guidance delivered by appropriately trained professionals for students in the country’s 130 special schools</w:t>
      </w:r>
      <w:r w:rsidR="00713B54">
        <w:rPr>
          <w:color w:val="000000"/>
          <w:szCs w:val="26"/>
          <w:lang w:eastAsia="en-IE"/>
        </w:rPr>
        <w:t>;</w:t>
      </w:r>
    </w:p>
    <w:p w14:paraId="49F4A078" w14:textId="40E2C321" w:rsidR="009C590B" w:rsidRPr="001120DD" w:rsidRDefault="009C590B" w:rsidP="009C590B">
      <w:pPr>
        <w:numPr>
          <w:ilvl w:val="0"/>
          <w:numId w:val="52"/>
        </w:numPr>
        <w:shd w:val="clear" w:color="auto" w:fill="FFFFFF"/>
        <w:spacing w:before="100" w:beforeAutospacing="1" w:after="150"/>
        <w:ind w:hanging="225"/>
        <w:rPr>
          <w:color w:val="000000"/>
          <w:szCs w:val="26"/>
          <w:lang w:eastAsia="en-IE"/>
        </w:rPr>
      </w:pPr>
      <w:r>
        <w:rPr>
          <w:color w:val="000000"/>
          <w:szCs w:val="26"/>
          <w:lang w:eastAsia="en-IE"/>
        </w:rPr>
        <w:t>Establish</w:t>
      </w:r>
      <w:r w:rsidRPr="001120DD">
        <w:rPr>
          <w:color w:val="000000"/>
          <w:szCs w:val="26"/>
          <w:lang w:eastAsia="en-IE"/>
        </w:rPr>
        <w:t xml:space="preserve"> </w:t>
      </w:r>
      <w:proofErr w:type="gramStart"/>
      <w:r w:rsidRPr="001120DD">
        <w:rPr>
          <w:color w:val="000000"/>
          <w:szCs w:val="26"/>
          <w:lang w:eastAsia="en-IE"/>
        </w:rPr>
        <w:t>new short</w:t>
      </w:r>
      <w:proofErr w:type="gramEnd"/>
      <w:r w:rsidRPr="001120DD">
        <w:rPr>
          <w:color w:val="000000"/>
          <w:szCs w:val="26"/>
          <w:lang w:eastAsia="en-IE"/>
        </w:rPr>
        <w:t xml:space="preserve"> courses for Transition Year students to help them with work-experience and, career management skills</w:t>
      </w:r>
      <w:r w:rsidR="002D2B2F">
        <w:rPr>
          <w:color w:val="000000"/>
          <w:szCs w:val="26"/>
          <w:lang w:eastAsia="en-IE"/>
        </w:rPr>
        <w:t>;</w:t>
      </w:r>
    </w:p>
    <w:p w14:paraId="48BCED7D" w14:textId="1E621435" w:rsidR="009C590B" w:rsidRDefault="006C1AB5" w:rsidP="009C590B">
      <w:pPr>
        <w:numPr>
          <w:ilvl w:val="0"/>
          <w:numId w:val="52"/>
        </w:numPr>
        <w:shd w:val="clear" w:color="auto" w:fill="FFFFFF"/>
        <w:spacing w:before="100" w:beforeAutospacing="1" w:after="150"/>
        <w:ind w:hanging="225"/>
        <w:rPr>
          <w:color w:val="000000"/>
          <w:szCs w:val="26"/>
          <w:lang w:eastAsia="en-IE"/>
        </w:rPr>
      </w:pPr>
      <w:r>
        <w:rPr>
          <w:color w:val="000000"/>
          <w:szCs w:val="26"/>
          <w:lang w:eastAsia="en-IE"/>
        </w:rPr>
        <w:t>P</w:t>
      </w:r>
      <w:r w:rsidR="009C590B">
        <w:rPr>
          <w:color w:val="000000"/>
          <w:szCs w:val="26"/>
          <w:lang w:eastAsia="en-IE"/>
        </w:rPr>
        <w:t>rovide</w:t>
      </w:r>
      <w:r w:rsidR="009C590B" w:rsidRPr="001120DD">
        <w:rPr>
          <w:color w:val="000000"/>
          <w:szCs w:val="26"/>
          <w:lang w:eastAsia="en-IE"/>
        </w:rPr>
        <w:t xml:space="preserve"> more work-shadowing and work-experience placements for people with disabilities to improve their employment opportunities</w:t>
      </w:r>
      <w:r w:rsidR="002D2B2F">
        <w:rPr>
          <w:color w:val="000000"/>
          <w:szCs w:val="26"/>
          <w:lang w:eastAsia="en-IE"/>
        </w:rPr>
        <w:t xml:space="preserve">; </w:t>
      </w:r>
    </w:p>
    <w:p w14:paraId="6340705C" w14:textId="0209E5BC" w:rsidR="00713B54" w:rsidRPr="00713B54" w:rsidRDefault="00713B54" w:rsidP="009C590B">
      <w:pPr>
        <w:numPr>
          <w:ilvl w:val="0"/>
          <w:numId w:val="52"/>
        </w:numPr>
        <w:shd w:val="clear" w:color="auto" w:fill="FFFFFF"/>
        <w:spacing w:before="100" w:beforeAutospacing="1" w:after="150"/>
        <w:ind w:hanging="225"/>
        <w:rPr>
          <w:color w:val="000000"/>
          <w:szCs w:val="26"/>
          <w:lang w:eastAsia="en-IE"/>
        </w:rPr>
      </w:pPr>
      <w:r w:rsidRPr="00197AAE">
        <w:rPr>
          <w:rStyle w:val="cf01"/>
          <w:rFonts w:ascii="Gill Sans MT" w:hAnsi="Gill Sans MT"/>
          <w:sz w:val="26"/>
          <w:szCs w:val="26"/>
        </w:rPr>
        <w:t>Develop transition year micro-modules that support teaching and learning in areas such as career exploration and work experience;</w:t>
      </w:r>
      <w:r w:rsidR="0017457F">
        <w:rPr>
          <w:rStyle w:val="cf01"/>
          <w:rFonts w:ascii="Gill Sans MT" w:hAnsi="Gill Sans MT"/>
          <w:sz w:val="26"/>
          <w:szCs w:val="26"/>
        </w:rPr>
        <w:t xml:space="preserve"> and</w:t>
      </w:r>
    </w:p>
    <w:p w14:paraId="731A89A3" w14:textId="7945B89E" w:rsidR="009C590B" w:rsidRPr="00ED59E9" w:rsidRDefault="009C590B" w:rsidP="001E7BD2">
      <w:pPr>
        <w:numPr>
          <w:ilvl w:val="0"/>
          <w:numId w:val="52"/>
        </w:numPr>
        <w:shd w:val="clear" w:color="auto" w:fill="FFFFFF"/>
        <w:spacing w:before="100" w:beforeAutospacing="1"/>
        <w:ind w:hanging="225"/>
        <w:rPr>
          <w:color w:val="000000"/>
          <w:szCs w:val="26"/>
          <w:lang w:eastAsia="en-IE"/>
        </w:rPr>
      </w:pPr>
      <w:r>
        <w:rPr>
          <w:color w:val="000000"/>
          <w:szCs w:val="26"/>
          <w:lang w:eastAsia="en-IE"/>
        </w:rPr>
        <w:t>Run</w:t>
      </w:r>
      <w:r w:rsidRPr="001120DD">
        <w:rPr>
          <w:color w:val="000000"/>
          <w:szCs w:val="26"/>
          <w:lang w:eastAsia="en-IE"/>
        </w:rPr>
        <w:t xml:space="preserve"> more regional career fairs and workshops for students, </w:t>
      </w:r>
      <w:proofErr w:type="gramStart"/>
      <w:r w:rsidRPr="001120DD">
        <w:rPr>
          <w:color w:val="000000"/>
          <w:szCs w:val="26"/>
          <w:lang w:eastAsia="en-IE"/>
        </w:rPr>
        <w:t>parents</w:t>
      </w:r>
      <w:proofErr w:type="gramEnd"/>
      <w:r w:rsidRPr="001120DD">
        <w:rPr>
          <w:color w:val="000000"/>
          <w:szCs w:val="26"/>
          <w:lang w:eastAsia="en-IE"/>
        </w:rPr>
        <w:t xml:space="preserve"> and teachers</w:t>
      </w:r>
      <w:r w:rsidR="002D2B2F">
        <w:rPr>
          <w:color w:val="000000"/>
          <w:szCs w:val="26"/>
          <w:lang w:eastAsia="en-IE"/>
        </w:rPr>
        <w:t>.</w:t>
      </w:r>
    </w:p>
    <w:p w14:paraId="74B04EEE" w14:textId="1A0255C9" w:rsidR="00E96773" w:rsidRDefault="00E96773" w:rsidP="00E96773">
      <w:r>
        <w:lastRenderedPageBreak/>
        <w:t>There are actions set out in the plan which the NDA advise should be universally designed and informed by user testing, these include</w:t>
      </w:r>
      <w:r w:rsidR="00432719">
        <w:t>:</w:t>
      </w:r>
    </w:p>
    <w:p w14:paraId="2E78127D" w14:textId="33AE0641" w:rsidR="00E96773" w:rsidRPr="00197AAE" w:rsidRDefault="00E96773" w:rsidP="00432719">
      <w:pPr>
        <w:pStyle w:val="ListParagraph"/>
        <w:numPr>
          <w:ilvl w:val="0"/>
          <w:numId w:val="70"/>
        </w:numPr>
        <w:rPr>
          <w:rFonts w:ascii="Gill Sans MT" w:hAnsi="Gill Sans MT"/>
          <w:sz w:val="26"/>
          <w:szCs w:val="26"/>
        </w:rPr>
      </w:pPr>
      <w:r w:rsidRPr="00197AAE">
        <w:rPr>
          <w:rFonts w:ascii="Gill Sans MT" w:hAnsi="Gill Sans MT"/>
          <w:sz w:val="26"/>
          <w:szCs w:val="26"/>
        </w:rPr>
        <w:t xml:space="preserve">2.1 Develop mechanisms to generate greater public awareness, </w:t>
      </w:r>
      <w:proofErr w:type="gramStart"/>
      <w:r w:rsidRPr="00197AAE">
        <w:rPr>
          <w:rFonts w:ascii="Gill Sans MT" w:hAnsi="Gill Sans MT"/>
          <w:sz w:val="26"/>
          <w:szCs w:val="26"/>
        </w:rPr>
        <w:t>visibility</w:t>
      </w:r>
      <w:proofErr w:type="gramEnd"/>
      <w:r w:rsidRPr="00197AAE">
        <w:rPr>
          <w:rFonts w:ascii="Gill Sans MT" w:hAnsi="Gill Sans MT"/>
          <w:sz w:val="26"/>
          <w:szCs w:val="26"/>
        </w:rPr>
        <w:t xml:space="preserve"> and clarity of lifelong-guidance services in tertiary education and for the workforce generally, access routes and supports including, wherever practicable and appropriate and feasible, facilitating greater access and inclusion and championing a universal-design approach</w:t>
      </w:r>
      <w:r w:rsidR="0017457F">
        <w:rPr>
          <w:rFonts w:ascii="Gill Sans MT" w:hAnsi="Gill Sans MT"/>
          <w:sz w:val="26"/>
          <w:szCs w:val="26"/>
        </w:rPr>
        <w:t>;</w:t>
      </w:r>
    </w:p>
    <w:p w14:paraId="35128DDD" w14:textId="3632ACA7" w:rsidR="00E96773" w:rsidRPr="005E1E82" w:rsidRDefault="00E96773" w:rsidP="00197AAE">
      <w:pPr>
        <w:pStyle w:val="ListParagraph"/>
        <w:numPr>
          <w:ilvl w:val="0"/>
          <w:numId w:val="70"/>
        </w:numPr>
        <w:rPr>
          <w:szCs w:val="26"/>
        </w:rPr>
      </w:pPr>
      <w:r w:rsidRPr="00197AAE">
        <w:rPr>
          <w:rFonts w:ascii="Gill Sans MT" w:hAnsi="Gill Sans MT"/>
          <w:sz w:val="26"/>
          <w:szCs w:val="26"/>
        </w:rPr>
        <w:t>2.2 Advance work on the establishment of a careers-information portal to provide access to careers information and proactively engage users in an accessible format</w:t>
      </w:r>
      <w:r w:rsidR="0017457F">
        <w:rPr>
          <w:rFonts w:ascii="Gill Sans MT" w:hAnsi="Gill Sans MT"/>
          <w:sz w:val="26"/>
          <w:szCs w:val="26"/>
        </w:rPr>
        <w:t>;</w:t>
      </w:r>
      <w:r w:rsidRPr="00197AAE">
        <w:rPr>
          <w:rFonts w:ascii="Gill Sans MT" w:hAnsi="Gill Sans MT"/>
          <w:sz w:val="26"/>
          <w:szCs w:val="26"/>
        </w:rPr>
        <w:t xml:space="preserve"> </w:t>
      </w:r>
    </w:p>
    <w:p w14:paraId="6B8CDEB1" w14:textId="51164F9E" w:rsidR="00432719" w:rsidRPr="005E1E82" w:rsidRDefault="00E96773" w:rsidP="00197AAE">
      <w:pPr>
        <w:pStyle w:val="ListParagraph"/>
        <w:numPr>
          <w:ilvl w:val="0"/>
          <w:numId w:val="70"/>
        </w:numPr>
        <w:rPr>
          <w:szCs w:val="26"/>
        </w:rPr>
      </w:pPr>
      <w:r w:rsidRPr="00197AAE">
        <w:rPr>
          <w:rFonts w:ascii="Gill Sans MT" w:hAnsi="Gill Sans MT"/>
          <w:sz w:val="26"/>
          <w:szCs w:val="26"/>
        </w:rPr>
        <w:t xml:space="preserve">2.9 Develop supporting guidance material to embed the learnings from existing programmes in special schools and post-primary schools to support transition planning and positive transitions to further education, </w:t>
      </w:r>
      <w:proofErr w:type="gramStart"/>
      <w:r w:rsidRPr="00197AAE">
        <w:rPr>
          <w:rFonts w:ascii="Gill Sans MT" w:hAnsi="Gill Sans MT"/>
          <w:sz w:val="26"/>
          <w:szCs w:val="26"/>
        </w:rPr>
        <w:t>employment</w:t>
      </w:r>
      <w:proofErr w:type="gramEnd"/>
      <w:r w:rsidRPr="00197AAE">
        <w:rPr>
          <w:rFonts w:ascii="Gill Sans MT" w:hAnsi="Gill Sans MT"/>
          <w:sz w:val="26"/>
          <w:szCs w:val="26"/>
        </w:rPr>
        <w:t xml:space="preserve"> or disability day services, as appropriate</w:t>
      </w:r>
      <w:r w:rsidR="0017457F">
        <w:rPr>
          <w:rFonts w:ascii="Gill Sans MT" w:hAnsi="Gill Sans MT"/>
          <w:sz w:val="26"/>
          <w:szCs w:val="26"/>
        </w:rPr>
        <w:t>;</w:t>
      </w:r>
    </w:p>
    <w:p w14:paraId="6A3C1E78" w14:textId="5FF94F24" w:rsidR="00432719" w:rsidRPr="005E1E82" w:rsidRDefault="00432719" w:rsidP="00197AAE">
      <w:pPr>
        <w:pStyle w:val="ListParagraph"/>
        <w:numPr>
          <w:ilvl w:val="0"/>
          <w:numId w:val="70"/>
        </w:numPr>
        <w:rPr>
          <w:szCs w:val="26"/>
        </w:rPr>
      </w:pPr>
      <w:r w:rsidRPr="00197AAE">
        <w:rPr>
          <w:rFonts w:ascii="Gill Sans MT" w:hAnsi="Gill Sans MT"/>
          <w:sz w:val="26"/>
          <w:szCs w:val="26"/>
        </w:rPr>
        <w:t>3.4 Seek to support all individuals including those who are marginalised or have disabilities to access person-centred opportunities such as work-shadowing/work-experience</w:t>
      </w:r>
      <w:r w:rsidR="00F05F90">
        <w:rPr>
          <w:rFonts w:ascii="Gill Sans MT" w:hAnsi="Gill Sans MT"/>
          <w:sz w:val="26"/>
          <w:szCs w:val="26"/>
        </w:rPr>
        <w:t>;</w:t>
      </w:r>
    </w:p>
    <w:p w14:paraId="3A7E5280" w14:textId="1E2B522D" w:rsidR="00432719" w:rsidRPr="005E1E82" w:rsidRDefault="00432719" w:rsidP="00197AAE">
      <w:pPr>
        <w:pStyle w:val="ListParagraph"/>
        <w:numPr>
          <w:ilvl w:val="0"/>
          <w:numId w:val="70"/>
        </w:numPr>
        <w:rPr>
          <w:szCs w:val="26"/>
        </w:rPr>
      </w:pPr>
      <w:r w:rsidRPr="00197AAE">
        <w:rPr>
          <w:rFonts w:ascii="Gill Sans MT" w:hAnsi="Gill Sans MT"/>
          <w:sz w:val="26"/>
          <w:szCs w:val="26"/>
        </w:rPr>
        <w:t>4.4. Explore means of potential to ensure high-quality standards and consistency to strengthen guidance provision in post-primary schools</w:t>
      </w:r>
      <w:r w:rsidR="00F05F90">
        <w:rPr>
          <w:rFonts w:ascii="Gill Sans MT" w:hAnsi="Gill Sans MT"/>
          <w:sz w:val="26"/>
          <w:szCs w:val="26"/>
        </w:rPr>
        <w:t>;</w:t>
      </w:r>
    </w:p>
    <w:p w14:paraId="12F318CF" w14:textId="7A5E03BF" w:rsidR="00432719" w:rsidRPr="005E1E82" w:rsidRDefault="00432719" w:rsidP="00197AAE">
      <w:pPr>
        <w:pStyle w:val="ListParagraph"/>
        <w:numPr>
          <w:ilvl w:val="0"/>
          <w:numId w:val="70"/>
        </w:numPr>
        <w:rPr>
          <w:szCs w:val="26"/>
        </w:rPr>
      </w:pPr>
      <w:r w:rsidRPr="00197AAE">
        <w:rPr>
          <w:rFonts w:ascii="Gill Sans MT" w:hAnsi="Gill Sans MT"/>
          <w:sz w:val="26"/>
          <w:szCs w:val="26"/>
        </w:rPr>
        <w:t xml:space="preserve">6.1. Advance work to support access for diverse cohorts and those at greatest risk of disadvantage to appropriate, </w:t>
      </w:r>
      <w:proofErr w:type="gramStart"/>
      <w:r w:rsidRPr="00197AAE">
        <w:rPr>
          <w:rFonts w:ascii="Gill Sans MT" w:hAnsi="Gill Sans MT"/>
          <w:sz w:val="26"/>
          <w:szCs w:val="26"/>
        </w:rPr>
        <w:t>meaningful</w:t>
      </w:r>
      <w:proofErr w:type="gramEnd"/>
      <w:r w:rsidRPr="00197AAE">
        <w:rPr>
          <w:rFonts w:ascii="Gill Sans MT" w:hAnsi="Gill Sans MT"/>
          <w:sz w:val="26"/>
          <w:szCs w:val="26"/>
        </w:rPr>
        <w:t xml:space="preserve"> and person-centred guidance services</w:t>
      </w:r>
      <w:r w:rsidR="00F05F90">
        <w:rPr>
          <w:rFonts w:ascii="Gill Sans MT" w:hAnsi="Gill Sans MT"/>
          <w:sz w:val="26"/>
          <w:szCs w:val="26"/>
        </w:rPr>
        <w:t>; and</w:t>
      </w:r>
    </w:p>
    <w:p w14:paraId="49DD2B75" w14:textId="24E12EA4" w:rsidR="00432719" w:rsidRPr="006D7B4C" w:rsidRDefault="00432719" w:rsidP="00432719">
      <w:pPr>
        <w:pStyle w:val="ListParagraph"/>
        <w:numPr>
          <w:ilvl w:val="0"/>
          <w:numId w:val="70"/>
        </w:numPr>
        <w:rPr>
          <w:rFonts w:ascii="Gill Sans MT" w:hAnsi="Gill Sans MT"/>
          <w:sz w:val="26"/>
          <w:szCs w:val="26"/>
        </w:rPr>
      </w:pPr>
      <w:r w:rsidRPr="00197AAE">
        <w:rPr>
          <w:rFonts w:ascii="Gill Sans MT" w:hAnsi="Gill Sans MT"/>
          <w:sz w:val="26"/>
          <w:szCs w:val="26"/>
        </w:rPr>
        <w:t>6.3 Continue to ensure information on pathways to and within education and to the world of work are delivered impartially through a range of accessible formats, consistent with a universal-design approach.</w:t>
      </w:r>
    </w:p>
    <w:p w14:paraId="09B1A2B4" w14:textId="33E96A96" w:rsidR="00ED59E9" w:rsidRDefault="00DA3D30" w:rsidP="001E7BD2">
      <w:r>
        <w:t xml:space="preserve">The </w:t>
      </w:r>
      <w:r w:rsidR="00C77D9D">
        <w:t>NDA welcome these positive developments</w:t>
      </w:r>
      <w:r>
        <w:t xml:space="preserve">, however more detail is required regarding the definition of appropriately trained professionals. The provision of </w:t>
      </w:r>
      <w:proofErr w:type="gramStart"/>
      <w:r>
        <w:t>new short</w:t>
      </w:r>
      <w:proofErr w:type="gramEnd"/>
      <w:r>
        <w:t xml:space="preserve"> skills course </w:t>
      </w:r>
      <w:r w:rsidR="00867368">
        <w:t>provides</w:t>
      </w:r>
      <w:r>
        <w:t xml:space="preserve"> a significant new development in mainstream education for disabled learners and their inclusion in these courses</w:t>
      </w:r>
      <w:r w:rsidR="002D2B2F">
        <w:t xml:space="preserve"> is</w:t>
      </w:r>
      <w:r>
        <w:t xml:space="preserve"> essential.</w:t>
      </w:r>
    </w:p>
    <w:p w14:paraId="7DA747FF" w14:textId="4F25F896" w:rsidR="00ED59E9" w:rsidRPr="002D2B2F" w:rsidRDefault="00ED59E9" w:rsidP="002D2B2F">
      <w:pPr>
        <w:pStyle w:val="Heading3"/>
      </w:pPr>
      <w:bookmarkStart w:id="23" w:name="_Toc170203437"/>
      <w:r w:rsidRPr="002D2B2F">
        <w:rPr>
          <w:rStyle w:val="Heading2Char"/>
          <w:b/>
          <w:bCs/>
          <w:iCs w:val="0"/>
          <w:sz w:val="26"/>
          <w:szCs w:val="24"/>
        </w:rPr>
        <w:t>Synergies in Effective Teaching Approaches</w:t>
      </w:r>
      <w:bookmarkEnd w:id="23"/>
      <w:r w:rsidRPr="002D2B2F">
        <w:rPr>
          <w:rStyle w:val="Heading2Char"/>
          <w:b/>
          <w:bCs/>
          <w:iCs w:val="0"/>
          <w:sz w:val="26"/>
          <w:szCs w:val="24"/>
        </w:rPr>
        <w:t xml:space="preserve"> </w:t>
      </w:r>
    </w:p>
    <w:p w14:paraId="36040A1C" w14:textId="7EE3B67C" w:rsidR="00786D11" w:rsidRDefault="00ED59E9" w:rsidP="001E7BD2">
      <w:r>
        <w:rPr>
          <w:szCs w:val="26"/>
        </w:rPr>
        <w:t>Also allocated funding by D</w:t>
      </w:r>
      <w:r w:rsidR="002D2B2F">
        <w:rPr>
          <w:szCs w:val="26"/>
        </w:rPr>
        <w:t>o</w:t>
      </w:r>
      <w:r>
        <w:rPr>
          <w:szCs w:val="26"/>
        </w:rPr>
        <w:t>E in 2023 u</w:t>
      </w:r>
      <w:r w:rsidRPr="00435B65">
        <w:rPr>
          <w:szCs w:val="26"/>
        </w:rPr>
        <w:t xml:space="preserve">nder the Dormant Account Action Plan, </w:t>
      </w:r>
      <w:r w:rsidR="00C77D9D">
        <w:rPr>
          <w:szCs w:val="26"/>
        </w:rPr>
        <w:t>was</w:t>
      </w:r>
      <w:r w:rsidRPr="00ED59E9">
        <w:rPr>
          <w:szCs w:val="26"/>
        </w:rPr>
        <w:t xml:space="preserve"> a project </w:t>
      </w:r>
      <w:r w:rsidR="001232FD">
        <w:t>to develop Synergies in Effective Teaching Approaches for Students with Additional Educational Needs through communities of practice involving clusters of mainstream and special Schools. Currently staff in one type of school rarely have opportunities to learn about teaching approaches being used in other school types to support students with similar needs. Similarly</w:t>
      </w:r>
      <w:r>
        <w:t>,</w:t>
      </w:r>
      <w:r w:rsidR="001232FD">
        <w:t xml:space="preserve"> students who attend special schools have limited opportunities to engage with their peers in </w:t>
      </w:r>
      <w:r w:rsidR="001232FD">
        <w:lastRenderedPageBreak/>
        <w:t xml:space="preserve">mainstream schools and vice versa. </w:t>
      </w:r>
      <w:r w:rsidR="00C77D9D">
        <w:t>This project is in line with the principles contained within Article 24 of UNCRPD on inclusive education and the Education for Persons with Special Educational Needs (EPSEN) Act (2004)</w:t>
      </w:r>
    </w:p>
    <w:p w14:paraId="64BAF853" w14:textId="09DAA63D" w:rsidR="007D6836" w:rsidRDefault="001232FD" w:rsidP="001E7BD2">
      <w:r>
        <w:t xml:space="preserve">The scheme is intended to establish closer links between the mainstream and special school systems to focus on the provision of optimal teaching and learning experiences. The scheme will establish four </w:t>
      </w:r>
      <w:r w:rsidR="006D7B4C">
        <w:t>regionally based</w:t>
      </w:r>
      <w:r>
        <w:t xml:space="preserve"> communities of practice</w:t>
      </w:r>
      <w:r w:rsidR="002D2B2F">
        <w:t>,</w:t>
      </w:r>
      <w:r>
        <w:t xml:space="preserve"> clusters of local mainstream and special schools collaborating to ensure the adoption of the most effective teaching methodologies and provision of learning experiences </w:t>
      </w:r>
      <w:proofErr w:type="gramStart"/>
      <w:r>
        <w:t>At</w:t>
      </w:r>
      <w:proofErr w:type="gramEnd"/>
      <w:r>
        <w:t xml:space="preserve"> the end of the project, each school will be expected to share evidence and outcomes from its involvement in the project.</w:t>
      </w:r>
    </w:p>
    <w:p w14:paraId="7F367CEF" w14:textId="77777777" w:rsidR="007A1784" w:rsidRPr="00C401AE" w:rsidRDefault="007A1784" w:rsidP="007A1784">
      <w:pPr>
        <w:pStyle w:val="Heading3"/>
      </w:pPr>
      <w:bookmarkStart w:id="24" w:name="_Toc170203438"/>
      <w:r w:rsidRPr="00C401AE">
        <w:t>PATH 4</w:t>
      </w:r>
      <w:bookmarkEnd w:id="24"/>
    </w:p>
    <w:p w14:paraId="6863E498" w14:textId="445AD282" w:rsidR="007A1784" w:rsidRPr="001577D3" w:rsidRDefault="007A1784" w:rsidP="007A1784">
      <w:pPr>
        <w:pStyle w:val="NormalAfterList"/>
      </w:pPr>
      <w:bookmarkStart w:id="25" w:name="_Toc124859239"/>
      <w:r>
        <w:t>T</w:t>
      </w:r>
      <w:r w:rsidRPr="001577D3">
        <w:t>he Programme for Access to Higher Education</w:t>
      </w:r>
      <w:bookmarkEnd w:id="25"/>
      <w:r>
        <w:t xml:space="preserve"> (PATH)</w:t>
      </w:r>
      <w:r w:rsidRPr="001577D3">
        <w:rPr>
          <w:rStyle w:val="FootnoteReference"/>
          <w:rFonts w:ascii="Gill Sans MT" w:hAnsi="Gill Sans MT" w:cs="Calibri"/>
          <w:sz w:val="26"/>
          <w:szCs w:val="26"/>
        </w:rPr>
        <w:footnoteReference w:id="15"/>
      </w:r>
      <w:r>
        <w:t xml:space="preserve"> </w:t>
      </w:r>
      <w:r w:rsidRPr="001577D3">
        <w:t xml:space="preserve">is a strategic funding programme, established in 2016, to support the delivery of </w:t>
      </w:r>
      <w:r>
        <w:t>the</w:t>
      </w:r>
      <w:r w:rsidRPr="001577D3">
        <w:t xml:space="preserve"> objectives</w:t>
      </w:r>
      <w:r>
        <w:t xml:space="preserve"> of the N</w:t>
      </w:r>
      <w:r w:rsidR="00F05F90">
        <w:t>ational Access Plan (N</w:t>
      </w:r>
      <w:r>
        <w:t>AP</w:t>
      </w:r>
      <w:r w:rsidR="00F05F90">
        <w:t>)</w:t>
      </w:r>
      <w:r w:rsidRPr="001577D3">
        <w:t>. It provides ring-fenced funding to higher education institutions (HEIs) to deliver innovative measures to improve participation and student success from the NAP priority groups.</w:t>
      </w:r>
    </w:p>
    <w:p w14:paraId="5B457A27" w14:textId="1D19FF6B" w:rsidR="007A1784" w:rsidRPr="00CE2EBC" w:rsidRDefault="007A1784" w:rsidP="007A1784">
      <w:pPr>
        <w:spacing w:before="100" w:beforeAutospacing="1" w:after="100" w:afterAutospacing="1"/>
        <w:rPr>
          <w:rFonts w:cs="Calibri"/>
          <w:szCs w:val="26"/>
        </w:rPr>
      </w:pPr>
      <w:r w:rsidRPr="00CE2EBC">
        <w:rPr>
          <w:rFonts w:cs="Calibri"/>
          <w:bCs/>
          <w:szCs w:val="26"/>
        </w:rPr>
        <w:t xml:space="preserve">PATH 4 </w:t>
      </w:r>
      <w:r>
        <w:rPr>
          <w:rFonts w:cs="Calibri"/>
          <w:bCs/>
          <w:szCs w:val="26"/>
        </w:rPr>
        <w:t>is a</w:t>
      </w:r>
      <w:r w:rsidRPr="00CE2EBC">
        <w:rPr>
          <w:rFonts w:cs="Calibri"/>
          <w:bCs/>
          <w:szCs w:val="26"/>
        </w:rPr>
        <w:t xml:space="preserve"> two-phase programme supporting inclusive, universally designed higher education environments and course provision for students with intellectual disabilities</w:t>
      </w:r>
      <w:r>
        <w:rPr>
          <w:rFonts w:cs="Calibri"/>
          <w:szCs w:val="26"/>
        </w:rPr>
        <w:t xml:space="preserve">. </w:t>
      </w:r>
      <w:r>
        <w:rPr>
          <w:szCs w:val="26"/>
        </w:rPr>
        <w:t>During 2023 t</w:t>
      </w:r>
      <w:r w:rsidRPr="001577D3">
        <w:rPr>
          <w:szCs w:val="26"/>
        </w:rPr>
        <w:t>he Department of Further and Higher Education Research Innovation and Science</w:t>
      </w:r>
      <w:r w:rsidR="00F05F90">
        <w:rPr>
          <w:szCs w:val="26"/>
        </w:rPr>
        <w:t xml:space="preserve"> (DFHERIS)</w:t>
      </w:r>
      <w:r w:rsidRPr="001577D3">
        <w:rPr>
          <w:szCs w:val="26"/>
        </w:rPr>
        <w:t xml:space="preserve"> </w:t>
      </w:r>
      <w:r>
        <w:rPr>
          <w:szCs w:val="26"/>
        </w:rPr>
        <w:t>and the Higher Education Authority (HEA) rolled</w:t>
      </w:r>
      <w:r w:rsidRPr="001577D3">
        <w:rPr>
          <w:szCs w:val="26"/>
        </w:rPr>
        <w:t xml:space="preserve"> out </w:t>
      </w:r>
      <w:r>
        <w:rPr>
          <w:szCs w:val="26"/>
        </w:rPr>
        <w:t xml:space="preserve">two separate strands of </w:t>
      </w:r>
      <w:r w:rsidRPr="001577D3">
        <w:rPr>
          <w:szCs w:val="26"/>
        </w:rPr>
        <w:t xml:space="preserve">PATH 4.  </w:t>
      </w:r>
    </w:p>
    <w:p w14:paraId="136C0954" w14:textId="77777777" w:rsidR="007A1784" w:rsidRPr="00CE2EBC" w:rsidRDefault="007A1784" w:rsidP="007A1784">
      <w:pPr>
        <w:pStyle w:val="ListParagraph"/>
        <w:numPr>
          <w:ilvl w:val="0"/>
          <w:numId w:val="69"/>
        </w:numPr>
        <w:spacing w:before="100" w:beforeAutospacing="1" w:after="100" w:afterAutospacing="1"/>
        <w:rPr>
          <w:rFonts w:ascii="Gill Sans MT" w:hAnsi="Gill Sans MT" w:cs="Calibri"/>
          <w:sz w:val="26"/>
          <w:szCs w:val="26"/>
        </w:rPr>
      </w:pPr>
      <w:r w:rsidRPr="00CE2EBC">
        <w:rPr>
          <w:rFonts w:ascii="Gill Sans MT" w:hAnsi="Gill Sans MT" w:cs="Calibri"/>
          <w:b/>
          <w:sz w:val="26"/>
          <w:szCs w:val="26"/>
        </w:rPr>
        <w:t>Phase 1</w:t>
      </w:r>
      <w:r w:rsidRPr="00CE2EBC">
        <w:rPr>
          <w:rFonts w:ascii="Gill Sans MT" w:hAnsi="Gill Sans MT" w:cs="Calibri"/>
          <w:sz w:val="26"/>
          <w:szCs w:val="26"/>
        </w:rPr>
        <w:t xml:space="preserve"> supported the embedding of Universal Design (UD) approaches and inclusive practices in HEIs which </w:t>
      </w:r>
      <w:r w:rsidRPr="00CE2EBC">
        <w:rPr>
          <w:rFonts w:ascii="Gill Sans MT" w:hAnsi="Gill Sans MT" w:cs="Calibri"/>
          <w:bCs/>
          <w:sz w:val="26"/>
          <w:szCs w:val="26"/>
        </w:rPr>
        <w:t xml:space="preserve">aimed to benefit all students, </w:t>
      </w:r>
      <w:r w:rsidRPr="00CE2EBC">
        <w:rPr>
          <w:rFonts w:ascii="Gill Sans MT" w:hAnsi="Gill Sans MT" w:cs="Calibri"/>
          <w:sz w:val="26"/>
          <w:szCs w:val="26"/>
        </w:rPr>
        <w:t xml:space="preserve">in particular autistic students, and enable the building of capacity in HEIs for greater participation by students with intellectual disabilities in higher education. All HEI project plans under Phase 1 were approved in 2022 and are now in implementation stage. </w:t>
      </w:r>
    </w:p>
    <w:p w14:paraId="32AEA938" w14:textId="77777777" w:rsidR="007A1784" w:rsidRPr="00CE2EBC" w:rsidRDefault="007A1784" w:rsidP="007A1784">
      <w:pPr>
        <w:pStyle w:val="ListParagraph"/>
        <w:numPr>
          <w:ilvl w:val="0"/>
          <w:numId w:val="69"/>
        </w:numPr>
        <w:spacing w:before="100" w:beforeAutospacing="1" w:after="100" w:afterAutospacing="1" w:line="240" w:lineRule="auto"/>
        <w:rPr>
          <w:rFonts w:ascii="Gill Sans MT" w:hAnsi="Gill Sans MT" w:cs="Calibri"/>
          <w:bCs/>
          <w:sz w:val="26"/>
          <w:szCs w:val="26"/>
        </w:rPr>
      </w:pPr>
      <w:r w:rsidRPr="00CE2EBC">
        <w:rPr>
          <w:rFonts w:ascii="Gill Sans MT" w:hAnsi="Gill Sans MT" w:cs="Calibri"/>
          <w:b/>
          <w:sz w:val="26"/>
          <w:szCs w:val="26"/>
        </w:rPr>
        <w:t xml:space="preserve">Phase 2 </w:t>
      </w:r>
      <w:r w:rsidRPr="00CE2EBC">
        <w:rPr>
          <w:rFonts w:ascii="Gill Sans MT" w:hAnsi="Gill Sans MT" w:cs="Calibri"/>
          <w:bCs/>
          <w:sz w:val="26"/>
          <w:szCs w:val="26"/>
        </w:rPr>
        <w:t>(2023-2025) was a call for proposals for course provision for students with intellectual disabilities. The funding will support a series of</w:t>
      </w:r>
      <w:r w:rsidRPr="00CE2EBC">
        <w:rPr>
          <w:rFonts w:ascii="Gill Sans MT" w:hAnsi="Gill Sans MT" w:cs="Calibri"/>
          <w:sz w:val="26"/>
          <w:szCs w:val="26"/>
        </w:rPr>
        <w:t xml:space="preserve"> three-year pilots to support an enhancement of course provision for students with intellectual disabilities and to inform future policy considerations in respect of students with intellectual disabilities. </w:t>
      </w:r>
    </w:p>
    <w:p w14:paraId="719E8AAE" w14:textId="77777777" w:rsidR="007A1784" w:rsidRPr="00BC31A6" w:rsidRDefault="007A1784" w:rsidP="007A1784">
      <w:pPr>
        <w:rPr>
          <w:szCs w:val="26"/>
        </w:rPr>
      </w:pPr>
      <w:r>
        <w:rPr>
          <w:szCs w:val="26"/>
        </w:rPr>
        <w:lastRenderedPageBreak/>
        <w:t xml:space="preserve">DFHERIS and the HEA with guidance from the NDA ran a significant consultation exercise over the course of April 2023 that informed the Path 4 Call for Proposals. The NDA also supported the development of the ‘Call for Proposals ‘which utilised </w:t>
      </w:r>
      <w:r w:rsidRPr="001577D3">
        <w:rPr>
          <w:szCs w:val="26"/>
        </w:rPr>
        <w:t xml:space="preserve">the 4 pillars of </w:t>
      </w:r>
      <w:r>
        <w:rPr>
          <w:szCs w:val="26"/>
        </w:rPr>
        <w:t>Universal Design for Education (</w:t>
      </w:r>
      <w:r w:rsidRPr="001577D3">
        <w:rPr>
          <w:szCs w:val="26"/>
        </w:rPr>
        <w:t>UD</w:t>
      </w:r>
      <w:r>
        <w:rPr>
          <w:szCs w:val="26"/>
        </w:rPr>
        <w:t>E)</w:t>
      </w:r>
      <w:r w:rsidRPr="001577D3">
        <w:rPr>
          <w:szCs w:val="26"/>
        </w:rPr>
        <w:t xml:space="preserve"> to guide this funding stream</w:t>
      </w:r>
      <w:r>
        <w:rPr>
          <w:szCs w:val="26"/>
        </w:rPr>
        <w:t>.</w:t>
      </w:r>
      <w:r w:rsidRPr="00CE2EBC">
        <w:rPr>
          <w:rStyle w:val="FootnoteReference"/>
          <w:szCs w:val="26"/>
        </w:rPr>
        <w:t xml:space="preserve"> </w:t>
      </w:r>
      <w:r>
        <w:rPr>
          <w:rStyle w:val="FootnoteReference"/>
          <w:szCs w:val="26"/>
        </w:rPr>
        <w:footnoteReference w:id="16"/>
      </w:r>
      <w:r w:rsidRPr="001577D3">
        <w:rPr>
          <w:szCs w:val="26"/>
        </w:rPr>
        <w:t xml:space="preserve"> </w:t>
      </w:r>
      <w:r>
        <w:rPr>
          <w:szCs w:val="26"/>
        </w:rPr>
        <w:t xml:space="preserve">Underpinning this call with UDE ensured PATH 4 was transformative, and encourages the changes required to ensure </w:t>
      </w:r>
      <w:r w:rsidRPr="001577D3">
        <w:rPr>
          <w:szCs w:val="26"/>
        </w:rPr>
        <w:t xml:space="preserve">inclusion </w:t>
      </w:r>
      <w:r>
        <w:rPr>
          <w:szCs w:val="26"/>
        </w:rPr>
        <w:t xml:space="preserve">and participation </w:t>
      </w:r>
      <w:r w:rsidRPr="001577D3">
        <w:rPr>
          <w:szCs w:val="26"/>
        </w:rPr>
        <w:t xml:space="preserve">of students with Intellectual disabilities </w:t>
      </w:r>
      <w:r>
        <w:rPr>
          <w:szCs w:val="26"/>
        </w:rPr>
        <w:t xml:space="preserve">and autistic leaners </w:t>
      </w:r>
      <w:r w:rsidRPr="001577D3">
        <w:rPr>
          <w:szCs w:val="26"/>
        </w:rPr>
        <w:t xml:space="preserve">in HEI. </w:t>
      </w:r>
      <w:r>
        <w:rPr>
          <w:szCs w:val="26"/>
        </w:rPr>
        <w:t>It will also support the future sustainability of these programmes.</w:t>
      </w:r>
    </w:p>
    <w:p w14:paraId="2DA88A36" w14:textId="77777777" w:rsidR="007A1784" w:rsidRPr="008822B8" w:rsidRDefault="007A1784" w:rsidP="007A1784">
      <w:pPr>
        <w:pStyle w:val="Heading3"/>
        <w:rPr>
          <w:lang w:eastAsia="en-IE"/>
        </w:rPr>
      </w:pPr>
      <w:bookmarkStart w:id="26" w:name="_Toc170203439"/>
      <w:r w:rsidRPr="008822B8">
        <w:rPr>
          <w:lang w:eastAsia="en-IE"/>
        </w:rPr>
        <w:t>Establishment of</w:t>
      </w:r>
      <w:r>
        <w:rPr>
          <w:lang w:eastAsia="en-IE"/>
        </w:rPr>
        <w:t xml:space="preserve"> the</w:t>
      </w:r>
      <w:r w:rsidRPr="008822B8">
        <w:rPr>
          <w:lang w:eastAsia="en-IE"/>
        </w:rPr>
        <w:t xml:space="preserve"> National Tertiary Office</w:t>
      </w:r>
      <w:bookmarkEnd w:id="26"/>
    </w:p>
    <w:p w14:paraId="35CB176E" w14:textId="53F03CF4" w:rsidR="007A1784" w:rsidRPr="00316A7E" w:rsidRDefault="007A1784" w:rsidP="007A1784">
      <w:pPr>
        <w:shd w:val="clear" w:color="auto" w:fill="FFFFFF"/>
        <w:spacing w:after="120"/>
        <w:rPr>
          <w:color w:val="000000"/>
          <w:szCs w:val="26"/>
          <w:lang w:eastAsia="en-IE"/>
        </w:rPr>
      </w:pPr>
      <w:r w:rsidRPr="008822B8">
        <w:rPr>
          <w:color w:val="000000"/>
          <w:szCs w:val="26"/>
          <w:shd w:val="clear" w:color="auto" w:fill="FFFFFF"/>
        </w:rPr>
        <w:t xml:space="preserve">The creation of a </w:t>
      </w:r>
      <w:r>
        <w:rPr>
          <w:color w:val="000000"/>
          <w:szCs w:val="26"/>
          <w:shd w:val="clear" w:color="auto" w:fill="FFFFFF"/>
        </w:rPr>
        <w:t>National Tertiary</w:t>
      </w:r>
      <w:r w:rsidR="00F05F90">
        <w:rPr>
          <w:color w:val="000000"/>
          <w:szCs w:val="26"/>
          <w:shd w:val="clear" w:color="auto" w:fill="FFFFFF"/>
        </w:rPr>
        <w:t xml:space="preserve"> Office</w:t>
      </w:r>
      <w:r w:rsidRPr="008822B8">
        <w:rPr>
          <w:color w:val="000000"/>
          <w:szCs w:val="26"/>
          <w:shd w:val="clear" w:color="auto" w:fill="FFFFFF"/>
        </w:rPr>
        <w:t xml:space="preserve"> </w:t>
      </w:r>
      <w:r>
        <w:rPr>
          <w:color w:val="000000"/>
          <w:szCs w:val="26"/>
          <w:shd w:val="clear" w:color="auto" w:fill="FFFFFF"/>
        </w:rPr>
        <w:t>was</w:t>
      </w:r>
      <w:r w:rsidRPr="008822B8">
        <w:rPr>
          <w:color w:val="000000"/>
          <w:szCs w:val="26"/>
          <w:shd w:val="clear" w:color="auto" w:fill="FFFFFF"/>
        </w:rPr>
        <w:t xml:space="preserve"> one of the priorities of the </w:t>
      </w:r>
      <w:r>
        <w:rPr>
          <w:color w:val="000000"/>
          <w:szCs w:val="26"/>
          <w:shd w:val="clear" w:color="auto" w:fill="FFFFFF"/>
        </w:rPr>
        <w:t>DFHERIS</w:t>
      </w:r>
      <w:r w:rsidRPr="008822B8">
        <w:rPr>
          <w:color w:val="000000"/>
          <w:szCs w:val="26"/>
          <w:shd w:val="clear" w:color="auto" w:fill="FFFFFF"/>
        </w:rPr>
        <w:t xml:space="preserve">, </w:t>
      </w:r>
      <w:r>
        <w:rPr>
          <w:color w:val="000000"/>
          <w:szCs w:val="26"/>
          <w:shd w:val="clear" w:color="auto" w:fill="FFFFFF"/>
        </w:rPr>
        <w:t xml:space="preserve">as </w:t>
      </w:r>
      <w:r w:rsidRPr="008822B8">
        <w:rPr>
          <w:color w:val="000000"/>
          <w:szCs w:val="26"/>
          <w:shd w:val="clear" w:color="auto" w:fill="FFFFFF"/>
        </w:rPr>
        <w:t>outlined in its Statement of Strategy 2021 to 2023.</w:t>
      </w:r>
      <w:r>
        <w:rPr>
          <w:rStyle w:val="FootnoteReference"/>
          <w:color w:val="000000"/>
          <w:szCs w:val="26"/>
          <w:shd w:val="clear" w:color="auto" w:fill="FFFFFF"/>
        </w:rPr>
        <w:footnoteReference w:id="17"/>
      </w:r>
      <w:r>
        <w:rPr>
          <w:color w:val="000000"/>
          <w:szCs w:val="26"/>
          <w:shd w:val="clear" w:color="auto" w:fill="FFFFFF"/>
        </w:rPr>
        <w:t xml:space="preserve"> The aim of the </w:t>
      </w:r>
      <w:r w:rsidR="00F05F90">
        <w:rPr>
          <w:color w:val="000000"/>
          <w:szCs w:val="26"/>
          <w:shd w:val="clear" w:color="auto" w:fill="FFFFFF"/>
        </w:rPr>
        <w:t>O</w:t>
      </w:r>
      <w:r>
        <w:rPr>
          <w:color w:val="000000"/>
          <w:szCs w:val="26"/>
          <w:shd w:val="clear" w:color="auto" w:fill="FFFFFF"/>
        </w:rPr>
        <w:t>ffice, established in 2023, was to</w:t>
      </w:r>
      <w:r w:rsidRPr="008822B8">
        <w:rPr>
          <w:color w:val="000000"/>
          <w:szCs w:val="26"/>
          <w:shd w:val="clear" w:color="auto" w:fill="FFFFFF"/>
        </w:rPr>
        <w:t xml:space="preserve"> </w:t>
      </w:r>
      <w:r>
        <w:rPr>
          <w:color w:val="000000"/>
          <w:szCs w:val="26"/>
          <w:shd w:val="clear" w:color="auto" w:fill="FFFFFF"/>
        </w:rPr>
        <w:t>develop</w:t>
      </w:r>
      <w:r w:rsidRPr="008822B8">
        <w:rPr>
          <w:color w:val="000000"/>
          <w:szCs w:val="26"/>
          <w:shd w:val="clear" w:color="auto" w:fill="FFFFFF"/>
        </w:rPr>
        <w:t xml:space="preserve"> </w:t>
      </w:r>
      <w:r>
        <w:rPr>
          <w:color w:val="000000"/>
          <w:szCs w:val="26"/>
          <w:shd w:val="clear" w:color="auto" w:fill="FFFFFF"/>
        </w:rPr>
        <w:t xml:space="preserve">more </w:t>
      </w:r>
      <w:r w:rsidRPr="008822B8">
        <w:rPr>
          <w:color w:val="000000"/>
          <w:szCs w:val="26"/>
          <w:shd w:val="clear" w:color="auto" w:fill="FFFFFF"/>
        </w:rPr>
        <w:t>diverse and progressive pathways for learners</w:t>
      </w:r>
      <w:r>
        <w:rPr>
          <w:color w:val="000000"/>
          <w:szCs w:val="26"/>
          <w:shd w:val="clear" w:color="auto" w:fill="FFFFFF"/>
        </w:rPr>
        <w:t xml:space="preserve"> that would</w:t>
      </w:r>
      <w:r w:rsidRPr="008822B8">
        <w:rPr>
          <w:color w:val="000000"/>
          <w:szCs w:val="26"/>
          <w:shd w:val="clear" w:color="auto" w:fill="FFFFFF"/>
        </w:rPr>
        <w:t xml:space="preserve"> enabling </w:t>
      </w:r>
      <w:r>
        <w:rPr>
          <w:color w:val="000000"/>
          <w:szCs w:val="26"/>
          <w:shd w:val="clear" w:color="auto" w:fill="FFFFFF"/>
        </w:rPr>
        <w:t xml:space="preserve">them to </w:t>
      </w:r>
      <w:r w:rsidRPr="008822B8">
        <w:rPr>
          <w:color w:val="000000"/>
          <w:szCs w:val="26"/>
          <w:shd w:val="clear" w:color="auto" w:fill="FFFFFF"/>
        </w:rPr>
        <w:t xml:space="preserve">progress across and between different institutions. </w:t>
      </w:r>
      <w:r>
        <w:rPr>
          <w:szCs w:val="26"/>
          <w:shd w:val="clear" w:color="auto" w:fill="FFFFFF"/>
        </w:rPr>
        <w:t xml:space="preserve">The </w:t>
      </w:r>
      <w:r w:rsidR="00F05F90">
        <w:rPr>
          <w:szCs w:val="26"/>
          <w:shd w:val="clear" w:color="auto" w:fill="FFFFFF"/>
        </w:rPr>
        <w:t>O</w:t>
      </w:r>
      <w:r>
        <w:rPr>
          <w:szCs w:val="26"/>
          <w:shd w:val="clear" w:color="auto" w:fill="FFFFFF"/>
        </w:rPr>
        <w:t>ffice will</w:t>
      </w:r>
      <w:r>
        <w:rPr>
          <w:color w:val="000000"/>
          <w:szCs w:val="26"/>
          <w:shd w:val="clear" w:color="auto" w:fill="FFFFFF"/>
        </w:rPr>
        <w:t xml:space="preserve"> develop collaborations across the FET and higher education sectors resulting in new options and ways of learning for school leavers and those returning to education.</w:t>
      </w:r>
    </w:p>
    <w:p w14:paraId="4B4E9A52" w14:textId="700216EB" w:rsidR="007A1784" w:rsidRPr="009D46A4" w:rsidRDefault="006D7B4C" w:rsidP="007A1784">
      <w:pPr>
        <w:pStyle w:val="Heading3"/>
      </w:pPr>
      <w:bookmarkStart w:id="27" w:name="_Toc170203440"/>
      <w:r>
        <w:t>Increased funding</w:t>
      </w:r>
      <w:bookmarkEnd w:id="27"/>
    </w:p>
    <w:p w14:paraId="3B0CC7C9" w14:textId="1614F3B2" w:rsidR="00867368" w:rsidRDefault="007A1784" w:rsidP="00867368">
      <w:r>
        <w:t>The purpose of the Fund for Students with Disabilities (FSD) is to provide funding to higher and further education institutions to assist them in offering supports and services to eligible students with disabilities so that they can participate on an equal basis with their peers. The fund is administered by the HEA.</w:t>
      </w:r>
      <w:r w:rsidRPr="00F4496C">
        <w:rPr>
          <w:rStyle w:val="FootnoteReference"/>
        </w:rPr>
        <w:t xml:space="preserve"> </w:t>
      </w:r>
      <w:r>
        <w:rPr>
          <w:rStyle w:val="FootnoteReference"/>
        </w:rPr>
        <w:footnoteReference w:id="18"/>
      </w:r>
      <w:r>
        <w:t xml:space="preserve"> An increase in </w:t>
      </w:r>
      <w:r>
        <w:rPr>
          <w:color w:val="000000"/>
          <w:szCs w:val="26"/>
          <w:shd w:val="clear" w:color="auto" w:fill="FFFFFF"/>
        </w:rPr>
        <w:t>f</w:t>
      </w:r>
      <w:r w:rsidRPr="00435B65">
        <w:rPr>
          <w:color w:val="000000"/>
          <w:szCs w:val="26"/>
          <w:shd w:val="clear" w:color="auto" w:fill="FFFFFF"/>
        </w:rPr>
        <w:t xml:space="preserve">unding of €2 million to </w:t>
      </w:r>
      <w:r>
        <w:rPr>
          <w:color w:val="000000"/>
          <w:szCs w:val="26"/>
          <w:shd w:val="clear" w:color="auto" w:fill="FFFFFF"/>
        </w:rPr>
        <w:t xml:space="preserve">help </w:t>
      </w:r>
      <w:r w:rsidRPr="00435B65">
        <w:rPr>
          <w:color w:val="000000"/>
          <w:szCs w:val="26"/>
          <w:shd w:val="clear" w:color="auto" w:fill="FFFFFF"/>
        </w:rPr>
        <w:t>expand the scope of the FSD in Further Education</w:t>
      </w:r>
      <w:r w:rsidRPr="00C77D9D">
        <w:t xml:space="preserve"> </w:t>
      </w:r>
      <w:r>
        <w:t>was announced in Dec 2023</w:t>
      </w:r>
      <w:r>
        <w:rPr>
          <w:color w:val="000000"/>
          <w:szCs w:val="26"/>
          <w:shd w:val="clear" w:color="auto" w:fill="FFFFFF"/>
        </w:rPr>
        <w:t xml:space="preserve">. </w:t>
      </w:r>
      <w:bookmarkStart w:id="28" w:name="_Toc96521882"/>
      <w:bookmarkStart w:id="29" w:name="_Toc130474359"/>
      <w:r w:rsidR="00867368">
        <w:t xml:space="preserve">The NDA welcome the extension of the FSD to the FET sector which commenced in 2021/22 that also allows access to funds for disabled students who are on part time courses of a </w:t>
      </w:r>
      <w:proofErr w:type="spellStart"/>
      <w:proofErr w:type="gramStart"/>
      <w:r w:rsidR="00867368">
        <w:t>years</w:t>
      </w:r>
      <w:proofErr w:type="spellEnd"/>
      <w:proofErr w:type="gramEnd"/>
      <w:r w:rsidR="00867368">
        <w:t xml:space="preserve"> duration. It is through access to this fund that the FET sector can respond to an individual’s support needs.</w:t>
      </w:r>
      <w:r w:rsidR="00867368">
        <w:rPr>
          <w:rStyle w:val="FootnoteReference"/>
        </w:rPr>
        <w:footnoteReference w:id="19"/>
      </w:r>
      <w:r w:rsidR="00867368">
        <w:t xml:space="preserve"> </w:t>
      </w:r>
    </w:p>
    <w:p w14:paraId="4A051804" w14:textId="425F4E62" w:rsidR="0017457F" w:rsidRPr="006D7B4C" w:rsidRDefault="0017457F" w:rsidP="00867368">
      <w:pPr>
        <w:rPr>
          <w:szCs w:val="26"/>
        </w:rPr>
      </w:pPr>
      <w:r w:rsidRPr="006D7B4C">
        <w:rPr>
          <w:szCs w:val="26"/>
        </w:rPr>
        <w:t xml:space="preserve">To ensure that the </w:t>
      </w:r>
      <w:r w:rsidR="00F05F90" w:rsidRPr="006D7B4C">
        <w:rPr>
          <w:szCs w:val="26"/>
        </w:rPr>
        <w:t>National Council for Special Education</w:t>
      </w:r>
      <w:r w:rsidRPr="006D7B4C">
        <w:rPr>
          <w:szCs w:val="26"/>
        </w:rPr>
        <w:t xml:space="preserve"> is fully resourced and equipped to continue to meet the current and future needs of the special education sector, its annual budget has been increased by 55%. This increase will allow for the provision of an additional 161 staff.</w:t>
      </w:r>
    </w:p>
    <w:p w14:paraId="37B0048E" w14:textId="5A7AFB6F" w:rsidR="005B288A" w:rsidRDefault="00017BEF" w:rsidP="00867368">
      <w:pPr>
        <w:pStyle w:val="Heading2"/>
      </w:pPr>
      <w:bookmarkStart w:id="30" w:name="_Toc170203441"/>
      <w:r w:rsidRPr="000258CB">
        <w:lastRenderedPageBreak/>
        <w:t>S</w:t>
      </w:r>
      <w:r>
        <w:t xml:space="preserve">trategic </w:t>
      </w:r>
      <w:r w:rsidRPr="000258CB">
        <w:t>P</w:t>
      </w:r>
      <w:r>
        <w:t xml:space="preserve">riority 2: </w:t>
      </w:r>
      <w:r w:rsidR="005B288A">
        <w:t>Provide bridges and supports into work</w:t>
      </w:r>
      <w:bookmarkEnd w:id="28"/>
      <w:bookmarkEnd w:id="29"/>
      <w:bookmarkEnd w:id="30"/>
    </w:p>
    <w:p w14:paraId="46A44FA5" w14:textId="79AFE4BA" w:rsidR="00C70F2A" w:rsidRDefault="00C401AE" w:rsidP="00C401AE">
      <w:pPr>
        <w:spacing w:after="120"/>
      </w:pPr>
      <w:r w:rsidRPr="00C401AE">
        <w:rPr>
          <w:bCs/>
        </w:rPr>
        <w:t xml:space="preserve">The statement of intent for this strategic priority </w:t>
      </w:r>
      <w:r>
        <w:rPr>
          <w:bCs/>
        </w:rPr>
        <w:t>published in the original CES stated</w:t>
      </w:r>
      <w:r w:rsidRPr="00C401AE">
        <w:rPr>
          <w:bCs/>
        </w:rPr>
        <w:t xml:space="preserve"> that</w:t>
      </w:r>
      <w:r>
        <w:rPr>
          <w:b/>
        </w:rPr>
        <w:t xml:space="preserve"> </w:t>
      </w:r>
      <w:r>
        <w:t>‘p</w:t>
      </w:r>
      <w:r w:rsidRPr="003E30B3">
        <w:t>eople with disabilities will be provided with individualised bridges and supports to secure jobs in the open labour market</w:t>
      </w:r>
      <w:r>
        <w:t>’.</w:t>
      </w:r>
    </w:p>
    <w:p w14:paraId="20CE2E37" w14:textId="7F2EBC42" w:rsidR="007A1784" w:rsidRPr="00D55D99" w:rsidRDefault="007A1784" w:rsidP="007A1784">
      <w:pPr>
        <w:pStyle w:val="Heading3"/>
      </w:pPr>
      <w:bookmarkStart w:id="31" w:name="_Toc170203442"/>
      <w:proofErr w:type="spellStart"/>
      <w:r w:rsidRPr="00D55D99">
        <w:t>WorkAbility</w:t>
      </w:r>
      <w:bookmarkEnd w:id="31"/>
      <w:proofErr w:type="spellEnd"/>
      <w:r w:rsidRPr="00D55D99">
        <w:t xml:space="preserve"> </w:t>
      </w:r>
    </w:p>
    <w:p w14:paraId="20CFC654" w14:textId="72F36D11" w:rsidR="007A1784" w:rsidRDefault="007A1784" w:rsidP="007A1784">
      <w:r>
        <w:t xml:space="preserve">Launched in 2023, </w:t>
      </w:r>
      <w:proofErr w:type="spellStart"/>
      <w:r>
        <w:t>WorkAbility</w:t>
      </w:r>
      <w:proofErr w:type="spellEnd"/>
      <w:r>
        <w:t xml:space="preserve"> is a DSP</w:t>
      </w:r>
      <w:r w:rsidR="006D7B4C">
        <w:t xml:space="preserve"> and EU</w:t>
      </w:r>
      <w:r>
        <w:t xml:space="preserve"> funded inclusive pathway to employment that ensures people with disabilities are fully supported to find and maintain employment.</w:t>
      </w:r>
      <w:r w:rsidRPr="00F53244">
        <w:rPr>
          <w:rStyle w:val="FootnoteReference"/>
        </w:rPr>
        <w:t xml:space="preserve"> </w:t>
      </w:r>
      <w:r>
        <w:rPr>
          <w:rStyle w:val="FootnoteReference"/>
        </w:rPr>
        <w:footnoteReference w:id="20"/>
      </w:r>
      <w:r>
        <w:t xml:space="preserve"> This is the third such employment support programme funded by DSP, with the Disability Activation Project (DACT) and Ability Programme being earlier programmes. </w:t>
      </w:r>
      <w:proofErr w:type="spellStart"/>
      <w:r>
        <w:t>WorkAbility</w:t>
      </w:r>
      <w:proofErr w:type="spellEnd"/>
      <w:r>
        <w:t xml:space="preserve"> projects will provide funding to local, regional, and national projects that focus on achieving improved employment outcomes for people with disabilities through a range of support measures. Successful projects were announced in January 2024 and funding will run to 2028.</w:t>
      </w:r>
    </w:p>
    <w:p w14:paraId="5DF84FE4" w14:textId="77777777" w:rsidR="007A1784" w:rsidRPr="00D55D99" w:rsidRDefault="007A1784" w:rsidP="007A1784">
      <w:r>
        <w:t>As with similar programmes, it is vital that these programmes inform mainstream employment supports for disabled job seekers. Lessons from the following programme goals must be introduced to mainstream practice.</w:t>
      </w:r>
    </w:p>
    <w:p w14:paraId="1A1DD3B1" w14:textId="07120F5F" w:rsidR="007A1784" w:rsidRPr="00197AAE" w:rsidRDefault="007A1784" w:rsidP="007A1784">
      <w:pPr>
        <w:numPr>
          <w:ilvl w:val="0"/>
          <w:numId w:val="65"/>
        </w:numPr>
        <w:shd w:val="clear" w:color="auto" w:fill="FEFEFE"/>
        <w:spacing w:after="75"/>
        <w:rPr>
          <w:szCs w:val="26"/>
          <w:lang w:eastAsia="en-IE"/>
        </w:rPr>
      </w:pPr>
      <w:r w:rsidRPr="00197AAE">
        <w:rPr>
          <w:szCs w:val="26"/>
          <w:lang w:eastAsia="en-IE"/>
        </w:rPr>
        <w:t>To improve the employment prospects of people with disabilities who are currently distant from the labour market</w:t>
      </w:r>
      <w:r w:rsidR="006D7B4C">
        <w:rPr>
          <w:szCs w:val="26"/>
          <w:lang w:eastAsia="en-IE"/>
        </w:rPr>
        <w:t>;</w:t>
      </w:r>
    </w:p>
    <w:p w14:paraId="054EFC6E" w14:textId="5EF08892" w:rsidR="007A1784" w:rsidRPr="00197AAE" w:rsidRDefault="007A1784" w:rsidP="007A1784">
      <w:pPr>
        <w:numPr>
          <w:ilvl w:val="0"/>
          <w:numId w:val="65"/>
        </w:numPr>
        <w:shd w:val="clear" w:color="auto" w:fill="FEFEFE"/>
        <w:spacing w:after="75"/>
        <w:rPr>
          <w:szCs w:val="26"/>
          <w:lang w:eastAsia="en-IE"/>
        </w:rPr>
      </w:pPr>
      <w:r w:rsidRPr="00197AAE">
        <w:rPr>
          <w:szCs w:val="26"/>
          <w:lang w:eastAsia="en-IE"/>
        </w:rPr>
        <w:t>To build the capacity of employers to recruit, retain and progress people with disabilities within their workforce</w:t>
      </w:r>
      <w:r w:rsidR="006D7B4C">
        <w:rPr>
          <w:szCs w:val="26"/>
          <w:lang w:eastAsia="en-IE"/>
        </w:rPr>
        <w:t>; and</w:t>
      </w:r>
    </w:p>
    <w:p w14:paraId="4236B43E" w14:textId="77777777" w:rsidR="007A1784" w:rsidRPr="00197AAE" w:rsidRDefault="007A1784" w:rsidP="007A1784">
      <w:pPr>
        <w:numPr>
          <w:ilvl w:val="0"/>
          <w:numId w:val="65"/>
        </w:numPr>
        <w:shd w:val="clear" w:color="auto" w:fill="FEFEFE"/>
        <w:spacing w:after="75"/>
        <w:rPr>
          <w:szCs w:val="26"/>
          <w:lang w:eastAsia="en-IE"/>
        </w:rPr>
      </w:pPr>
      <w:r w:rsidRPr="00197AAE">
        <w:rPr>
          <w:szCs w:val="26"/>
          <w:lang w:eastAsia="en-IE"/>
        </w:rPr>
        <w:t>To facilitate new partnerships amongst stakeholders (people with disabilities, disability services, employment services and employers) and new approaches to providing employment supports to people with disabilities.</w:t>
      </w:r>
    </w:p>
    <w:p w14:paraId="47AD95C6" w14:textId="707BAF99" w:rsidR="007A1784" w:rsidRPr="00316A7E" w:rsidRDefault="007A1784" w:rsidP="007A1784">
      <w:pPr>
        <w:shd w:val="clear" w:color="auto" w:fill="FEFEFE"/>
        <w:rPr>
          <w:color w:val="464646"/>
          <w:szCs w:val="26"/>
          <w:lang w:eastAsia="en-IE"/>
        </w:rPr>
      </w:pPr>
      <w:proofErr w:type="spellStart"/>
      <w:r>
        <w:t>Intreo’s</w:t>
      </w:r>
      <w:proofErr w:type="spellEnd"/>
      <w:r>
        <w:t xml:space="preserve"> Designated Disability Employment Personal Advisors are delivering an early engagement process whereby contact is made with young people on disability allowance to determine their desire and need for supports for employment</w:t>
      </w:r>
      <w:r w:rsidR="00B768C8">
        <w:t xml:space="preserve"> (see more under Strategic Priority 3)</w:t>
      </w:r>
      <w:r>
        <w:t>.</w:t>
      </w:r>
      <w:r w:rsidRPr="00F53244">
        <w:rPr>
          <w:rStyle w:val="FootnoteReference"/>
        </w:rPr>
        <w:t xml:space="preserve"> </w:t>
      </w:r>
      <w:r>
        <w:rPr>
          <w:rStyle w:val="FootnoteReference"/>
        </w:rPr>
        <w:footnoteReference w:id="21"/>
      </w:r>
      <w:r w:rsidRPr="00F53244">
        <w:t xml:space="preserve"> </w:t>
      </w:r>
      <w:r>
        <w:t xml:space="preserve">It will be important that the </w:t>
      </w:r>
      <w:proofErr w:type="spellStart"/>
      <w:r>
        <w:t>WorkAbility</w:t>
      </w:r>
      <w:proofErr w:type="spellEnd"/>
      <w:r>
        <w:t xml:space="preserve"> Programmes establish and maintain links with </w:t>
      </w:r>
      <w:proofErr w:type="spellStart"/>
      <w:r>
        <w:t>Intreo</w:t>
      </w:r>
      <w:proofErr w:type="spellEnd"/>
      <w:r>
        <w:t xml:space="preserve"> to share learning and to inform mainstream supports. The learning from the Ability Programme Evaluation should also be shared and incorporated into </w:t>
      </w:r>
      <w:proofErr w:type="spellStart"/>
      <w:r>
        <w:t>WorkAbility</w:t>
      </w:r>
      <w:proofErr w:type="spellEnd"/>
      <w:r>
        <w:t>.</w:t>
      </w:r>
      <w:r>
        <w:rPr>
          <w:rStyle w:val="FootnoteReference"/>
        </w:rPr>
        <w:footnoteReference w:id="22"/>
      </w:r>
    </w:p>
    <w:p w14:paraId="3FF692C0" w14:textId="746B392E" w:rsidR="00554C73" w:rsidRPr="00554C73" w:rsidRDefault="00554C73" w:rsidP="007928FE">
      <w:pPr>
        <w:pStyle w:val="Heading3"/>
        <w:rPr>
          <w:rFonts w:eastAsiaTheme="minorHAnsi"/>
          <w:lang w:eastAsia="en-IE"/>
          <w14:ligatures w14:val="standardContextual"/>
        </w:rPr>
      </w:pPr>
      <w:bookmarkStart w:id="32" w:name="_Toc170203443"/>
      <w:r>
        <w:rPr>
          <w:lang w:eastAsia="en-IE"/>
        </w:rPr>
        <w:lastRenderedPageBreak/>
        <w:t>The AHEAD</w:t>
      </w:r>
      <w:r w:rsidRPr="00554C73">
        <w:rPr>
          <w:lang w:eastAsia="en-IE"/>
        </w:rPr>
        <w:t xml:space="preserve"> WAM Programme</w:t>
      </w:r>
      <w:bookmarkEnd w:id="32"/>
    </w:p>
    <w:p w14:paraId="5C20CA9C" w14:textId="36AD97C6" w:rsidR="00BC31A6" w:rsidRPr="00B431CD" w:rsidRDefault="005B5BD1" w:rsidP="00B431CD">
      <w:pPr>
        <w:rPr>
          <w:szCs w:val="26"/>
          <w:lang w:eastAsia="en-IE"/>
        </w:rPr>
      </w:pPr>
      <w:r>
        <w:rPr>
          <w:color w:val="333333"/>
          <w:szCs w:val="26"/>
          <w:shd w:val="clear" w:color="auto" w:fill="FFFFFF"/>
        </w:rPr>
        <w:t xml:space="preserve">The AHEAD </w:t>
      </w:r>
      <w:r w:rsidR="00554C73" w:rsidRPr="00554C73">
        <w:rPr>
          <w:color w:val="333333"/>
          <w:szCs w:val="26"/>
          <w:shd w:val="clear" w:color="auto" w:fill="FFFFFF"/>
        </w:rPr>
        <w:t xml:space="preserve">Willing Able Mentoring (WAM) </w:t>
      </w:r>
      <w:r>
        <w:rPr>
          <w:color w:val="333333"/>
          <w:szCs w:val="26"/>
          <w:shd w:val="clear" w:color="auto" w:fill="FFFFFF"/>
        </w:rPr>
        <w:t xml:space="preserve">initiative </w:t>
      </w:r>
      <w:r w:rsidR="00554C73" w:rsidRPr="00554C73">
        <w:rPr>
          <w:color w:val="333333"/>
          <w:szCs w:val="26"/>
          <w:shd w:val="clear" w:color="auto" w:fill="FFFFFF"/>
        </w:rPr>
        <w:t xml:space="preserve">is a work placement programme </w:t>
      </w:r>
      <w:r>
        <w:rPr>
          <w:color w:val="333333"/>
          <w:szCs w:val="26"/>
          <w:shd w:val="clear" w:color="auto" w:fill="FFFFFF"/>
        </w:rPr>
        <w:t>that</w:t>
      </w:r>
      <w:r w:rsidR="00554C73" w:rsidRPr="00554C73">
        <w:rPr>
          <w:color w:val="333333"/>
          <w:szCs w:val="26"/>
          <w:shd w:val="clear" w:color="auto" w:fill="FFFFFF"/>
        </w:rPr>
        <w:t xml:space="preserve"> promote</w:t>
      </w:r>
      <w:r>
        <w:rPr>
          <w:color w:val="333333"/>
          <w:szCs w:val="26"/>
          <w:shd w:val="clear" w:color="auto" w:fill="FFFFFF"/>
        </w:rPr>
        <w:t>s</w:t>
      </w:r>
      <w:r w:rsidR="00554C73" w:rsidRPr="00554C73">
        <w:rPr>
          <w:color w:val="333333"/>
          <w:szCs w:val="26"/>
          <w:shd w:val="clear" w:color="auto" w:fill="FFFFFF"/>
        </w:rPr>
        <w:t xml:space="preserve"> access to the labour market for graduates with disabilities and </w:t>
      </w:r>
      <w:r>
        <w:rPr>
          <w:color w:val="333333"/>
          <w:szCs w:val="26"/>
          <w:shd w:val="clear" w:color="auto" w:fill="FFFFFF"/>
        </w:rPr>
        <w:t xml:space="preserve">works to </w:t>
      </w:r>
      <w:r w:rsidR="00554C73" w:rsidRPr="00554C73">
        <w:rPr>
          <w:color w:val="333333"/>
          <w:szCs w:val="26"/>
          <w:shd w:val="clear" w:color="auto" w:fill="FFFFFF"/>
        </w:rPr>
        <w:t>build the capacity of employers to integrate disability into the mainstream workplace.</w:t>
      </w:r>
      <w:r w:rsidR="00554C73">
        <w:rPr>
          <w:rFonts w:ascii="opensans" w:hAnsi="opensans"/>
          <w:color w:val="333333"/>
          <w:sz w:val="23"/>
          <w:szCs w:val="23"/>
          <w:shd w:val="clear" w:color="auto" w:fill="FFFFFF"/>
        </w:rPr>
        <w:t xml:space="preserve">  </w:t>
      </w:r>
      <w:r w:rsidR="00554C73" w:rsidRPr="00554C73">
        <w:rPr>
          <w:szCs w:val="26"/>
          <w:lang w:eastAsia="en-IE"/>
        </w:rPr>
        <w:t xml:space="preserve">In 2022 a ‘route to permanency’ for the </w:t>
      </w:r>
      <w:r w:rsidR="00554C73">
        <w:rPr>
          <w:szCs w:val="26"/>
          <w:lang w:eastAsia="en-IE"/>
        </w:rPr>
        <w:t>WAM</w:t>
      </w:r>
      <w:r w:rsidR="00554C73" w:rsidRPr="00554C73">
        <w:rPr>
          <w:szCs w:val="26"/>
          <w:lang w:eastAsia="en-IE"/>
        </w:rPr>
        <w:t xml:space="preserve"> programme was piloted. A panel was </w:t>
      </w:r>
      <w:r w:rsidRPr="00554C73">
        <w:rPr>
          <w:szCs w:val="26"/>
          <w:lang w:eastAsia="en-IE"/>
        </w:rPr>
        <w:t>formed,</w:t>
      </w:r>
      <w:r w:rsidR="00554C73" w:rsidRPr="00554C73">
        <w:rPr>
          <w:szCs w:val="26"/>
          <w:lang w:eastAsia="en-IE"/>
        </w:rPr>
        <w:t xml:space="preserve"> and 17 applicants (80% of the cohort) secured permanent roles.</w:t>
      </w:r>
      <w:r>
        <w:rPr>
          <w:szCs w:val="26"/>
          <w:lang w:eastAsia="en-IE"/>
        </w:rPr>
        <w:t xml:space="preserve"> I</w:t>
      </w:r>
      <w:r w:rsidR="00554C73" w:rsidRPr="00554C73">
        <w:rPr>
          <w:szCs w:val="26"/>
          <w:lang w:eastAsia="en-IE"/>
        </w:rPr>
        <w:t>n 2023, 20 new candidates started placements and are now eligible to go through the route to permanency process, which will take place this summer.</w:t>
      </w:r>
      <w:bookmarkStart w:id="33" w:name="_Toc136520394"/>
    </w:p>
    <w:p w14:paraId="73C0C0BF" w14:textId="19D00371" w:rsidR="00F07E14" w:rsidRDefault="00F11536" w:rsidP="007928FE">
      <w:pPr>
        <w:pStyle w:val="Heading3"/>
      </w:pPr>
      <w:bookmarkStart w:id="34" w:name="_Toc170203444"/>
      <w:r>
        <w:t>Enterprise routes to employment</w:t>
      </w:r>
      <w:bookmarkEnd w:id="34"/>
    </w:p>
    <w:p w14:paraId="4E99BD3F" w14:textId="0538E43F" w:rsidR="00F07E14" w:rsidRPr="00BC31A6" w:rsidRDefault="007A1784" w:rsidP="00F07E14">
      <w:pPr>
        <w:pStyle w:val="NormalAfterList"/>
        <w:rPr>
          <w:rFonts w:ascii="Calibri" w:hAnsi="Calibri"/>
          <w:sz w:val="22"/>
          <w:szCs w:val="22"/>
        </w:rPr>
      </w:pPr>
      <w:r>
        <w:rPr>
          <w:szCs w:val="26"/>
        </w:rPr>
        <w:t>The Department of Enterprise, Trade and Employment (</w:t>
      </w:r>
      <w:r w:rsidR="00BC31A6" w:rsidRPr="00BC31A6">
        <w:rPr>
          <w:szCs w:val="26"/>
        </w:rPr>
        <w:t>DETE</w:t>
      </w:r>
      <w:r>
        <w:rPr>
          <w:szCs w:val="26"/>
        </w:rPr>
        <w:t>)</w:t>
      </w:r>
      <w:r w:rsidR="00BC31A6" w:rsidRPr="00BC31A6">
        <w:rPr>
          <w:szCs w:val="26"/>
        </w:rPr>
        <w:t xml:space="preserve"> have </w:t>
      </w:r>
      <w:r w:rsidR="00600139">
        <w:rPr>
          <w:szCs w:val="26"/>
        </w:rPr>
        <w:t>worked with</w:t>
      </w:r>
      <w:r w:rsidR="00BC31A6" w:rsidRPr="00BC31A6">
        <w:rPr>
          <w:szCs w:val="26"/>
        </w:rPr>
        <w:t xml:space="preserve"> </w:t>
      </w:r>
      <w:r w:rsidR="00F07E14" w:rsidRPr="00BC31A6">
        <w:rPr>
          <w:szCs w:val="26"/>
        </w:rPr>
        <w:t>employers and the enterprise sector</w:t>
      </w:r>
      <w:bookmarkEnd w:id="33"/>
      <w:r w:rsidR="00BC31A6" w:rsidRPr="00BC31A6">
        <w:rPr>
          <w:szCs w:val="26"/>
        </w:rPr>
        <w:t xml:space="preserve"> over the course of 2023</w:t>
      </w:r>
      <w:r w:rsidR="00600139">
        <w:rPr>
          <w:szCs w:val="26"/>
        </w:rPr>
        <w:t xml:space="preserve"> to </w:t>
      </w:r>
      <w:r w:rsidR="00600139" w:rsidRPr="00BC31A6">
        <w:rPr>
          <w:szCs w:val="26"/>
        </w:rPr>
        <w:t xml:space="preserve">promote the </w:t>
      </w:r>
      <w:r w:rsidR="00600139">
        <w:rPr>
          <w:szCs w:val="26"/>
        </w:rPr>
        <w:t>benefits of employing people</w:t>
      </w:r>
      <w:r w:rsidR="00600139" w:rsidRPr="00BC31A6">
        <w:rPr>
          <w:szCs w:val="26"/>
        </w:rPr>
        <w:t xml:space="preserve"> with disabilities</w:t>
      </w:r>
      <w:r w:rsidR="00BC31A6" w:rsidRPr="00BC31A6">
        <w:rPr>
          <w:szCs w:val="26"/>
        </w:rPr>
        <w:t>.</w:t>
      </w:r>
      <w:bookmarkStart w:id="35" w:name="_Toc136520395"/>
      <w:r w:rsidR="00BC31A6" w:rsidRPr="00BC31A6">
        <w:rPr>
          <w:szCs w:val="26"/>
        </w:rPr>
        <w:t xml:space="preserve"> DETE acknowledge</w:t>
      </w:r>
      <w:r>
        <w:rPr>
          <w:szCs w:val="26"/>
        </w:rPr>
        <w:t>s that</w:t>
      </w:r>
      <w:r w:rsidR="00BC31A6" w:rsidRPr="00BC31A6">
        <w:rPr>
          <w:szCs w:val="26"/>
        </w:rPr>
        <w:t xml:space="preserve"> e</w:t>
      </w:r>
      <w:r w:rsidR="00F07E14" w:rsidRPr="00BC31A6">
        <w:rPr>
          <w:szCs w:val="26"/>
        </w:rPr>
        <w:t xml:space="preserve">nterprise routes such as entrepreneurship are increasingly important employment options for people with disabilities. </w:t>
      </w:r>
      <w:bookmarkStart w:id="36" w:name="_Toc136520396"/>
      <w:bookmarkEnd w:id="35"/>
      <w:r w:rsidR="00F07E14" w:rsidRPr="00BC31A6">
        <w:rPr>
          <w:szCs w:val="26"/>
        </w:rPr>
        <w:t>In December 2022</w:t>
      </w:r>
      <w:r>
        <w:rPr>
          <w:szCs w:val="26"/>
        </w:rPr>
        <w:t>,</w:t>
      </w:r>
      <w:r w:rsidR="00F07E14" w:rsidRPr="00BC31A6">
        <w:rPr>
          <w:szCs w:val="26"/>
        </w:rPr>
        <w:t xml:space="preserve"> the Department published a report it commissioned the </w:t>
      </w:r>
      <w:r w:rsidR="00C76191" w:rsidRPr="00034D95">
        <w:rPr>
          <w:szCs w:val="26"/>
        </w:rPr>
        <w:t>Organisation for Economic Cooperation and Development</w:t>
      </w:r>
      <w:r w:rsidR="00F07E14" w:rsidRPr="00BC31A6">
        <w:rPr>
          <w:szCs w:val="26"/>
        </w:rPr>
        <w:t xml:space="preserve"> to undertake to assess inclusive</w:t>
      </w:r>
      <w:r w:rsidR="00F07E14">
        <w:t xml:space="preserve"> entrepreneurship training and provide recommendations</w:t>
      </w:r>
      <w:bookmarkEnd w:id="36"/>
      <w:r w:rsidR="00F07E14">
        <w:t xml:space="preserve">. Based on the report </w:t>
      </w:r>
      <w:r w:rsidR="00AC5899">
        <w:t>DETE</w:t>
      </w:r>
      <w:r w:rsidR="00F07E14">
        <w:t xml:space="preserve"> have identified three priority actions to be taken to strengthen entrepreneurship training for people from under-represented groups. These </w:t>
      </w:r>
      <w:r w:rsidR="00CF53EA">
        <w:t>are</w:t>
      </w:r>
      <w:r w:rsidR="006D7B4C">
        <w:t>:</w:t>
      </w:r>
      <w:r w:rsidR="00F07E14">
        <w:t xml:space="preserve"> </w:t>
      </w:r>
    </w:p>
    <w:p w14:paraId="7AFDF8D1" w14:textId="088C908C" w:rsidR="00F07E14" w:rsidRPr="00F07E14" w:rsidRDefault="007A1784" w:rsidP="006D7B4C">
      <w:pPr>
        <w:pStyle w:val="NormalAfterList"/>
        <w:numPr>
          <w:ilvl w:val="0"/>
          <w:numId w:val="58"/>
        </w:numPr>
        <w:spacing w:after="0"/>
        <w:rPr>
          <w:szCs w:val="26"/>
        </w:rPr>
      </w:pPr>
      <w:r>
        <w:rPr>
          <w:szCs w:val="26"/>
        </w:rPr>
        <w:t>C</w:t>
      </w:r>
      <w:r w:rsidR="00F07E14" w:rsidRPr="00F07E14">
        <w:rPr>
          <w:szCs w:val="26"/>
        </w:rPr>
        <w:t xml:space="preserve">reating a referral system for entrepreneurship training courses that are targeted at specific groups; </w:t>
      </w:r>
    </w:p>
    <w:p w14:paraId="7C3F6F72" w14:textId="6DCCD670" w:rsidR="00F07E14" w:rsidRPr="00F07E14" w:rsidRDefault="007A1784" w:rsidP="006D7B4C">
      <w:pPr>
        <w:pStyle w:val="NormalAfterList"/>
        <w:numPr>
          <w:ilvl w:val="0"/>
          <w:numId w:val="58"/>
        </w:numPr>
        <w:spacing w:before="0" w:after="0"/>
        <w:rPr>
          <w:szCs w:val="26"/>
        </w:rPr>
      </w:pPr>
      <w:r>
        <w:rPr>
          <w:szCs w:val="26"/>
        </w:rPr>
        <w:t>A</w:t>
      </w:r>
      <w:r w:rsidR="00F07E14" w:rsidRPr="00F07E14">
        <w:rPr>
          <w:szCs w:val="26"/>
        </w:rPr>
        <w:t xml:space="preserve">dapting the content and method of delivery of the Local Enterprise Office entrepreneurship training and mentoring programmes to suit the needs of different social groups, in consultation with representative bodies; </w:t>
      </w:r>
      <w:r>
        <w:rPr>
          <w:szCs w:val="26"/>
        </w:rPr>
        <w:t>and</w:t>
      </w:r>
    </w:p>
    <w:p w14:paraId="28A35CA1" w14:textId="776F0E02" w:rsidR="00F07E14" w:rsidRPr="00F07E14" w:rsidRDefault="007A1784" w:rsidP="00F07E14">
      <w:pPr>
        <w:pStyle w:val="NormalAfterList"/>
        <w:numPr>
          <w:ilvl w:val="0"/>
          <w:numId w:val="58"/>
        </w:numPr>
        <w:rPr>
          <w:szCs w:val="26"/>
        </w:rPr>
      </w:pPr>
      <w:r>
        <w:rPr>
          <w:szCs w:val="26"/>
        </w:rPr>
        <w:t>D</w:t>
      </w:r>
      <w:r w:rsidR="00F07E14" w:rsidRPr="00F07E14">
        <w:rPr>
          <w:szCs w:val="26"/>
        </w:rPr>
        <w:t>eveloping standardised training for trainers and mentors on diversity and working with under-represented groups.</w:t>
      </w:r>
    </w:p>
    <w:p w14:paraId="0EF6C91A" w14:textId="2C771AE9" w:rsidR="00AC5899" w:rsidRPr="00316A7E" w:rsidRDefault="00AC5899" w:rsidP="00316A7E">
      <w:pPr>
        <w:pStyle w:val="NormalAfterList"/>
      </w:pPr>
      <w:r>
        <w:t xml:space="preserve">To support their work </w:t>
      </w:r>
      <w:r w:rsidR="00F11536">
        <w:t>DETE</w:t>
      </w:r>
      <w:r w:rsidR="00F07E14">
        <w:t xml:space="preserve"> maintain a Mapping of Supports document which includes information on both State and non-State supports. The Mapping document is regularly updated to include information on inclusive entrepreneurship supports. </w:t>
      </w:r>
      <w:r>
        <w:t xml:space="preserve">To further this work and </w:t>
      </w:r>
      <w:r w:rsidR="00F11536">
        <w:t>i</w:t>
      </w:r>
      <w:r w:rsidR="00F07E14">
        <w:t xml:space="preserve">n conjunction with the Local Enterprise Offices, a working group </w:t>
      </w:r>
      <w:r w:rsidR="00F11536">
        <w:t>is currently</w:t>
      </w:r>
      <w:r w:rsidR="00F07E14">
        <w:t xml:space="preserve"> exploring options for the development of a bespoke programme for new entrepreneurs.</w:t>
      </w:r>
      <w:r w:rsidR="00F11536">
        <w:t xml:space="preserve"> I</w:t>
      </w:r>
      <w:r w:rsidR="00F07E14">
        <w:t>nclusiveness will be a key feature of any new programme</w:t>
      </w:r>
      <w:r>
        <w:t>.</w:t>
      </w:r>
    </w:p>
    <w:p w14:paraId="7724434D" w14:textId="6B78A8F6" w:rsidR="001120DD" w:rsidRPr="00F07E14" w:rsidRDefault="00F07E14" w:rsidP="007928FE">
      <w:pPr>
        <w:pStyle w:val="Heading3"/>
      </w:pPr>
      <w:bookmarkStart w:id="37" w:name="_Toc170203445"/>
      <w:r w:rsidRPr="00F07E14">
        <w:t>Transport progress during 2023</w:t>
      </w:r>
      <w:bookmarkEnd w:id="37"/>
    </w:p>
    <w:p w14:paraId="7A550D61" w14:textId="5FE73D81" w:rsidR="00AC5899" w:rsidRDefault="00CF53EA" w:rsidP="00132791">
      <w:r>
        <w:t>Affordable and accessible t</w:t>
      </w:r>
      <w:r w:rsidR="00132791">
        <w:t xml:space="preserve">ransport </w:t>
      </w:r>
      <w:r>
        <w:t xml:space="preserve">is essential </w:t>
      </w:r>
      <w:r w:rsidR="00132791">
        <w:t xml:space="preserve">to get to </w:t>
      </w:r>
      <w:r w:rsidR="002871EA">
        <w:t xml:space="preserve">college and </w:t>
      </w:r>
      <w:r w:rsidR="00132791">
        <w:t xml:space="preserve">work. </w:t>
      </w:r>
      <w:r w:rsidR="00132791" w:rsidRPr="002C3231">
        <w:t xml:space="preserve">Those with sight, mobility or intellectual disabilities are most likely to cite transport as </w:t>
      </w:r>
      <w:r w:rsidR="00662AF0">
        <w:t xml:space="preserve">a </w:t>
      </w:r>
      <w:r w:rsidR="00662AF0">
        <w:lastRenderedPageBreak/>
        <w:t>barrier to</w:t>
      </w:r>
      <w:r w:rsidR="00132791" w:rsidRPr="002C3231">
        <w:t xml:space="preserve"> employment.</w:t>
      </w:r>
      <w:r w:rsidR="00132791" w:rsidRPr="002C3231">
        <w:rPr>
          <w:rStyle w:val="FootnoteReference"/>
        </w:rPr>
        <w:footnoteReference w:id="23"/>
      </w:r>
      <w:r w:rsidR="00132791">
        <w:t xml:space="preserve"> </w:t>
      </w:r>
      <w:r w:rsidR="00AC5899">
        <w:t xml:space="preserve">In consultations disabled people </w:t>
      </w:r>
      <w:r>
        <w:t>frequently mention</w:t>
      </w:r>
      <w:r w:rsidR="00AC5899">
        <w:t xml:space="preserve"> the lack of accessible</w:t>
      </w:r>
      <w:r w:rsidR="00B706EE">
        <w:t xml:space="preserve">, reliable, and connected </w:t>
      </w:r>
      <w:r w:rsidR="00AC5899">
        <w:t>transport</w:t>
      </w:r>
      <w:r w:rsidR="00B706EE">
        <w:t xml:space="preserve"> as a challenge to participation in society and work.</w:t>
      </w:r>
    </w:p>
    <w:p w14:paraId="2745DC00" w14:textId="247F60F6" w:rsidR="00AC5899" w:rsidRDefault="007A1784" w:rsidP="00132791">
      <w:r>
        <w:rPr>
          <w:lang w:val="en-US"/>
        </w:rPr>
        <w:t xml:space="preserve">The </w:t>
      </w:r>
      <w:r w:rsidR="00C70F2A">
        <w:rPr>
          <w:lang w:val="en-US"/>
        </w:rPr>
        <w:t>National Transport Authority (</w:t>
      </w:r>
      <w:r w:rsidR="00C70F2A">
        <w:rPr>
          <w:rFonts w:eastAsiaTheme="minorHAnsi"/>
        </w:rPr>
        <w:t>NTA)</w:t>
      </w:r>
      <w:r w:rsidR="00B706EE">
        <w:rPr>
          <w:rFonts w:eastAsiaTheme="minorHAnsi"/>
        </w:rPr>
        <w:t xml:space="preserve"> reported</w:t>
      </w:r>
      <w:r w:rsidR="00AC5899">
        <w:t xml:space="preserve"> progress </w:t>
      </w:r>
      <w:r w:rsidR="00B706EE">
        <w:t xml:space="preserve">in the following </w:t>
      </w:r>
      <w:r w:rsidR="00AC5899">
        <w:t>area</w:t>
      </w:r>
      <w:r w:rsidR="003A01E1">
        <w:t>s</w:t>
      </w:r>
      <w:r w:rsidR="00AC5899">
        <w:t xml:space="preserve"> over 2023</w:t>
      </w:r>
      <w:r w:rsidR="003A01E1">
        <w:t>.</w:t>
      </w:r>
    </w:p>
    <w:p w14:paraId="417C845C" w14:textId="48C72CE2" w:rsidR="00433926" w:rsidRPr="00662AF0" w:rsidRDefault="00433926" w:rsidP="00433926">
      <w:pPr>
        <w:pStyle w:val="ListParagraph"/>
        <w:numPr>
          <w:ilvl w:val="0"/>
          <w:numId w:val="66"/>
        </w:numPr>
        <w:rPr>
          <w:rFonts w:ascii="Gill Sans MT" w:hAnsi="Gill Sans MT"/>
          <w:sz w:val="26"/>
          <w:szCs w:val="26"/>
        </w:rPr>
      </w:pPr>
      <w:bookmarkStart w:id="38" w:name="_Toc96521888"/>
      <w:bookmarkStart w:id="39" w:name="_Toc130474361"/>
      <w:r w:rsidRPr="00662AF0">
        <w:rPr>
          <w:rFonts w:ascii="Gill Sans MT" w:hAnsi="Gill Sans MT"/>
          <w:sz w:val="26"/>
          <w:szCs w:val="26"/>
        </w:rPr>
        <w:t>Since 2020, 47 rail stations had their lifts upgraded/replaced with mechanical improvements on lifts carried out in 12 other stations</w:t>
      </w:r>
      <w:r w:rsidR="00197AAE" w:rsidRPr="00662AF0">
        <w:rPr>
          <w:rFonts w:ascii="Gill Sans MT" w:hAnsi="Gill Sans MT"/>
          <w:sz w:val="26"/>
          <w:szCs w:val="26"/>
        </w:rPr>
        <w:t>;</w:t>
      </w:r>
    </w:p>
    <w:p w14:paraId="3DAEE5AF" w14:textId="6DA9DC4C" w:rsidR="00433926" w:rsidRPr="00662AF0" w:rsidRDefault="00433926" w:rsidP="00662AF0">
      <w:pPr>
        <w:pStyle w:val="ListParagraph"/>
        <w:numPr>
          <w:ilvl w:val="0"/>
          <w:numId w:val="66"/>
        </w:numPr>
        <w:spacing w:after="0"/>
        <w:rPr>
          <w:rFonts w:ascii="Gill Sans MT" w:hAnsi="Gill Sans MT"/>
          <w:sz w:val="26"/>
          <w:szCs w:val="26"/>
        </w:rPr>
      </w:pPr>
      <w:r w:rsidRPr="00662AF0">
        <w:rPr>
          <w:rFonts w:ascii="Gill Sans MT" w:hAnsi="Gill Sans MT"/>
          <w:sz w:val="26"/>
          <w:szCs w:val="26"/>
        </w:rPr>
        <w:t>Since 2023, Irish Rail have installed a video security system on 55 lifts to reduce the amount of lift faults caused by vandalism</w:t>
      </w:r>
      <w:r w:rsidR="00197AAE" w:rsidRPr="00662AF0">
        <w:rPr>
          <w:rFonts w:ascii="Gill Sans MT" w:hAnsi="Gill Sans MT"/>
          <w:sz w:val="26"/>
          <w:szCs w:val="26"/>
        </w:rPr>
        <w:t>;</w:t>
      </w:r>
      <w:r w:rsidRPr="00662AF0">
        <w:rPr>
          <w:rFonts w:ascii="Gill Sans MT" w:hAnsi="Gill Sans MT"/>
          <w:sz w:val="26"/>
          <w:szCs w:val="26"/>
        </w:rPr>
        <w:t xml:space="preserve"> </w:t>
      </w:r>
    </w:p>
    <w:p w14:paraId="79AE34D3" w14:textId="2875513D" w:rsidR="00433926" w:rsidRPr="00662AF0" w:rsidRDefault="00433926" w:rsidP="00662AF0">
      <w:pPr>
        <w:pStyle w:val="NormalBeforeList"/>
        <w:numPr>
          <w:ilvl w:val="0"/>
          <w:numId w:val="66"/>
        </w:numPr>
        <w:spacing w:after="0"/>
        <w:rPr>
          <w:szCs w:val="26"/>
        </w:rPr>
      </w:pPr>
      <w:r w:rsidRPr="00662AF0">
        <w:rPr>
          <w:szCs w:val="26"/>
        </w:rPr>
        <w:t xml:space="preserve">New footbridges over the railway lines and lifts have been installed in Little Island and </w:t>
      </w:r>
      <w:proofErr w:type="spellStart"/>
      <w:r w:rsidRPr="00662AF0">
        <w:rPr>
          <w:szCs w:val="26"/>
        </w:rPr>
        <w:t>Banteer</w:t>
      </w:r>
      <w:proofErr w:type="spellEnd"/>
      <w:r w:rsidRPr="00662AF0">
        <w:rPr>
          <w:szCs w:val="26"/>
        </w:rPr>
        <w:t xml:space="preserve"> in 2023 whilst more stations </w:t>
      </w:r>
      <w:r w:rsidRPr="00662AF0">
        <w:rPr>
          <w:strike/>
          <w:szCs w:val="26"/>
        </w:rPr>
        <w:t xml:space="preserve">and more are </w:t>
      </w:r>
      <w:proofErr w:type="gramStart"/>
      <w:r w:rsidRPr="00662AF0">
        <w:rPr>
          <w:strike/>
          <w:szCs w:val="26"/>
        </w:rPr>
        <w:t>going</w:t>
      </w:r>
      <w:r w:rsidRPr="00662AF0">
        <w:rPr>
          <w:szCs w:val="26"/>
        </w:rPr>
        <w:t xml:space="preserve">  are</w:t>
      </w:r>
      <w:proofErr w:type="gramEnd"/>
      <w:r w:rsidRPr="00662AF0">
        <w:rPr>
          <w:szCs w:val="26"/>
        </w:rPr>
        <w:t xml:space="preserve"> proceeding through detailed design for installation. This will improve accessibility for all passengers</w:t>
      </w:r>
      <w:r w:rsidR="00197AAE" w:rsidRPr="00662AF0">
        <w:rPr>
          <w:szCs w:val="26"/>
        </w:rPr>
        <w:t>;</w:t>
      </w:r>
    </w:p>
    <w:p w14:paraId="2B2D8315" w14:textId="37BA4DEE" w:rsidR="00433926" w:rsidRPr="00662AF0" w:rsidRDefault="00433926" w:rsidP="00662AF0">
      <w:pPr>
        <w:pStyle w:val="NormalBeforeList"/>
        <w:numPr>
          <w:ilvl w:val="0"/>
          <w:numId w:val="66"/>
        </w:numPr>
        <w:spacing w:after="0"/>
        <w:rPr>
          <w:szCs w:val="26"/>
        </w:rPr>
      </w:pPr>
      <w:r w:rsidRPr="00662AF0">
        <w:rPr>
          <w:szCs w:val="26"/>
        </w:rPr>
        <w:t>New signage has been installed in 110 rail stations to date to allow customers navigate to the facilities within it more easily</w:t>
      </w:r>
      <w:r w:rsidR="00197AAE" w:rsidRPr="00662AF0">
        <w:rPr>
          <w:szCs w:val="26"/>
        </w:rPr>
        <w:t>;</w:t>
      </w:r>
    </w:p>
    <w:p w14:paraId="0C0A7CFF" w14:textId="014C62DB" w:rsidR="00433926" w:rsidRPr="00662AF0" w:rsidRDefault="00433926" w:rsidP="00662AF0">
      <w:pPr>
        <w:pStyle w:val="NormalBeforeList"/>
        <w:numPr>
          <w:ilvl w:val="0"/>
          <w:numId w:val="66"/>
        </w:numPr>
        <w:spacing w:after="0"/>
        <w:rPr>
          <w:szCs w:val="26"/>
        </w:rPr>
      </w:pPr>
      <w:r w:rsidRPr="00662AF0">
        <w:rPr>
          <w:szCs w:val="26"/>
        </w:rPr>
        <w:t xml:space="preserve">A Changing Places facility has been installed in Connolly and </w:t>
      </w:r>
      <w:proofErr w:type="spellStart"/>
      <w:r w:rsidRPr="00662AF0">
        <w:rPr>
          <w:szCs w:val="26"/>
        </w:rPr>
        <w:t>Heuston</w:t>
      </w:r>
      <w:proofErr w:type="spellEnd"/>
      <w:r w:rsidRPr="00662AF0">
        <w:rPr>
          <w:szCs w:val="26"/>
        </w:rPr>
        <w:t xml:space="preserve"> Stations and plans are under way for Changing Places facilities in </w:t>
      </w:r>
      <w:r w:rsidRPr="00662AF0">
        <w:rPr>
          <w:szCs w:val="26"/>
          <w:lang w:eastAsia="en-IE"/>
        </w:rPr>
        <w:t xml:space="preserve">2024 in Limerick, </w:t>
      </w:r>
      <w:proofErr w:type="gramStart"/>
      <w:r w:rsidRPr="00662AF0">
        <w:rPr>
          <w:szCs w:val="26"/>
          <w:lang w:eastAsia="en-IE"/>
        </w:rPr>
        <w:t>Waterford</w:t>
      </w:r>
      <w:proofErr w:type="gramEnd"/>
      <w:r w:rsidRPr="00662AF0">
        <w:rPr>
          <w:szCs w:val="26"/>
          <w:lang w:eastAsia="en-IE"/>
        </w:rPr>
        <w:t xml:space="preserve"> and Galway stations</w:t>
      </w:r>
      <w:r w:rsidR="00197AAE" w:rsidRPr="00662AF0">
        <w:rPr>
          <w:szCs w:val="26"/>
          <w:lang w:eastAsia="en-IE"/>
        </w:rPr>
        <w:t>;</w:t>
      </w:r>
    </w:p>
    <w:p w14:paraId="0969F73D" w14:textId="6A79124B" w:rsidR="00433926" w:rsidRPr="00662AF0" w:rsidRDefault="00433926" w:rsidP="00662AF0">
      <w:pPr>
        <w:pStyle w:val="NormalBeforeList"/>
        <w:numPr>
          <w:ilvl w:val="0"/>
          <w:numId w:val="66"/>
        </w:numPr>
        <w:spacing w:after="0"/>
        <w:rPr>
          <w:szCs w:val="26"/>
        </w:rPr>
      </w:pPr>
      <w:r w:rsidRPr="00662AF0">
        <w:rPr>
          <w:szCs w:val="26"/>
          <w:lang w:eastAsia="en-IE"/>
        </w:rPr>
        <w:t>Wheelchair accessible bus bays, for high floor coaches, have been completed in 17 stations, three more in construction with the remaining four locations in the process of being designed</w:t>
      </w:r>
      <w:r w:rsidR="00197AAE" w:rsidRPr="00662AF0">
        <w:rPr>
          <w:szCs w:val="26"/>
          <w:lang w:eastAsia="en-IE"/>
        </w:rPr>
        <w:t>;</w:t>
      </w:r>
    </w:p>
    <w:p w14:paraId="413EA644" w14:textId="41BFC3EE" w:rsidR="00433926" w:rsidRPr="00662AF0" w:rsidRDefault="00433926" w:rsidP="00662AF0">
      <w:pPr>
        <w:pStyle w:val="NormalBeforeList"/>
        <w:numPr>
          <w:ilvl w:val="0"/>
          <w:numId w:val="66"/>
        </w:numPr>
        <w:spacing w:after="0"/>
        <w:rPr>
          <w:rFonts w:eastAsiaTheme="minorHAnsi"/>
          <w:szCs w:val="26"/>
        </w:rPr>
      </w:pPr>
      <w:r w:rsidRPr="00662AF0">
        <w:rPr>
          <w:szCs w:val="26"/>
        </w:rPr>
        <w:t xml:space="preserve">All Dublin Bus, Bus </w:t>
      </w:r>
      <w:proofErr w:type="spellStart"/>
      <w:r w:rsidRPr="00662AF0">
        <w:rPr>
          <w:szCs w:val="26"/>
        </w:rPr>
        <w:t>Éireann</w:t>
      </w:r>
      <w:proofErr w:type="spellEnd"/>
      <w:r w:rsidRPr="00662AF0">
        <w:rPr>
          <w:szCs w:val="26"/>
        </w:rPr>
        <w:t xml:space="preserve"> and </w:t>
      </w:r>
      <w:proofErr w:type="gramStart"/>
      <w:r w:rsidRPr="00662AF0">
        <w:rPr>
          <w:szCs w:val="26"/>
        </w:rPr>
        <w:t>Go Ahead</w:t>
      </w:r>
      <w:proofErr w:type="gramEnd"/>
      <w:r w:rsidRPr="00662AF0">
        <w:rPr>
          <w:szCs w:val="26"/>
        </w:rPr>
        <w:t xml:space="preserve"> city fleets are wheelchair accessible and 88% of Dublin Bus fleet have a dedicated wheelchair space and a separate buggy space</w:t>
      </w:r>
      <w:r w:rsidR="00197AAE" w:rsidRPr="00662AF0">
        <w:rPr>
          <w:szCs w:val="26"/>
        </w:rPr>
        <w:t>;</w:t>
      </w:r>
    </w:p>
    <w:p w14:paraId="1B7D6702" w14:textId="74CC49FD" w:rsidR="00433926" w:rsidRPr="00662AF0" w:rsidRDefault="00433926" w:rsidP="00197AAE">
      <w:pPr>
        <w:pStyle w:val="ListParagraph"/>
        <w:numPr>
          <w:ilvl w:val="0"/>
          <w:numId w:val="66"/>
        </w:numPr>
        <w:spacing w:line="240" w:lineRule="auto"/>
        <w:rPr>
          <w:rFonts w:ascii="Gill Sans MT" w:hAnsi="Gill Sans MT" w:cs="Arial"/>
          <w:sz w:val="26"/>
          <w:szCs w:val="26"/>
        </w:rPr>
      </w:pPr>
      <w:r w:rsidRPr="00662AF0">
        <w:rPr>
          <w:rFonts w:ascii="Gill Sans MT" w:hAnsi="Gill Sans MT"/>
          <w:sz w:val="26"/>
          <w:szCs w:val="26"/>
        </w:rPr>
        <w:t>All regional coach services for Transport for Ireland are also wheelchair accessible and the NTA are purchasing low floor coaches for longer journeys also which now have a dedicated wheelchair space and audio/visual announcements</w:t>
      </w:r>
      <w:r w:rsidR="00197AAE" w:rsidRPr="00662AF0">
        <w:rPr>
          <w:rFonts w:ascii="Gill Sans MT" w:hAnsi="Gill Sans MT"/>
          <w:sz w:val="26"/>
          <w:szCs w:val="26"/>
        </w:rPr>
        <w:t>;</w:t>
      </w:r>
      <w:r w:rsidRPr="00662AF0">
        <w:rPr>
          <w:rFonts w:ascii="Gill Sans MT" w:hAnsi="Gill Sans MT"/>
          <w:sz w:val="26"/>
          <w:szCs w:val="26"/>
        </w:rPr>
        <w:t xml:space="preserve"> </w:t>
      </w:r>
    </w:p>
    <w:p w14:paraId="34E56536" w14:textId="5C3F6884" w:rsidR="00433926" w:rsidRPr="00662AF0" w:rsidRDefault="00433926" w:rsidP="00197AAE">
      <w:pPr>
        <w:pStyle w:val="ListParagraph"/>
        <w:numPr>
          <w:ilvl w:val="0"/>
          <w:numId w:val="66"/>
        </w:numPr>
        <w:spacing w:line="240" w:lineRule="auto"/>
        <w:rPr>
          <w:rFonts w:ascii="Gill Sans MT" w:hAnsi="Gill Sans MT" w:cs="Arial"/>
          <w:sz w:val="26"/>
          <w:szCs w:val="26"/>
        </w:rPr>
      </w:pPr>
      <w:r w:rsidRPr="00662AF0">
        <w:rPr>
          <w:rFonts w:ascii="Gill Sans MT" w:hAnsi="Gill Sans MT"/>
          <w:sz w:val="26"/>
          <w:szCs w:val="26"/>
        </w:rPr>
        <w:t>New town services have been launched in Clonmel, Kilkenny and Carlow with low floor wheelchair accessible buses with audio and visual information displays</w:t>
      </w:r>
      <w:r w:rsidR="00197AAE" w:rsidRPr="00662AF0">
        <w:rPr>
          <w:rFonts w:ascii="Gill Sans MT" w:hAnsi="Gill Sans MT"/>
          <w:sz w:val="26"/>
          <w:szCs w:val="26"/>
        </w:rPr>
        <w:t>; and</w:t>
      </w:r>
    </w:p>
    <w:p w14:paraId="5F6885E8" w14:textId="77777777" w:rsidR="00433926" w:rsidRPr="00662AF0" w:rsidRDefault="00433926" w:rsidP="00197AAE">
      <w:pPr>
        <w:pStyle w:val="ListParagraph"/>
        <w:numPr>
          <w:ilvl w:val="0"/>
          <w:numId w:val="66"/>
        </w:numPr>
        <w:spacing w:line="240" w:lineRule="auto"/>
        <w:rPr>
          <w:rFonts w:ascii="Gill Sans MT" w:hAnsi="Gill Sans MT" w:cs="Arial"/>
          <w:sz w:val="26"/>
          <w:szCs w:val="26"/>
        </w:rPr>
      </w:pPr>
      <w:r w:rsidRPr="00662AF0">
        <w:rPr>
          <w:rFonts w:ascii="Gill Sans MT" w:hAnsi="Gill Sans MT" w:cs="Arial"/>
          <w:sz w:val="26"/>
          <w:szCs w:val="26"/>
        </w:rPr>
        <w:t xml:space="preserve">Connecting Ireland is a major five-year public transport initiative developed to increase connectivity outside our major cities and towns. They provide scheduled timetable services and demand responsive services. </w:t>
      </w:r>
      <w:r w:rsidRPr="00662AF0">
        <w:rPr>
          <w:rFonts w:ascii="Gill Sans MT" w:hAnsi="Gill Sans MT" w:cstheme="minorHAnsi"/>
          <w:sz w:val="26"/>
          <w:szCs w:val="26"/>
        </w:rPr>
        <w:t xml:space="preserve">Over 100 new or additional services have been introduced since </w:t>
      </w:r>
      <w:r w:rsidRPr="00662AF0">
        <w:rPr>
          <w:rFonts w:ascii="Gill Sans MT" w:hAnsi="Gill Sans MT" w:cstheme="minorHAnsi"/>
          <w:sz w:val="26"/>
          <w:szCs w:val="26"/>
        </w:rPr>
        <w:lastRenderedPageBreak/>
        <w:t>the beginning of Connecting Ireland, in mid-2022.</w:t>
      </w:r>
      <w:r w:rsidRPr="00662AF0">
        <w:rPr>
          <w:rFonts w:ascii="Gill Sans MT" w:hAnsi="Gill Sans MT"/>
          <w:sz w:val="26"/>
          <w:szCs w:val="26"/>
        </w:rPr>
        <w:t xml:space="preserve"> Over 95% of TFI Local Link services in rural areas are wheelchair accessible.</w:t>
      </w:r>
    </w:p>
    <w:p w14:paraId="342AA9DB" w14:textId="4948C587" w:rsidR="005C66E5" w:rsidRPr="009F7F01" w:rsidRDefault="00017BEF" w:rsidP="009F7F01">
      <w:pPr>
        <w:pStyle w:val="Heading2"/>
      </w:pPr>
      <w:bookmarkStart w:id="40" w:name="_Toc170203446"/>
      <w:r w:rsidRPr="000258CB">
        <w:t>S</w:t>
      </w:r>
      <w:r>
        <w:t xml:space="preserve">trategic </w:t>
      </w:r>
      <w:r w:rsidRPr="000258CB">
        <w:t>P</w:t>
      </w:r>
      <w:r>
        <w:t>riority 3:</w:t>
      </w:r>
      <w:r w:rsidR="005B288A" w:rsidRPr="009C36AC">
        <w:t xml:space="preserve"> Make work pay</w:t>
      </w:r>
      <w:bookmarkStart w:id="41" w:name="_Toc96521890"/>
      <w:bookmarkEnd w:id="38"/>
      <w:bookmarkEnd w:id="39"/>
      <w:bookmarkEnd w:id="40"/>
    </w:p>
    <w:p w14:paraId="3076895D" w14:textId="77777777" w:rsidR="005C66E5" w:rsidRPr="005C66E5" w:rsidRDefault="005C66E5" w:rsidP="007928FE">
      <w:pPr>
        <w:pStyle w:val="Heading3"/>
        <w:rPr>
          <w:rFonts w:eastAsia="Gill Sans MT"/>
        </w:rPr>
      </w:pPr>
      <w:bookmarkStart w:id="42" w:name="_Toc170203447"/>
      <w:r w:rsidRPr="005C66E5">
        <w:rPr>
          <w:rFonts w:eastAsia="Gill Sans MT"/>
        </w:rPr>
        <w:t>Information on employment options</w:t>
      </w:r>
      <w:bookmarkEnd w:id="42"/>
    </w:p>
    <w:p w14:paraId="30142CCE" w14:textId="264FD105" w:rsidR="001C77E0" w:rsidRPr="00B768C8" w:rsidRDefault="00B431CD" w:rsidP="00B768C8">
      <w:pPr>
        <w:pStyle w:val="Default"/>
        <w:spacing w:after="240"/>
        <w:rPr>
          <w:rFonts w:ascii="Gill Sans MT" w:eastAsia="Gill Sans MT" w:hAnsi="Gill Sans MT" w:cs="Gill Sans MT"/>
          <w:sz w:val="26"/>
          <w:szCs w:val="26"/>
        </w:rPr>
      </w:pPr>
      <w:r>
        <w:rPr>
          <w:rFonts w:ascii="Gill Sans MT" w:eastAsia="Gill Sans MT" w:hAnsi="Gill Sans MT" w:cs="Gill Sans MT"/>
          <w:sz w:val="26"/>
          <w:szCs w:val="26"/>
        </w:rPr>
        <w:t>An e</w:t>
      </w:r>
      <w:r w:rsidR="001A30D7" w:rsidRPr="001C77E0">
        <w:rPr>
          <w:rFonts w:ascii="Gill Sans MT" w:eastAsia="Gill Sans MT" w:hAnsi="Gill Sans MT" w:cs="Gill Sans MT"/>
          <w:sz w:val="26"/>
          <w:szCs w:val="26"/>
        </w:rPr>
        <w:t>arly engagement</w:t>
      </w:r>
      <w:r w:rsidR="007C1D83" w:rsidRPr="001C77E0">
        <w:rPr>
          <w:rFonts w:ascii="Gill Sans MT" w:eastAsia="Gill Sans MT" w:hAnsi="Gill Sans MT" w:cs="Gill Sans MT"/>
          <w:sz w:val="26"/>
          <w:szCs w:val="26"/>
        </w:rPr>
        <w:t xml:space="preserve"> process</w:t>
      </w:r>
      <w:r w:rsidR="00B768C8">
        <w:rPr>
          <w:rFonts w:ascii="Gill Sans MT" w:eastAsia="Gill Sans MT" w:hAnsi="Gill Sans MT" w:cs="Gill Sans MT"/>
          <w:sz w:val="26"/>
          <w:szCs w:val="26"/>
        </w:rPr>
        <w:t>,</w:t>
      </w:r>
      <w:r w:rsidR="00B768C8" w:rsidRPr="001C77E0">
        <w:rPr>
          <w:rFonts w:ascii="Gill Sans MT" w:eastAsia="Gill Sans MT" w:hAnsi="Gill Sans MT" w:cs="Gill Sans MT"/>
          <w:sz w:val="26"/>
          <w:szCs w:val="26"/>
        </w:rPr>
        <w:t xml:space="preserve"> </w:t>
      </w:r>
      <w:r w:rsidR="00B768C8">
        <w:rPr>
          <w:rFonts w:ascii="Gill Sans MT" w:eastAsia="Gill Sans MT" w:hAnsi="Gill Sans MT" w:cs="Gill Sans MT"/>
          <w:sz w:val="26"/>
          <w:szCs w:val="26"/>
        </w:rPr>
        <w:t>a recommendation from the Make Work Pay 2017 report,</w:t>
      </w:r>
      <w:r w:rsidR="00B768C8">
        <w:rPr>
          <w:rStyle w:val="FootnoteReference"/>
          <w:rFonts w:eastAsia="Gill Sans MT" w:cs="Gill Sans MT"/>
          <w:szCs w:val="26"/>
        </w:rPr>
        <w:footnoteReference w:id="24"/>
      </w:r>
      <w:r w:rsidR="00B768C8">
        <w:rPr>
          <w:rFonts w:ascii="Gill Sans MT" w:eastAsia="Gill Sans MT" w:hAnsi="Gill Sans MT" w:cs="Gill Sans MT"/>
          <w:sz w:val="26"/>
          <w:szCs w:val="26"/>
        </w:rPr>
        <w:t xml:space="preserve"> is </w:t>
      </w:r>
      <w:r w:rsidR="007C1D83" w:rsidRPr="001C77E0">
        <w:rPr>
          <w:rFonts w:ascii="Gill Sans MT" w:eastAsia="Gill Sans MT" w:hAnsi="Gill Sans MT" w:cs="Gill Sans MT"/>
          <w:sz w:val="26"/>
          <w:szCs w:val="26"/>
        </w:rPr>
        <w:t xml:space="preserve">underway in </w:t>
      </w:r>
      <w:proofErr w:type="spellStart"/>
      <w:r w:rsidR="007C1D83" w:rsidRPr="001C77E0">
        <w:rPr>
          <w:rFonts w:ascii="Gill Sans MT" w:eastAsia="Gill Sans MT" w:hAnsi="Gill Sans MT" w:cs="Gill Sans MT"/>
          <w:sz w:val="26"/>
          <w:szCs w:val="26"/>
        </w:rPr>
        <w:t>Intreo</w:t>
      </w:r>
      <w:proofErr w:type="spellEnd"/>
      <w:r w:rsidR="00B768C8">
        <w:rPr>
          <w:rFonts w:ascii="Gill Sans MT" w:eastAsia="Gill Sans MT" w:hAnsi="Gill Sans MT" w:cs="Gill Sans MT"/>
          <w:sz w:val="26"/>
          <w:szCs w:val="26"/>
        </w:rPr>
        <w:t>. This i</w:t>
      </w:r>
      <w:r>
        <w:rPr>
          <w:rFonts w:ascii="Gill Sans MT" w:eastAsia="Gill Sans MT" w:hAnsi="Gill Sans MT" w:cs="Gill Sans MT"/>
          <w:sz w:val="26"/>
          <w:szCs w:val="26"/>
        </w:rPr>
        <w:t xml:space="preserve">s </w:t>
      </w:r>
      <w:r w:rsidR="007C1D83" w:rsidRPr="001C77E0">
        <w:rPr>
          <w:rFonts w:ascii="Gill Sans MT" w:eastAsia="Gill Sans MT" w:hAnsi="Gill Sans MT" w:cs="Gill Sans MT"/>
          <w:sz w:val="26"/>
          <w:szCs w:val="26"/>
        </w:rPr>
        <w:t xml:space="preserve">an important measure in </w:t>
      </w:r>
      <w:r w:rsidR="007C1D83" w:rsidRPr="001C77E0">
        <w:rPr>
          <w:rFonts w:ascii="Gill Sans MT" w:hAnsi="Gill Sans MT"/>
          <w:sz w:val="26"/>
          <w:szCs w:val="26"/>
        </w:rPr>
        <w:t>supporting young disabled people</w:t>
      </w:r>
      <w:r w:rsidR="00B768C8">
        <w:rPr>
          <w:rFonts w:ascii="Gill Sans MT" w:hAnsi="Gill Sans MT"/>
          <w:sz w:val="26"/>
          <w:szCs w:val="26"/>
        </w:rPr>
        <w:t xml:space="preserve"> in receipt of disability-based payments who may wish to work or avail of training</w:t>
      </w:r>
      <w:r w:rsidR="001C77E0">
        <w:rPr>
          <w:rFonts w:ascii="Gill Sans MT" w:hAnsi="Gill Sans MT"/>
          <w:sz w:val="26"/>
          <w:szCs w:val="26"/>
        </w:rPr>
        <w:t xml:space="preserve">. This process </w:t>
      </w:r>
      <w:r w:rsidR="00B768C8">
        <w:rPr>
          <w:rFonts w:ascii="Gill Sans MT" w:hAnsi="Gill Sans MT"/>
          <w:sz w:val="26"/>
          <w:szCs w:val="26"/>
        </w:rPr>
        <w:t>provides</w:t>
      </w:r>
      <w:r w:rsidR="001C77E0">
        <w:rPr>
          <w:rFonts w:ascii="Gill Sans MT" w:hAnsi="Gill Sans MT"/>
          <w:sz w:val="26"/>
          <w:szCs w:val="26"/>
        </w:rPr>
        <w:t xml:space="preserve"> </w:t>
      </w:r>
      <w:r w:rsidR="007C1D83" w:rsidRPr="001C77E0">
        <w:rPr>
          <w:rFonts w:ascii="Gill Sans MT" w:hAnsi="Gill Sans MT"/>
          <w:sz w:val="26"/>
          <w:szCs w:val="26"/>
        </w:rPr>
        <w:t xml:space="preserve">information and guidance in relation to careers and </w:t>
      </w:r>
      <w:r w:rsidR="00B768C8">
        <w:rPr>
          <w:rFonts w:ascii="Gill Sans MT" w:hAnsi="Gill Sans MT"/>
          <w:sz w:val="26"/>
          <w:szCs w:val="26"/>
        </w:rPr>
        <w:t>FET</w:t>
      </w:r>
      <w:r w:rsidR="007C1D83" w:rsidRPr="001C77E0">
        <w:rPr>
          <w:rFonts w:ascii="Gill Sans MT" w:hAnsi="Gill Sans MT"/>
          <w:sz w:val="26"/>
          <w:szCs w:val="26"/>
        </w:rPr>
        <w:t xml:space="preserve"> to ensure that young </w:t>
      </w:r>
      <w:r w:rsidR="00B768C8">
        <w:rPr>
          <w:rFonts w:ascii="Gill Sans MT" w:hAnsi="Gill Sans MT"/>
          <w:sz w:val="26"/>
          <w:szCs w:val="26"/>
        </w:rPr>
        <w:t xml:space="preserve">disabled </w:t>
      </w:r>
      <w:r w:rsidR="007C1D83" w:rsidRPr="001C77E0">
        <w:rPr>
          <w:rFonts w:ascii="Gill Sans MT" w:hAnsi="Gill Sans MT"/>
          <w:sz w:val="26"/>
          <w:szCs w:val="26"/>
        </w:rPr>
        <w:t>people a</w:t>
      </w:r>
      <w:r w:rsidR="001C77E0">
        <w:rPr>
          <w:rFonts w:ascii="Gill Sans MT" w:hAnsi="Gill Sans MT"/>
          <w:sz w:val="26"/>
          <w:szCs w:val="26"/>
        </w:rPr>
        <w:t>re making choices based on available options</w:t>
      </w:r>
      <w:r w:rsidR="007C1D83" w:rsidRPr="001C77E0">
        <w:rPr>
          <w:rFonts w:ascii="Gill Sans MT" w:hAnsi="Gill Sans MT"/>
          <w:sz w:val="26"/>
          <w:szCs w:val="26"/>
        </w:rPr>
        <w:t>.</w:t>
      </w:r>
      <w:r>
        <w:t xml:space="preserve"> </w:t>
      </w:r>
      <w:r w:rsidRPr="00B431CD">
        <w:rPr>
          <w:rFonts w:ascii="Gill Sans MT" w:hAnsi="Gill Sans MT"/>
          <w:sz w:val="26"/>
          <w:szCs w:val="26"/>
        </w:rPr>
        <w:t xml:space="preserve">Designated Disability Employment Personal Advisors </w:t>
      </w:r>
      <w:r>
        <w:rPr>
          <w:rFonts w:ascii="Gill Sans MT" w:hAnsi="Gill Sans MT"/>
          <w:sz w:val="26"/>
          <w:szCs w:val="26"/>
        </w:rPr>
        <w:t xml:space="preserve">located in </w:t>
      </w:r>
      <w:proofErr w:type="spellStart"/>
      <w:r>
        <w:rPr>
          <w:rFonts w:ascii="Gill Sans MT" w:hAnsi="Gill Sans MT"/>
          <w:sz w:val="26"/>
          <w:szCs w:val="26"/>
        </w:rPr>
        <w:t>Intreo</w:t>
      </w:r>
      <w:proofErr w:type="spellEnd"/>
      <w:r w:rsidR="00B768C8">
        <w:rPr>
          <w:rFonts w:ascii="Gill Sans MT" w:hAnsi="Gill Sans MT"/>
          <w:sz w:val="26"/>
          <w:szCs w:val="26"/>
        </w:rPr>
        <w:t xml:space="preserve"> offices</w:t>
      </w:r>
      <w:r>
        <w:rPr>
          <w:rFonts w:ascii="Gill Sans MT" w:hAnsi="Gill Sans MT"/>
          <w:sz w:val="26"/>
          <w:szCs w:val="26"/>
        </w:rPr>
        <w:t xml:space="preserve"> </w:t>
      </w:r>
      <w:r w:rsidR="00B768C8">
        <w:rPr>
          <w:rFonts w:ascii="Gill Sans MT" w:hAnsi="Gill Sans MT"/>
          <w:sz w:val="26"/>
          <w:szCs w:val="26"/>
        </w:rPr>
        <w:t>provide the service</w:t>
      </w:r>
      <w:r>
        <w:rPr>
          <w:rFonts w:ascii="Gill Sans MT" w:hAnsi="Gill Sans MT"/>
          <w:sz w:val="26"/>
          <w:szCs w:val="26"/>
        </w:rPr>
        <w:t xml:space="preserve">. </w:t>
      </w:r>
      <w:bookmarkStart w:id="43" w:name="_Hlk170198908"/>
      <w:r w:rsidR="00B768C8">
        <w:rPr>
          <w:rFonts w:ascii="Gill Sans MT" w:hAnsi="Gill Sans MT"/>
          <w:sz w:val="26"/>
          <w:szCs w:val="26"/>
        </w:rPr>
        <w:t>As of March 2024,</w:t>
      </w:r>
      <w:r>
        <w:rPr>
          <w:rFonts w:ascii="Gill Sans MT" w:hAnsi="Gill Sans MT"/>
          <w:sz w:val="26"/>
          <w:szCs w:val="26"/>
        </w:rPr>
        <w:t xml:space="preserve"> </w:t>
      </w:r>
      <w:r w:rsidRPr="00B431CD">
        <w:rPr>
          <w:rFonts w:ascii="Gill Sans MT" w:hAnsi="Gill Sans MT"/>
          <w:sz w:val="26"/>
          <w:szCs w:val="26"/>
        </w:rPr>
        <w:t xml:space="preserve">23,874 people have been </w:t>
      </w:r>
      <w:r w:rsidR="00124E18" w:rsidRPr="00D36481">
        <w:rPr>
          <w:rFonts w:ascii="Gill Sans MT" w:hAnsi="Gill Sans MT"/>
          <w:sz w:val="26"/>
          <w:szCs w:val="26"/>
        </w:rPr>
        <w:t xml:space="preserve">contacted </w:t>
      </w:r>
      <w:r w:rsidRPr="00D36481">
        <w:rPr>
          <w:rFonts w:ascii="Gill Sans MT" w:hAnsi="Gill Sans MT"/>
          <w:sz w:val="26"/>
          <w:szCs w:val="26"/>
        </w:rPr>
        <w:t>and 1,</w:t>
      </w:r>
      <w:r w:rsidR="00D7042C" w:rsidRPr="00D36481">
        <w:rPr>
          <w:rFonts w:ascii="Gill Sans MT" w:hAnsi="Gill Sans MT"/>
          <w:sz w:val="26"/>
          <w:szCs w:val="26"/>
        </w:rPr>
        <w:t>892</w:t>
      </w:r>
      <w:r w:rsidRPr="00D36481">
        <w:rPr>
          <w:rFonts w:ascii="Gill Sans MT" w:hAnsi="Gill Sans MT"/>
          <w:sz w:val="26"/>
          <w:szCs w:val="26"/>
        </w:rPr>
        <w:t>9 expressed an</w:t>
      </w:r>
      <w:r w:rsidRPr="00B431CD">
        <w:rPr>
          <w:rFonts w:ascii="Gill Sans MT" w:hAnsi="Gill Sans MT"/>
          <w:sz w:val="26"/>
          <w:szCs w:val="26"/>
        </w:rPr>
        <w:t xml:space="preserve"> interest in the employment services available</w:t>
      </w:r>
      <w:r>
        <w:rPr>
          <w:rFonts w:ascii="Gill Sans MT" w:hAnsi="Gill Sans MT"/>
          <w:sz w:val="26"/>
          <w:szCs w:val="26"/>
        </w:rPr>
        <w:t xml:space="preserve">. </w:t>
      </w:r>
      <w:bookmarkEnd w:id="43"/>
      <w:r w:rsidR="00B768C8">
        <w:rPr>
          <w:rFonts w:ascii="Gill Sans MT" w:hAnsi="Gill Sans MT"/>
          <w:sz w:val="26"/>
          <w:szCs w:val="26"/>
        </w:rPr>
        <w:t>It</w:t>
      </w:r>
      <w:r>
        <w:rPr>
          <w:rFonts w:ascii="Gill Sans MT" w:hAnsi="Gill Sans MT"/>
          <w:sz w:val="26"/>
          <w:szCs w:val="26"/>
        </w:rPr>
        <w:t xml:space="preserve"> is important that links between the early engagement process and FET</w:t>
      </w:r>
      <w:r w:rsidR="00B768C8">
        <w:rPr>
          <w:rFonts w:ascii="Gill Sans MT" w:hAnsi="Gill Sans MT"/>
          <w:sz w:val="26"/>
          <w:szCs w:val="26"/>
        </w:rPr>
        <w:t xml:space="preserve"> options</w:t>
      </w:r>
      <w:r>
        <w:rPr>
          <w:rFonts w:ascii="Gill Sans MT" w:hAnsi="Gill Sans MT"/>
          <w:sz w:val="26"/>
          <w:szCs w:val="26"/>
        </w:rPr>
        <w:t xml:space="preserve"> are carefully </w:t>
      </w:r>
      <w:r w:rsidR="00B768C8">
        <w:rPr>
          <w:rFonts w:ascii="Gill Sans MT" w:hAnsi="Gill Sans MT"/>
          <w:sz w:val="26"/>
          <w:szCs w:val="26"/>
        </w:rPr>
        <w:t xml:space="preserve">outlined </w:t>
      </w:r>
      <w:proofErr w:type="gramStart"/>
      <w:r w:rsidR="00B768C8">
        <w:rPr>
          <w:rFonts w:ascii="Gill Sans MT" w:hAnsi="Gill Sans MT"/>
          <w:sz w:val="26"/>
          <w:szCs w:val="26"/>
        </w:rPr>
        <w:t>in order</w:t>
      </w:r>
      <w:r>
        <w:rPr>
          <w:rFonts w:ascii="Gill Sans MT" w:hAnsi="Gill Sans MT"/>
          <w:sz w:val="26"/>
          <w:szCs w:val="26"/>
        </w:rPr>
        <w:t xml:space="preserve"> to</w:t>
      </w:r>
      <w:proofErr w:type="gramEnd"/>
      <w:r>
        <w:rPr>
          <w:rFonts w:ascii="Gill Sans MT" w:hAnsi="Gill Sans MT"/>
          <w:sz w:val="26"/>
          <w:szCs w:val="26"/>
        </w:rPr>
        <w:t xml:space="preserve"> reflect the needs of the individual</w:t>
      </w:r>
      <w:r w:rsidR="00B768C8">
        <w:rPr>
          <w:rFonts w:ascii="Gill Sans MT" w:hAnsi="Gill Sans MT"/>
          <w:sz w:val="26"/>
          <w:szCs w:val="26"/>
        </w:rPr>
        <w:t>s</w:t>
      </w:r>
      <w:r>
        <w:rPr>
          <w:rFonts w:ascii="Gill Sans MT" w:hAnsi="Gill Sans MT"/>
          <w:sz w:val="26"/>
          <w:szCs w:val="26"/>
        </w:rPr>
        <w:t xml:space="preserve"> engaging in this process.</w:t>
      </w:r>
    </w:p>
    <w:p w14:paraId="5160E867" w14:textId="0DC094AB" w:rsidR="001C77E0" w:rsidRPr="001C77E0" w:rsidRDefault="001C77E0" w:rsidP="007928FE">
      <w:pPr>
        <w:pStyle w:val="Heading3"/>
      </w:pPr>
      <w:bookmarkStart w:id="44" w:name="_Toc170203448"/>
      <w:r w:rsidRPr="001C77E0">
        <w:t>Low Pay Commission</w:t>
      </w:r>
      <w:bookmarkEnd w:id="44"/>
      <w:r w:rsidRPr="001C77E0">
        <w:t xml:space="preserve"> </w:t>
      </w:r>
    </w:p>
    <w:p w14:paraId="04EBC79C" w14:textId="5613ABA0" w:rsidR="00F07E14" w:rsidRDefault="00B768C8" w:rsidP="00AC5899">
      <w:pPr>
        <w:pStyle w:val="NormalBeforeList"/>
        <w:rPr>
          <w:rFonts w:ascii="Calibri" w:hAnsi="Calibri"/>
          <w:color w:val="000000"/>
          <w:sz w:val="22"/>
          <w:szCs w:val="22"/>
        </w:rPr>
      </w:pPr>
      <w:r>
        <w:t>DETE</w:t>
      </w:r>
      <w:r w:rsidR="00F07E14">
        <w:t xml:space="preserve"> has over the course of 2023 continued to put measures in place to make work pay. </w:t>
      </w:r>
      <w:r w:rsidR="00F07E14">
        <w:rPr>
          <w:color w:val="212529"/>
          <w:shd w:val="clear" w:color="auto" w:fill="FFFFFF"/>
        </w:rPr>
        <w:t>The Low Pay Commission ma</w:t>
      </w:r>
      <w:r w:rsidR="00AC5899">
        <w:rPr>
          <w:color w:val="212529"/>
          <w:shd w:val="clear" w:color="auto" w:fill="FFFFFF"/>
        </w:rPr>
        <w:t>de</w:t>
      </w:r>
      <w:r w:rsidR="00F07E14">
        <w:rPr>
          <w:color w:val="212529"/>
          <w:shd w:val="clear" w:color="auto" w:fill="FFFFFF"/>
        </w:rPr>
        <w:t xml:space="preserve"> recommendations to the Minister for Enterprise, Trade and Employment on the rate of the National Minimum Wage.</w:t>
      </w:r>
      <w:r w:rsidR="00662AF0">
        <w:rPr>
          <w:rStyle w:val="FootnoteReference"/>
          <w:color w:val="212529"/>
          <w:shd w:val="clear" w:color="auto" w:fill="FFFFFF"/>
        </w:rPr>
        <w:footnoteReference w:id="25"/>
      </w:r>
      <w:r w:rsidR="00F07E14">
        <w:rPr>
          <w:color w:val="212529"/>
          <w:shd w:val="clear" w:color="auto" w:fill="FFFFFF"/>
        </w:rPr>
        <w:t xml:space="preserve"> </w:t>
      </w:r>
      <w:r w:rsidR="00F07E14">
        <w:rPr>
          <w:color w:val="000000"/>
        </w:rPr>
        <w:t xml:space="preserve">Government approved the recommendation of the Low Pay Commission to increase the National Minimum Wage by €1.40 to €12.70 an hour in the context of Budget 2024. The increase came into effect 1 January 2024. This increase can be considered the second phase of a four-year transition to 2026, at which point the Living Wage will replace the National Minimum Wage. </w:t>
      </w:r>
    </w:p>
    <w:p w14:paraId="28362596" w14:textId="66B7E7C9" w:rsidR="00B768C8" w:rsidRDefault="00B768C8" w:rsidP="00B768C8">
      <w:pPr>
        <w:pStyle w:val="Heading3"/>
      </w:pPr>
      <w:bookmarkStart w:id="45" w:name="_Toc170203449"/>
      <w:r>
        <w:t>Remote and Flexible working</w:t>
      </w:r>
      <w:bookmarkEnd w:id="45"/>
    </w:p>
    <w:p w14:paraId="322B5E50" w14:textId="2CCBF9AD" w:rsidR="00F07E14" w:rsidRDefault="00F07E14" w:rsidP="00AC5899">
      <w:pPr>
        <w:pStyle w:val="NormalBeforeList"/>
      </w:pPr>
      <w:r>
        <w:t xml:space="preserve">The Right to Request Remote Working Bill was integrated into the Work Life Balance and Miscellaneous Provisions Act 2023, which was enacted </w:t>
      </w:r>
      <w:r w:rsidR="00B768C8">
        <w:t>in</w:t>
      </w:r>
      <w:r>
        <w:t xml:space="preserve"> April</w:t>
      </w:r>
      <w:r w:rsidR="001C77E0">
        <w:t xml:space="preserve"> 2023.</w:t>
      </w:r>
      <w:r>
        <w:t xml:space="preserve"> In March 2024 the Minister commenced Part 3 of the Act, which provides all employees with the right to request remote working arrangements. The Act includes obligations for the employee and the employer </w:t>
      </w:r>
      <w:proofErr w:type="gramStart"/>
      <w:r>
        <w:t>with regard to</w:t>
      </w:r>
      <w:proofErr w:type="gramEnd"/>
      <w:r>
        <w:t xml:space="preserve"> requests for remote working arrangements. </w:t>
      </w:r>
    </w:p>
    <w:p w14:paraId="3A58C43C" w14:textId="695B7D1B" w:rsidR="00657AA3" w:rsidRDefault="00F07E14" w:rsidP="00316A7E">
      <w:pPr>
        <w:pStyle w:val="NormalBeforeList"/>
      </w:pPr>
      <w:r>
        <w:lastRenderedPageBreak/>
        <w:t>The Workplace Relations Commission drafted a Code of Practice for Employers and Employees on the Right to Request Flexible Working.</w:t>
      </w:r>
      <w:r>
        <w:rPr>
          <w:rStyle w:val="FootnoteReference"/>
        </w:rPr>
        <w:footnoteReference w:id="26"/>
      </w:r>
      <w:r w:rsidR="00662AF0">
        <w:t xml:space="preserve"> The introduction of this legislation may facilitate more people with disabilities into work.</w:t>
      </w:r>
    </w:p>
    <w:p w14:paraId="6948A0E8" w14:textId="0CC8956D" w:rsidR="005B288A" w:rsidRPr="00D25106" w:rsidRDefault="00017BEF" w:rsidP="00362B8E">
      <w:pPr>
        <w:pStyle w:val="Heading2"/>
      </w:pPr>
      <w:bookmarkStart w:id="46" w:name="_Toc130474362"/>
      <w:bookmarkStart w:id="47" w:name="_Toc170203450"/>
      <w:r w:rsidRPr="000258CB">
        <w:t>S</w:t>
      </w:r>
      <w:r>
        <w:t xml:space="preserve">trategic </w:t>
      </w:r>
      <w:r w:rsidRPr="000258CB">
        <w:t>P</w:t>
      </w:r>
      <w:r>
        <w:t>riority 4:</w:t>
      </w:r>
      <w:r w:rsidR="005B288A" w:rsidRPr="00D25106">
        <w:t xml:space="preserve"> Promote job retention and re-entry to work</w:t>
      </w:r>
      <w:bookmarkEnd w:id="41"/>
      <w:bookmarkEnd w:id="46"/>
      <w:bookmarkEnd w:id="47"/>
      <w:r w:rsidR="005B288A" w:rsidRPr="00D25106">
        <w:t xml:space="preserve"> </w:t>
      </w:r>
    </w:p>
    <w:p w14:paraId="5105AE8F" w14:textId="088A76CF" w:rsidR="00991205" w:rsidRDefault="00CD55C5" w:rsidP="00000DF2">
      <w:pPr>
        <w:spacing w:after="0"/>
        <w:rPr>
          <w:rFonts w:eastAsia="Calibri"/>
          <w:szCs w:val="26"/>
          <w:lang w:val="en-GB"/>
        </w:rPr>
      </w:pPr>
      <w:r w:rsidRPr="00CD55C5">
        <w:rPr>
          <w:rFonts w:eastAsia="Calibri"/>
          <w:szCs w:val="26"/>
          <w:lang w:val="en-GB"/>
        </w:rPr>
        <w:t>The CES emphasised the importance of reduc</w:t>
      </w:r>
      <w:r w:rsidR="00B768C8">
        <w:rPr>
          <w:rFonts w:eastAsia="Calibri"/>
          <w:szCs w:val="26"/>
          <w:lang w:val="en-GB"/>
        </w:rPr>
        <w:t>ing</w:t>
      </w:r>
      <w:r w:rsidRPr="00CD55C5">
        <w:rPr>
          <w:rFonts w:eastAsia="Calibri"/>
          <w:szCs w:val="26"/>
          <w:lang w:val="en-GB"/>
        </w:rPr>
        <w:t xml:space="preserve"> the outflow</w:t>
      </w:r>
      <w:r w:rsidR="00B768C8">
        <w:rPr>
          <w:rFonts w:eastAsia="Calibri"/>
          <w:szCs w:val="26"/>
          <w:lang w:val="en-GB"/>
        </w:rPr>
        <w:t xml:space="preserve"> of people from work due to</w:t>
      </w:r>
      <w:r w:rsidRPr="00CD55C5">
        <w:rPr>
          <w:rFonts w:eastAsia="Calibri"/>
          <w:szCs w:val="26"/>
          <w:lang w:val="en-GB"/>
        </w:rPr>
        <w:t xml:space="preserve"> </w:t>
      </w:r>
      <w:r w:rsidR="009C36AC">
        <w:rPr>
          <w:rFonts w:eastAsia="Calibri"/>
          <w:szCs w:val="26"/>
          <w:lang w:val="en-GB"/>
        </w:rPr>
        <w:t xml:space="preserve">ill health or acquiring a disability </w:t>
      </w:r>
      <w:r w:rsidR="004A36A6">
        <w:rPr>
          <w:rFonts w:eastAsia="Calibri"/>
          <w:szCs w:val="26"/>
          <w:lang w:val="en-GB"/>
        </w:rPr>
        <w:t>who often are then in receipt of</w:t>
      </w:r>
      <w:r w:rsidR="009C36AC">
        <w:rPr>
          <w:rFonts w:eastAsia="Calibri"/>
          <w:szCs w:val="26"/>
          <w:lang w:val="en-GB"/>
        </w:rPr>
        <w:t xml:space="preserve"> long-term disability benefits. It is widely accepted that some people who acquire a disability or health condition can return to work if employments support are in place. </w:t>
      </w:r>
      <w:r w:rsidR="004A36A6">
        <w:rPr>
          <w:rFonts w:eastAsia="Calibri"/>
          <w:szCs w:val="26"/>
          <w:lang w:val="en-GB"/>
        </w:rPr>
        <w:t>The Reasonable Accommodation Fund and the Disability Awareness Support Scheme</w:t>
      </w:r>
      <w:r w:rsidR="00991205">
        <w:rPr>
          <w:rFonts w:eastAsia="Calibri"/>
          <w:szCs w:val="26"/>
          <w:lang w:val="en-GB"/>
        </w:rPr>
        <w:t xml:space="preserve"> </w:t>
      </w:r>
      <w:r w:rsidR="004A36A6">
        <w:rPr>
          <w:rFonts w:eastAsia="Calibri"/>
          <w:szCs w:val="26"/>
          <w:lang w:val="en-GB"/>
        </w:rPr>
        <w:t>have been reviewed</w:t>
      </w:r>
      <w:r w:rsidR="009C36AC">
        <w:rPr>
          <w:rFonts w:eastAsia="Calibri"/>
          <w:szCs w:val="26"/>
          <w:lang w:val="en-GB"/>
        </w:rPr>
        <w:t xml:space="preserve"> and the implementation of </w:t>
      </w:r>
      <w:r w:rsidR="004A36A6">
        <w:rPr>
          <w:rFonts w:eastAsia="Calibri"/>
          <w:szCs w:val="26"/>
          <w:lang w:val="en-GB"/>
        </w:rPr>
        <w:t>reforms</w:t>
      </w:r>
      <w:r w:rsidR="009C36AC">
        <w:rPr>
          <w:rFonts w:eastAsia="Calibri"/>
          <w:szCs w:val="26"/>
          <w:lang w:val="en-GB"/>
        </w:rPr>
        <w:t xml:space="preserve"> is </w:t>
      </w:r>
      <w:r w:rsidR="004A36A6">
        <w:rPr>
          <w:rFonts w:eastAsia="Calibri"/>
          <w:szCs w:val="26"/>
          <w:lang w:val="en-GB"/>
        </w:rPr>
        <w:t>anticipated</w:t>
      </w:r>
      <w:r w:rsidR="009C36AC">
        <w:rPr>
          <w:rFonts w:eastAsia="Calibri"/>
          <w:szCs w:val="26"/>
          <w:lang w:val="en-GB"/>
        </w:rPr>
        <w:t xml:space="preserve"> as an important restructuring measure to assist returning to work. </w:t>
      </w:r>
    </w:p>
    <w:p w14:paraId="58A6E034" w14:textId="77777777" w:rsidR="00F931DD" w:rsidRDefault="00F931DD" w:rsidP="00000DF2">
      <w:pPr>
        <w:spacing w:after="0"/>
        <w:rPr>
          <w:rFonts w:eastAsia="Calibri"/>
          <w:szCs w:val="26"/>
          <w:lang w:val="en-GB"/>
        </w:rPr>
      </w:pPr>
    </w:p>
    <w:p w14:paraId="5E125AB8" w14:textId="441676D5" w:rsidR="00F542E1" w:rsidRDefault="005C66E5" w:rsidP="004A36A6">
      <w:pPr>
        <w:pStyle w:val="Default"/>
        <w:spacing w:after="240"/>
        <w:rPr>
          <w:rFonts w:asciiTheme="minorHAnsi" w:hAnsiTheme="minorHAnsi" w:cstheme="minorHAnsi"/>
          <w:color w:val="auto"/>
          <w:sz w:val="22"/>
          <w:szCs w:val="22"/>
        </w:rPr>
      </w:pPr>
      <w:r>
        <w:rPr>
          <w:rFonts w:ascii="Gill Sans MT" w:hAnsi="Gill Sans MT" w:cstheme="minorHAnsi"/>
          <w:color w:val="auto"/>
          <w:sz w:val="26"/>
          <w:szCs w:val="26"/>
        </w:rPr>
        <w:t>Understanding the legal obligations regarding reasonable accommodation</w:t>
      </w:r>
      <w:r w:rsidR="0025161F">
        <w:rPr>
          <w:rFonts w:ascii="Gill Sans MT" w:hAnsi="Gill Sans MT" w:cstheme="minorHAnsi"/>
          <w:color w:val="auto"/>
          <w:sz w:val="26"/>
          <w:szCs w:val="26"/>
        </w:rPr>
        <w:t xml:space="preserve"> </w:t>
      </w:r>
      <w:r>
        <w:rPr>
          <w:rFonts w:ascii="Gill Sans MT" w:hAnsi="Gill Sans MT" w:cstheme="minorHAnsi"/>
          <w:color w:val="auto"/>
          <w:sz w:val="26"/>
          <w:szCs w:val="26"/>
        </w:rPr>
        <w:t xml:space="preserve">is being progressed </w:t>
      </w:r>
      <w:r w:rsidR="00F542E1">
        <w:rPr>
          <w:rFonts w:ascii="Gill Sans MT" w:hAnsi="Gill Sans MT" w:cstheme="minorHAnsi"/>
          <w:color w:val="auto"/>
          <w:sz w:val="26"/>
          <w:szCs w:val="26"/>
        </w:rPr>
        <w:t>by</w:t>
      </w:r>
      <w:r w:rsidR="00C76191">
        <w:rPr>
          <w:rFonts w:ascii="Gill Sans MT" w:hAnsi="Gill Sans MT" w:cstheme="minorHAnsi"/>
          <w:color w:val="auto"/>
          <w:sz w:val="26"/>
          <w:szCs w:val="26"/>
        </w:rPr>
        <w:t xml:space="preserve"> </w:t>
      </w:r>
      <w:r w:rsidR="00C76191" w:rsidRPr="00C76191">
        <w:rPr>
          <w:rFonts w:ascii="Gill Sans MT" w:hAnsi="Gill Sans MT"/>
          <w:sz w:val="26"/>
          <w:szCs w:val="26"/>
        </w:rPr>
        <w:t>Irish Human Rights and Equality Commission</w:t>
      </w:r>
      <w:r w:rsidR="00F542E1">
        <w:rPr>
          <w:rFonts w:ascii="Gill Sans MT" w:hAnsi="Gill Sans MT" w:cstheme="minorHAnsi"/>
          <w:color w:val="auto"/>
          <w:sz w:val="26"/>
          <w:szCs w:val="26"/>
        </w:rPr>
        <w:t xml:space="preserve"> </w:t>
      </w:r>
      <w:r w:rsidR="00C76191">
        <w:rPr>
          <w:rFonts w:ascii="Gill Sans MT" w:hAnsi="Gill Sans MT" w:cstheme="minorHAnsi"/>
          <w:color w:val="auto"/>
          <w:sz w:val="26"/>
          <w:szCs w:val="26"/>
        </w:rPr>
        <w:t>(</w:t>
      </w:r>
      <w:r w:rsidR="00F542E1">
        <w:rPr>
          <w:rFonts w:ascii="Gill Sans MT" w:hAnsi="Gill Sans MT" w:cstheme="minorHAnsi"/>
          <w:color w:val="auto"/>
          <w:sz w:val="26"/>
          <w:szCs w:val="26"/>
        </w:rPr>
        <w:t>IHREC</w:t>
      </w:r>
      <w:r w:rsidR="00C76191">
        <w:rPr>
          <w:rFonts w:ascii="Gill Sans MT" w:hAnsi="Gill Sans MT" w:cstheme="minorHAnsi"/>
          <w:color w:val="auto"/>
          <w:sz w:val="26"/>
          <w:szCs w:val="26"/>
        </w:rPr>
        <w:t>)</w:t>
      </w:r>
      <w:r w:rsidR="00F542E1">
        <w:rPr>
          <w:rFonts w:ascii="Gill Sans MT" w:hAnsi="Gill Sans MT" w:cstheme="minorHAnsi"/>
          <w:color w:val="auto"/>
          <w:sz w:val="26"/>
          <w:szCs w:val="26"/>
        </w:rPr>
        <w:t xml:space="preserve"> </w:t>
      </w:r>
      <w:r w:rsidR="0025161F">
        <w:rPr>
          <w:rFonts w:ascii="Gill Sans MT" w:hAnsi="Gill Sans MT" w:cstheme="minorHAnsi"/>
          <w:color w:val="auto"/>
          <w:sz w:val="26"/>
          <w:szCs w:val="26"/>
        </w:rPr>
        <w:t>with the</w:t>
      </w:r>
      <w:r w:rsidR="00F542E1">
        <w:rPr>
          <w:rFonts w:ascii="Gill Sans MT" w:hAnsi="Gill Sans MT" w:cstheme="minorHAnsi"/>
          <w:color w:val="auto"/>
          <w:sz w:val="26"/>
          <w:szCs w:val="26"/>
        </w:rPr>
        <w:t xml:space="preserve"> produc</w:t>
      </w:r>
      <w:r w:rsidR="0025161F">
        <w:rPr>
          <w:rFonts w:ascii="Gill Sans MT" w:hAnsi="Gill Sans MT" w:cstheme="minorHAnsi"/>
          <w:color w:val="auto"/>
          <w:sz w:val="26"/>
          <w:szCs w:val="26"/>
        </w:rPr>
        <w:t>tion of</w:t>
      </w:r>
      <w:r w:rsidR="00F542E1">
        <w:rPr>
          <w:rFonts w:ascii="Gill Sans MT" w:hAnsi="Gill Sans MT" w:cstheme="minorHAnsi"/>
          <w:color w:val="auto"/>
          <w:sz w:val="26"/>
          <w:szCs w:val="26"/>
        </w:rPr>
        <w:t xml:space="preserve"> a</w:t>
      </w:r>
      <w:r w:rsidR="00F542E1" w:rsidRPr="00F542E1">
        <w:rPr>
          <w:rFonts w:ascii="Gill Sans MT" w:hAnsi="Gill Sans MT" w:cstheme="minorHAnsi"/>
          <w:color w:val="auto"/>
          <w:sz w:val="26"/>
          <w:szCs w:val="26"/>
        </w:rPr>
        <w:t xml:space="preserve"> Code of Practice on Reasonable Accommodation (yet to be published)</w:t>
      </w:r>
      <w:r w:rsidR="0025161F">
        <w:rPr>
          <w:rFonts w:ascii="Gill Sans MT" w:hAnsi="Gill Sans MT" w:cstheme="minorHAnsi"/>
          <w:color w:val="auto"/>
          <w:sz w:val="26"/>
          <w:szCs w:val="26"/>
        </w:rPr>
        <w:t>.</w:t>
      </w:r>
      <w:r w:rsidR="00F542E1">
        <w:rPr>
          <w:rFonts w:ascii="Gill Sans MT" w:hAnsi="Gill Sans MT" w:cstheme="minorHAnsi"/>
          <w:color w:val="auto"/>
          <w:sz w:val="26"/>
          <w:szCs w:val="26"/>
        </w:rPr>
        <w:t xml:space="preserve"> In addition</w:t>
      </w:r>
      <w:r w:rsidR="0025161F">
        <w:rPr>
          <w:rFonts w:ascii="Gill Sans MT" w:hAnsi="Gill Sans MT" w:cstheme="minorHAnsi"/>
          <w:color w:val="auto"/>
          <w:sz w:val="26"/>
          <w:szCs w:val="26"/>
        </w:rPr>
        <w:t>,</w:t>
      </w:r>
      <w:r w:rsidR="00F542E1">
        <w:rPr>
          <w:rFonts w:ascii="Gill Sans MT" w:hAnsi="Gill Sans MT" w:cstheme="minorHAnsi"/>
          <w:color w:val="auto"/>
          <w:sz w:val="26"/>
          <w:szCs w:val="26"/>
        </w:rPr>
        <w:t xml:space="preserve"> IH</w:t>
      </w:r>
      <w:r w:rsidR="00C76191">
        <w:rPr>
          <w:rFonts w:ascii="Gill Sans MT" w:hAnsi="Gill Sans MT" w:cstheme="minorHAnsi"/>
          <w:color w:val="auto"/>
          <w:sz w:val="26"/>
          <w:szCs w:val="26"/>
        </w:rPr>
        <w:t>RE</w:t>
      </w:r>
      <w:r w:rsidR="00F542E1">
        <w:rPr>
          <w:rFonts w:ascii="Gill Sans MT" w:hAnsi="Gill Sans MT" w:cstheme="minorHAnsi"/>
          <w:color w:val="auto"/>
          <w:sz w:val="26"/>
          <w:szCs w:val="26"/>
        </w:rPr>
        <w:t xml:space="preserve">C </w:t>
      </w:r>
      <w:r w:rsidR="0025161F">
        <w:rPr>
          <w:rFonts w:ascii="Gill Sans MT" w:hAnsi="Gill Sans MT" w:cstheme="minorHAnsi"/>
          <w:color w:val="auto"/>
          <w:sz w:val="26"/>
          <w:szCs w:val="26"/>
        </w:rPr>
        <w:t>are preparing</w:t>
      </w:r>
      <w:r w:rsidR="00F542E1" w:rsidRPr="00F542E1">
        <w:rPr>
          <w:rFonts w:ascii="Gill Sans MT" w:hAnsi="Gill Sans MT" w:cstheme="minorHAnsi"/>
          <w:color w:val="auto"/>
          <w:sz w:val="26"/>
          <w:szCs w:val="26"/>
        </w:rPr>
        <w:t xml:space="preserve"> guid</w:t>
      </w:r>
      <w:r w:rsidR="0025161F">
        <w:rPr>
          <w:rFonts w:ascii="Gill Sans MT" w:hAnsi="Gill Sans MT" w:cstheme="minorHAnsi"/>
          <w:color w:val="auto"/>
          <w:sz w:val="26"/>
          <w:szCs w:val="26"/>
        </w:rPr>
        <w:t>ance</w:t>
      </w:r>
      <w:r w:rsidR="00F542E1" w:rsidRPr="00F542E1">
        <w:rPr>
          <w:rFonts w:ascii="Gill Sans MT" w:hAnsi="Gill Sans MT" w:cstheme="minorHAnsi"/>
          <w:color w:val="auto"/>
          <w:sz w:val="26"/>
          <w:szCs w:val="26"/>
        </w:rPr>
        <w:t xml:space="preserve"> to offer practical information to employees and employers on requesting and providing reasonable accommodation. </w:t>
      </w:r>
      <w:r w:rsidR="009C36AC">
        <w:rPr>
          <w:rFonts w:ascii="Gill Sans MT" w:hAnsi="Gill Sans MT" w:cstheme="minorHAnsi"/>
          <w:color w:val="auto"/>
          <w:sz w:val="26"/>
          <w:szCs w:val="26"/>
        </w:rPr>
        <w:t xml:space="preserve">This information must explain </w:t>
      </w:r>
      <w:r w:rsidR="00F542E1" w:rsidRPr="00F542E1">
        <w:rPr>
          <w:rFonts w:ascii="Gill Sans MT" w:hAnsi="Gill Sans MT" w:cstheme="minorHAnsi"/>
          <w:color w:val="auto"/>
          <w:sz w:val="26"/>
          <w:szCs w:val="26"/>
        </w:rPr>
        <w:t>how to apply reasonable accommodation at each stage of the employment process including: recruitment, on-boarding/induction, returning to work and career progression</w:t>
      </w:r>
      <w:r w:rsidR="009C36AC">
        <w:rPr>
          <w:rFonts w:ascii="Gill Sans MT" w:hAnsi="Gill Sans MT" w:cstheme="minorHAnsi"/>
          <w:color w:val="auto"/>
          <w:sz w:val="26"/>
          <w:szCs w:val="26"/>
        </w:rPr>
        <w:t xml:space="preserve"> can be provided</w:t>
      </w:r>
      <w:r w:rsidR="00F542E1" w:rsidRPr="00F542E1">
        <w:rPr>
          <w:rFonts w:ascii="Gill Sans MT" w:hAnsi="Gill Sans MT" w:cstheme="minorHAnsi"/>
          <w:color w:val="auto"/>
          <w:sz w:val="26"/>
          <w:szCs w:val="26"/>
        </w:rPr>
        <w:t xml:space="preserve">. </w:t>
      </w:r>
      <w:r w:rsidR="004A36A6">
        <w:rPr>
          <w:rFonts w:ascii="Gill Sans MT" w:hAnsi="Gill Sans MT" w:cstheme="minorHAnsi"/>
          <w:color w:val="auto"/>
          <w:sz w:val="26"/>
          <w:szCs w:val="26"/>
        </w:rPr>
        <w:t xml:space="preserve">This guidance points to the usefulness of the </w:t>
      </w:r>
      <w:r w:rsidR="00F542E1" w:rsidRPr="00F542E1">
        <w:rPr>
          <w:rFonts w:ascii="Gill Sans MT" w:hAnsi="Gill Sans MT" w:cstheme="minorHAnsi"/>
          <w:color w:val="auto"/>
          <w:sz w:val="26"/>
          <w:szCs w:val="26"/>
        </w:rPr>
        <w:t xml:space="preserve">reasonable accommodation passport developed and promoted by </w:t>
      </w:r>
      <w:proofErr w:type="spellStart"/>
      <w:r w:rsidR="00F542E1" w:rsidRPr="00F542E1">
        <w:rPr>
          <w:rFonts w:ascii="Gill Sans MT" w:hAnsi="Gill Sans MT" w:cstheme="minorHAnsi"/>
          <w:color w:val="auto"/>
          <w:sz w:val="26"/>
          <w:szCs w:val="26"/>
        </w:rPr>
        <w:t>Ibec</w:t>
      </w:r>
      <w:proofErr w:type="spellEnd"/>
      <w:r w:rsidR="00F542E1" w:rsidRPr="00F542E1">
        <w:rPr>
          <w:rFonts w:ascii="Gill Sans MT" w:hAnsi="Gill Sans MT" w:cstheme="minorHAnsi"/>
          <w:color w:val="auto"/>
          <w:sz w:val="26"/>
          <w:szCs w:val="26"/>
        </w:rPr>
        <w:t xml:space="preserve"> and </w:t>
      </w:r>
      <w:r w:rsidR="00C76191">
        <w:rPr>
          <w:rFonts w:ascii="Gill Sans MT" w:hAnsi="Gill Sans MT" w:cstheme="minorHAnsi"/>
          <w:color w:val="auto"/>
          <w:sz w:val="26"/>
          <w:szCs w:val="26"/>
        </w:rPr>
        <w:t>the Irish Congress of Trade Unions</w:t>
      </w:r>
      <w:r w:rsidR="004A36A6">
        <w:rPr>
          <w:rFonts w:ascii="Gill Sans MT" w:hAnsi="Gill Sans MT" w:cstheme="minorHAnsi"/>
          <w:color w:val="auto"/>
          <w:sz w:val="26"/>
          <w:szCs w:val="26"/>
        </w:rPr>
        <w:t>.</w:t>
      </w:r>
      <w:r w:rsidR="004A36A6" w:rsidRPr="004A36A6">
        <w:rPr>
          <w:rStyle w:val="FootnoteReference"/>
          <w:rFonts w:cstheme="minorHAnsi"/>
          <w:color w:val="auto"/>
          <w:szCs w:val="26"/>
        </w:rPr>
        <w:t xml:space="preserve"> </w:t>
      </w:r>
      <w:r w:rsidR="004A36A6">
        <w:rPr>
          <w:rStyle w:val="FootnoteReference"/>
          <w:rFonts w:cstheme="minorHAnsi"/>
          <w:color w:val="auto"/>
          <w:szCs w:val="26"/>
        </w:rPr>
        <w:footnoteReference w:id="27"/>
      </w:r>
      <w:r w:rsidR="004A36A6">
        <w:rPr>
          <w:rFonts w:ascii="Gill Sans MT" w:hAnsi="Gill Sans MT" w:cstheme="minorHAnsi"/>
          <w:color w:val="auto"/>
          <w:sz w:val="26"/>
          <w:szCs w:val="26"/>
        </w:rPr>
        <w:t xml:space="preserve"> The NDA look forward to the publication of this guidance during 2024</w:t>
      </w:r>
      <w:r w:rsidR="00F542E1">
        <w:rPr>
          <w:rFonts w:asciiTheme="minorHAnsi" w:hAnsiTheme="minorHAnsi" w:cstheme="minorHAnsi"/>
          <w:color w:val="auto"/>
          <w:sz w:val="22"/>
          <w:szCs w:val="22"/>
        </w:rPr>
        <w:t>.</w:t>
      </w:r>
    </w:p>
    <w:p w14:paraId="22739B58" w14:textId="0F7162D8" w:rsidR="005B288A" w:rsidRPr="00D25106" w:rsidRDefault="00017BEF" w:rsidP="00362B8E">
      <w:pPr>
        <w:pStyle w:val="Heading2"/>
        <w:rPr>
          <w:lang w:eastAsia="en-IE"/>
        </w:rPr>
      </w:pPr>
      <w:bookmarkStart w:id="48" w:name="_Toc96521891"/>
      <w:bookmarkStart w:id="49" w:name="_Toc130474363"/>
      <w:bookmarkStart w:id="50" w:name="_Toc170203451"/>
      <w:r w:rsidRPr="000258CB">
        <w:t>S</w:t>
      </w:r>
      <w:r>
        <w:t xml:space="preserve">trategic </w:t>
      </w:r>
      <w:r w:rsidRPr="000258CB">
        <w:t>P</w:t>
      </w:r>
      <w:r>
        <w:t>riority 5:</w:t>
      </w:r>
      <w:r w:rsidR="005B288A" w:rsidRPr="00D25106">
        <w:rPr>
          <w:lang w:eastAsia="en-IE"/>
        </w:rPr>
        <w:t xml:space="preserve"> Provide co-ordinated and seamless support</w:t>
      </w:r>
      <w:bookmarkEnd w:id="48"/>
      <w:bookmarkEnd w:id="49"/>
      <w:bookmarkEnd w:id="50"/>
    </w:p>
    <w:p w14:paraId="765A24AB" w14:textId="5F62B4DC" w:rsidR="00991205" w:rsidRPr="00316A7E" w:rsidRDefault="005A0157" w:rsidP="00316A7E">
      <w:pPr>
        <w:spacing w:before="120"/>
        <w:rPr>
          <w:rFonts w:eastAsia="Calibri" w:cs="Calibri"/>
          <w:szCs w:val="22"/>
        </w:rPr>
      </w:pPr>
      <w:r w:rsidRPr="00AC5899">
        <w:rPr>
          <w:rFonts w:eastAsia="Calibri" w:cs="Calibri"/>
          <w:szCs w:val="22"/>
        </w:rPr>
        <w:t xml:space="preserve">Implementation of the agreed cross-departmental policy in relation to a coordinated programme of supported employment (Action 5.1) was not progressed </w:t>
      </w:r>
      <w:r w:rsidR="00486FBE" w:rsidRPr="00AC5899">
        <w:rPr>
          <w:rFonts w:eastAsia="Calibri" w:cs="Calibri"/>
          <w:szCs w:val="22"/>
        </w:rPr>
        <w:t xml:space="preserve">during </w:t>
      </w:r>
      <w:r w:rsidR="00D25106">
        <w:rPr>
          <w:rFonts w:eastAsia="Calibri" w:cs="Calibri"/>
          <w:szCs w:val="22"/>
        </w:rPr>
        <w:t>2023</w:t>
      </w:r>
      <w:r w:rsidR="009C36AC">
        <w:rPr>
          <w:rFonts w:eastAsia="Calibri" w:cs="Calibri"/>
          <w:szCs w:val="22"/>
        </w:rPr>
        <w:t>.</w:t>
      </w:r>
      <w:bookmarkStart w:id="51" w:name="_Toc96521892"/>
      <w:bookmarkStart w:id="52" w:name="_Toc130474364"/>
      <w:r w:rsidR="004A36A6">
        <w:rPr>
          <w:rFonts w:eastAsia="Calibri" w:cs="Calibri"/>
          <w:szCs w:val="22"/>
        </w:rPr>
        <w:t xml:space="preserve"> The need for such support was highlighted as part of the consultations on the new National Disability Strategy so the NDA would encourage that an appropriate objective and actions in relation to this are included. </w:t>
      </w:r>
    </w:p>
    <w:p w14:paraId="2D488EE2" w14:textId="7DA431D3" w:rsidR="005B288A" w:rsidRPr="00D25106" w:rsidRDefault="00017BEF" w:rsidP="000E56FF">
      <w:pPr>
        <w:pStyle w:val="Heading2"/>
        <w:rPr>
          <w:lang w:eastAsia="en-IE"/>
        </w:rPr>
      </w:pPr>
      <w:bookmarkStart w:id="53" w:name="_Toc170203452"/>
      <w:r w:rsidRPr="000258CB">
        <w:t>S</w:t>
      </w:r>
      <w:r>
        <w:t xml:space="preserve">trategic </w:t>
      </w:r>
      <w:r w:rsidRPr="000258CB">
        <w:t>P</w:t>
      </w:r>
      <w:r>
        <w:t>riority 6:</w:t>
      </w:r>
      <w:r w:rsidR="005B288A" w:rsidRPr="00D25106">
        <w:rPr>
          <w:lang w:eastAsia="en-IE"/>
        </w:rPr>
        <w:t xml:space="preserve"> Engage Employers</w:t>
      </w:r>
      <w:bookmarkEnd w:id="51"/>
      <w:bookmarkEnd w:id="52"/>
      <w:bookmarkEnd w:id="53"/>
      <w:r w:rsidR="005B288A" w:rsidRPr="00D25106">
        <w:rPr>
          <w:lang w:eastAsia="en-IE"/>
        </w:rPr>
        <w:t xml:space="preserve"> </w:t>
      </w:r>
    </w:p>
    <w:p w14:paraId="2D542263" w14:textId="75DB53E4" w:rsidR="00B431CD" w:rsidRPr="00316A7E" w:rsidRDefault="004A36A6" w:rsidP="00316A7E">
      <w:pPr>
        <w:rPr>
          <w:rFonts w:eastAsia="Calibri"/>
          <w:szCs w:val="26"/>
          <w:lang w:val="en-GB"/>
        </w:rPr>
      </w:pPr>
      <w:r>
        <w:rPr>
          <w:color w:val="000000"/>
          <w:lang w:eastAsia="en-IE"/>
        </w:rPr>
        <w:t>DETE</w:t>
      </w:r>
      <w:r w:rsidR="00F13DD4">
        <w:rPr>
          <w:color w:val="000000"/>
          <w:lang w:eastAsia="en-IE"/>
        </w:rPr>
        <w:t xml:space="preserve"> and its enterprise agencies, Enterprise </w:t>
      </w:r>
      <w:proofErr w:type="gramStart"/>
      <w:r w:rsidR="00F13DD4">
        <w:rPr>
          <w:color w:val="000000"/>
          <w:lang w:eastAsia="en-IE"/>
        </w:rPr>
        <w:t>Ireland</w:t>
      </w:r>
      <w:proofErr w:type="gramEnd"/>
      <w:r w:rsidR="00F13DD4">
        <w:rPr>
          <w:color w:val="000000"/>
          <w:lang w:eastAsia="en-IE"/>
        </w:rPr>
        <w:t xml:space="preserve"> and IDA Ireland, as well as the Retail Consultation Forum, </w:t>
      </w:r>
      <w:r w:rsidR="00D25106">
        <w:rPr>
          <w:color w:val="000000"/>
          <w:lang w:eastAsia="en-IE"/>
        </w:rPr>
        <w:t>worked</w:t>
      </w:r>
      <w:r w:rsidR="00F13DD4">
        <w:rPr>
          <w:color w:val="000000"/>
          <w:lang w:eastAsia="en-IE"/>
        </w:rPr>
        <w:t xml:space="preserve"> with the </w:t>
      </w:r>
      <w:r>
        <w:rPr>
          <w:color w:val="000000"/>
          <w:lang w:eastAsia="en-IE"/>
        </w:rPr>
        <w:t>DSP</w:t>
      </w:r>
      <w:r w:rsidR="00F13DD4">
        <w:rPr>
          <w:color w:val="000000"/>
          <w:lang w:eastAsia="en-IE"/>
        </w:rPr>
        <w:t xml:space="preserve"> to implement </w:t>
      </w:r>
      <w:r w:rsidR="00F13DD4">
        <w:rPr>
          <w:i/>
          <w:iCs/>
          <w:color w:val="000000"/>
          <w:lang w:eastAsia="en-IE"/>
        </w:rPr>
        <w:t xml:space="preserve">Pathways to </w:t>
      </w:r>
      <w:r w:rsidR="00F13DD4">
        <w:rPr>
          <w:i/>
          <w:iCs/>
          <w:color w:val="000000"/>
          <w:lang w:eastAsia="en-IE"/>
        </w:rPr>
        <w:lastRenderedPageBreak/>
        <w:t>Work</w:t>
      </w:r>
      <w:r w:rsidR="00F13DD4">
        <w:rPr>
          <w:color w:val="000000"/>
          <w:lang w:eastAsia="en-IE"/>
        </w:rPr>
        <w:t>.</w:t>
      </w:r>
      <w:r>
        <w:rPr>
          <w:rStyle w:val="FootnoteReference"/>
          <w:color w:val="000000"/>
          <w:lang w:eastAsia="en-IE"/>
        </w:rPr>
        <w:footnoteReference w:id="28"/>
      </w:r>
      <w:r w:rsidR="00F13DD4">
        <w:rPr>
          <w:color w:val="000000"/>
          <w:lang w:eastAsia="en-IE"/>
        </w:rPr>
        <w:t xml:space="preserve"> In particular, the Department and its agencies </w:t>
      </w:r>
      <w:r w:rsidR="00D25106">
        <w:rPr>
          <w:color w:val="000000"/>
          <w:lang w:eastAsia="en-IE"/>
        </w:rPr>
        <w:t>continued</w:t>
      </w:r>
      <w:r w:rsidR="00F13DD4">
        <w:rPr>
          <w:color w:val="000000"/>
          <w:lang w:eastAsia="en-IE"/>
        </w:rPr>
        <w:t xml:space="preserve"> to raise employer awareness and take up of employment supports such as the expanded </w:t>
      </w:r>
      <w:proofErr w:type="spellStart"/>
      <w:r w:rsidR="00F13DD4">
        <w:rPr>
          <w:color w:val="000000"/>
          <w:lang w:eastAsia="en-IE"/>
        </w:rPr>
        <w:t>JobsPlus</w:t>
      </w:r>
      <w:proofErr w:type="spellEnd"/>
      <w:r w:rsidR="00F13DD4">
        <w:rPr>
          <w:color w:val="000000"/>
          <w:lang w:eastAsia="en-IE"/>
        </w:rPr>
        <w:t xml:space="preserve"> subsidy scheme and Work Experience Placement Programme, including through support for the strategy’s series of employer roadshows</w:t>
      </w:r>
      <w:r>
        <w:rPr>
          <w:color w:val="000000"/>
          <w:lang w:eastAsia="en-IE"/>
        </w:rPr>
        <w:t>. In addition</w:t>
      </w:r>
      <w:r w:rsidR="00662AF0">
        <w:rPr>
          <w:color w:val="000000"/>
          <w:lang w:eastAsia="en-IE"/>
        </w:rPr>
        <w:t>,</w:t>
      </w:r>
      <w:r>
        <w:rPr>
          <w:color w:val="000000"/>
          <w:lang w:eastAsia="en-IE"/>
        </w:rPr>
        <w:t xml:space="preserve"> DETE </w:t>
      </w:r>
      <w:r w:rsidR="00F13DD4">
        <w:rPr>
          <w:color w:val="000000"/>
          <w:lang w:eastAsia="en-IE"/>
        </w:rPr>
        <w:t>partner</w:t>
      </w:r>
      <w:r>
        <w:rPr>
          <w:color w:val="000000"/>
          <w:lang w:eastAsia="en-IE"/>
        </w:rPr>
        <w:t>ed</w:t>
      </w:r>
      <w:r w:rsidR="00F13DD4">
        <w:rPr>
          <w:color w:val="000000"/>
          <w:lang w:eastAsia="en-IE"/>
        </w:rPr>
        <w:t xml:space="preserve"> with the </w:t>
      </w:r>
      <w:r>
        <w:rPr>
          <w:color w:val="000000"/>
          <w:lang w:eastAsia="en-IE"/>
        </w:rPr>
        <w:t>DSP</w:t>
      </w:r>
      <w:r w:rsidR="00F13DD4">
        <w:rPr>
          <w:color w:val="000000"/>
          <w:lang w:eastAsia="en-IE"/>
        </w:rPr>
        <w:t xml:space="preserve"> on the hosting of 130 job promotion events for jobseekers and employers and two national </w:t>
      </w:r>
      <w:proofErr w:type="spellStart"/>
      <w:r w:rsidR="00F13DD4">
        <w:rPr>
          <w:color w:val="000000"/>
          <w:lang w:eastAsia="en-IE"/>
        </w:rPr>
        <w:t>Intreo</w:t>
      </w:r>
      <w:proofErr w:type="spellEnd"/>
      <w:r w:rsidR="00F13DD4">
        <w:rPr>
          <w:color w:val="000000"/>
          <w:lang w:eastAsia="en-IE"/>
        </w:rPr>
        <w:t xml:space="preserve"> Work and Skills Weeks annually. </w:t>
      </w:r>
    </w:p>
    <w:p w14:paraId="19DBCDA5" w14:textId="6FB5D25D" w:rsidR="00CC4CCB" w:rsidRPr="009A2AE2" w:rsidRDefault="00A375AF" w:rsidP="007928FE">
      <w:pPr>
        <w:pStyle w:val="Heading3"/>
      </w:pPr>
      <w:bookmarkStart w:id="54" w:name="_Toc170203453"/>
      <w:r>
        <w:t>Monitoring Part 5 of the Disability Act</w:t>
      </w:r>
      <w:bookmarkEnd w:id="54"/>
    </w:p>
    <w:p w14:paraId="5D10A182" w14:textId="25DDC5C5" w:rsidR="007242C0" w:rsidRPr="009A2AE2" w:rsidRDefault="00CC4CCB" w:rsidP="00CC4CCB">
      <w:pPr>
        <w:rPr>
          <w:color w:val="000000"/>
          <w:szCs w:val="26"/>
        </w:rPr>
      </w:pPr>
      <w:r w:rsidRPr="009A2AE2">
        <w:rPr>
          <w:szCs w:val="26"/>
        </w:rPr>
        <w:t xml:space="preserve">The </w:t>
      </w:r>
      <w:r w:rsidRPr="004A36A6">
        <w:rPr>
          <w:szCs w:val="26"/>
        </w:rPr>
        <w:t>Report on Compliance with Part 5 of the Disability Act 2005</w:t>
      </w:r>
      <w:r w:rsidRPr="009A2AE2">
        <w:rPr>
          <w:szCs w:val="26"/>
        </w:rPr>
        <w:t xml:space="preserve"> for 2022 </w:t>
      </w:r>
      <w:r w:rsidR="00FF1413" w:rsidRPr="009A2AE2">
        <w:rPr>
          <w:szCs w:val="26"/>
        </w:rPr>
        <w:t xml:space="preserve">was </w:t>
      </w:r>
      <w:r w:rsidRPr="009A2AE2">
        <w:rPr>
          <w:szCs w:val="26"/>
        </w:rPr>
        <w:t xml:space="preserve">published </w:t>
      </w:r>
      <w:r w:rsidR="009A2AE2">
        <w:rPr>
          <w:szCs w:val="26"/>
        </w:rPr>
        <w:t>to</w:t>
      </w:r>
      <w:r w:rsidRPr="009A2AE2">
        <w:rPr>
          <w:szCs w:val="26"/>
        </w:rPr>
        <w:t xml:space="preserve"> the NDA website</w:t>
      </w:r>
      <w:r w:rsidR="00FF1413" w:rsidRPr="009A2AE2">
        <w:rPr>
          <w:szCs w:val="26"/>
        </w:rPr>
        <w:t xml:space="preserve"> during 2023</w:t>
      </w:r>
      <w:r w:rsidRPr="009A2AE2">
        <w:rPr>
          <w:szCs w:val="26"/>
        </w:rPr>
        <w:t>.</w:t>
      </w:r>
      <w:r w:rsidR="004A36A6">
        <w:rPr>
          <w:rStyle w:val="FootnoteReference"/>
          <w:szCs w:val="26"/>
        </w:rPr>
        <w:footnoteReference w:id="29"/>
      </w:r>
      <w:r w:rsidRPr="009A2AE2">
        <w:rPr>
          <w:szCs w:val="26"/>
        </w:rPr>
        <w:t xml:space="preserve"> </w:t>
      </w:r>
      <w:r w:rsidR="00FF1413" w:rsidRPr="009A2AE2">
        <w:rPr>
          <w:szCs w:val="26"/>
        </w:rPr>
        <w:t>It report</w:t>
      </w:r>
      <w:r w:rsidR="007242C0" w:rsidRPr="009A2AE2">
        <w:rPr>
          <w:szCs w:val="26"/>
        </w:rPr>
        <w:t>ed</w:t>
      </w:r>
      <w:r w:rsidR="00FF1413" w:rsidRPr="009A2AE2">
        <w:rPr>
          <w:szCs w:val="26"/>
        </w:rPr>
        <w:t xml:space="preserve"> that o</w:t>
      </w:r>
      <w:r w:rsidRPr="009A2AE2">
        <w:rPr>
          <w:szCs w:val="26"/>
        </w:rPr>
        <w:t xml:space="preserve">ver the course of 2022 the number and percentage of employees reporting a disability increased to </w:t>
      </w:r>
      <w:r w:rsidRPr="00867368">
        <w:rPr>
          <w:color w:val="000000"/>
          <w:szCs w:val="26"/>
        </w:rPr>
        <w:t>10,631</w:t>
      </w:r>
      <w:r w:rsidRPr="009A2AE2">
        <w:rPr>
          <w:color w:val="000000"/>
          <w:szCs w:val="26"/>
        </w:rPr>
        <w:t xml:space="preserve"> (</w:t>
      </w:r>
      <w:r w:rsidRPr="00867368">
        <w:rPr>
          <w:b/>
          <w:bCs/>
          <w:color w:val="000000"/>
          <w:szCs w:val="26"/>
        </w:rPr>
        <w:t>4.1%</w:t>
      </w:r>
      <w:r w:rsidRPr="009A2AE2">
        <w:rPr>
          <w:color w:val="000000"/>
          <w:szCs w:val="26"/>
        </w:rPr>
        <w:t>), an increase of 1,620 (+18.0%) from the 2021 figure which was 9,011(</w:t>
      </w:r>
      <w:r w:rsidRPr="00867368">
        <w:rPr>
          <w:b/>
          <w:bCs/>
          <w:color w:val="000000"/>
          <w:szCs w:val="26"/>
        </w:rPr>
        <w:t>3.6%</w:t>
      </w:r>
      <w:r w:rsidRPr="009A2AE2">
        <w:rPr>
          <w:color w:val="000000"/>
          <w:szCs w:val="26"/>
        </w:rPr>
        <w:t xml:space="preserve">). </w:t>
      </w:r>
      <w:r w:rsidR="009638ED">
        <w:rPr>
          <w:color w:val="000000"/>
          <w:szCs w:val="26"/>
        </w:rPr>
        <w:t>In addition,</w:t>
      </w:r>
      <w:r w:rsidRPr="009A2AE2">
        <w:rPr>
          <w:color w:val="000000"/>
          <w:szCs w:val="26"/>
        </w:rPr>
        <w:t xml:space="preserve"> </w:t>
      </w:r>
      <w:r w:rsidRPr="009A2AE2">
        <w:rPr>
          <w:b/>
          <w:bCs/>
          <w:color w:val="000000"/>
          <w:szCs w:val="26"/>
        </w:rPr>
        <w:t>103</w:t>
      </w:r>
      <w:r w:rsidRPr="009A2AE2">
        <w:rPr>
          <w:color w:val="000000"/>
          <w:szCs w:val="26"/>
        </w:rPr>
        <w:t xml:space="preserve"> (48.4%) public bodies reported that a minimum of 6% of their employees were persons with disabilities. The NDA acknowledges the progress </w:t>
      </w:r>
      <w:r w:rsidR="007242C0" w:rsidRPr="009A2AE2">
        <w:rPr>
          <w:color w:val="000000"/>
          <w:szCs w:val="26"/>
        </w:rPr>
        <w:t xml:space="preserve">made by </w:t>
      </w:r>
      <w:r w:rsidRPr="009A2AE2">
        <w:rPr>
          <w:color w:val="000000"/>
          <w:szCs w:val="26"/>
        </w:rPr>
        <w:t xml:space="preserve">public bodies </w:t>
      </w:r>
      <w:r w:rsidR="00FF1413" w:rsidRPr="009A2AE2">
        <w:rPr>
          <w:color w:val="000000"/>
          <w:szCs w:val="26"/>
        </w:rPr>
        <w:t xml:space="preserve">and recognise </w:t>
      </w:r>
      <w:r w:rsidRPr="009A2AE2">
        <w:rPr>
          <w:color w:val="000000"/>
          <w:szCs w:val="26"/>
        </w:rPr>
        <w:t xml:space="preserve">that further progress is required </w:t>
      </w:r>
      <w:proofErr w:type="gramStart"/>
      <w:r w:rsidRPr="009A2AE2">
        <w:rPr>
          <w:color w:val="000000"/>
          <w:szCs w:val="26"/>
        </w:rPr>
        <w:t>in order for</w:t>
      </w:r>
      <w:proofErr w:type="gramEnd"/>
      <w:r w:rsidRPr="009A2AE2">
        <w:rPr>
          <w:color w:val="000000"/>
          <w:szCs w:val="26"/>
        </w:rPr>
        <w:t xml:space="preserve"> </w:t>
      </w:r>
      <w:r w:rsidR="009638ED">
        <w:rPr>
          <w:color w:val="000000"/>
          <w:szCs w:val="26"/>
        </w:rPr>
        <w:t>all public bodies</w:t>
      </w:r>
      <w:r w:rsidRPr="009A2AE2">
        <w:rPr>
          <w:color w:val="000000"/>
          <w:szCs w:val="26"/>
        </w:rPr>
        <w:t xml:space="preserve"> to achieve the minimum 4.5% target by 2024 and the minimum 6% target by 2025. </w:t>
      </w:r>
    </w:p>
    <w:p w14:paraId="380207AD" w14:textId="33F6E027" w:rsidR="00D25106" w:rsidRPr="00316A7E" w:rsidRDefault="009638ED" w:rsidP="009F7F01">
      <w:pPr>
        <w:rPr>
          <w:szCs w:val="26"/>
        </w:rPr>
      </w:pPr>
      <w:r>
        <w:rPr>
          <w:color w:val="000000"/>
          <w:szCs w:val="26"/>
        </w:rPr>
        <w:t>Based on recommendations contained in a</w:t>
      </w:r>
      <w:r w:rsidR="009F7F01">
        <w:rPr>
          <w:color w:val="000000"/>
          <w:szCs w:val="26"/>
        </w:rPr>
        <w:t xml:space="preserve"> 2020</w:t>
      </w:r>
      <w:r>
        <w:rPr>
          <w:color w:val="000000"/>
          <w:szCs w:val="26"/>
        </w:rPr>
        <w:t xml:space="preserve"> review of Part 5</w:t>
      </w:r>
      <w:r w:rsidR="009F7F01">
        <w:rPr>
          <w:color w:val="000000"/>
          <w:szCs w:val="26"/>
        </w:rPr>
        <w:t xml:space="preserve"> </w:t>
      </w:r>
      <w:r>
        <w:rPr>
          <w:color w:val="000000"/>
          <w:szCs w:val="26"/>
        </w:rPr>
        <w:t>the</w:t>
      </w:r>
      <w:r w:rsidRPr="009A2AE2">
        <w:rPr>
          <w:color w:val="000000"/>
          <w:szCs w:val="26"/>
        </w:rPr>
        <w:t xml:space="preserve"> </w:t>
      </w:r>
      <w:r w:rsidR="009A2AE2" w:rsidRPr="009A2AE2">
        <w:rPr>
          <w:color w:val="000000"/>
          <w:szCs w:val="26"/>
        </w:rPr>
        <w:t xml:space="preserve">NDA </w:t>
      </w:r>
      <w:r w:rsidR="009A2AE2">
        <w:rPr>
          <w:color w:val="000000"/>
          <w:szCs w:val="26"/>
        </w:rPr>
        <w:t xml:space="preserve">are </w:t>
      </w:r>
      <w:r>
        <w:rPr>
          <w:color w:val="000000"/>
          <w:szCs w:val="26"/>
        </w:rPr>
        <w:t>continuing to progress the recommendations. During 2023</w:t>
      </w:r>
      <w:r w:rsidR="009F7F01">
        <w:rPr>
          <w:color w:val="000000"/>
          <w:szCs w:val="26"/>
        </w:rPr>
        <w:t>,</w:t>
      </w:r>
      <w:r>
        <w:rPr>
          <w:color w:val="000000"/>
          <w:szCs w:val="26"/>
        </w:rPr>
        <w:t xml:space="preserve"> </w:t>
      </w:r>
      <w:r w:rsidR="00A375AF">
        <w:rPr>
          <w:color w:val="000000"/>
          <w:szCs w:val="26"/>
        </w:rPr>
        <w:t>the NDA consulted with key stakeholders including disabled people to draft new survey questions that will capture more in</w:t>
      </w:r>
      <w:r w:rsidR="009F7F01">
        <w:rPr>
          <w:color w:val="000000"/>
          <w:szCs w:val="26"/>
        </w:rPr>
        <w:t>-</w:t>
      </w:r>
      <w:r w:rsidR="00A375AF">
        <w:rPr>
          <w:color w:val="000000"/>
          <w:szCs w:val="26"/>
        </w:rPr>
        <w:t>depth information on disabled employees in the public sector. The</w:t>
      </w:r>
      <w:r w:rsidR="00CC4CCB" w:rsidRPr="009A2AE2">
        <w:rPr>
          <w:szCs w:val="26"/>
        </w:rPr>
        <w:t xml:space="preserve"> revised questions </w:t>
      </w:r>
      <w:r w:rsidR="005A6E99">
        <w:rPr>
          <w:szCs w:val="26"/>
        </w:rPr>
        <w:t>will be</w:t>
      </w:r>
      <w:r w:rsidR="00CC4CCB" w:rsidRPr="009A2AE2">
        <w:rPr>
          <w:szCs w:val="26"/>
        </w:rPr>
        <w:t xml:space="preserve"> </w:t>
      </w:r>
      <w:r w:rsidR="00A375AF">
        <w:rPr>
          <w:szCs w:val="26"/>
        </w:rPr>
        <w:t>rolled out in</w:t>
      </w:r>
      <w:r w:rsidR="00CC4CCB" w:rsidRPr="009A2AE2">
        <w:rPr>
          <w:szCs w:val="26"/>
        </w:rPr>
        <w:t xml:space="preserve"> Q1 2024. The NDA has also been exploring options to move Part 5 </w:t>
      </w:r>
      <w:r w:rsidR="009F7F01">
        <w:rPr>
          <w:szCs w:val="26"/>
        </w:rPr>
        <w:t>reporting</w:t>
      </w:r>
      <w:r w:rsidR="00CC4CCB" w:rsidRPr="009A2AE2">
        <w:rPr>
          <w:szCs w:val="26"/>
        </w:rPr>
        <w:t xml:space="preserve"> from a paper based </w:t>
      </w:r>
      <w:r w:rsidR="009F7F01">
        <w:rPr>
          <w:szCs w:val="26"/>
        </w:rPr>
        <w:t>to an online system</w:t>
      </w:r>
      <w:r w:rsidR="00CC4CCB" w:rsidRPr="009A2AE2">
        <w:rPr>
          <w:szCs w:val="26"/>
        </w:rPr>
        <w:t xml:space="preserve"> in </w:t>
      </w:r>
      <w:r w:rsidR="00CC4CCB" w:rsidRPr="009A2AE2">
        <w:rPr>
          <w:color w:val="000000"/>
          <w:szCs w:val="26"/>
          <w:lang w:eastAsia="en-IE"/>
        </w:rPr>
        <w:t xml:space="preserve">line with </w:t>
      </w:r>
      <w:r w:rsidR="00CC4CCB" w:rsidRPr="009F7F01">
        <w:rPr>
          <w:szCs w:val="26"/>
          <w:lang w:eastAsia="en-IE"/>
        </w:rPr>
        <w:t>the Government’s Digital and ICT Strategy 2030</w:t>
      </w:r>
      <w:r w:rsidR="005A6E99">
        <w:rPr>
          <w:szCs w:val="26"/>
        </w:rPr>
        <w:t>.</w:t>
      </w:r>
      <w:r w:rsidR="009F7F01">
        <w:rPr>
          <w:rStyle w:val="FootnoteReference"/>
          <w:szCs w:val="26"/>
        </w:rPr>
        <w:footnoteReference w:id="30"/>
      </w:r>
    </w:p>
    <w:p w14:paraId="7366EB44" w14:textId="319EE69E" w:rsidR="00F36ECE" w:rsidRPr="00554C73" w:rsidRDefault="00F36ECE" w:rsidP="00316A7E">
      <w:pPr>
        <w:pStyle w:val="Heading3"/>
        <w:rPr>
          <w:lang w:eastAsia="en-IE"/>
        </w:rPr>
      </w:pPr>
      <w:bookmarkStart w:id="55" w:name="_Toc170203454"/>
      <w:r w:rsidRPr="00554C73">
        <w:rPr>
          <w:lang w:eastAsia="en-IE"/>
        </w:rPr>
        <w:t>Oireachtas Work Learning (OWL) Programme</w:t>
      </w:r>
      <w:bookmarkEnd w:id="55"/>
      <w:r w:rsidRPr="00554C73">
        <w:rPr>
          <w:lang w:eastAsia="en-IE"/>
        </w:rPr>
        <w:t xml:space="preserve"> </w:t>
      </w:r>
    </w:p>
    <w:p w14:paraId="4E435D76" w14:textId="21993C59" w:rsidR="00F36ECE" w:rsidRPr="00554C73" w:rsidRDefault="00554C73" w:rsidP="00F36ECE">
      <w:pPr>
        <w:rPr>
          <w:sz w:val="24"/>
        </w:rPr>
      </w:pPr>
      <w:r w:rsidRPr="00554C73">
        <w:rPr>
          <w:sz w:val="24"/>
          <w:lang w:eastAsia="en-IE"/>
        </w:rPr>
        <w:t xml:space="preserve">The Public Appointment Services </w:t>
      </w:r>
      <w:r w:rsidR="00F36ECE" w:rsidRPr="00554C73">
        <w:rPr>
          <w:sz w:val="24"/>
          <w:lang w:eastAsia="en-IE"/>
        </w:rPr>
        <w:t>continue</w:t>
      </w:r>
      <w:r w:rsidRPr="00554C73">
        <w:rPr>
          <w:sz w:val="24"/>
          <w:lang w:eastAsia="en-IE"/>
        </w:rPr>
        <w:t>d</w:t>
      </w:r>
      <w:r w:rsidR="00F36ECE" w:rsidRPr="00554C73">
        <w:rPr>
          <w:sz w:val="24"/>
          <w:lang w:eastAsia="en-IE"/>
        </w:rPr>
        <w:t xml:space="preserve"> to deliver the recruitment process for the OWL programme, </w:t>
      </w:r>
      <w:r w:rsidRPr="00554C73">
        <w:rPr>
          <w:sz w:val="24"/>
          <w:lang w:eastAsia="en-IE"/>
        </w:rPr>
        <w:t>and there are</w:t>
      </w:r>
      <w:r w:rsidR="009C36AC">
        <w:rPr>
          <w:sz w:val="24"/>
          <w:lang w:eastAsia="en-IE"/>
        </w:rPr>
        <w:t xml:space="preserve"> now</w:t>
      </w:r>
      <w:r w:rsidR="00F36ECE" w:rsidRPr="00554C73">
        <w:rPr>
          <w:sz w:val="24"/>
          <w:lang w:eastAsia="en-IE"/>
        </w:rPr>
        <w:t xml:space="preserve"> 17 OWL graduates in permanent jobs in the civil service. Ten new trainees commenced in the Houses of the Oireachtas Service in September 2022 and graduated in June 2023. The 10 trainees were eligible to apply for a confined competition on completion of the program. A panel was created and six were successful in securing permanent roles. </w:t>
      </w:r>
      <w:r w:rsidR="00F36ECE" w:rsidRPr="00554C73">
        <w:rPr>
          <w:sz w:val="24"/>
        </w:rPr>
        <w:t xml:space="preserve">In September 2023, eight new trainees joined </w:t>
      </w:r>
      <w:r w:rsidR="00F36ECE" w:rsidRPr="00554C73">
        <w:rPr>
          <w:sz w:val="24"/>
        </w:rPr>
        <w:lastRenderedPageBreak/>
        <w:t xml:space="preserve">the training programme. They are now completing their second work experience rotation and will be eligible for a confined competition on completion of the program.  </w:t>
      </w:r>
    </w:p>
    <w:p w14:paraId="6ADF648E" w14:textId="7B256BE7" w:rsidR="00D25106" w:rsidRDefault="00F36ECE" w:rsidP="00316A7E">
      <w:pPr>
        <w:rPr>
          <w:sz w:val="24"/>
          <w:lang w:eastAsia="en-IE"/>
        </w:rPr>
      </w:pPr>
      <w:r w:rsidRPr="00554C73">
        <w:rPr>
          <w:sz w:val="24"/>
          <w:lang w:eastAsia="en-IE"/>
        </w:rPr>
        <w:t>An OWL programme Hiring Managers Network was also set up last year. This provides an opportunity for managers of OWL graduates to discuss and share any learning from the programme. In 2023 the Network, along with the</w:t>
      </w:r>
      <w:r w:rsidRPr="00554C73">
        <w:rPr>
          <w:sz w:val="24"/>
        </w:rPr>
        <w:t xml:space="preserve"> </w:t>
      </w:r>
      <w:r w:rsidRPr="00554C73">
        <w:rPr>
          <w:sz w:val="24"/>
          <w:lang w:eastAsia="en-IE"/>
        </w:rPr>
        <w:t>City of Dublin Education and Training Board</w:t>
      </w:r>
      <w:r w:rsidR="009F7F01">
        <w:rPr>
          <w:sz w:val="24"/>
          <w:lang w:eastAsia="en-IE"/>
        </w:rPr>
        <w:t xml:space="preserve">, </w:t>
      </w:r>
      <w:r w:rsidRPr="00554C73">
        <w:rPr>
          <w:sz w:val="24"/>
          <w:lang w:eastAsia="en-IE"/>
        </w:rPr>
        <w:t xml:space="preserve">helped to develop and pilot a training programme for OWL graduates to support the development of practical, </w:t>
      </w:r>
      <w:r w:rsidR="00554C73" w:rsidRPr="00554C73">
        <w:rPr>
          <w:sz w:val="24"/>
          <w:lang w:eastAsia="en-IE"/>
        </w:rPr>
        <w:t>job-related</w:t>
      </w:r>
      <w:r w:rsidRPr="00554C73">
        <w:rPr>
          <w:sz w:val="24"/>
          <w:lang w:eastAsia="en-IE"/>
        </w:rPr>
        <w:t xml:space="preserve"> skills. This training </w:t>
      </w:r>
      <w:r w:rsidR="00554C73">
        <w:rPr>
          <w:sz w:val="24"/>
          <w:lang w:eastAsia="en-IE"/>
        </w:rPr>
        <w:t xml:space="preserve">will </w:t>
      </w:r>
      <w:r w:rsidRPr="00554C73">
        <w:rPr>
          <w:sz w:val="24"/>
          <w:lang w:eastAsia="en-IE"/>
        </w:rPr>
        <w:t>beg</w:t>
      </w:r>
      <w:r w:rsidR="00554C73">
        <w:rPr>
          <w:sz w:val="24"/>
          <w:lang w:eastAsia="en-IE"/>
        </w:rPr>
        <w:t>i</w:t>
      </w:r>
      <w:r w:rsidRPr="00554C73">
        <w:rPr>
          <w:sz w:val="24"/>
          <w:lang w:eastAsia="en-IE"/>
        </w:rPr>
        <w:t xml:space="preserve">n in </w:t>
      </w:r>
      <w:r w:rsidR="00554C73">
        <w:rPr>
          <w:sz w:val="24"/>
          <w:lang w:eastAsia="en-IE"/>
        </w:rPr>
        <w:t>2024.</w:t>
      </w:r>
      <w:r w:rsidRPr="00554C73">
        <w:rPr>
          <w:sz w:val="24"/>
          <w:lang w:eastAsia="en-IE"/>
        </w:rPr>
        <w:t xml:space="preserve"> </w:t>
      </w:r>
    </w:p>
    <w:p w14:paraId="42A889E7" w14:textId="4EB29904" w:rsidR="00A55E54" w:rsidRDefault="00A55E54" w:rsidP="009C583B">
      <w:pPr>
        <w:pStyle w:val="Heading3"/>
        <w:rPr>
          <w:lang w:eastAsia="en-IE"/>
        </w:rPr>
      </w:pPr>
      <w:bookmarkStart w:id="56" w:name="_Toc170203455"/>
      <w:bookmarkStart w:id="57" w:name="_Hlk170200713"/>
      <w:r>
        <w:rPr>
          <w:lang w:eastAsia="en-IE"/>
        </w:rPr>
        <w:t>Wage Subsidy Scheme</w:t>
      </w:r>
      <w:bookmarkEnd w:id="56"/>
    </w:p>
    <w:p w14:paraId="114B9C73" w14:textId="171758D7" w:rsidR="009C583B" w:rsidRPr="00316A7E" w:rsidRDefault="009C583B" w:rsidP="00316A7E">
      <w:pPr>
        <w:rPr>
          <w:sz w:val="24"/>
          <w:lang w:eastAsia="en-IE"/>
        </w:rPr>
      </w:pPr>
      <w:r w:rsidRPr="009C583B">
        <w:rPr>
          <w:color w:val="000000"/>
          <w:szCs w:val="26"/>
          <w:shd w:val="clear" w:color="auto" w:fill="FFFFFF"/>
        </w:rPr>
        <w:t xml:space="preserve">This scheme, run by DSP provides financial incentives to private sector employers to employ people with a disability. The basic rate of subsidy is €6.30 per hour. </w:t>
      </w:r>
      <w:r w:rsidRPr="009C583B">
        <w:rPr>
          <w:szCs w:val="26"/>
        </w:rPr>
        <w:t xml:space="preserve">The scheme was reviewed in 2023. One key reform that resulted from the review was to reduce the weekly threshold for employers to avail of the scheme from 21 to 15 hours. Some disabled people dislike the scheme as it requires an acknowledgement of their lower productivity rather than being strengths based. However, some service providers feel it is a crucial support to incentivise employers to employ people with more significant disabilities. </w:t>
      </w:r>
      <w:r w:rsidR="0019395C">
        <w:t xml:space="preserve">NDA welcomes the review of the CES and advises that further reforms to the scheme make it more aligned with UNCRPD and that the </w:t>
      </w:r>
      <w:proofErr w:type="gramStart"/>
      <w:r w:rsidR="0019395C">
        <w:t>criteria</w:t>
      </w:r>
      <w:proofErr w:type="gramEnd"/>
      <w:r w:rsidR="0019395C">
        <w:t xml:space="preserve"> for describing reduced capacity is redesigned. </w:t>
      </w:r>
    </w:p>
    <w:p w14:paraId="2143D9E9" w14:textId="40ED4E3E" w:rsidR="00EA17B9" w:rsidRPr="00CF1128" w:rsidRDefault="00000DF2" w:rsidP="00316A7E">
      <w:pPr>
        <w:pStyle w:val="Heading3"/>
      </w:pPr>
      <w:bookmarkStart w:id="58" w:name="_Toc170203456"/>
      <w:bookmarkEnd w:id="57"/>
      <w:r w:rsidRPr="00CF1128">
        <w:t xml:space="preserve">Employers </w:t>
      </w:r>
      <w:r w:rsidR="001A30D7" w:rsidRPr="00CF1128">
        <w:t>for</w:t>
      </w:r>
      <w:r w:rsidRPr="00CF1128">
        <w:t xml:space="preserve"> Change</w:t>
      </w:r>
      <w:bookmarkEnd w:id="58"/>
    </w:p>
    <w:p w14:paraId="32A3A778" w14:textId="3EED0A46" w:rsidR="001A30D7" w:rsidRPr="00CF1128" w:rsidRDefault="00CF1128" w:rsidP="001A30D7">
      <w:pPr>
        <w:rPr>
          <w:rFonts w:cs="Arial"/>
          <w:szCs w:val="26"/>
        </w:rPr>
      </w:pPr>
      <w:bookmarkStart w:id="59" w:name="_Toc130370568"/>
      <w:bookmarkStart w:id="60" w:name="_Toc130474365"/>
      <w:bookmarkStart w:id="61" w:name="_Toc101857207"/>
      <w:r>
        <w:rPr>
          <w:rFonts w:cs="Arial"/>
          <w:szCs w:val="26"/>
        </w:rPr>
        <w:t xml:space="preserve">The Open Doors Initiative, Employers for Change </w:t>
      </w:r>
      <w:r w:rsidR="001A30D7" w:rsidRPr="00CF1128">
        <w:rPr>
          <w:rFonts w:cs="Arial"/>
          <w:szCs w:val="26"/>
        </w:rPr>
        <w:t xml:space="preserve">delivered </w:t>
      </w:r>
      <w:r w:rsidR="000B470B">
        <w:rPr>
          <w:rFonts w:cs="Arial"/>
          <w:szCs w:val="26"/>
        </w:rPr>
        <w:t xml:space="preserve">awareness </w:t>
      </w:r>
      <w:r w:rsidR="001A30D7" w:rsidRPr="00CF1128">
        <w:rPr>
          <w:rFonts w:cs="Arial"/>
          <w:szCs w:val="26"/>
        </w:rPr>
        <w:t xml:space="preserve">training to over 2000 </w:t>
      </w:r>
      <w:r w:rsidR="000B470B">
        <w:rPr>
          <w:rFonts w:cs="Arial"/>
          <w:szCs w:val="26"/>
        </w:rPr>
        <w:t xml:space="preserve">business personnel </w:t>
      </w:r>
      <w:r>
        <w:rPr>
          <w:rFonts w:cs="Arial"/>
          <w:szCs w:val="26"/>
        </w:rPr>
        <w:t>during 2023</w:t>
      </w:r>
      <w:r w:rsidR="001A30D7" w:rsidRPr="00CF1128">
        <w:rPr>
          <w:rFonts w:cs="Arial"/>
          <w:szCs w:val="26"/>
        </w:rPr>
        <w:t xml:space="preserve">. Employers for Change </w:t>
      </w:r>
      <w:r w:rsidR="00A375AF">
        <w:rPr>
          <w:rFonts w:cs="Arial"/>
          <w:szCs w:val="26"/>
        </w:rPr>
        <w:t xml:space="preserve">continues to operate on an annual funding cycle. This </w:t>
      </w:r>
      <w:r>
        <w:rPr>
          <w:rFonts w:cs="Arial"/>
          <w:szCs w:val="26"/>
        </w:rPr>
        <w:t xml:space="preserve">or a similar service requires a </w:t>
      </w:r>
      <w:r w:rsidR="001A30D7" w:rsidRPr="00CF1128">
        <w:rPr>
          <w:rFonts w:cs="Arial"/>
          <w:szCs w:val="26"/>
        </w:rPr>
        <w:t xml:space="preserve">continuous </w:t>
      </w:r>
      <w:r>
        <w:rPr>
          <w:rFonts w:cs="Arial"/>
          <w:szCs w:val="26"/>
        </w:rPr>
        <w:t xml:space="preserve">source of </w:t>
      </w:r>
      <w:r w:rsidR="001A30D7" w:rsidRPr="00CF1128">
        <w:rPr>
          <w:rFonts w:cs="Arial"/>
          <w:szCs w:val="26"/>
        </w:rPr>
        <w:t>funding</w:t>
      </w:r>
      <w:r>
        <w:rPr>
          <w:rFonts w:cs="Arial"/>
          <w:szCs w:val="26"/>
        </w:rPr>
        <w:t xml:space="preserve"> with clear targets for delivery.</w:t>
      </w:r>
    </w:p>
    <w:p w14:paraId="52B8ADE1" w14:textId="77777777" w:rsidR="00953582" w:rsidRDefault="00953582" w:rsidP="00953582">
      <w:pPr>
        <w:pStyle w:val="Heading1"/>
      </w:pPr>
      <w:bookmarkStart w:id="62" w:name="_Toc130474366"/>
      <w:bookmarkStart w:id="63" w:name="_Toc170203457"/>
      <w:bookmarkEnd w:id="59"/>
      <w:bookmarkEnd w:id="60"/>
      <w:bookmarkEnd w:id="61"/>
      <w:r>
        <w:t>Conclusion</w:t>
      </w:r>
      <w:bookmarkEnd w:id="62"/>
      <w:bookmarkEnd w:id="63"/>
    </w:p>
    <w:p w14:paraId="2FF19D0D" w14:textId="14D0745F" w:rsidR="00F10846" w:rsidRDefault="002621A2" w:rsidP="008C5777">
      <w:r w:rsidRPr="00CF1128">
        <w:t xml:space="preserve">As the </w:t>
      </w:r>
      <w:r w:rsidR="008C5777" w:rsidRPr="00CF1128">
        <w:t>CES completes its 10 years</w:t>
      </w:r>
      <w:r w:rsidR="00A81BF9" w:rsidRPr="00CF1128">
        <w:t xml:space="preserve"> in 2024</w:t>
      </w:r>
      <w:r w:rsidR="00D3240B">
        <w:t>,</w:t>
      </w:r>
      <w:r w:rsidR="008C5777" w:rsidRPr="00CF1128">
        <w:t xml:space="preserve"> </w:t>
      </w:r>
      <w:r w:rsidR="00B1292E" w:rsidRPr="00CF1128">
        <w:t>the NDA advis</w:t>
      </w:r>
      <w:r w:rsidR="008C5777" w:rsidRPr="00CF1128">
        <w:t xml:space="preserve">e that a clear vision of </w:t>
      </w:r>
      <w:r w:rsidR="00D3240B">
        <w:t xml:space="preserve">what is required in </w:t>
      </w:r>
      <w:r w:rsidR="008C5777" w:rsidRPr="00CF1128">
        <w:t xml:space="preserve">mainstream and coordinated approaches </w:t>
      </w:r>
      <w:r w:rsidR="00D3240B">
        <w:t xml:space="preserve">to support disabled people who want to work </w:t>
      </w:r>
      <w:r w:rsidR="008C5777" w:rsidRPr="00CF1128">
        <w:t xml:space="preserve">are blended into </w:t>
      </w:r>
      <w:r w:rsidR="00723C66">
        <w:t xml:space="preserve">the </w:t>
      </w:r>
      <w:r w:rsidR="008C5777" w:rsidRPr="00CF1128">
        <w:t xml:space="preserve">new </w:t>
      </w:r>
      <w:r w:rsidR="00A375AF">
        <w:t>National Disability Strategy</w:t>
      </w:r>
      <w:r w:rsidR="008C5777" w:rsidRPr="00CF1128">
        <w:t>.</w:t>
      </w:r>
      <w:r w:rsidR="00D3240B">
        <w:t xml:space="preserve"> </w:t>
      </w:r>
      <w:r w:rsidR="00750AE7">
        <w:t>A</w:t>
      </w:r>
      <w:r w:rsidR="00723C66">
        <w:t>lso of importance is that a</w:t>
      </w:r>
      <w:r w:rsidR="00750AE7">
        <w:t xml:space="preserve"> key</w:t>
      </w:r>
      <w:r w:rsidR="00D3240B">
        <w:t xml:space="preserve"> mechanism</w:t>
      </w:r>
      <w:r w:rsidR="00365744">
        <w:t xml:space="preserve"> </w:t>
      </w:r>
      <w:r w:rsidR="00D3240B">
        <w:t xml:space="preserve">to ensure </w:t>
      </w:r>
      <w:r w:rsidR="00365744">
        <w:t xml:space="preserve">the </w:t>
      </w:r>
      <w:r w:rsidR="00D3240B">
        <w:t xml:space="preserve">progressive realisation of employment issues relevant to UNCRPD Article 27 will remain </w:t>
      </w:r>
      <w:r w:rsidR="009F7F01">
        <w:t>a</w:t>
      </w:r>
      <w:r w:rsidR="00365744">
        <w:t xml:space="preserve"> </w:t>
      </w:r>
      <w:r w:rsidR="00D3240B">
        <w:t xml:space="preserve">whole of government </w:t>
      </w:r>
      <w:r w:rsidR="00365744">
        <w:t>activity.</w:t>
      </w:r>
    </w:p>
    <w:p w14:paraId="204DA56C" w14:textId="5B324B93" w:rsidR="00F10846" w:rsidRDefault="009F7F01" w:rsidP="008C5777">
      <w:r>
        <w:t>Ireland are poor performers when compared to our European neighbours in two areas;</w:t>
      </w:r>
      <w:r w:rsidR="00D3240B">
        <w:t xml:space="preserve"> the </w:t>
      </w:r>
      <w:r w:rsidR="00F10846">
        <w:t xml:space="preserve">disability employment gap and the levels of poverty </w:t>
      </w:r>
      <w:r w:rsidR="00D3240B">
        <w:t xml:space="preserve">amongst </w:t>
      </w:r>
      <w:r w:rsidR="00F10846">
        <w:t xml:space="preserve">disabled people. While a route out of poverty can be employment, this can only be achieved if the system is responsive to those seeking employment. Unfortunately, the </w:t>
      </w:r>
      <w:r w:rsidR="00D3240B">
        <w:t xml:space="preserve">current </w:t>
      </w:r>
      <w:r w:rsidR="00F10846">
        <w:t xml:space="preserve">system </w:t>
      </w:r>
      <w:r>
        <w:t>is not responsive enough to</w:t>
      </w:r>
      <w:r w:rsidR="00D3240B">
        <w:t xml:space="preserve"> individual</w:t>
      </w:r>
      <w:r w:rsidR="00F10846">
        <w:t xml:space="preserve"> support needs</w:t>
      </w:r>
      <w:r>
        <w:t>. U</w:t>
      </w:r>
      <w:r w:rsidR="00F10846">
        <w:t xml:space="preserve">ntil </w:t>
      </w:r>
      <w:r w:rsidR="00F10846">
        <w:lastRenderedPageBreak/>
        <w:t xml:space="preserve">the bridge between what an individual needs to access employment is addressed the disability employment </w:t>
      </w:r>
      <w:r w:rsidR="00E9518F">
        <w:t>gap</w:t>
      </w:r>
      <w:r w:rsidR="00F10846">
        <w:t xml:space="preserve"> will remain high.</w:t>
      </w:r>
    </w:p>
    <w:p w14:paraId="30D4308C" w14:textId="6BCA41BC" w:rsidR="00F90B85" w:rsidRDefault="00B431CD" w:rsidP="00723C66">
      <w:r>
        <w:t>The NDA advi</w:t>
      </w:r>
      <w:r w:rsidR="009F7F01">
        <w:t>s</w:t>
      </w:r>
      <w:r>
        <w:t xml:space="preserve">e that a final meeting of the CESIG is held to assess what worked well during the 2015 to 2024 timeframe and what elements of activity must be carried forward in the </w:t>
      </w:r>
      <w:r w:rsidR="00365744">
        <w:t>N</w:t>
      </w:r>
      <w:r>
        <w:t xml:space="preserve">ew Disability Strategy. </w:t>
      </w:r>
    </w:p>
    <w:sectPr w:rsidR="00F90B85">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14D8" w14:textId="77777777" w:rsidR="00DA42D1" w:rsidRDefault="00DA42D1">
      <w:r>
        <w:separator/>
      </w:r>
    </w:p>
  </w:endnote>
  <w:endnote w:type="continuationSeparator" w:id="0">
    <w:p w14:paraId="74950408" w14:textId="77777777" w:rsidR="00DA42D1" w:rsidRDefault="00D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979B" w14:textId="759A2153" w:rsidR="00E626D2" w:rsidRDefault="00E626D2">
    <w:pPr>
      <w:pStyle w:val="Footer"/>
    </w:pPr>
    <w:r>
      <w:tab/>
    </w:r>
    <w:r>
      <w:tab/>
    </w:r>
    <w:r>
      <w:fldChar w:fldCharType="begin"/>
    </w:r>
    <w:r>
      <w:instrText xml:space="preserve"> PAGE  \* Arabic  \* MERGEFORMAT </w:instrText>
    </w:r>
    <w:r>
      <w:fldChar w:fldCharType="separate"/>
    </w:r>
    <w:r w:rsidR="004C443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B0A6" w14:textId="77777777" w:rsidR="00DA42D1" w:rsidRDefault="00DA42D1">
      <w:r>
        <w:separator/>
      </w:r>
    </w:p>
  </w:footnote>
  <w:footnote w:type="continuationSeparator" w:id="0">
    <w:p w14:paraId="39CC264D" w14:textId="77777777" w:rsidR="00DA42D1" w:rsidRDefault="00DA42D1">
      <w:r>
        <w:continuationSeparator/>
      </w:r>
    </w:p>
  </w:footnote>
  <w:footnote w:id="1">
    <w:p w14:paraId="03D5F447" w14:textId="1C6B44BA" w:rsidR="00D36481" w:rsidRDefault="004275A8">
      <w:pPr>
        <w:pStyle w:val="FootnoteText"/>
      </w:pPr>
      <w:r>
        <w:rPr>
          <w:rStyle w:val="FootnoteReference"/>
        </w:rPr>
        <w:footnoteRef/>
      </w:r>
      <w:r>
        <w:t xml:space="preserve"> </w:t>
      </w:r>
      <w:hyperlink r:id="rId1" w:history="1">
        <w:r w:rsidR="00D36481" w:rsidRPr="00086F59">
          <w:rPr>
            <w:rStyle w:val="Hyperlink"/>
          </w:rPr>
          <w:t>https://www.cso.ie/en/releasesandpublications/ep/p-cpp4/census2022profile4-disabilityhealthandcarers/keyfindings/</w:t>
        </w:r>
      </w:hyperlink>
    </w:p>
  </w:footnote>
  <w:footnote w:id="2">
    <w:p w14:paraId="63EBF3D7" w14:textId="5B0D7DB1" w:rsidR="003C584A" w:rsidRPr="00D36481" w:rsidRDefault="005B16DC" w:rsidP="00D36481">
      <w:pPr>
        <w:pStyle w:val="FootnoteText"/>
        <w:spacing w:after="0"/>
      </w:pPr>
      <w:r w:rsidRPr="00D36481">
        <w:rPr>
          <w:rStyle w:val="FootnoteReference"/>
          <w:rFonts w:ascii="Gill Sans MT" w:hAnsi="Gill Sans MT"/>
        </w:rPr>
        <w:footnoteRef/>
      </w:r>
      <w:r w:rsidRPr="00D36481">
        <w:t xml:space="preserve"> Eurostat (2023). Disability employment gap by level of activity limitation and sex (source EU-SILC). </w:t>
      </w:r>
      <w:bookmarkStart w:id="13" w:name="_Hlk155351160"/>
      <w:r w:rsidR="003C584A" w:rsidRPr="00D36481">
        <w:fldChar w:fldCharType="begin"/>
      </w:r>
      <w:r w:rsidR="003C584A" w:rsidRPr="00D36481">
        <w:instrText>HYPERLINK "https://ec.europa.eu/eurostat/web/products-datasets/-/tepsr_sp200"</w:instrText>
      </w:r>
      <w:r w:rsidR="003C584A" w:rsidRPr="00D36481">
        <w:fldChar w:fldCharType="separate"/>
      </w:r>
      <w:r w:rsidR="003C584A" w:rsidRPr="00D36481">
        <w:rPr>
          <w:rStyle w:val="Hyperlink"/>
        </w:rPr>
        <w:t>https://ec.europa.eu/eurostat/web/products-datasets/-/tepsr_sp200</w:t>
      </w:r>
      <w:bookmarkEnd w:id="13"/>
      <w:r w:rsidR="003C584A" w:rsidRPr="00D36481">
        <w:fldChar w:fldCharType="end"/>
      </w:r>
    </w:p>
  </w:footnote>
  <w:footnote w:id="3">
    <w:p w14:paraId="23A95484" w14:textId="3FAE02D4" w:rsidR="0034320F" w:rsidRPr="00D36481" w:rsidRDefault="000210B7" w:rsidP="00D36481">
      <w:pPr>
        <w:pStyle w:val="FootnoteText"/>
        <w:spacing w:after="0"/>
      </w:pPr>
      <w:r w:rsidRPr="00D36481">
        <w:rPr>
          <w:rStyle w:val="FootnoteReference"/>
          <w:rFonts w:ascii="Gill Sans MT" w:hAnsi="Gill Sans MT"/>
        </w:rPr>
        <w:footnoteRef/>
      </w:r>
      <w:r w:rsidRPr="00D36481">
        <w:t xml:space="preserve"> </w:t>
      </w:r>
      <w:hyperlink r:id="rId2" w:history="1">
        <w:r w:rsidR="0034320F" w:rsidRPr="00D36481">
          <w:rPr>
            <w:rStyle w:val="Hyperlink"/>
          </w:rPr>
          <w:t>https://hea.ie/2023/02/23/hea-publishes-graduate-outcomes-and-disability-report/</w:t>
        </w:r>
      </w:hyperlink>
    </w:p>
  </w:footnote>
  <w:footnote w:id="4">
    <w:p w14:paraId="376068CB" w14:textId="11AF4753" w:rsidR="00F21C7A" w:rsidRPr="00D36481" w:rsidRDefault="00F21C7A" w:rsidP="00D36481">
      <w:pPr>
        <w:pStyle w:val="FootnoteText"/>
        <w:spacing w:after="0"/>
      </w:pPr>
      <w:r w:rsidRPr="00D36481">
        <w:rPr>
          <w:rStyle w:val="FootnoteReference"/>
          <w:rFonts w:ascii="Gill Sans MT" w:hAnsi="Gill Sans MT"/>
        </w:rPr>
        <w:footnoteRef/>
      </w:r>
      <w:r w:rsidRPr="00D36481">
        <w:t xml:space="preserve"> </w:t>
      </w:r>
      <w:hyperlink r:id="rId3" w:history="1">
        <w:r w:rsidRPr="00D36481">
          <w:rPr>
            <w:rStyle w:val="Hyperlink"/>
          </w:rPr>
          <w:t>https://hea.ie/assets/uploads/2023/12/ONLINE-v2-NDPAC-2.pdf</w:t>
        </w:r>
      </w:hyperlink>
    </w:p>
  </w:footnote>
  <w:footnote w:id="5">
    <w:p w14:paraId="7ADD5427" w14:textId="51387A75" w:rsidR="00F21C7A" w:rsidRPr="00D36481" w:rsidRDefault="00F21C7A" w:rsidP="00D36481">
      <w:pPr>
        <w:pStyle w:val="FootnoteText"/>
        <w:spacing w:after="0"/>
      </w:pPr>
      <w:r w:rsidRPr="00D36481">
        <w:rPr>
          <w:rStyle w:val="FootnoteReference"/>
          <w:rFonts w:ascii="Gill Sans MT" w:hAnsi="Gill Sans MT"/>
        </w:rPr>
        <w:footnoteRef/>
      </w:r>
      <w:r w:rsidRPr="00D36481">
        <w:t xml:space="preserve"> </w:t>
      </w:r>
      <w:hyperlink r:id="rId4" w:history="1">
        <w:r w:rsidR="006D7B4C" w:rsidRPr="00D36481">
          <w:rPr>
            <w:rStyle w:val="Hyperlink"/>
          </w:rPr>
          <w:t>https://irelandseducationyearbook.ie/downloads/IEYB2023/Irelands%20Yearbook%20of%20Education%202023%20-%20Higher%20Education-14.pdf</w:t>
        </w:r>
      </w:hyperlink>
    </w:p>
  </w:footnote>
  <w:footnote w:id="6">
    <w:p w14:paraId="5966FC5B" w14:textId="0F2EC760" w:rsidR="006C3644" w:rsidRPr="00D36481" w:rsidRDefault="00F17BA5" w:rsidP="00F17BA5">
      <w:pPr>
        <w:pStyle w:val="FootnoteText"/>
      </w:pPr>
      <w:r w:rsidRPr="00D36481">
        <w:rPr>
          <w:rStyle w:val="FootnoteReference"/>
          <w:rFonts w:ascii="Gill Sans MT" w:hAnsi="Gill Sans MT"/>
        </w:rPr>
        <w:footnoteRef/>
      </w:r>
      <w:r w:rsidRPr="00D36481">
        <w:t xml:space="preserve"> </w:t>
      </w:r>
      <w:hyperlink r:id="rId5" w:history="1">
        <w:r w:rsidR="006C3644" w:rsidRPr="00D36481">
          <w:rPr>
            <w:rStyle w:val="Hyperlink"/>
          </w:rPr>
          <w:t>https://www.solas.ie/f/70398/x/dfa32cd975/disabilities-fet-report.pdf</w:t>
        </w:r>
      </w:hyperlink>
    </w:p>
  </w:footnote>
  <w:footnote w:id="7">
    <w:p w14:paraId="2B1A32D9" w14:textId="0221723C" w:rsidR="00433926" w:rsidRPr="00D36481" w:rsidRDefault="00433926" w:rsidP="00D36481">
      <w:pPr>
        <w:pStyle w:val="FootnoteText"/>
        <w:spacing w:after="0"/>
        <w:rPr>
          <w:szCs w:val="22"/>
        </w:rPr>
      </w:pPr>
      <w:r w:rsidRPr="00D36481">
        <w:rPr>
          <w:rStyle w:val="FootnoteReference"/>
          <w:rFonts w:ascii="Gill Sans MT" w:hAnsi="Gill Sans MT"/>
          <w:szCs w:val="22"/>
        </w:rPr>
        <w:footnoteRef/>
      </w:r>
      <w:r w:rsidRPr="00D36481">
        <w:rPr>
          <w:szCs w:val="22"/>
        </w:rPr>
        <w:t xml:space="preserve"> </w:t>
      </w:r>
      <w:hyperlink r:id="rId6" w:history="1">
        <w:r w:rsidRPr="00D36481">
          <w:rPr>
            <w:rStyle w:val="Hyperlink"/>
            <w:szCs w:val="22"/>
          </w:rPr>
          <w:t>https://universaldesign.ie/education</w:t>
        </w:r>
      </w:hyperlink>
    </w:p>
  </w:footnote>
  <w:footnote w:id="8">
    <w:p w14:paraId="37AE453C" w14:textId="77777777" w:rsidR="000B4BE1" w:rsidRPr="00D36481" w:rsidRDefault="000B4BE1" w:rsidP="00D36481">
      <w:pPr>
        <w:pStyle w:val="FootnoteText"/>
        <w:spacing w:after="0"/>
        <w:rPr>
          <w:szCs w:val="22"/>
        </w:rPr>
      </w:pPr>
      <w:r w:rsidRPr="00D36481">
        <w:rPr>
          <w:rStyle w:val="FootnoteReference"/>
          <w:rFonts w:ascii="Gill Sans MT" w:hAnsi="Gill Sans MT"/>
          <w:szCs w:val="22"/>
        </w:rPr>
        <w:footnoteRef/>
      </w:r>
      <w:r w:rsidRPr="00D36481">
        <w:rPr>
          <w:szCs w:val="22"/>
        </w:rPr>
        <w:t xml:space="preserve"> https://universaldesign.ie/built-environment/building-for-everyone</w:t>
      </w:r>
    </w:p>
  </w:footnote>
  <w:footnote w:id="9">
    <w:p w14:paraId="399BD1C7" w14:textId="77777777" w:rsidR="00454821" w:rsidRPr="00D36481" w:rsidRDefault="00454821" w:rsidP="00D36481">
      <w:pPr>
        <w:pStyle w:val="FootnoteText"/>
        <w:spacing w:after="0"/>
        <w:rPr>
          <w:szCs w:val="22"/>
        </w:rPr>
      </w:pPr>
      <w:r w:rsidRPr="00D36481">
        <w:rPr>
          <w:rStyle w:val="FootnoteReference"/>
          <w:rFonts w:ascii="Gill Sans MT" w:hAnsi="Gill Sans MT"/>
          <w:szCs w:val="22"/>
        </w:rPr>
        <w:footnoteRef/>
      </w:r>
      <w:r w:rsidRPr="00D36481">
        <w:rPr>
          <w:szCs w:val="22"/>
        </w:rPr>
        <w:t xml:space="preserve"> </w:t>
      </w:r>
      <w:hyperlink r:id="rId7" w:history="1">
        <w:r w:rsidRPr="00D36481">
          <w:rPr>
            <w:rStyle w:val="Hyperlink"/>
            <w:szCs w:val="22"/>
          </w:rPr>
          <w:t>How’s it Going National Survey - National Disability Authority (nda.ie)</w:t>
        </w:r>
      </w:hyperlink>
    </w:p>
  </w:footnote>
  <w:footnote w:id="10">
    <w:p w14:paraId="0631E1B8" w14:textId="77777777" w:rsidR="00454821" w:rsidRDefault="00454821" w:rsidP="00D36481">
      <w:pPr>
        <w:pStyle w:val="FootnoteText"/>
        <w:spacing w:after="0"/>
      </w:pPr>
      <w:r w:rsidRPr="00D36481">
        <w:rPr>
          <w:rStyle w:val="FootnoteReference"/>
          <w:rFonts w:ascii="Gill Sans MT" w:hAnsi="Gill Sans MT"/>
          <w:szCs w:val="22"/>
        </w:rPr>
        <w:footnoteRef/>
      </w:r>
      <w:r w:rsidRPr="00D36481">
        <w:rPr>
          <w:szCs w:val="22"/>
        </w:rPr>
        <w:t xml:space="preserve"> </w:t>
      </w:r>
      <w:hyperlink r:id="rId8" w:history="1">
        <w:r w:rsidRPr="00D36481">
          <w:rPr>
            <w:rStyle w:val="Hyperlink"/>
            <w:szCs w:val="22"/>
          </w:rPr>
          <w:t>Narrative Analysis of Wellbeing and Social Inclusion Consultations - National Disability Authority (nda.ie)</w:t>
        </w:r>
      </w:hyperlink>
    </w:p>
  </w:footnote>
  <w:footnote w:id="11">
    <w:p w14:paraId="5F36F212" w14:textId="3C57ABFD" w:rsidR="00017BEF" w:rsidRDefault="00017BEF" w:rsidP="00867368">
      <w:pPr>
        <w:pStyle w:val="FootnoteText"/>
        <w:spacing w:after="0"/>
      </w:pPr>
      <w:r>
        <w:rPr>
          <w:rStyle w:val="FootnoteReference"/>
        </w:rPr>
        <w:footnoteRef/>
      </w:r>
      <w:r>
        <w:t xml:space="preserve"> Green Paper on Disability Reform (2023) </w:t>
      </w:r>
      <w:hyperlink r:id="rId9" w:history="1">
        <w:r>
          <w:rPr>
            <w:rStyle w:val="Hyperlink"/>
          </w:rPr>
          <w:t>270938_7c444ddf-acfc-4d28-ad82-c7b1baa37cc1.pdf</w:t>
        </w:r>
      </w:hyperlink>
    </w:p>
  </w:footnote>
  <w:footnote w:id="12">
    <w:p w14:paraId="3EB71EB5" w14:textId="7B535487" w:rsidR="0017457F" w:rsidRPr="00D36481" w:rsidRDefault="00DA3D30" w:rsidP="00D36481">
      <w:pPr>
        <w:pStyle w:val="FootnoteText"/>
        <w:spacing w:after="0"/>
      </w:pPr>
      <w:r w:rsidRPr="00D36481">
        <w:rPr>
          <w:rStyle w:val="FootnoteReference"/>
          <w:rFonts w:ascii="Gill Sans MT" w:hAnsi="Gill Sans MT"/>
        </w:rPr>
        <w:footnoteRef/>
      </w:r>
      <w:r w:rsidRPr="00D36481">
        <w:t xml:space="preserve"> </w:t>
      </w:r>
      <w:hyperlink r:id="rId10" w:history="1">
        <w:r w:rsidR="0017457F" w:rsidRPr="00D36481">
          <w:rPr>
            <w:rStyle w:val="Hyperlink"/>
          </w:rPr>
          <w:t>https://nda.ie/education/career-guidance-for-students-with-additional-needs</w:t>
        </w:r>
      </w:hyperlink>
    </w:p>
  </w:footnote>
  <w:footnote w:id="13">
    <w:p w14:paraId="301B2514" w14:textId="6990822B" w:rsidR="002D2B2F" w:rsidRPr="00D36481" w:rsidRDefault="002D2B2F" w:rsidP="00D36481">
      <w:pPr>
        <w:pStyle w:val="FootnoteText"/>
        <w:spacing w:after="0"/>
      </w:pPr>
      <w:r w:rsidRPr="00D36481">
        <w:rPr>
          <w:rStyle w:val="FootnoteReference"/>
          <w:rFonts w:ascii="Gill Sans MT" w:hAnsi="Gill Sans MT"/>
        </w:rPr>
        <w:footnoteRef/>
      </w:r>
      <w:r w:rsidRPr="00D36481">
        <w:t xml:space="preserve"> This advice was based on the recognition that the Indecon Review of Career Guidance (2019) was limited in terms of its recommendations and exploration of the issues affecting learners with disabilities.  </w:t>
      </w:r>
      <w:hyperlink r:id="rId11" w:history="1">
        <w:r w:rsidRPr="00D36481">
          <w:rPr>
            <w:rStyle w:val="Hyperlink"/>
          </w:rPr>
          <w:t>https://assets.gov.ie/24951/dffde726604b451aa6cc50239a375299.pdf</w:t>
        </w:r>
      </w:hyperlink>
    </w:p>
  </w:footnote>
  <w:footnote w:id="14">
    <w:p w14:paraId="26864EB0" w14:textId="5CFFD191" w:rsidR="00867368" w:rsidRPr="00D36481" w:rsidRDefault="00DA3D30" w:rsidP="00D36481">
      <w:pPr>
        <w:pStyle w:val="FootnoteText"/>
        <w:spacing w:after="0"/>
      </w:pPr>
      <w:r w:rsidRPr="00D36481">
        <w:rPr>
          <w:rStyle w:val="FootnoteReference"/>
          <w:rFonts w:ascii="Gill Sans MT" w:hAnsi="Gill Sans MT"/>
        </w:rPr>
        <w:footnoteRef/>
      </w:r>
      <w:r w:rsidRPr="00D36481">
        <w:t xml:space="preserve"> </w:t>
      </w:r>
      <w:hyperlink r:id="rId12" w:history="1">
        <w:r w:rsidR="00867368" w:rsidRPr="00D36481">
          <w:rPr>
            <w:rStyle w:val="Hyperlink"/>
          </w:rPr>
          <w:t>https://assets.gov.ie/279196/ac7dfa38-00fb-4dcf-8285-0f187b76469c.pdf</w:t>
        </w:r>
      </w:hyperlink>
    </w:p>
  </w:footnote>
  <w:footnote w:id="15">
    <w:p w14:paraId="7B089115" w14:textId="77777777" w:rsidR="007A1784" w:rsidRPr="00FF3FCA" w:rsidRDefault="007A1784" w:rsidP="00867368">
      <w:pPr>
        <w:pStyle w:val="FootnoteText"/>
        <w:spacing w:after="0"/>
        <w:rPr>
          <w:lang w:val="en-US"/>
        </w:rPr>
      </w:pPr>
      <w:r>
        <w:rPr>
          <w:rStyle w:val="FootnoteReference"/>
        </w:rPr>
        <w:footnoteRef/>
      </w:r>
      <w:r>
        <w:t xml:space="preserve"> PATH 1 supported access to initial teacher education, Path 2 was a 1916 Bursary Fund for socio-economically disadvantaged students, Path 3 supported institutional capacity for increasing access to higher education. Path 5 will support Traveller and Roma Students in higher education. </w:t>
      </w:r>
      <w:hyperlink r:id="rId13" w:history="1">
        <w:r w:rsidRPr="00E37CDD">
          <w:rPr>
            <w:rStyle w:val="Hyperlink"/>
          </w:rPr>
          <w:t>https://hea.ie/policy/access-policy/path/</w:t>
        </w:r>
      </w:hyperlink>
      <w:r>
        <w:t xml:space="preserve"> </w:t>
      </w:r>
    </w:p>
  </w:footnote>
  <w:footnote w:id="16">
    <w:p w14:paraId="6EB42520" w14:textId="354D1CFF" w:rsidR="007A1784" w:rsidRPr="00D36481" w:rsidRDefault="007A1784" w:rsidP="00867368">
      <w:pPr>
        <w:pStyle w:val="FootnoteText"/>
        <w:spacing w:after="0"/>
      </w:pPr>
      <w:r w:rsidRPr="00D36481">
        <w:rPr>
          <w:rStyle w:val="FootnoteReference"/>
          <w:rFonts w:ascii="Gill Sans MT" w:hAnsi="Gill Sans MT"/>
        </w:rPr>
        <w:footnoteRef/>
      </w:r>
      <w:r w:rsidRPr="00D36481">
        <w:t xml:space="preserve"> </w:t>
      </w:r>
      <w:hyperlink r:id="rId14" w:history="1">
        <w:r w:rsidRPr="00D36481">
          <w:rPr>
            <w:rStyle w:val="Hyperlink"/>
          </w:rPr>
          <w:t>https://universaldesign.ie/publications/universal-design-in-education-and-training-policy-landscape-in-ireland</w:t>
        </w:r>
      </w:hyperlink>
    </w:p>
  </w:footnote>
  <w:footnote w:id="17">
    <w:p w14:paraId="3E939FA2" w14:textId="77777777" w:rsidR="007A1784" w:rsidRPr="00D36481" w:rsidRDefault="007A1784" w:rsidP="00867368">
      <w:pPr>
        <w:pStyle w:val="FootnoteText"/>
        <w:spacing w:after="0"/>
      </w:pPr>
      <w:r w:rsidRPr="00D36481">
        <w:rPr>
          <w:rStyle w:val="FootnoteReference"/>
          <w:rFonts w:ascii="Gill Sans MT" w:hAnsi="Gill Sans MT"/>
        </w:rPr>
        <w:footnoteRef/>
      </w:r>
      <w:r w:rsidRPr="00D36481">
        <w:t xml:space="preserve"> </w:t>
      </w:r>
      <w:hyperlink r:id="rId15" w:history="1">
        <w:r w:rsidRPr="00D36481">
          <w:rPr>
            <w:rStyle w:val="Hyperlink"/>
          </w:rPr>
          <w:t>National Tertiary Office (hea.ie)</w:t>
        </w:r>
      </w:hyperlink>
    </w:p>
  </w:footnote>
  <w:footnote w:id="18">
    <w:p w14:paraId="6B107A92" w14:textId="3E99BB7D" w:rsidR="00867368" w:rsidRPr="00D36481" w:rsidRDefault="007A1784" w:rsidP="00867368">
      <w:pPr>
        <w:pStyle w:val="FootnoteText"/>
        <w:spacing w:after="0"/>
      </w:pPr>
      <w:r w:rsidRPr="00D36481">
        <w:rPr>
          <w:rStyle w:val="FootnoteReference"/>
          <w:rFonts w:ascii="Gill Sans MT" w:hAnsi="Gill Sans MT"/>
        </w:rPr>
        <w:footnoteRef/>
      </w:r>
      <w:r w:rsidRPr="00D36481">
        <w:t xml:space="preserve"> </w:t>
      </w:r>
      <w:hyperlink r:id="rId16" w:history="1">
        <w:r w:rsidR="00867368" w:rsidRPr="00D36481">
          <w:rPr>
            <w:rStyle w:val="Hyperlink"/>
          </w:rPr>
          <w:t>https://hea.ie/assets/uploads/2018/06/FSD-Guidelines_2022-23-Final.pdf</w:t>
        </w:r>
      </w:hyperlink>
    </w:p>
  </w:footnote>
  <w:footnote w:id="19">
    <w:p w14:paraId="3CD5C0C4" w14:textId="1F84F618" w:rsidR="00867368" w:rsidRDefault="00867368" w:rsidP="00867368">
      <w:pPr>
        <w:pStyle w:val="FootnoteText"/>
        <w:spacing w:after="0"/>
      </w:pPr>
      <w:r w:rsidRPr="00D36481">
        <w:rPr>
          <w:rStyle w:val="FootnoteReference"/>
          <w:rFonts w:ascii="Gill Sans MT" w:hAnsi="Gill Sans MT"/>
        </w:rPr>
        <w:footnoteRef/>
      </w:r>
      <w:r w:rsidRPr="00D36481">
        <w:t xml:space="preserve"> </w:t>
      </w:r>
      <w:hyperlink r:id="rId17" w:history="1">
        <w:r w:rsidRPr="00D36481">
          <w:rPr>
            <w:rStyle w:val="Hyperlink"/>
          </w:rPr>
          <w:t>Fund for Students with Disabilities | Funding, Governance and Performance | Higher Education Authority (hea.ie)</w:t>
        </w:r>
      </w:hyperlink>
    </w:p>
  </w:footnote>
  <w:footnote w:id="20">
    <w:p w14:paraId="6957B24E" w14:textId="77777777" w:rsidR="007A1784" w:rsidRPr="00867368" w:rsidRDefault="007A1784" w:rsidP="00867368">
      <w:pPr>
        <w:pStyle w:val="FootnoteText"/>
        <w:spacing w:after="0"/>
      </w:pPr>
      <w:r w:rsidRPr="00867368">
        <w:rPr>
          <w:rStyle w:val="FootnoteReference"/>
          <w:rFonts w:ascii="Gill Sans MT" w:hAnsi="Gill Sans MT"/>
        </w:rPr>
        <w:footnoteRef/>
      </w:r>
      <w:r w:rsidRPr="00867368">
        <w:t xml:space="preserve"> </w:t>
      </w:r>
      <w:hyperlink r:id="rId18" w:history="1">
        <w:r w:rsidRPr="00867368">
          <w:rPr>
            <w:rStyle w:val="Hyperlink"/>
          </w:rPr>
          <w:t>https://www.pobal.ie/programmes/workability-inclusive-pathways-to-employment-programme/</w:t>
        </w:r>
      </w:hyperlink>
    </w:p>
  </w:footnote>
  <w:footnote w:id="21">
    <w:p w14:paraId="64605152" w14:textId="77777777" w:rsidR="007A1784" w:rsidRPr="00867368" w:rsidRDefault="007A1784" w:rsidP="00867368">
      <w:pPr>
        <w:pStyle w:val="FootnoteText"/>
        <w:spacing w:after="0"/>
      </w:pPr>
      <w:r w:rsidRPr="00867368">
        <w:rPr>
          <w:rStyle w:val="FootnoteReference"/>
          <w:rFonts w:ascii="Gill Sans MT" w:hAnsi="Gill Sans MT"/>
        </w:rPr>
        <w:footnoteRef/>
      </w:r>
      <w:r w:rsidRPr="00867368">
        <w:t xml:space="preserve"> </w:t>
      </w:r>
      <w:hyperlink r:id="rId19" w:history="1">
        <w:r w:rsidRPr="00867368">
          <w:rPr>
            <w:rStyle w:val="Hyperlink"/>
          </w:rPr>
          <w:t>https://www.gov.ie/en/collection/b9ede-designated-disability-case-officers/</w:t>
        </w:r>
      </w:hyperlink>
    </w:p>
  </w:footnote>
  <w:footnote w:id="22">
    <w:p w14:paraId="5E1CA1B6" w14:textId="77777777" w:rsidR="007A1784" w:rsidRDefault="007A1784" w:rsidP="007A1784">
      <w:pPr>
        <w:pStyle w:val="FootnoteText"/>
      </w:pPr>
      <w:r w:rsidRPr="00867368">
        <w:rPr>
          <w:rStyle w:val="FootnoteReference"/>
          <w:rFonts w:ascii="Gill Sans MT" w:hAnsi="Gill Sans MT"/>
        </w:rPr>
        <w:footnoteRef/>
      </w:r>
      <w:r w:rsidRPr="00867368">
        <w:t xml:space="preserve"> Quality Matters (2022) Ability Programme Evaluation 2018-2021 </w:t>
      </w:r>
      <w:hyperlink r:id="rId20" w:history="1">
        <w:r w:rsidRPr="00867368">
          <w:rPr>
            <w:rStyle w:val="Hyperlink"/>
          </w:rPr>
          <w:t>Ability-Progamme-Evaluation-Report-2018-2021-Final.pdf (pobal.ie)</w:t>
        </w:r>
      </w:hyperlink>
    </w:p>
  </w:footnote>
  <w:footnote w:id="23">
    <w:p w14:paraId="2D5C32F1" w14:textId="1945ADD3" w:rsidR="00132791" w:rsidRPr="00867368" w:rsidRDefault="00132791" w:rsidP="00867368">
      <w:pPr>
        <w:pStyle w:val="FootnoteText"/>
        <w:spacing w:after="0"/>
        <w:rPr>
          <w:szCs w:val="22"/>
        </w:rPr>
      </w:pPr>
      <w:r>
        <w:rPr>
          <w:rStyle w:val="FootnoteReference"/>
        </w:rPr>
        <w:footnoteRef/>
      </w:r>
      <w:r>
        <w:t xml:space="preserve"> </w:t>
      </w:r>
      <w:r w:rsidRPr="00867368">
        <w:rPr>
          <w:szCs w:val="22"/>
        </w:rPr>
        <w:t>National Disability Survey (2006) Vol. 2, Table 7.30</w:t>
      </w:r>
      <w:r w:rsidR="00D36481">
        <w:rPr>
          <w:szCs w:val="22"/>
        </w:rPr>
        <w:t xml:space="preserve"> </w:t>
      </w:r>
      <w:hyperlink r:id="rId21" w:history="1">
        <w:r w:rsidR="00D36481">
          <w:rPr>
            <w:rStyle w:val="Hyperlink"/>
          </w:rPr>
          <w:t>National Disability Survey 2006 Volume 2 - CSO - Central Statistics Office</w:t>
        </w:r>
      </w:hyperlink>
    </w:p>
  </w:footnote>
  <w:footnote w:id="24">
    <w:p w14:paraId="34BA7E21" w14:textId="1329BED4" w:rsidR="00867368" w:rsidRPr="00867368" w:rsidRDefault="00B768C8" w:rsidP="00867368">
      <w:pPr>
        <w:pStyle w:val="FootnoteText"/>
        <w:spacing w:after="0"/>
        <w:rPr>
          <w:szCs w:val="22"/>
        </w:rPr>
      </w:pPr>
      <w:r w:rsidRPr="00867368">
        <w:rPr>
          <w:rStyle w:val="FootnoteReference"/>
          <w:rFonts w:ascii="Gill Sans MT" w:hAnsi="Gill Sans MT"/>
          <w:szCs w:val="22"/>
        </w:rPr>
        <w:footnoteRef/>
      </w:r>
      <w:r w:rsidRPr="00867368">
        <w:rPr>
          <w:szCs w:val="22"/>
        </w:rPr>
        <w:t xml:space="preserve"> </w:t>
      </w:r>
      <w:hyperlink r:id="rId22" w:history="1">
        <w:r w:rsidR="00867368" w:rsidRPr="00E37CDD">
          <w:rPr>
            <w:rStyle w:val="Hyperlink"/>
            <w:szCs w:val="22"/>
          </w:rPr>
          <w:t>https://assets.gov.ie/207521/8644347b-8f0c-4910-bbf5-b7950fd7f869.pdf</w:t>
        </w:r>
      </w:hyperlink>
    </w:p>
  </w:footnote>
  <w:footnote w:id="25">
    <w:p w14:paraId="4BABFC7B" w14:textId="0289462A" w:rsidR="00662AF0" w:rsidRDefault="00662AF0">
      <w:pPr>
        <w:pStyle w:val="FootnoteText"/>
      </w:pPr>
      <w:r>
        <w:rPr>
          <w:rStyle w:val="FootnoteReference"/>
        </w:rPr>
        <w:footnoteRef/>
      </w:r>
      <w:r>
        <w:t xml:space="preserve"> </w:t>
      </w:r>
      <w:hyperlink r:id="rId23" w:history="1">
        <w:r>
          <w:rPr>
            <w:rStyle w:val="Hyperlink"/>
          </w:rPr>
          <w:t>gov - Low Pay Commission Annual Report 2023 (www.gov.ie)</w:t>
        </w:r>
      </w:hyperlink>
    </w:p>
  </w:footnote>
  <w:footnote w:id="26">
    <w:p w14:paraId="3F65828A" w14:textId="74544B06" w:rsidR="00867368" w:rsidRPr="00D36481" w:rsidRDefault="00F07E14" w:rsidP="00D36481">
      <w:pPr>
        <w:pStyle w:val="FootnoteText"/>
        <w:spacing w:after="0"/>
      </w:pPr>
      <w:r>
        <w:rPr>
          <w:rStyle w:val="FootnoteReference"/>
        </w:rPr>
        <w:footnoteRef/>
      </w:r>
      <w:r>
        <w:t xml:space="preserve"> </w:t>
      </w:r>
      <w:hyperlink r:id="rId24" w:history="1">
        <w:r w:rsidR="00867368" w:rsidRPr="00D36481">
          <w:rPr>
            <w:rStyle w:val="Hyperlink"/>
          </w:rPr>
          <w:t>https://www.workplacerelations.ie/en/what_you_should_know/codes_practice/code-of-practice-for-employers-and-employees-right-to-request-flexible-working-and-right-to-request-remote-working/code-of-practice-for-employers-and-employees.pdf</w:t>
        </w:r>
      </w:hyperlink>
    </w:p>
  </w:footnote>
  <w:footnote w:id="27">
    <w:p w14:paraId="2C0BA228" w14:textId="77777777" w:rsidR="004A36A6" w:rsidRPr="00D36481" w:rsidRDefault="004A36A6" w:rsidP="00D36481">
      <w:pPr>
        <w:pStyle w:val="FootnoteText"/>
        <w:spacing w:after="0"/>
      </w:pPr>
      <w:r w:rsidRPr="00D36481">
        <w:rPr>
          <w:rStyle w:val="FootnoteReference"/>
          <w:rFonts w:ascii="Gill Sans MT" w:hAnsi="Gill Sans MT"/>
        </w:rPr>
        <w:footnoteRef/>
      </w:r>
      <w:r w:rsidRPr="00D36481">
        <w:t xml:space="preserve"> Ireland’s largest lobby and business representative group </w:t>
      </w:r>
      <w:hyperlink r:id="rId25" w:history="1">
        <w:r w:rsidRPr="00D36481">
          <w:rPr>
            <w:rStyle w:val="Hyperlink"/>
          </w:rPr>
          <w:t>www.ibec.ie</w:t>
        </w:r>
      </w:hyperlink>
    </w:p>
  </w:footnote>
  <w:footnote w:id="28">
    <w:p w14:paraId="6DD5AFDB" w14:textId="5444F229" w:rsidR="004A36A6" w:rsidRPr="00D36481" w:rsidRDefault="004A36A6" w:rsidP="00867368">
      <w:pPr>
        <w:pStyle w:val="FootnoteText"/>
        <w:spacing w:after="0"/>
        <w:rPr>
          <w:szCs w:val="22"/>
        </w:rPr>
      </w:pPr>
      <w:r w:rsidRPr="00D36481">
        <w:rPr>
          <w:rStyle w:val="FootnoteReference"/>
          <w:rFonts w:ascii="Gill Sans MT" w:hAnsi="Gill Sans MT"/>
        </w:rPr>
        <w:footnoteRef/>
      </w:r>
      <w:r w:rsidRPr="00D36481">
        <w:t xml:space="preserve"> </w:t>
      </w:r>
      <w:r w:rsidRPr="00D36481">
        <w:rPr>
          <w:color w:val="000000"/>
          <w:szCs w:val="22"/>
          <w:shd w:val="clear" w:color="auto" w:fill="FFFFFF"/>
        </w:rPr>
        <w:t xml:space="preserve">Pathways to Work 2021-2025 is the government’s national employment services strategy; the government’s overall framework for activation and employment support policy. </w:t>
      </w:r>
      <w:hyperlink r:id="rId26" w:history="1">
        <w:r w:rsidRPr="00D36481">
          <w:rPr>
            <w:rStyle w:val="Hyperlink"/>
            <w:szCs w:val="22"/>
          </w:rPr>
          <w:t>gov - Pathways to Work Strategy 2021 - 2025 (www.gov.ie)</w:t>
        </w:r>
      </w:hyperlink>
    </w:p>
  </w:footnote>
  <w:footnote w:id="29">
    <w:p w14:paraId="05E4FFCD" w14:textId="5795195F" w:rsidR="004A36A6" w:rsidRPr="00D36481" w:rsidRDefault="004A36A6" w:rsidP="00867368">
      <w:pPr>
        <w:pStyle w:val="FootnoteText"/>
        <w:spacing w:after="0"/>
      </w:pPr>
      <w:r w:rsidRPr="00D36481">
        <w:rPr>
          <w:rStyle w:val="FootnoteReference"/>
          <w:rFonts w:ascii="Gill Sans MT" w:hAnsi="Gill Sans MT"/>
        </w:rPr>
        <w:footnoteRef/>
      </w:r>
      <w:r w:rsidRPr="00D36481">
        <w:t xml:space="preserve"> </w:t>
      </w:r>
      <w:hyperlink r:id="rId27" w:history="1">
        <w:r w:rsidRPr="00D36481">
          <w:rPr>
            <w:rStyle w:val="Hyperlink"/>
          </w:rPr>
          <w:t>NDA Annual Reports on Compliance with Part 5 of the Disability Act - National Disability Authority</w:t>
        </w:r>
      </w:hyperlink>
    </w:p>
  </w:footnote>
  <w:footnote w:id="30">
    <w:p w14:paraId="0649D972" w14:textId="5A279F89" w:rsidR="009F7F01" w:rsidRDefault="009F7F01" w:rsidP="009F7F01">
      <w:pPr>
        <w:pStyle w:val="FootnoteText"/>
        <w:spacing w:after="0"/>
      </w:pPr>
      <w:r w:rsidRPr="00D36481">
        <w:rPr>
          <w:rStyle w:val="FootnoteReference"/>
          <w:rFonts w:ascii="Gill Sans MT" w:hAnsi="Gill Sans MT"/>
        </w:rPr>
        <w:footnoteRef/>
      </w:r>
      <w:r w:rsidRPr="00D36481">
        <w:t xml:space="preserve"> </w:t>
      </w:r>
      <w:hyperlink r:id="rId28" w:history="1">
        <w:r w:rsidRPr="00D36481">
          <w:rPr>
            <w:rStyle w:val="Hyperlink"/>
          </w:rPr>
          <w:t>gov - Connecting Government 2030: A Digital and ICT Strategy for Ireland’s Public Service (www.gov.ie)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23A7" w14:textId="2E7DC545" w:rsidR="00E626D2" w:rsidRDefault="00E6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03C7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3A4F77"/>
    <w:multiLevelType w:val="multilevel"/>
    <w:tmpl w:val="ADE0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97132"/>
    <w:multiLevelType w:val="hybridMultilevel"/>
    <w:tmpl w:val="A8F6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BAC7D0D"/>
    <w:multiLevelType w:val="hybridMultilevel"/>
    <w:tmpl w:val="6F36D856"/>
    <w:lvl w:ilvl="0" w:tplc="142643AA">
      <w:start w:val="1"/>
      <w:numFmt w:val="bullet"/>
      <w:lvlText w:val="•"/>
      <w:lvlJc w:val="left"/>
      <w:pPr>
        <w:tabs>
          <w:tab w:val="num" w:pos="720"/>
        </w:tabs>
        <w:ind w:left="720" w:hanging="360"/>
      </w:pPr>
      <w:rPr>
        <w:rFonts w:ascii="Times New Roman" w:hAnsi="Times New Roman" w:hint="default"/>
      </w:rPr>
    </w:lvl>
    <w:lvl w:ilvl="1" w:tplc="22D0F3D4">
      <w:start w:val="120"/>
      <w:numFmt w:val="bullet"/>
      <w:lvlText w:val="–"/>
      <w:lvlJc w:val="left"/>
      <w:pPr>
        <w:tabs>
          <w:tab w:val="num" w:pos="1440"/>
        </w:tabs>
        <w:ind w:left="1440" w:hanging="360"/>
      </w:pPr>
      <w:rPr>
        <w:rFonts w:ascii="Times New Roman" w:hAnsi="Times New Roman" w:hint="default"/>
      </w:rPr>
    </w:lvl>
    <w:lvl w:ilvl="2" w:tplc="D10A134E" w:tentative="1">
      <w:start w:val="1"/>
      <w:numFmt w:val="bullet"/>
      <w:lvlText w:val="•"/>
      <w:lvlJc w:val="left"/>
      <w:pPr>
        <w:tabs>
          <w:tab w:val="num" w:pos="2160"/>
        </w:tabs>
        <w:ind w:left="2160" w:hanging="360"/>
      </w:pPr>
      <w:rPr>
        <w:rFonts w:ascii="Times New Roman" w:hAnsi="Times New Roman" w:hint="default"/>
      </w:rPr>
    </w:lvl>
    <w:lvl w:ilvl="3" w:tplc="FB3E3342" w:tentative="1">
      <w:start w:val="1"/>
      <w:numFmt w:val="bullet"/>
      <w:lvlText w:val="•"/>
      <w:lvlJc w:val="left"/>
      <w:pPr>
        <w:tabs>
          <w:tab w:val="num" w:pos="2880"/>
        </w:tabs>
        <w:ind w:left="2880" w:hanging="360"/>
      </w:pPr>
      <w:rPr>
        <w:rFonts w:ascii="Times New Roman" w:hAnsi="Times New Roman" w:hint="default"/>
      </w:rPr>
    </w:lvl>
    <w:lvl w:ilvl="4" w:tplc="DBD8A984" w:tentative="1">
      <w:start w:val="1"/>
      <w:numFmt w:val="bullet"/>
      <w:lvlText w:val="•"/>
      <w:lvlJc w:val="left"/>
      <w:pPr>
        <w:tabs>
          <w:tab w:val="num" w:pos="3600"/>
        </w:tabs>
        <w:ind w:left="3600" w:hanging="360"/>
      </w:pPr>
      <w:rPr>
        <w:rFonts w:ascii="Times New Roman" w:hAnsi="Times New Roman" w:hint="default"/>
      </w:rPr>
    </w:lvl>
    <w:lvl w:ilvl="5" w:tplc="A9161E8A" w:tentative="1">
      <w:start w:val="1"/>
      <w:numFmt w:val="bullet"/>
      <w:lvlText w:val="•"/>
      <w:lvlJc w:val="left"/>
      <w:pPr>
        <w:tabs>
          <w:tab w:val="num" w:pos="4320"/>
        </w:tabs>
        <w:ind w:left="4320" w:hanging="360"/>
      </w:pPr>
      <w:rPr>
        <w:rFonts w:ascii="Times New Roman" w:hAnsi="Times New Roman" w:hint="default"/>
      </w:rPr>
    </w:lvl>
    <w:lvl w:ilvl="6" w:tplc="F3EC6D74" w:tentative="1">
      <w:start w:val="1"/>
      <w:numFmt w:val="bullet"/>
      <w:lvlText w:val="•"/>
      <w:lvlJc w:val="left"/>
      <w:pPr>
        <w:tabs>
          <w:tab w:val="num" w:pos="5040"/>
        </w:tabs>
        <w:ind w:left="5040" w:hanging="360"/>
      </w:pPr>
      <w:rPr>
        <w:rFonts w:ascii="Times New Roman" w:hAnsi="Times New Roman" w:hint="default"/>
      </w:rPr>
    </w:lvl>
    <w:lvl w:ilvl="7" w:tplc="89BC86C2" w:tentative="1">
      <w:start w:val="1"/>
      <w:numFmt w:val="bullet"/>
      <w:lvlText w:val="•"/>
      <w:lvlJc w:val="left"/>
      <w:pPr>
        <w:tabs>
          <w:tab w:val="num" w:pos="5760"/>
        </w:tabs>
        <w:ind w:left="5760" w:hanging="360"/>
      </w:pPr>
      <w:rPr>
        <w:rFonts w:ascii="Times New Roman" w:hAnsi="Times New Roman" w:hint="default"/>
      </w:rPr>
    </w:lvl>
    <w:lvl w:ilvl="8" w:tplc="260CDD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CB1B94"/>
    <w:multiLevelType w:val="hybridMultilevel"/>
    <w:tmpl w:val="6FA0C7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FDB6CF5"/>
    <w:multiLevelType w:val="hybridMultilevel"/>
    <w:tmpl w:val="912CEE6A"/>
    <w:lvl w:ilvl="0" w:tplc="07CA3F8E">
      <w:start w:val="1"/>
      <w:numFmt w:val="decimal"/>
      <w:lvlText w:val="%1."/>
      <w:lvlJc w:val="left"/>
      <w:pPr>
        <w:tabs>
          <w:tab w:val="num" w:pos="720"/>
        </w:tabs>
        <w:ind w:left="720" w:hanging="360"/>
      </w:pPr>
    </w:lvl>
    <w:lvl w:ilvl="1" w:tplc="B0900102" w:tentative="1">
      <w:start w:val="1"/>
      <w:numFmt w:val="decimal"/>
      <w:lvlText w:val="%2."/>
      <w:lvlJc w:val="left"/>
      <w:pPr>
        <w:tabs>
          <w:tab w:val="num" w:pos="1440"/>
        </w:tabs>
        <w:ind w:left="1440" w:hanging="360"/>
      </w:pPr>
    </w:lvl>
    <w:lvl w:ilvl="2" w:tplc="0BD6829E" w:tentative="1">
      <w:start w:val="1"/>
      <w:numFmt w:val="decimal"/>
      <w:lvlText w:val="%3."/>
      <w:lvlJc w:val="left"/>
      <w:pPr>
        <w:tabs>
          <w:tab w:val="num" w:pos="2160"/>
        </w:tabs>
        <w:ind w:left="2160" w:hanging="360"/>
      </w:pPr>
    </w:lvl>
    <w:lvl w:ilvl="3" w:tplc="4C6A0244" w:tentative="1">
      <w:start w:val="1"/>
      <w:numFmt w:val="decimal"/>
      <w:lvlText w:val="%4."/>
      <w:lvlJc w:val="left"/>
      <w:pPr>
        <w:tabs>
          <w:tab w:val="num" w:pos="2880"/>
        </w:tabs>
        <w:ind w:left="2880" w:hanging="360"/>
      </w:pPr>
    </w:lvl>
    <w:lvl w:ilvl="4" w:tplc="227E7FCA" w:tentative="1">
      <w:start w:val="1"/>
      <w:numFmt w:val="decimal"/>
      <w:lvlText w:val="%5."/>
      <w:lvlJc w:val="left"/>
      <w:pPr>
        <w:tabs>
          <w:tab w:val="num" w:pos="3600"/>
        </w:tabs>
        <w:ind w:left="3600" w:hanging="360"/>
      </w:pPr>
    </w:lvl>
    <w:lvl w:ilvl="5" w:tplc="F39E9D2E" w:tentative="1">
      <w:start w:val="1"/>
      <w:numFmt w:val="decimal"/>
      <w:lvlText w:val="%6."/>
      <w:lvlJc w:val="left"/>
      <w:pPr>
        <w:tabs>
          <w:tab w:val="num" w:pos="4320"/>
        </w:tabs>
        <w:ind w:left="4320" w:hanging="360"/>
      </w:pPr>
    </w:lvl>
    <w:lvl w:ilvl="6" w:tplc="9AAC490E" w:tentative="1">
      <w:start w:val="1"/>
      <w:numFmt w:val="decimal"/>
      <w:lvlText w:val="%7."/>
      <w:lvlJc w:val="left"/>
      <w:pPr>
        <w:tabs>
          <w:tab w:val="num" w:pos="5040"/>
        </w:tabs>
        <w:ind w:left="5040" w:hanging="360"/>
      </w:pPr>
    </w:lvl>
    <w:lvl w:ilvl="7" w:tplc="36C232E2" w:tentative="1">
      <w:start w:val="1"/>
      <w:numFmt w:val="decimal"/>
      <w:lvlText w:val="%8."/>
      <w:lvlJc w:val="left"/>
      <w:pPr>
        <w:tabs>
          <w:tab w:val="num" w:pos="5760"/>
        </w:tabs>
        <w:ind w:left="5760" w:hanging="360"/>
      </w:pPr>
    </w:lvl>
    <w:lvl w:ilvl="8" w:tplc="78C4705E" w:tentative="1">
      <w:start w:val="1"/>
      <w:numFmt w:val="decimal"/>
      <w:lvlText w:val="%9."/>
      <w:lvlJc w:val="left"/>
      <w:pPr>
        <w:tabs>
          <w:tab w:val="num" w:pos="6480"/>
        </w:tabs>
        <w:ind w:left="6480" w:hanging="360"/>
      </w:pPr>
    </w:lvl>
  </w:abstractNum>
  <w:abstractNum w:abstractNumId="15" w15:restartNumberingAfterBreak="0">
    <w:nsid w:val="1BEC5970"/>
    <w:multiLevelType w:val="hybridMultilevel"/>
    <w:tmpl w:val="AC96AA0A"/>
    <w:lvl w:ilvl="0" w:tplc="D0BE998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AC63B1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90854F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3C8859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C2C00C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F20E1F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07C7BB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566B2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7F0A29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DEC1D1A"/>
    <w:multiLevelType w:val="hybridMultilevel"/>
    <w:tmpl w:val="2E7CAFE0"/>
    <w:lvl w:ilvl="0" w:tplc="A038100E">
      <w:start w:val="1"/>
      <w:numFmt w:val="bullet"/>
      <w:lvlText w:val=""/>
      <w:lvlJc w:val="left"/>
      <w:pPr>
        <w:ind w:left="1440" w:hanging="360"/>
      </w:pPr>
      <w:rPr>
        <w:rFonts w:ascii="Symbol" w:hAnsi="Symbol"/>
      </w:rPr>
    </w:lvl>
    <w:lvl w:ilvl="1" w:tplc="4D5A018A">
      <w:start w:val="1"/>
      <w:numFmt w:val="bullet"/>
      <w:lvlText w:val=""/>
      <w:lvlJc w:val="left"/>
      <w:pPr>
        <w:ind w:left="1440" w:hanging="360"/>
      </w:pPr>
      <w:rPr>
        <w:rFonts w:ascii="Symbol" w:hAnsi="Symbol"/>
      </w:rPr>
    </w:lvl>
    <w:lvl w:ilvl="2" w:tplc="6020246A">
      <w:start w:val="1"/>
      <w:numFmt w:val="bullet"/>
      <w:lvlText w:val=""/>
      <w:lvlJc w:val="left"/>
      <w:pPr>
        <w:ind w:left="1440" w:hanging="360"/>
      </w:pPr>
      <w:rPr>
        <w:rFonts w:ascii="Symbol" w:hAnsi="Symbol"/>
      </w:rPr>
    </w:lvl>
    <w:lvl w:ilvl="3" w:tplc="71D2E21C">
      <w:start w:val="1"/>
      <w:numFmt w:val="bullet"/>
      <w:lvlText w:val=""/>
      <w:lvlJc w:val="left"/>
      <w:pPr>
        <w:ind w:left="1440" w:hanging="360"/>
      </w:pPr>
      <w:rPr>
        <w:rFonts w:ascii="Symbol" w:hAnsi="Symbol"/>
      </w:rPr>
    </w:lvl>
    <w:lvl w:ilvl="4" w:tplc="FC001AA8">
      <w:start w:val="1"/>
      <w:numFmt w:val="bullet"/>
      <w:lvlText w:val=""/>
      <w:lvlJc w:val="left"/>
      <w:pPr>
        <w:ind w:left="1440" w:hanging="360"/>
      </w:pPr>
      <w:rPr>
        <w:rFonts w:ascii="Symbol" w:hAnsi="Symbol"/>
      </w:rPr>
    </w:lvl>
    <w:lvl w:ilvl="5" w:tplc="22DE0B08">
      <w:start w:val="1"/>
      <w:numFmt w:val="bullet"/>
      <w:lvlText w:val=""/>
      <w:lvlJc w:val="left"/>
      <w:pPr>
        <w:ind w:left="1440" w:hanging="360"/>
      </w:pPr>
      <w:rPr>
        <w:rFonts w:ascii="Symbol" w:hAnsi="Symbol"/>
      </w:rPr>
    </w:lvl>
    <w:lvl w:ilvl="6" w:tplc="7A4AF438">
      <w:start w:val="1"/>
      <w:numFmt w:val="bullet"/>
      <w:lvlText w:val=""/>
      <w:lvlJc w:val="left"/>
      <w:pPr>
        <w:ind w:left="1440" w:hanging="360"/>
      </w:pPr>
      <w:rPr>
        <w:rFonts w:ascii="Symbol" w:hAnsi="Symbol"/>
      </w:rPr>
    </w:lvl>
    <w:lvl w:ilvl="7" w:tplc="94168F28">
      <w:start w:val="1"/>
      <w:numFmt w:val="bullet"/>
      <w:lvlText w:val=""/>
      <w:lvlJc w:val="left"/>
      <w:pPr>
        <w:ind w:left="1440" w:hanging="360"/>
      </w:pPr>
      <w:rPr>
        <w:rFonts w:ascii="Symbol" w:hAnsi="Symbol"/>
      </w:rPr>
    </w:lvl>
    <w:lvl w:ilvl="8" w:tplc="5658CE8E">
      <w:start w:val="1"/>
      <w:numFmt w:val="bullet"/>
      <w:lvlText w:val=""/>
      <w:lvlJc w:val="left"/>
      <w:pPr>
        <w:ind w:left="1440" w:hanging="360"/>
      </w:pPr>
      <w:rPr>
        <w:rFonts w:ascii="Symbol" w:hAnsi="Symbol"/>
      </w:rPr>
    </w:lvl>
  </w:abstractNum>
  <w:abstractNum w:abstractNumId="17" w15:restartNumberingAfterBreak="0">
    <w:nsid w:val="1E2E75A8"/>
    <w:multiLevelType w:val="hybridMultilevel"/>
    <w:tmpl w:val="22045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F302B8F"/>
    <w:multiLevelType w:val="multilevel"/>
    <w:tmpl w:val="7D48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1D2D2C"/>
    <w:multiLevelType w:val="hybridMultilevel"/>
    <w:tmpl w:val="448E682A"/>
    <w:lvl w:ilvl="0" w:tplc="AE9E80A6">
      <w:start w:val="1"/>
      <w:numFmt w:val="bullet"/>
      <w:lvlText w:val="•"/>
      <w:lvlJc w:val="left"/>
      <w:pPr>
        <w:tabs>
          <w:tab w:val="num" w:pos="720"/>
        </w:tabs>
        <w:ind w:left="720" w:hanging="360"/>
      </w:pPr>
      <w:rPr>
        <w:rFonts w:ascii="Times New Roman" w:hAnsi="Times New Roman" w:hint="default"/>
      </w:rPr>
    </w:lvl>
    <w:lvl w:ilvl="1" w:tplc="EFF06C46" w:tentative="1">
      <w:start w:val="1"/>
      <w:numFmt w:val="bullet"/>
      <w:lvlText w:val="•"/>
      <w:lvlJc w:val="left"/>
      <w:pPr>
        <w:tabs>
          <w:tab w:val="num" w:pos="1440"/>
        </w:tabs>
        <w:ind w:left="1440" w:hanging="360"/>
      </w:pPr>
      <w:rPr>
        <w:rFonts w:ascii="Times New Roman" w:hAnsi="Times New Roman" w:hint="default"/>
      </w:rPr>
    </w:lvl>
    <w:lvl w:ilvl="2" w:tplc="17FC976E" w:tentative="1">
      <w:start w:val="1"/>
      <w:numFmt w:val="bullet"/>
      <w:lvlText w:val="•"/>
      <w:lvlJc w:val="left"/>
      <w:pPr>
        <w:tabs>
          <w:tab w:val="num" w:pos="2160"/>
        </w:tabs>
        <w:ind w:left="2160" w:hanging="360"/>
      </w:pPr>
      <w:rPr>
        <w:rFonts w:ascii="Times New Roman" w:hAnsi="Times New Roman" w:hint="default"/>
      </w:rPr>
    </w:lvl>
    <w:lvl w:ilvl="3" w:tplc="D2A0BC94" w:tentative="1">
      <w:start w:val="1"/>
      <w:numFmt w:val="bullet"/>
      <w:lvlText w:val="•"/>
      <w:lvlJc w:val="left"/>
      <w:pPr>
        <w:tabs>
          <w:tab w:val="num" w:pos="2880"/>
        </w:tabs>
        <w:ind w:left="2880" w:hanging="360"/>
      </w:pPr>
      <w:rPr>
        <w:rFonts w:ascii="Times New Roman" w:hAnsi="Times New Roman" w:hint="default"/>
      </w:rPr>
    </w:lvl>
    <w:lvl w:ilvl="4" w:tplc="2B385320" w:tentative="1">
      <w:start w:val="1"/>
      <w:numFmt w:val="bullet"/>
      <w:lvlText w:val="•"/>
      <w:lvlJc w:val="left"/>
      <w:pPr>
        <w:tabs>
          <w:tab w:val="num" w:pos="3600"/>
        </w:tabs>
        <w:ind w:left="3600" w:hanging="360"/>
      </w:pPr>
      <w:rPr>
        <w:rFonts w:ascii="Times New Roman" w:hAnsi="Times New Roman" w:hint="default"/>
      </w:rPr>
    </w:lvl>
    <w:lvl w:ilvl="5" w:tplc="65B8C820" w:tentative="1">
      <w:start w:val="1"/>
      <w:numFmt w:val="bullet"/>
      <w:lvlText w:val="•"/>
      <w:lvlJc w:val="left"/>
      <w:pPr>
        <w:tabs>
          <w:tab w:val="num" w:pos="4320"/>
        </w:tabs>
        <w:ind w:left="4320" w:hanging="360"/>
      </w:pPr>
      <w:rPr>
        <w:rFonts w:ascii="Times New Roman" w:hAnsi="Times New Roman" w:hint="default"/>
      </w:rPr>
    </w:lvl>
    <w:lvl w:ilvl="6" w:tplc="0A4A0480" w:tentative="1">
      <w:start w:val="1"/>
      <w:numFmt w:val="bullet"/>
      <w:lvlText w:val="•"/>
      <w:lvlJc w:val="left"/>
      <w:pPr>
        <w:tabs>
          <w:tab w:val="num" w:pos="5040"/>
        </w:tabs>
        <w:ind w:left="5040" w:hanging="360"/>
      </w:pPr>
      <w:rPr>
        <w:rFonts w:ascii="Times New Roman" w:hAnsi="Times New Roman" w:hint="default"/>
      </w:rPr>
    </w:lvl>
    <w:lvl w:ilvl="7" w:tplc="1806F480" w:tentative="1">
      <w:start w:val="1"/>
      <w:numFmt w:val="bullet"/>
      <w:lvlText w:val="•"/>
      <w:lvlJc w:val="left"/>
      <w:pPr>
        <w:tabs>
          <w:tab w:val="num" w:pos="5760"/>
        </w:tabs>
        <w:ind w:left="5760" w:hanging="360"/>
      </w:pPr>
      <w:rPr>
        <w:rFonts w:ascii="Times New Roman" w:hAnsi="Times New Roman" w:hint="default"/>
      </w:rPr>
    </w:lvl>
    <w:lvl w:ilvl="8" w:tplc="55EE27D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5C7014D"/>
    <w:multiLevelType w:val="multilevel"/>
    <w:tmpl w:val="1D2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8567CB"/>
    <w:multiLevelType w:val="hybridMultilevel"/>
    <w:tmpl w:val="9AC03D52"/>
    <w:lvl w:ilvl="0" w:tplc="850A5A74">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27D124FC"/>
    <w:multiLevelType w:val="hybridMultilevel"/>
    <w:tmpl w:val="3560F6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8F62717"/>
    <w:multiLevelType w:val="multilevel"/>
    <w:tmpl w:val="B58C6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0426D7"/>
    <w:multiLevelType w:val="hybridMultilevel"/>
    <w:tmpl w:val="178E0FA4"/>
    <w:lvl w:ilvl="0" w:tplc="1809000B">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A6341D5"/>
    <w:multiLevelType w:val="multilevel"/>
    <w:tmpl w:val="A2D20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AFC46CF"/>
    <w:multiLevelType w:val="hybridMultilevel"/>
    <w:tmpl w:val="3524F0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2C9D4FC0"/>
    <w:multiLevelType w:val="hybridMultilevel"/>
    <w:tmpl w:val="81E48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D0C731A"/>
    <w:multiLevelType w:val="hybridMultilevel"/>
    <w:tmpl w:val="E828E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DFF5D95"/>
    <w:multiLevelType w:val="hybridMultilevel"/>
    <w:tmpl w:val="0F385A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2E582922"/>
    <w:multiLevelType w:val="hybridMultilevel"/>
    <w:tmpl w:val="91A60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0C1BB8"/>
    <w:multiLevelType w:val="hybridMultilevel"/>
    <w:tmpl w:val="24FAD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4B1197B"/>
    <w:multiLevelType w:val="multilevel"/>
    <w:tmpl w:val="5E6E2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BF167E"/>
    <w:multiLevelType w:val="multilevel"/>
    <w:tmpl w:val="22FC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171B5B"/>
    <w:multiLevelType w:val="multilevel"/>
    <w:tmpl w:val="6C94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AB410F"/>
    <w:multiLevelType w:val="multilevel"/>
    <w:tmpl w:val="5AB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C82F97"/>
    <w:multiLevelType w:val="hybridMultilevel"/>
    <w:tmpl w:val="F19EF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1C31325"/>
    <w:multiLevelType w:val="hybridMultilevel"/>
    <w:tmpl w:val="FB2692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3D16D2E"/>
    <w:multiLevelType w:val="hybridMultilevel"/>
    <w:tmpl w:val="AFDC3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3F83BF1"/>
    <w:multiLevelType w:val="multilevel"/>
    <w:tmpl w:val="7F5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AB1A18"/>
    <w:multiLevelType w:val="hybridMultilevel"/>
    <w:tmpl w:val="81ECC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52E45BF"/>
    <w:multiLevelType w:val="multilevel"/>
    <w:tmpl w:val="FD9E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CF4DD7"/>
    <w:multiLevelType w:val="multilevel"/>
    <w:tmpl w:val="E04A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430E1D"/>
    <w:multiLevelType w:val="hybridMultilevel"/>
    <w:tmpl w:val="12B2B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B902355"/>
    <w:multiLevelType w:val="hybridMultilevel"/>
    <w:tmpl w:val="5EFA1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5E163D4"/>
    <w:multiLevelType w:val="hybridMultilevel"/>
    <w:tmpl w:val="F11A1A86"/>
    <w:lvl w:ilvl="0" w:tplc="DEB08CF2">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3D8E5F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030125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45455F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AF8A00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4AC208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B522E0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AF885C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35E40D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59D2235A"/>
    <w:multiLevelType w:val="hybridMultilevel"/>
    <w:tmpl w:val="C110F8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15:restartNumberingAfterBreak="0">
    <w:nsid w:val="5AF93E7F"/>
    <w:multiLevelType w:val="hybridMultilevel"/>
    <w:tmpl w:val="9B86F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F5B00C4"/>
    <w:multiLevelType w:val="hybridMultilevel"/>
    <w:tmpl w:val="37F4D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0514522"/>
    <w:multiLevelType w:val="multilevel"/>
    <w:tmpl w:val="E74E50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0A0254"/>
    <w:multiLevelType w:val="hybridMultilevel"/>
    <w:tmpl w:val="038E5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41072F1"/>
    <w:multiLevelType w:val="hybridMultilevel"/>
    <w:tmpl w:val="B0C4C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52C1CDC"/>
    <w:multiLevelType w:val="hybridMultilevel"/>
    <w:tmpl w:val="D2ACC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58909AA"/>
    <w:multiLevelType w:val="multilevel"/>
    <w:tmpl w:val="D0C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964598"/>
    <w:multiLevelType w:val="hybridMultilevel"/>
    <w:tmpl w:val="57A83982"/>
    <w:lvl w:ilvl="0" w:tplc="18090001">
      <w:start w:val="1"/>
      <w:numFmt w:val="bullet"/>
      <w:lvlText w:val=""/>
      <w:lvlJc w:val="left"/>
      <w:pPr>
        <w:ind w:left="942" w:hanging="360"/>
      </w:pPr>
      <w:rPr>
        <w:rFonts w:ascii="Symbol" w:hAnsi="Symbol" w:hint="default"/>
      </w:rPr>
    </w:lvl>
    <w:lvl w:ilvl="1" w:tplc="18090003">
      <w:start w:val="1"/>
      <w:numFmt w:val="bullet"/>
      <w:lvlText w:val="o"/>
      <w:lvlJc w:val="left"/>
      <w:pPr>
        <w:ind w:left="1662" w:hanging="360"/>
      </w:pPr>
      <w:rPr>
        <w:rFonts w:ascii="Courier New" w:hAnsi="Courier New" w:cs="Courier New" w:hint="default"/>
      </w:rPr>
    </w:lvl>
    <w:lvl w:ilvl="2" w:tplc="18090005">
      <w:start w:val="1"/>
      <w:numFmt w:val="bullet"/>
      <w:lvlText w:val=""/>
      <w:lvlJc w:val="left"/>
      <w:pPr>
        <w:ind w:left="2382" w:hanging="360"/>
      </w:pPr>
      <w:rPr>
        <w:rFonts w:ascii="Wingdings" w:hAnsi="Wingdings" w:hint="default"/>
      </w:rPr>
    </w:lvl>
    <w:lvl w:ilvl="3" w:tplc="18090001">
      <w:start w:val="1"/>
      <w:numFmt w:val="bullet"/>
      <w:lvlText w:val=""/>
      <w:lvlJc w:val="left"/>
      <w:pPr>
        <w:ind w:left="3102" w:hanging="360"/>
      </w:pPr>
      <w:rPr>
        <w:rFonts w:ascii="Symbol" w:hAnsi="Symbol" w:hint="default"/>
      </w:rPr>
    </w:lvl>
    <w:lvl w:ilvl="4" w:tplc="18090003">
      <w:start w:val="1"/>
      <w:numFmt w:val="bullet"/>
      <w:lvlText w:val="o"/>
      <w:lvlJc w:val="left"/>
      <w:pPr>
        <w:ind w:left="3822" w:hanging="360"/>
      </w:pPr>
      <w:rPr>
        <w:rFonts w:ascii="Courier New" w:hAnsi="Courier New" w:cs="Courier New" w:hint="default"/>
      </w:rPr>
    </w:lvl>
    <w:lvl w:ilvl="5" w:tplc="18090005">
      <w:start w:val="1"/>
      <w:numFmt w:val="bullet"/>
      <w:lvlText w:val=""/>
      <w:lvlJc w:val="left"/>
      <w:pPr>
        <w:ind w:left="4542" w:hanging="360"/>
      </w:pPr>
      <w:rPr>
        <w:rFonts w:ascii="Wingdings" w:hAnsi="Wingdings" w:hint="default"/>
      </w:rPr>
    </w:lvl>
    <w:lvl w:ilvl="6" w:tplc="18090001">
      <w:start w:val="1"/>
      <w:numFmt w:val="bullet"/>
      <w:lvlText w:val=""/>
      <w:lvlJc w:val="left"/>
      <w:pPr>
        <w:ind w:left="5262" w:hanging="360"/>
      </w:pPr>
      <w:rPr>
        <w:rFonts w:ascii="Symbol" w:hAnsi="Symbol" w:hint="default"/>
      </w:rPr>
    </w:lvl>
    <w:lvl w:ilvl="7" w:tplc="18090003">
      <w:start w:val="1"/>
      <w:numFmt w:val="bullet"/>
      <w:lvlText w:val="o"/>
      <w:lvlJc w:val="left"/>
      <w:pPr>
        <w:ind w:left="5982" w:hanging="360"/>
      </w:pPr>
      <w:rPr>
        <w:rFonts w:ascii="Courier New" w:hAnsi="Courier New" w:cs="Courier New" w:hint="default"/>
      </w:rPr>
    </w:lvl>
    <w:lvl w:ilvl="8" w:tplc="18090005">
      <w:start w:val="1"/>
      <w:numFmt w:val="bullet"/>
      <w:lvlText w:val=""/>
      <w:lvlJc w:val="left"/>
      <w:pPr>
        <w:ind w:left="6702" w:hanging="360"/>
      </w:pPr>
      <w:rPr>
        <w:rFonts w:ascii="Wingdings" w:hAnsi="Wingdings" w:hint="default"/>
      </w:rPr>
    </w:lvl>
  </w:abstractNum>
  <w:abstractNum w:abstractNumId="55" w15:restartNumberingAfterBreak="0">
    <w:nsid w:val="6C315B0B"/>
    <w:multiLevelType w:val="hybridMultilevel"/>
    <w:tmpl w:val="0A3CD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C6C30C7"/>
    <w:multiLevelType w:val="hybridMultilevel"/>
    <w:tmpl w:val="1DA21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E840E8E"/>
    <w:multiLevelType w:val="multilevel"/>
    <w:tmpl w:val="371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A00674"/>
    <w:multiLevelType w:val="multilevel"/>
    <w:tmpl w:val="5C0A7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BD7324"/>
    <w:multiLevelType w:val="hybridMultilevel"/>
    <w:tmpl w:val="E55A5394"/>
    <w:lvl w:ilvl="0" w:tplc="C8EEC646">
      <w:start w:val="1"/>
      <w:numFmt w:val="lowerRoman"/>
      <w:lvlText w:val="(%1)"/>
      <w:lvlJc w:val="left"/>
      <w:pPr>
        <w:ind w:left="2880" w:hanging="720"/>
      </w:pPr>
      <w:rPr>
        <w:rFonts w:hint="default"/>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60" w15:restartNumberingAfterBreak="0">
    <w:nsid w:val="7B874ABA"/>
    <w:multiLevelType w:val="hybridMultilevel"/>
    <w:tmpl w:val="ECB813D6"/>
    <w:lvl w:ilvl="0" w:tplc="47086CC6">
      <w:start w:val="1"/>
      <w:numFmt w:val="bullet"/>
      <w:lvlText w:val="•"/>
      <w:lvlJc w:val="left"/>
      <w:pPr>
        <w:tabs>
          <w:tab w:val="num" w:pos="720"/>
        </w:tabs>
        <w:ind w:left="720" w:hanging="360"/>
      </w:pPr>
      <w:rPr>
        <w:rFonts w:ascii="Arial" w:hAnsi="Arial" w:hint="default"/>
      </w:rPr>
    </w:lvl>
    <w:lvl w:ilvl="1" w:tplc="503A45EE">
      <w:numFmt w:val="bullet"/>
      <w:lvlText w:val="•"/>
      <w:lvlJc w:val="left"/>
      <w:pPr>
        <w:tabs>
          <w:tab w:val="num" w:pos="1440"/>
        </w:tabs>
        <w:ind w:left="1440" w:hanging="360"/>
      </w:pPr>
      <w:rPr>
        <w:rFonts w:ascii="Arial" w:hAnsi="Arial" w:hint="default"/>
      </w:rPr>
    </w:lvl>
    <w:lvl w:ilvl="2" w:tplc="43BE234E" w:tentative="1">
      <w:start w:val="1"/>
      <w:numFmt w:val="bullet"/>
      <w:lvlText w:val="•"/>
      <w:lvlJc w:val="left"/>
      <w:pPr>
        <w:tabs>
          <w:tab w:val="num" w:pos="2160"/>
        </w:tabs>
        <w:ind w:left="2160" w:hanging="360"/>
      </w:pPr>
      <w:rPr>
        <w:rFonts w:ascii="Arial" w:hAnsi="Arial" w:hint="default"/>
      </w:rPr>
    </w:lvl>
    <w:lvl w:ilvl="3" w:tplc="D408B35E" w:tentative="1">
      <w:start w:val="1"/>
      <w:numFmt w:val="bullet"/>
      <w:lvlText w:val="•"/>
      <w:lvlJc w:val="left"/>
      <w:pPr>
        <w:tabs>
          <w:tab w:val="num" w:pos="2880"/>
        </w:tabs>
        <w:ind w:left="2880" w:hanging="360"/>
      </w:pPr>
      <w:rPr>
        <w:rFonts w:ascii="Arial" w:hAnsi="Arial" w:hint="default"/>
      </w:rPr>
    </w:lvl>
    <w:lvl w:ilvl="4" w:tplc="A1DC16DC" w:tentative="1">
      <w:start w:val="1"/>
      <w:numFmt w:val="bullet"/>
      <w:lvlText w:val="•"/>
      <w:lvlJc w:val="left"/>
      <w:pPr>
        <w:tabs>
          <w:tab w:val="num" w:pos="3600"/>
        </w:tabs>
        <w:ind w:left="3600" w:hanging="360"/>
      </w:pPr>
      <w:rPr>
        <w:rFonts w:ascii="Arial" w:hAnsi="Arial" w:hint="default"/>
      </w:rPr>
    </w:lvl>
    <w:lvl w:ilvl="5" w:tplc="3D100D1E" w:tentative="1">
      <w:start w:val="1"/>
      <w:numFmt w:val="bullet"/>
      <w:lvlText w:val="•"/>
      <w:lvlJc w:val="left"/>
      <w:pPr>
        <w:tabs>
          <w:tab w:val="num" w:pos="4320"/>
        </w:tabs>
        <w:ind w:left="4320" w:hanging="360"/>
      </w:pPr>
      <w:rPr>
        <w:rFonts w:ascii="Arial" w:hAnsi="Arial" w:hint="default"/>
      </w:rPr>
    </w:lvl>
    <w:lvl w:ilvl="6" w:tplc="884C3B0E" w:tentative="1">
      <w:start w:val="1"/>
      <w:numFmt w:val="bullet"/>
      <w:lvlText w:val="•"/>
      <w:lvlJc w:val="left"/>
      <w:pPr>
        <w:tabs>
          <w:tab w:val="num" w:pos="5040"/>
        </w:tabs>
        <w:ind w:left="5040" w:hanging="360"/>
      </w:pPr>
      <w:rPr>
        <w:rFonts w:ascii="Arial" w:hAnsi="Arial" w:hint="default"/>
      </w:rPr>
    </w:lvl>
    <w:lvl w:ilvl="7" w:tplc="144E76C4" w:tentative="1">
      <w:start w:val="1"/>
      <w:numFmt w:val="bullet"/>
      <w:lvlText w:val="•"/>
      <w:lvlJc w:val="left"/>
      <w:pPr>
        <w:tabs>
          <w:tab w:val="num" w:pos="5760"/>
        </w:tabs>
        <w:ind w:left="5760" w:hanging="360"/>
      </w:pPr>
      <w:rPr>
        <w:rFonts w:ascii="Arial" w:hAnsi="Arial" w:hint="default"/>
      </w:rPr>
    </w:lvl>
    <w:lvl w:ilvl="8" w:tplc="999EAA7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C8B2257"/>
    <w:multiLevelType w:val="hybridMultilevel"/>
    <w:tmpl w:val="1D1E8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CA0548F"/>
    <w:multiLevelType w:val="hybridMultilevel"/>
    <w:tmpl w:val="921CAF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E096358"/>
    <w:multiLevelType w:val="hybridMultilevel"/>
    <w:tmpl w:val="F260078E"/>
    <w:lvl w:ilvl="0" w:tplc="4D9E2CD8">
      <w:start w:val="1"/>
      <w:numFmt w:val="bullet"/>
      <w:lvlText w:val="•"/>
      <w:lvlJc w:val="left"/>
      <w:pPr>
        <w:tabs>
          <w:tab w:val="num" w:pos="720"/>
        </w:tabs>
        <w:ind w:left="720" w:hanging="360"/>
      </w:pPr>
      <w:rPr>
        <w:rFonts w:ascii="Times New Roman" w:hAnsi="Times New Roman" w:hint="default"/>
      </w:rPr>
    </w:lvl>
    <w:lvl w:ilvl="1" w:tplc="AB5211FA">
      <w:start w:val="120"/>
      <w:numFmt w:val="bullet"/>
      <w:lvlText w:val="–"/>
      <w:lvlJc w:val="left"/>
      <w:pPr>
        <w:tabs>
          <w:tab w:val="num" w:pos="1440"/>
        </w:tabs>
        <w:ind w:left="1440" w:hanging="360"/>
      </w:pPr>
      <w:rPr>
        <w:rFonts w:ascii="Times New Roman" w:hAnsi="Times New Roman" w:hint="default"/>
      </w:rPr>
    </w:lvl>
    <w:lvl w:ilvl="2" w:tplc="240664BE" w:tentative="1">
      <w:start w:val="1"/>
      <w:numFmt w:val="bullet"/>
      <w:lvlText w:val="•"/>
      <w:lvlJc w:val="left"/>
      <w:pPr>
        <w:tabs>
          <w:tab w:val="num" w:pos="2160"/>
        </w:tabs>
        <w:ind w:left="2160" w:hanging="360"/>
      </w:pPr>
      <w:rPr>
        <w:rFonts w:ascii="Times New Roman" w:hAnsi="Times New Roman" w:hint="default"/>
      </w:rPr>
    </w:lvl>
    <w:lvl w:ilvl="3" w:tplc="45A4356E" w:tentative="1">
      <w:start w:val="1"/>
      <w:numFmt w:val="bullet"/>
      <w:lvlText w:val="•"/>
      <w:lvlJc w:val="left"/>
      <w:pPr>
        <w:tabs>
          <w:tab w:val="num" w:pos="2880"/>
        </w:tabs>
        <w:ind w:left="2880" w:hanging="360"/>
      </w:pPr>
      <w:rPr>
        <w:rFonts w:ascii="Times New Roman" w:hAnsi="Times New Roman" w:hint="default"/>
      </w:rPr>
    </w:lvl>
    <w:lvl w:ilvl="4" w:tplc="288C0F1E" w:tentative="1">
      <w:start w:val="1"/>
      <w:numFmt w:val="bullet"/>
      <w:lvlText w:val="•"/>
      <w:lvlJc w:val="left"/>
      <w:pPr>
        <w:tabs>
          <w:tab w:val="num" w:pos="3600"/>
        </w:tabs>
        <w:ind w:left="3600" w:hanging="360"/>
      </w:pPr>
      <w:rPr>
        <w:rFonts w:ascii="Times New Roman" w:hAnsi="Times New Roman" w:hint="default"/>
      </w:rPr>
    </w:lvl>
    <w:lvl w:ilvl="5" w:tplc="4F2E20AC" w:tentative="1">
      <w:start w:val="1"/>
      <w:numFmt w:val="bullet"/>
      <w:lvlText w:val="•"/>
      <w:lvlJc w:val="left"/>
      <w:pPr>
        <w:tabs>
          <w:tab w:val="num" w:pos="4320"/>
        </w:tabs>
        <w:ind w:left="4320" w:hanging="360"/>
      </w:pPr>
      <w:rPr>
        <w:rFonts w:ascii="Times New Roman" w:hAnsi="Times New Roman" w:hint="default"/>
      </w:rPr>
    </w:lvl>
    <w:lvl w:ilvl="6" w:tplc="CD1893CA" w:tentative="1">
      <w:start w:val="1"/>
      <w:numFmt w:val="bullet"/>
      <w:lvlText w:val="•"/>
      <w:lvlJc w:val="left"/>
      <w:pPr>
        <w:tabs>
          <w:tab w:val="num" w:pos="5040"/>
        </w:tabs>
        <w:ind w:left="5040" w:hanging="360"/>
      </w:pPr>
      <w:rPr>
        <w:rFonts w:ascii="Times New Roman" w:hAnsi="Times New Roman" w:hint="default"/>
      </w:rPr>
    </w:lvl>
    <w:lvl w:ilvl="7" w:tplc="181A1CAC" w:tentative="1">
      <w:start w:val="1"/>
      <w:numFmt w:val="bullet"/>
      <w:lvlText w:val="•"/>
      <w:lvlJc w:val="left"/>
      <w:pPr>
        <w:tabs>
          <w:tab w:val="num" w:pos="5760"/>
        </w:tabs>
        <w:ind w:left="5760" w:hanging="360"/>
      </w:pPr>
      <w:rPr>
        <w:rFonts w:ascii="Times New Roman" w:hAnsi="Times New Roman" w:hint="default"/>
      </w:rPr>
    </w:lvl>
    <w:lvl w:ilvl="8" w:tplc="5F34CC54"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7E5F4833"/>
    <w:multiLevelType w:val="multilevel"/>
    <w:tmpl w:val="1D0EE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837368">
    <w:abstractNumId w:val="9"/>
  </w:num>
  <w:num w:numId="2" w16cid:durableId="610743418">
    <w:abstractNumId w:val="9"/>
  </w:num>
  <w:num w:numId="3" w16cid:durableId="838807231">
    <w:abstractNumId w:val="7"/>
  </w:num>
  <w:num w:numId="4" w16cid:durableId="1536037811">
    <w:abstractNumId w:val="7"/>
  </w:num>
  <w:num w:numId="5" w16cid:durableId="2055738084">
    <w:abstractNumId w:val="6"/>
  </w:num>
  <w:num w:numId="6" w16cid:durableId="1558976013">
    <w:abstractNumId w:val="6"/>
  </w:num>
  <w:num w:numId="7" w16cid:durableId="662510797">
    <w:abstractNumId w:val="8"/>
  </w:num>
  <w:num w:numId="8" w16cid:durableId="1592662820">
    <w:abstractNumId w:val="8"/>
  </w:num>
  <w:num w:numId="9" w16cid:durableId="581909894">
    <w:abstractNumId w:val="3"/>
  </w:num>
  <w:num w:numId="10" w16cid:durableId="1907960185">
    <w:abstractNumId w:val="3"/>
  </w:num>
  <w:num w:numId="11" w16cid:durableId="508368944">
    <w:abstractNumId w:val="2"/>
  </w:num>
  <w:num w:numId="12" w16cid:durableId="510950152">
    <w:abstractNumId w:val="2"/>
  </w:num>
  <w:num w:numId="13" w16cid:durableId="1800301242">
    <w:abstractNumId w:val="5"/>
  </w:num>
  <w:num w:numId="14" w16cid:durableId="733940664">
    <w:abstractNumId w:val="4"/>
  </w:num>
  <w:num w:numId="15" w16cid:durableId="266888239">
    <w:abstractNumId w:val="1"/>
  </w:num>
  <w:num w:numId="16" w16cid:durableId="1555309405">
    <w:abstractNumId w:val="0"/>
  </w:num>
  <w:num w:numId="17" w16cid:durableId="1739985225">
    <w:abstractNumId w:val="54"/>
  </w:num>
  <w:num w:numId="18" w16cid:durableId="1369406582">
    <w:abstractNumId w:val="37"/>
  </w:num>
  <w:num w:numId="19" w16cid:durableId="1642811941">
    <w:abstractNumId w:val="62"/>
  </w:num>
  <w:num w:numId="20" w16cid:durableId="1286698519">
    <w:abstractNumId w:val="63"/>
  </w:num>
  <w:num w:numId="21" w16cid:durableId="148911019">
    <w:abstractNumId w:val="19"/>
  </w:num>
  <w:num w:numId="22" w16cid:durableId="414087917">
    <w:abstractNumId w:val="12"/>
  </w:num>
  <w:num w:numId="23" w16cid:durableId="2077313251">
    <w:abstractNumId w:val="44"/>
  </w:num>
  <w:num w:numId="24" w16cid:durableId="2101175339">
    <w:abstractNumId w:val="33"/>
  </w:num>
  <w:num w:numId="25" w16cid:durableId="553666385">
    <w:abstractNumId w:val="45"/>
  </w:num>
  <w:num w:numId="26" w16cid:durableId="2142964960">
    <w:abstractNumId w:val="57"/>
  </w:num>
  <w:num w:numId="27" w16cid:durableId="1532037045">
    <w:abstractNumId w:val="10"/>
  </w:num>
  <w:num w:numId="28" w16cid:durableId="1145127682">
    <w:abstractNumId w:val="39"/>
  </w:num>
  <w:num w:numId="29" w16cid:durableId="967316539">
    <w:abstractNumId w:val="35"/>
  </w:num>
  <w:num w:numId="30" w16cid:durableId="1583371732">
    <w:abstractNumId w:val="36"/>
  </w:num>
  <w:num w:numId="31" w16cid:durableId="1387217428">
    <w:abstractNumId w:val="59"/>
  </w:num>
  <w:num w:numId="32" w16cid:durableId="691764494">
    <w:abstractNumId w:val="26"/>
  </w:num>
  <w:num w:numId="33" w16cid:durableId="1443842661">
    <w:abstractNumId w:val="15"/>
  </w:num>
  <w:num w:numId="34" w16cid:durableId="321662279">
    <w:abstractNumId w:val="20"/>
  </w:num>
  <w:num w:numId="35" w16cid:durableId="2119174939">
    <w:abstractNumId w:val="50"/>
  </w:num>
  <w:num w:numId="36" w16cid:durableId="1832989491">
    <w:abstractNumId w:val="30"/>
  </w:num>
  <w:num w:numId="37" w16cid:durableId="724640598">
    <w:abstractNumId w:val="46"/>
  </w:num>
  <w:num w:numId="38" w16cid:durableId="2124301325">
    <w:abstractNumId w:val="42"/>
  </w:num>
  <w:num w:numId="39" w16cid:durableId="1755937070">
    <w:abstractNumId w:val="61"/>
  </w:num>
  <w:num w:numId="40" w16cid:durableId="2006592035">
    <w:abstractNumId w:val="14"/>
  </w:num>
  <w:num w:numId="41" w16cid:durableId="700017303">
    <w:abstractNumId w:val="29"/>
  </w:num>
  <w:num w:numId="42" w16cid:durableId="62068830">
    <w:abstractNumId w:val="17"/>
  </w:num>
  <w:num w:numId="43" w16cid:durableId="463812468">
    <w:abstractNumId w:val="60"/>
  </w:num>
  <w:num w:numId="44" w16cid:durableId="238295160">
    <w:abstractNumId w:val="55"/>
  </w:num>
  <w:num w:numId="45" w16cid:durableId="757099902">
    <w:abstractNumId w:val="23"/>
    <w:lvlOverride w:ilvl="0">
      <w:lvl w:ilvl="0">
        <w:numFmt w:val="decimal"/>
        <w:lvlText w:val="%1."/>
        <w:lvlJc w:val="left"/>
      </w:lvl>
    </w:lvlOverride>
  </w:num>
  <w:num w:numId="46" w16cid:durableId="847600953">
    <w:abstractNumId w:val="49"/>
    <w:lvlOverride w:ilvl="0">
      <w:lvl w:ilvl="0">
        <w:numFmt w:val="decimal"/>
        <w:lvlText w:val="%1."/>
        <w:lvlJc w:val="left"/>
      </w:lvl>
    </w:lvlOverride>
  </w:num>
  <w:num w:numId="47" w16cid:durableId="2981324">
    <w:abstractNumId w:val="32"/>
    <w:lvlOverride w:ilvl="0">
      <w:lvl w:ilvl="0">
        <w:numFmt w:val="decimal"/>
        <w:lvlText w:val="%1."/>
        <w:lvlJc w:val="left"/>
      </w:lvl>
    </w:lvlOverride>
  </w:num>
  <w:num w:numId="48" w16cid:durableId="1467239929">
    <w:abstractNumId w:val="58"/>
    <w:lvlOverride w:ilvl="0">
      <w:lvl w:ilvl="0">
        <w:numFmt w:val="decimal"/>
        <w:lvlText w:val="%1."/>
        <w:lvlJc w:val="left"/>
      </w:lvl>
    </w:lvlOverride>
  </w:num>
  <w:num w:numId="49" w16cid:durableId="1742557048">
    <w:abstractNumId w:val="56"/>
  </w:num>
  <w:num w:numId="50" w16cid:durableId="1966960567">
    <w:abstractNumId w:val="64"/>
  </w:num>
  <w:num w:numId="51" w16cid:durableId="1628776761">
    <w:abstractNumId w:val="27"/>
  </w:num>
  <w:num w:numId="52" w16cid:durableId="1132484155">
    <w:abstractNumId w:val="41"/>
  </w:num>
  <w:num w:numId="53" w16cid:durableId="147944167">
    <w:abstractNumId w:val="53"/>
  </w:num>
  <w:num w:numId="54" w16cid:durableId="1818836265">
    <w:abstractNumId w:val="40"/>
  </w:num>
  <w:num w:numId="55" w16cid:durableId="999502397">
    <w:abstractNumId w:val="25"/>
  </w:num>
  <w:num w:numId="56" w16cid:durableId="44108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5868052">
    <w:abstractNumId w:val="21"/>
  </w:num>
  <w:num w:numId="58" w16cid:durableId="1002901641">
    <w:abstractNumId w:val="11"/>
  </w:num>
  <w:num w:numId="59" w16cid:durableId="174613059">
    <w:abstractNumId w:val="52"/>
  </w:num>
  <w:num w:numId="60" w16cid:durableId="244072462">
    <w:abstractNumId w:val="24"/>
  </w:num>
  <w:num w:numId="61" w16cid:durableId="771975339">
    <w:abstractNumId w:val="28"/>
  </w:num>
  <w:num w:numId="62" w16cid:durableId="1065685445">
    <w:abstractNumId w:val="48"/>
  </w:num>
  <w:num w:numId="63" w16cid:durableId="222179106">
    <w:abstractNumId w:val="51"/>
  </w:num>
  <w:num w:numId="64" w16cid:durableId="1861505099">
    <w:abstractNumId w:val="18"/>
  </w:num>
  <w:num w:numId="65" w16cid:durableId="2062169656">
    <w:abstractNumId w:val="34"/>
  </w:num>
  <w:num w:numId="66" w16cid:durableId="1292176700">
    <w:abstractNumId w:val="47"/>
  </w:num>
  <w:num w:numId="67" w16cid:durableId="1959871803">
    <w:abstractNumId w:val="22"/>
  </w:num>
  <w:num w:numId="68" w16cid:durableId="1249003609">
    <w:abstractNumId w:val="38"/>
  </w:num>
  <w:num w:numId="69" w16cid:durableId="271134196">
    <w:abstractNumId w:val="31"/>
  </w:num>
  <w:num w:numId="70" w16cid:durableId="1945720987">
    <w:abstractNumId w:val="43"/>
  </w:num>
  <w:num w:numId="71" w16cid:durableId="1381632790">
    <w:abstractNumId w:val="16"/>
  </w:num>
  <w:num w:numId="72" w16cid:durableId="88626440">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9B"/>
    <w:rsid w:val="00000DF2"/>
    <w:rsid w:val="0001562E"/>
    <w:rsid w:val="00017BEF"/>
    <w:rsid w:val="000210B7"/>
    <w:rsid w:val="00021AF9"/>
    <w:rsid w:val="000258CB"/>
    <w:rsid w:val="000321F6"/>
    <w:rsid w:val="00034F00"/>
    <w:rsid w:val="00044261"/>
    <w:rsid w:val="0005744B"/>
    <w:rsid w:val="0006375C"/>
    <w:rsid w:val="00074517"/>
    <w:rsid w:val="0008118F"/>
    <w:rsid w:val="000846FC"/>
    <w:rsid w:val="0009492D"/>
    <w:rsid w:val="000A4822"/>
    <w:rsid w:val="000B470B"/>
    <w:rsid w:val="000B4BE1"/>
    <w:rsid w:val="000B745D"/>
    <w:rsid w:val="000D3E3C"/>
    <w:rsid w:val="000E56FF"/>
    <w:rsid w:val="000E74C3"/>
    <w:rsid w:val="000F4D6C"/>
    <w:rsid w:val="0010426C"/>
    <w:rsid w:val="001120DD"/>
    <w:rsid w:val="00116A3B"/>
    <w:rsid w:val="001232FD"/>
    <w:rsid w:val="00124C8D"/>
    <w:rsid w:val="00124E18"/>
    <w:rsid w:val="0013112B"/>
    <w:rsid w:val="00131860"/>
    <w:rsid w:val="00132791"/>
    <w:rsid w:val="00134FD6"/>
    <w:rsid w:val="001361CF"/>
    <w:rsid w:val="0014483D"/>
    <w:rsid w:val="001456CF"/>
    <w:rsid w:val="00156031"/>
    <w:rsid w:val="0017457F"/>
    <w:rsid w:val="00181FE6"/>
    <w:rsid w:val="00185ECE"/>
    <w:rsid w:val="00187D04"/>
    <w:rsid w:val="0019395C"/>
    <w:rsid w:val="001939ED"/>
    <w:rsid w:val="00194C30"/>
    <w:rsid w:val="00197AAE"/>
    <w:rsid w:val="001A30D7"/>
    <w:rsid w:val="001A3852"/>
    <w:rsid w:val="001A4F95"/>
    <w:rsid w:val="001A5166"/>
    <w:rsid w:val="001A7AE4"/>
    <w:rsid w:val="001B2017"/>
    <w:rsid w:val="001B224A"/>
    <w:rsid w:val="001B675D"/>
    <w:rsid w:val="001C3DBE"/>
    <w:rsid w:val="001C77E0"/>
    <w:rsid w:val="001D7C32"/>
    <w:rsid w:val="001E1547"/>
    <w:rsid w:val="001E3A08"/>
    <w:rsid w:val="001E7A92"/>
    <w:rsid w:val="001E7BD2"/>
    <w:rsid w:val="001F4010"/>
    <w:rsid w:val="00203B5D"/>
    <w:rsid w:val="00226A9C"/>
    <w:rsid w:val="002449A3"/>
    <w:rsid w:val="002476E4"/>
    <w:rsid w:val="0025161F"/>
    <w:rsid w:val="00257F20"/>
    <w:rsid w:val="00261EFC"/>
    <w:rsid w:val="002621A2"/>
    <w:rsid w:val="002623B9"/>
    <w:rsid w:val="002708C7"/>
    <w:rsid w:val="00272A12"/>
    <w:rsid w:val="002749A8"/>
    <w:rsid w:val="00280661"/>
    <w:rsid w:val="0028491F"/>
    <w:rsid w:val="002871EA"/>
    <w:rsid w:val="00287B8E"/>
    <w:rsid w:val="00291224"/>
    <w:rsid w:val="00291A37"/>
    <w:rsid w:val="00291EB7"/>
    <w:rsid w:val="00294176"/>
    <w:rsid w:val="002A112A"/>
    <w:rsid w:val="002A4C1F"/>
    <w:rsid w:val="002A5BF4"/>
    <w:rsid w:val="002A63CB"/>
    <w:rsid w:val="002A738A"/>
    <w:rsid w:val="002B43EA"/>
    <w:rsid w:val="002C57D7"/>
    <w:rsid w:val="002D0AB2"/>
    <w:rsid w:val="002D2B2F"/>
    <w:rsid w:val="002D355B"/>
    <w:rsid w:val="002D39A2"/>
    <w:rsid w:val="002E66A0"/>
    <w:rsid w:val="002E6C5A"/>
    <w:rsid w:val="002E7597"/>
    <w:rsid w:val="002F2283"/>
    <w:rsid w:val="00304E2D"/>
    <w:rsid w:val="003118A3"/>
    <w:rsid w:val="003122E9"/>
    <w:rsid w:val="003138BD"/>
    <w:rsid w:val="00316A7E"/>
    <w:rsid w:val="00320406"/>
    <w:rsid w:val="003206EE"/>
    <w:rsid w:val="00322137"/>
    <w:rsid w:val="00325C8B"/>
    <w:rsid w:val="00331440"/>
    <w:rsid w:val="00337925"/>
    <w:rsid w:val="0034320F"/>
    <w:rsid w:val="00362B8E"/>
    <w:rsid w:val="00365744"/>
    <w:rsid w:val="00365C67"/>
    <w:rsid w:val="00373163"/>
    <w:rsid w:val="0037500A"/>
    <w:rsid w:val="00380649"/>
    <w:rsid w:val="00382FE2"/>
    <w:rsid w:val="00393830"/>
    <w:rsid w:val="003956D9"/>
    <w:rsid w:val="003A01E1"/>
    <w:rsid w:val="003A25E9"/>
    <w:rsid w:val="003A44C8"/>
    <w:rsid w:val="003B10EC"/>
    <w:rsid w:val="003C519E"/>
    <w:rsid w:val="003C584A"/>
    <w:rsid w:val="003C6BBD"/>
    <w:rsid w:val="003D31A6"/>
    <w:rsid w:val="003D513B"/>
    <w:rsid w:val="003D7A44"/>
    <w:rsid w:val="003F1DDE"/>
    <w:rsid w:val="00403E88"/>
    <w:rsid w:val="0040620B"/>
    <w:rsid w:val="00424196"/>
    <w:rsid w:val="004275A8"/>
    <w:rsid w:val="00430CE3"/>
    <w:rsid w:val="00432719"/>
    <w:rsid w:val="00433926"/>
    <w:rsid w:val="00435B65"/>
    <w:rsid w:val="00454821"/>
    <w:rsid w:val="00456EE1"/>
    <w:rsid w:val="004636BD"/>
    <w:rsid w:val="0047329B"/>
    <w:rsid w:val="0047508B"/>
    <w:rsid w:val="004816AE"/>
    <w:rsid w:val="00483873"/>
    <w:rsid w:val="004839C2"/>
    <w:rsid w:val="00486FBE"/>
    <w:rsid w:val="004934C9"/>
    <w:rsid w:val="00493871"/>
    <w:rsid w:val="00497FCE"/>
    <w:rsid w:val="004A36A6"/>
    <w:rsid w:val="004B15CE"/>
    <w:rsid w:val="004C4432"/>
    <w:rsid w:val="004C4FAE"/>
    <w:rsid w:val="004C5836"/>
    <w:rsid w:val="004D3A68"/>
    <w:rsid w:val="004E2F5D"/>
    <w:rsid w:val="004E6CDF"/>
    <w:rsid w:val="004F1269"/>
    <w:rsid w:val="0051758C"/>
    <w:rsid w:val="00522EEC"/>
    <w:rsid w:val="00531693"/>
    <w:rsid w:val="00545AAF"/>
    <w:rsid w:val="005478E7"/>
    <w:rsid w:val="00554C73"/>
    <w:rsid w:val="0056368A"/>
    <w:rsid w:val="005724A2"/>
    <w:rsid w:val="005753E6"/>
    <w:rsid w:val="0058068B"/>
    <w:rsid w:val="005A0157"/>
    <w:rsid w:val="005A6E99"/>
    <w:rsid w:val="005B16DC"/>
    <w:rsid w:val="005B1E82"/>
    <w:rsid w:val="005B288A"/>
    <w:rsid w:val="005B5BD1"/>
    <w:rsid w:val="005B616D"/>
    <w:rsid w:val="005B7569"/>
    <w:rsid w:val="005C0F7C"/>
    <w:rsid w:val="005C1D97"/>
    <w:rsid w:val="005C66E5"/>
    <w:rsid w:val="005C6F06"/>
    <w:rsid w:val="005D58A5"/>
    <w:rsid w:val="005E1E82"/>
    <w:rsid w:val="005E37BA"/>
    <w:rsid w:val="005E4FEB"/>
    <w:rsid w:val="005E712C"/>
    <w:rsid w:val="005F3F1F"/>
    <w:rsid w:val="00600139"/>
    <w:rsid w:val="0060211A"/>
    <w:rsid w:val="006064F8"/>
    <w:rsid w:val="006104A0"/>
    <w:rsid w:val="00623A7E"/>
    <w:rsid w:val="0062698D"/>
    <w:rsid w:val="006349ED"/>
    <w:rsid w:val="0064731C"/>
    <w:rsid w:val="00657AA3"/>
    <w:rsid w:val="00662AF0"/>
    <w:rsid w:val="00663BF3"/>
    <w:rsid w:val="006715DC"/>
    <w:rsid w:val="00671960"/>
    <w:rsid w:val="0067766C"/>
    <w:rsid w:val="006A18B4"/>
    <w:rsid w:val="006A30A7"/>
    <w:rsid w:val="006A646B"/>
    <w:rsid w:val="006A6676"/>
    <w:rsid w:val="006C1AB5"/>
    <w:rsid w:val="006C3644"/>
    <w:rsid w:val="006C6912"/>
    <w:rsid w:val="006C6CFD"/>
    <w:rsid w:val="006D474B"/>
    <w:rsid w:val="006D5C2C"/>
    <w:rsid w:val="006D7B4C"/>
    <w:rsid w:val="006F4BC3"/>
    <w:rsid w:val="006F7CF9"/>
    <w:rsid w:val="00703792"/>
    <w:rsid w:val="00704B3B"/>
    <w:rsid w:val="00713B54"/>
    <w:rsid w:val="00723C66"/>
    <w:rsid w:val="007242C0"/>
    <w:rsid w:val="0072441C"/>
    <w:rsid w:val="007263F9"/>
    <w:rsid w:val="0072781A"/>
    <w:rsid w:val="007344CF"/>
    <w:rsid w:val="00735255"/>
    <w:rsid w:val="007424F6"/>
    <w:rsid w:val="00743B51"/>
    <w:rsid w:val="00746E1B"/>
    <w:rsid w:val="00750AE7"/>
    <w:rsid w:val="007635E6"/>
    <w:rsid w:val="007643FE"/>
    <w:rsid w:val="00782DB1"/>
    <w:rsid w:val="00785431"/>
    <w:rsid w:val="00785F52"/>
    <w:rsid w:val="00786D11"/>
    <w:rsid w:val="007928FE"/>
    <w:rsid w:val="00792CEA"/>
    <w:rsid w:val="0079532C"/>
    <w:rsid w:val="007959D3"/>
    <w:rsid w:val="00796E43"/>
    <w:rsid w:val="007A1784"/>
    <w:rsid w:val="007B47DE"/>
    <w:rsid w:val="007C1D83"/>
    <w:rsid w:val="007C1D90"/>
    <w:rsid w:val="007C243D"/>
    <w:rsid w:val="007C721D"/>
    <w:rsid w:val="007D6836"/>
    <w:rsid w:val="007D7D5C"/>
    <w:rsid w:val="007E1574"/>
    <w:rsid w:val="007E6FE8"/>
    <w:rsid w:val="007F5212"/>
    <w:rsid w:val="0081310D"/>
    <w:rsid w:val="00820927"/>
    <w:rsid w:val="00821F33"/>
    <w:rsid w:val="0083142B"/>
    <w:rsid w:val="00831FA1"/>
    <w:rsid w:val="00836C17"/>
    <w:rsid w:val="0083747C"/>
    <w:rsid w:val="00842F1B"/>
    <w:rsid w:val="008501FE"/>
    <w:rsid w:val="00850B64"/>
    <w:rsid w:val="00864128"/>
    <w:rsid w:val="00865B42"/>
    <w:rsid w:val="00867368"/>
    <w:rsid w:val="008745F0"/>
    <w:rsid w:val="00877446"/>
    <w:rsid w:val="008822B8"/>
    <w:rsid w:val="008911F8"/>
    <w:rsid w:val="00893FA6"/>
    <w:rsid w:val="008A105E"/>
    <w:rsid w:val="008A6A05"/>
    <w:rsid w:val="008B0A5D"/>
    <w:rsid w:val="008B1B05"/>
    <w:rsid w:val="008C5777"/>
    <w:rsid w:val="008D2E4B"/>
    <w:rsid w:val="008D6BEF"/>
    <w:rsid w:val="008E72D0"/>
    <w:rsid w:val="008E7966"/>
    <w:rsid w:val="008F29EC"/>
    <w:rsid w:val="008F503A"/>
    <w:rsid w:val="008F59E2"/>
    <w:rsid w:val="00900A32"/>
    <w:rsid w:val="00902805"/>
    <w:rsid w:val="00907B16"/>
    <w:rsid w:val="0092636F"/>
    <w:rsid w:val="00933B5A"/>
    <w:rsid w:val="0094677B"/>
    <w:rsid w:val="00947C00"/>
    <w:rsid w:val="0095259A"/>
    <w:rsid w:val="00953582"/>
    <w:rsid w:val="00954289"/>
    <w:rsid w:val="009557F2"/>
    <w:rsid w:val="0095753B"/>
    <w:rsid w:val="00961595"/>
    <w:rsid w:val="009638ED"/>
    <w:rsid w:val="00971E09"/>
    <w:rsid w:val="00974720"/>
    <w:rsid w:val="00975816"/>
    <w:rsid w:val="00975E53"/>
    <w:rsid w:val="009776DE"/>
    <w:rsid w:val="0098688F"/>
    <w:rsid w:val="00991205"/>
    <w:rsid w:val="009A0A06"/>
    <w:rsid w:val="009A2AE2"/>
    <w:rsid w:val="009A7199"/>
    <w:rsid w:val="009B06FF"/>
    <w:rsid w:val="009B0DC3"/>
    <w:rsid w:val="009B54C5"/>
    <w:rsid w:val="009C07AE"/>
    <w:rsid w:val="009C36AC"/>
    <w:rsid w:val="009C3BD7"/>
    <w:rsid w:val="009C4D62"/>
    <w:rsid w:val="009C583B"/>
    <w:rsid w:val="009C590B"/>
    <w:rsid w:val="009D46A4"/>
    <w:rsid w:val="009E4658"/>
    <w:rsid w:val="009E5A66"/>
    <w:rsid w:val="009F00AD"/>
    <w:rsid w:val="009F7F01"/>
    <w:rsid w:val="00A03016"/>
    <w:rsid w:val="00A05270"/>
    <w:rsid w:val="00A06EEC"/>
    <w:rsid w:val="00A142F0"/>
    <w:rsid w:val="00A15D01"/>
    <w:rsid w:val="00A17437"/>
    <w:rsid w:val="00A268FD"/>
    <w:rsid w:val="00A279CF"/>
    <w:rsid w:val="00A375AF"/>
    <w:rsid w:val="00A43115"/>
    <w:rsid w:val="00A47AB6"/>
    <w:rsid w:val="00A55E54"/>
    <w:rsid w:val="00A55EA5"/>
    <w:rsid w:val="00A62D79"/>
    <w:rsid w:val="00A71425"/>
    <w:rsid w:val="00A71708"/>
    <w:rsid w:val="00A7420F"/>
    <w:rsid w:val="00A74DF7"/>
    <w:rsid w:val="00A80318"/>
    <w:rsid w:val="00A81BF9"/>
    <w:rsid w:val="00A82F9D"/>
    <w:rsid w:val="00A872CA"/>
    <w:rsid w:val="00A92DEE"/>
    <w:rsid w:val="00A94B0A"/>
    <w:rsid w:val="00A96B81"/>
    <w:rsid w:val="00AA454F"/>
    <w:rsid w:val="00AA6729"/>
    <w:rsid w:val="00AC5899"/>
    <w:rsid w:val="00AD409A"/>
    <w:rsid w:val="00AD4B76"/>
    <w:rsid w:val="00AE0630"/>
    <w:rsid w:val="00B05061"/>
    <w:rsid w:val="00B05E1A"/>
    <w:rsid w:val="00B12426"/>
    <w:rsid w:val="00B1292E"/>
    <w:rsid w:val="00B14618"/>
    <w:rsid w:val="00B21580"/>
    <w:rsid w:val="00B27FA0"/>
    <w:rsid w:val="00B31928"/>
    <w:rsid w:val="00B40138"/>
    <w:rsid w:val="00B431CD"/>
    <w:rsid w:val="00B5150B"/>
    <w:rsid w:val="00B5305C"/>
    <w:rsid w:val="00B56545"/>
    <w:rsid w:val="00B5686B"/>
    <w:rsid w:val="00B60DF2"/>
    <w:rsid w:val="00B706EE"/>
    <w:rsid w:val="00B75EC7"/>
    <w:rsid w:val="00B76547"/>
    <w:rsid w:val="00B768C8"/>
    <w:rsid w:val="00B81DE0"/>
    <w:rsid w:val="00B90F69"/>
    <w:rsid w:val="00B94CD6"/>
    <w:rsid w:val="00BA2579"/>
    <w:rsid w:val="00BA3CBE"/>
    <w:rsid w:val="00BA4383"/>
    <w:rsid w:val="00BA4695"/>
    <w:rsid w:val="00BA48D2"/>
    <w:rsid w:val="00BB7109"/>
    <w:rsid w:val="00BC31A6"/>
    <w:rsid w:val="00BC65A4"/>
    <w:rsid w:val="00BC74C2"/>
    <w:rsid w:val="00BE3DCC"/>
    <w:rsid w:val="00BF1204"/>
    <w:rsid w:val="00C11D2C"/>
    <w:rsid w:val="00C12006"/>
    <w:rsid w:val="00C14265"/>
    <w:rsid w:val="00C154AE"/>
    <w:rsid w:val="00C16919"/>
    <w:rsid w:val="00C32139"/>
    <w:rsid w:val="00C361E0"/>
    <w:rsid w:val="00C401AE"/>
    <w:rsid w:val="00C43972"/>
    <w:rsid w:val="00C50353"/>
    <w:rsid w:val="00C707C8"/>
    <w:rsid w:val="00C70D8C"/>
    <w:rsid w:val="00C70F2A"/>
    <w:rsid w:val="00C76191"/>
    <w:rsid w:val="00C77D9D"/>
    <w:rsid w:val="00C85E6D"/>
    <w:rsid w:val="00C867C9"/>
    <w:rsid w:val="00C92CC7"/>
    <w:rsid w:val="00CA46EE"/>
    <w:rsid w:val="00CA4932"/>
    <w:rsid w:val="00CA49A6"/>
    <w:rsid w:val="00CA5441"/>
    <w:rsid w:val="00CA618B"/>
    <w:rsid w:val="00CB0DF8"/>
    <w:rsid w:val="00CB552D"/>
    <w:rsid w:val="00CC4050"/>
    <w:rsid w:val="00CC4CCB"/>
    <w:rsid w:val="00CD55C5"/>
    <w:rsid w:val="00CE027B"/>
    <w:rsid w:val="00CE2EBC"/>
    <w:rsid w:val="00CE4DEA"/>
    <w:rsid w:val="00CF1128"/>
    <w:rsid w:val="00CF1FA8"/>
    <w:rsid w:val="00CF5017"/>
    <w:rsid w:val="00CF53EA"/>
    <w:rsid w:val="00D23075"/>
    <w:rsid w:val="00D2358D"/>
    <w:rsid w:val="00D25106"/>
    <w:rsid w:val="00D30F4F"/>
    <w:rsid w:val="00D31565"/>
    <w:rsid w:val="00D3240B"/>
    <w:rsid w:val="00D32E30"/>
    <w:rsid w:val="00D33C1F"/>
    <w:rsid w:val="00D33F1D"/>
    <w:rsid w:val="00D36481"/>
    <w:rsid w:val="00D46F85"/>
    <w:rsid w:val="00D55D99"/>
    <w:rsid w:val="00D5782C"/>
    <w:rsid w:val="00D60D2C"/>
    <w:rsid w:val="00D7042C"/>
    <w:rsid w:val="00D70522"/>
    <w:rsid w:val="00D73CE4"/>
    <w:rsid w:val="00D7468E"/>
    <w:rsid w:val="00D846BC"/>
    <w:rsid w:val="00D84D2F"/>
    <w:rsid w:val="00D87792"/>
    <w:rsid w:val="00D94848"/>
    <w:rsid w:val="00DA3D30"/>
    <w:rsid w:val="00DA42D1"/>
    <w:rsid w:val="00DA7ABD"/>
    <w:rsid w:val="00DB04F1"/>
    <w:rsid w:val="00DB7D14"/>
    <w:rsid w:val="00DD138E"/>
    <w:rsid w:val="00DD2EF6"/>
    <w:rsid w:val="00DD3466"/>
    <w:rsid w:val="00DE64E3"/>
    <w:rsid w:val="00DF00F3"/>
    <w:rsid w:val="00DF0302"/>
    <w:rsid w:val="00DF168D"/>
    <w:rsid w:val="00DF71CD"/>
    <w:rsid w:val="00E00F83"/>
    <w:rsid w:val="00E015E7"/>
    <w:rsid w:val="00E03230"/>
    <w:rsid w:val="00E06E2E"/>
    <w:rsid w:val="00E07E2B"/>
    <w:rsid w:val="00E1009A"/>
    <w:rsid w:val="00E23A2E"/>
    <w:rsid w:val="00E23A95"/>
    <w:rsid w:val="00E331FB"/>
    <w:rsid w:val="00E366D9"/>
    <w:rsid w:val="00E61418"/>
    <w:rsid w:val="00E62692"/>
    <w:rsid w:val="00E626D2"/>
    <w:rsid w:val="00E70477"/>
    <w:rsid w:val="00E7510D"/>
    <w:rsid w:val="00E76AC0"/>
    <w:rsid w:val="00E86519"/>
    <w:rsid w:val="00E9518F"/>
    <w:rsid w:val="00E96773"/>
    <w:rsid w:val="00E97C9D"/>
    <w:rsid w:val="00EA0C5B"/>
    <w:rsid w:val="00EA1267"/>
    <w:rsid w:val="00EA17B9"/>
    <w:rsid w:val="00ED06E1"/>
    <w:rsid w:val="00ED55FB"/>
    <w:rsid w:val="00ED59E9"/>
    <w:rsid w:val="00EE0650"/>
    <w:rsid w:val="00EE517E"/>
    <w:rsid w:val="00EF6C59"/>
    <w:rsid w:val="00EF76DB"/>
    <w:rsid w:val="00F033D2"/>
    <w:rsid w:val="00F052BC"/>
    <w:rsid w:val="00F05F90"/>
    <w:rsid w:val="00F07E14"/>
    <w:rsid w:val="00F10846"/>
    <w:rsid w:val="00F11536"/>
    <w:rsid w:val="00F13DD4"/>
    <w:rsid w:val="00F14C2B"/>
    <w:rsid w:val="00F17BA5"/>
    <w:rsid w:val="00F21C7A"/>
    <w:rsid w:val="00F351D6"/>
    <w:rsid w:val="00F36ECE"/>
    <w:rsid w:val="00F40C8F"/>
    <w:rsid w:val="00F4496C"/>
    <w:rsid w:val="00F53244"/>
    <w:rsid w:val="00F542E1"/>
    <w:rsid w:val="00F65AD9"/>
    <w:rsid w:val="00F671FB"/>
    <w:rsid w:val="00F76448"/>
    <w:rsid w:val="00F80324"/>
    <w:rsid w:val="00F80B14"/>
    <w:rsid w:val="00F83508"/>
    <w:rsid w:val="00F86F89"/>
    <w:rsid w:val="00F90B85"/>
    <w:rsid w:val="00F931DD"/>
    <w:rsid w:val="00F93586"/>
    <w:rsid w:val="00FA249B"/>
    <w:rsid w:val="00FA5323"/>
    <w:rsid w:val="00FC6AB9"/>
    <w:rsid w:val="00FD0318"/>
    <w:rsid w:val="00FE00C3"/>
    <w:rsid w:val="00FE058C"/>
    <w:rsid w:val="00FE13A5"/>
    <w:rsid w:val="00FE5D1E"/>
    <w:rsid w:val="00FF0145"/>
    <w:rsid w:val="00FF14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65A44"/>
  <w15:chartTrackingRefBased/>
  <w15:docId w15:val="{E324EB86-0CDE-4EC0-B292-BF05E9C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4E6CDF"/>
    <w:pPr>
      <w:keepLines/>
      <w:tabs>
        <w:tab w:val="right" w:leader="dot" w:pos="8630"/>
      </w:tabs>
      <w:spacing w:after="60"/>
    </w:pPr>
  </w:style>
  <w:style w:type="paragraph" w:customStyle="1" w:styleId="NormalAfterList">
    <w:name w:val="Normal (After List)"/>
    <w:basedOn w:val="Normal"/>
    <w:qFormat/>
    <w:rsid w:val="00C154AE"/>
    <w:pPr>
      <w:spacing w:before="120"/>
    </w:pPr>
  </w:style>
  <w:style w:type="character" w:styleId="FootnoteReference">
    <w:name w:val="footnote reference"/>
    <w:aliases w:val="4_G"/>
    <w:uiPriority w:val="99"/>
    <w:qFormat/>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2749A8"/>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link w:val="FootnoteText"/>
    <w:uiPriority w:val="99"/>
    <w:rsid w:val="0083747C"/>
    <w:rPr>
      <w:rFonts w:ascii="Gill Sans MT" w:eastAsia="Times New Roman" w:hAnsi="Gill Sans MT"/>
      <w:sz w:val="22"/>
      <w:lang w:eastAsia="en-US"/>
    </w:rPr>
  </w:style>
  <w:style w:type="paragraph" w:customStyle="1" w:styleId="Default">
    <w:name w:val="Default"/>
    <w:rsid w:val="00320406"/>
    <w:pPr>
      <w:autoSpaceDE w:val="0"/>
      <w:autoSpaceDN w:val="0"/>
      <w:adjustRightInd w:val="0"/>
    </w:pPr>
    <w:rPr>
      <w:color w:val="000000"/>
      <w:sz w:val="24"/>
      <w:szCs w:val="24"/>
    </w:rPr>
  </w:style>
  <w:style w:type="paragraph" w:customStyle="1" w:styleId="footnotedescription">
    <w:name w:val="footnote description"/>
    <w:next w:val="Normal"/>
    <w:link w:val="footnotedescriptionChar"/>
    <w:hidden/>
    <w:rsid w:val="005724A2"/>
    <w:pPr>
      <w:spacing w:line="259" w:lineRule="auto"/>
    </w:pPr>
    <w:rPr>
      <w:rFonts w:ascii="Gill Sans MT" w:eastAsia="Gill Sans MT" w:hAnsi="Gill Sans MT" w:cs="Gill Sans MT"/>
      <w:color w:val="000000"/>
      <w:szCs w:val="22"/>
    </w:rPr>
  </w:style>
  <w:style w:type="character" w:customStyle="1" w:styleId="footnotedescriptionChar">
    <w:name w:val="footnote description Char"/>
    <w:link w:val="footnotedescription"/>
    <w:rsid w:val="005724A2"/>
    <w:rPr>
      <w:rFonts w:ascii="Gill Sans MT" w:eastAsia="Gill Sans MT" w:hAnsi="Gill Sans MT" w:cs="Gill Sans MT"/>
      <w:color w:val="000000"/>
      <w:szCs w:val="22"/>
    </w:rPr>
  </w:style>
  <w:style w:type="character" w:customStyle="1" w:styleId="footnotemark">
    <w:name w:val="footnote mark"/>
    <w:hidden/>
    <w:rsid w:val="005724A2"/>
    <w:rPr>
      <w:rFonts w:ascii="Gill Sans MT" w:eastAsia="Gill Sans MT" w:hAnsi="Gill Sans MT" w:cs="Gill Sans MT"/>
      <w:color w:val="000000"/>
      <w:sz w:val="18"/>
      <w:vertAlign w:val="superscript"/>
    </w:rPr>
  </w:style>
  <w:style w:type="paragraph" w:customStyle="1" w:styleId="paragraph">
    <w:name w:val="paragraph"/>
    <w:basedOn w:val="Normal"/>
    <w:rsid w:val="001D7C32"/>
    <w:pPr>
      <w:spacing w:before="100" w:beforeAutospacing="1" w:after="100" w:afterAutospacing="1"/>
    </w:pPr>
    <w:rPr>
      <w:rFonts w:ascii="Times New Roman" w:hAnsi="Times New Roman"/>
      <w:sz w:val="24"/>
      <w:lang w:eastAsia="en-IE"/>
    </w:rPr>
  </w:style>
  <w:style w:type="character" w:customStyle="1" w:styleId="normaltextrun">
    <w:name w:val="normaltextrun"/>
    <w:basedOn w:val="DefaultParagraphFont"/>
    <w:rsid w:val="001D7C32"/>
  </w:style>
  <w:style w:type="character" w:customStyle="1" w:styleId="eop">
    <w:name w:val="eop"/>
    <w:basedOn w:val="DefaultParagraphFont"/>
    <w:rsid w:val="001D7C32"/>
  </w:style>
  <w:style w:type="character" w:customStyle="1" w:styleId="spellingerror">
    <w:name w:val="spellingerror"/>
    <w:basedOn w:val="DefaultParagraphFont"/>
    <w:rsid w:val="001D7C32"/>
  </w:style>
  <w:style w:type="character" w:customStyle="1" w:styleId="FooterChar">
    <w:name w:val="Footer Char"/>
    <w:basedOn w:val="DefaultParagraphFont"/>
    <w:link w:val="Footer"/>
    <w:uiPriority w:val="99"/>
    <w:rsid w:val="006F7CF9"/>
    <w:rPr>
      <w:rFonts w:ascii="Gill Sans MT" w:eastAsia="Times New Roman" w:hAnsi="Gill Sans MT"/>
      <w:color w:val="323232"/>
      <w:lang w:eastAsia="en-US"/>
    </w:rPr>
  </w:style>
  <w:style w:type="paragraph" w:styleId="BalloonText">
    <w:name w:val="Balloon Text"/>
    <w:basedOn w:val="Normal"/>
    <w:link w:val="BalloonTextChar"/>
    <w:rsid w:val="00F40C8F"/>
    <w:pPr>
      <w:spacing w:after="0"/>
    </w:pPr>
    <w:rPr>
      <w:rFonts w:ascii="Segoe UI" w:hAnsi="Segoe UI" w:cs="Segoe UI"/>
      <w:sz w:val="18"/>
      <w:szCs w:val="18"/>
    </w:rPr>
  </w:style>
  <w:style w:type="character" w:customStyle="1" w:styleId="BalloonTextChar">
    <w:name w:val="Balloon Text Char"/>
    <w:basedOn w:val="DefaultParagraphFont"/>
    <w:link w:val="BalloonText"/>
    <w:rsid w:val="00F40C8F"/>
    <w:rPr>
      <w:rFonts w:ascii="Segoe UI" w:eastAsia="Times New Roman" w:hAnsi="Segoe UI" w:cs="Segoe UI"/>
      <w:sz w:val="18"/>
      <w:szCs w:val="18"/>
      <w:lang w:eastAsia="en-US"/>
    </w:rPr>
  </w:style>
  <w:style w:type="character" w:customStyle="1" w:styleId="ListBulletChar">
    <w:name w:val="List Bullet Char"/>
    <w:link w:val="ListBullet"/>
    <w:rsid w:val="001939ED"/>
    <w:rPr>
      <w:rFonts w:ascii="Gill Sans MT" w:eastAsia="Times New Roman" w:hAnsi="Gill Sans MT"/>
      <w:sz w:val="26"/>
      <w:szCs w:val="24"/>
      <w:lang w:eastAsia="en-US"/>
    </w:rPr>
  </w:style>
  <w:style w:type="paragraph" w:styleId="NoSpacing">
    <w:name w:val="No Spacing"/>
    <w:uiPriority w:val="1"/>
    <w:qFormat/>
    <w:rsid w:val="00FE00C3"/>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79532C"/>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79532C"/>
    <w:pPr>
      <w:spacing w:after="100"/>
      <w:ind w:left="520"/>
    </w:pPr>
  </w:style>
  <w:style w:type="character" w:customStyle="1" w:styleId="TitleChar">
    <w:name w:val="Title Char"/>
    <w:basedOn w:val="DefaultParagraphFont"/>
    <w:link w:val="Title"/>
    <w:rsid w:val="00365C67"/>
    <w:rPr>
      <w:rFonts w:ascii="Gill Sans MT" w:eastAsia="Times New Roman" w:hAnsi="Gill Sans MT" w:cs="Arial"/>
      <w:b/>
      <w:bCs/>
      <w:kern w:val="28"/>
      <w:sz w:val="36"/>
      <w:szCs w:val="32"/>
      <w:lang w:eastAsia="en-US"/>
    </w:rPr>
  </w:style>
  <w:style w:type="character" w:customStyle="1" w:styleId="Heading2Char">
    <w:name w:val="Heading 2 Char"/>
    <w:basedOn w:val="DefaultParagraphFont"/>
    <w:link w:val="Heading2"/>
    <w:rsid w:val="00365C67"/>
    <w:rPr>
      <w:rFonts w:ascii="Gill Sans MT" w:eastAsia="Times New Roman" w:hAnsi="Gill Sans MT" w:cs="Arial Bold"/>
      <w:b/>
      <w:bCs/>
      <w:iCs/>
      <w:sz w:val="28"/>
      <w:szCs w:val="28"/>
      <w:lang w:eastAsia="en-US"/>
    </w:rPr>
  </w:style>
  <w:style w:type="table" w:styleId="TableGrid">
    <w:name w:val="Table Grid"/>
    <w:basedOn w:val="TableNormal"/>
    <w:uiPriority w:val="59"/>
    <w:rsid w:val="00365C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7510D"/>
    <w:rPr>
      <w:sz w:val="16"/>
      <w:szCs w:val="16"/>
    </w:rPr>
  </w:style>
  <w:style w:type="paragraph" w:styleId="CommentSubject">
    <w:name w:val="annotation subject"/>
    <w:basedOn w:val="CommentText"/>
    <w:next w:val="CommentText"/>
    <w:link w:val="CommentSubjectChar"/>
    <w:rsid w:val="00E7510D"/>
    <w:rPr>
      <w:rFonts w:ascii="Gill Sans MT" w:hAnsi="Gill Sans MT"/>
      <w:b/>
      <w:bCs/>
      <w:szCs w:val="20"/>
      <w:lang w:val="en-IE"/>
    </w:rPr>
  </w:style>
  <w:style w:type="character" w:customStyle="1" w:styleId="CommentSubjectChar">
    <w:name w:val="Comment Subject Char"/>
    <w:basedOn w:val="CommentTextChar"/>
    <w:link w:val="CommentSubject"/>
    <w:rsid w:val="00E7510D"/>
    <w:rPr>
      <w:rFonts w:ascii="Gill Sans MT" w:eastAsia="Times New Roman" w:hAnsi="Gill Sans MT"/>
      <w:b/>
      <w:bCs/>
      <w:szCs w:val="24"/>
      <w:lang w:eastAsia="en-US"/>
    </w:rPr>
  </w:style>
  <w:style w:type="character" w:customStyle="1" w:styleId="color14">
    <w:name w:val="color_14"/>
    <w:basedOn w:val="DefaultParagraphFont"/>
    <w:rsid w:val="005478E7"/>
  </w:style>
  <w:style w:type="character" w:customStyle="1" w:styleId="wixguard">
    <w:name w:val="wixguard"/>
    <w:basedOn w:val="DefaultParagraphFont"/>
    <w:rsid w:val="005478E7"/>
  </w:style>
  <w:style w:type="character" w:customStyle="1" w:styleId="color25">
    <w:name w:val="color_25"/>
    <w:basedOn w:val="DefaultParagraphFont"/>
    <w:rsid w:val="005478E7"/>
  </w:style>
  <w:style w:type="paragraph" w:styleId="NormalWeb">
    <w:name w:val="Normal (Web)"/>
    <w:basedOn w:val="Normal"/>
    <w:uiPriority w:val="99"/>
    <w:unhideWhenUsed/>
    <w:rsid w:val="00156031"/>
    <w:pPr>
      <w:spacing w:before="100" w:beforeAutospacing="1" w:after="100" w:afterAutospacing="1"/>
    </w:pPr>
    <w:rPr>
      <w:rFonts w:ascii="Times New Roman" w:hAnsi="Times New Roman"/>
      <w:sz w:val="24"/>
      <w:lang w:eastAsia="en-IE"/>
    </w:rPr>
  </w:style>
  <w:style w:type="character" w:customStyle="1" w:styleId="cf01">
    <w:name w:val="cf01"/>
    <w:basedOn w:val="DefaultParagraphFont"/>
    <w:rsid w:val="001A3852"/>
    <w:rPr>
      <w:rFonts w:ascii="Segoe UI" w:hAnsi="Segoe UI" w:cs="Segoe UI" w:hint="default"/>
      <w:sz w:val="18"/>
      <w:szCs w:val="18"/>
    </w:rPr>
  </w:style>
  <w:style w:type="character" w:styleId="UnresolvedMention">
    <w:name w:val="Unresolved Mention"/>
    <w:basedOn w:val="DefaultParagraphFont"/>
    <w:uiPriority w:val="99"/>
    <w:semiHidden/>
    <w:unhideWhenUsed/>
    <w:rsid w:val="005B5BD1"/>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B12426"/>
    <w:rPr>
      <w:rFonts w:asciiTheme="minorHAnsi" w:eastAsiaTheme="minorHAnsi" w:hAnsiTheme="minorHAnsi" w:cstheme="minorBidi"/>
      <w:sz w:val="22"/>
      <w:szCs w:val="22"/>
      <w:lang w:eastAsia="en-US"/>
    </w:rPr>
  </w:style>
  <w:style w:type="paragraph" w:styleId="Revision">
    <w:name w:val="Revision"/>
    <w:hidden/>
    <w:uiPriority w:val="99"/>
    <w:semiHidden/>
    <w:rsid w:val="00FA5323"/>
    <w:rPr>
      <w:rFonts w:ascii="Gill Sans MT" w:eastAsia="Times New Roman" w:hAnsi="Gill Sans MT"/>
      <w:sz w:val="26"/>
      <w:szCs w:val="24"/>
      <w:lang w:eastAsia="en-US"/>
    </w:rPr>
  </w:style>
  <w:style w:type="paragraph" w:customStyle="1" w:styleId="xmsonormal">
    <w:name w:val="x_msonormal"/>
    <w:basedOn w:val="Normal"/>
    <w:rsid w:val="000B4BE1"/>
    <w:pPr>
      <w:spacing w:after="0"/>
    </w:pPr>
    <w:rPr>
      <w:rFonts w:ascii="Calibri" w:eastAsiaTheme="minorHAnsi" w:hAnsi="Calibri" w:cs="Calibri"/>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422">
      <w:bodyDiv w:val="1"/>
      <w:marLeft w:val="0"/>
      <w:marRight w:val="0"/>
      <w:marTop w:val="0"/>
      <w:marBottom w:val="0"/>
      <w:divBdr>
        <w:top w:val="none" w:sz="0" w:space="0" w:color="auto"/>
        <w:left w:val="none" w:sz="0" w:space="0" w:color="auto"/>
        <w:bottom w:val="none" w:sz="0" w:space="0" w:color="auto"/>
        <w:right w:val="none" w:sz="0" w:space="0" w:color="auto"/>
      </w:divBdr>
    </w:div>
    <w:div w:id="153036295">
      <w:bodyDiv w:val="1"/>
      <w:marLeft w:val="0"/>
      <w:marRight w:val="0"/>
      <w:marTop w:val="0"/>
      <w:marBottom w:val="0"/>
      <w:divBdr>
        <w:top w:val="none" w:sz="0" w:space="0" w:color="auto"/>
        <w:left w:val="none" w:sz="0" w:space="0" w:color="auto"/>
        <w:bottom w:val="none" w:sz="0" w:space="0" w:color="auto"/>
        <w:right w:val="none" w:sz="0" w:space="0" w:color="auto"/>
      </w:divBdr>
    </w:div>
    <w:div w:id="199783644">
      <w:bodyDiv w:val="1"/>
      <w:marLeft w:val="0"/>
      <w:marRight w:val="0"/>
      <w:marTop w:val="0"/>
      <w:marBottom w:val="0"/>
      <w:divBdr>
        <w:top w:val="none" w:sz="0" w:space="0" w:color="auto"/>
        <w:left w:val="none" w:sz="0" w:space="0" w:color="auto"/>
        <w:bottom w:val="none" w:sz="0" w:space="0" w:color="auto"/>
        <w:right w:val="none" w:sz="0" w:space="0" w:color="auto"/>
      </w:divBdr>
      <w:divsChild>
        <w:div w:id="356539260">
          <w:marLeft w:val="547"/>
          <w:marRight w:val="0"/>
          <w:marTop w:val="96"/>
          <w:marBottom w:val="0"/>
          <w:divBdr>
            <w:top w:val="none" w:sz="0" w:space="0" w:color="auto"/>
            <w:left w:val="none" w:sz="0" w:space="0" w:color="auto"/>
            <w:bottom w:val="none" w:sz="0" w:space="0" w:color="auto"/>
            <w:right w:val="none" w:sz="0" w:space="0" w:color="auto"/>
          </w:divBdr>
        </w:div>
        <w:div w:id="789594906">
          <w:marLeft w:val="1166"/>
          <w:marRight w:val="0"/>
          <w:marTop w:val="77"/>
          <w:marBottom w:val="0"/>
          <w:divBdr>
            <w:top w:val="none" w:sz="0" w:space="0" w:color="auto"/>
            <w:left w:val="none" w:sz="0" w:space="0" w:color="auto"/>
            <w:bottom w:val="none" w:sz="0" w:space="0" w:color="auto"/>
            <w:right w:val="none" w:sz="0" w:space="0" w:color="auto"/>
          </w:divBdr>
        </w:div>
        <w:div w:id="282615998">
          <w:marLeft w:val="1166"/>
          <w:marRight w:val="0"/>
          <w:marTop w:val="77"/>
          <w:marBottom w:val="0"/>
          <w:divBdr>
            <w:top w:val="none" w:sz="0" w:space="0" w:color="auto"/>
            <w:left w:val="none" w:sz="0" w:space="0" w:color="auto"/>
            <w:bottom w:val="none" w:sz="0" w:space="0" w:color="auto"/>
            <w:right w:val="none" w:sz="0" w:space="0" w:color="auto"/>
          </w:divBdr>
        </w:div>
        <w:div w:id="827012211">
          <w:marLeft w:val="547"/>
          <w:marRight w:val="0"/>
          <w:marTop w:val="96"/>
          <w:marBottom w:val="0"/>
          <w:divBdr>
            <w:top w:val="none" w:sz="0" w:space="0" w:color="auto"/>
            <w:left w:val="none" w:sz="0" w:space="0" w:color="auto"/>
            <w:bottom w:val="none" w:sz="0" w:space="0" w:color="auto"/>
            <w:right w:val="none" w:sz="0" w:space="0" w:color="auto"/>
          </w:divBdr>
        </w:div>
        <w:div w:id="615412328">
          <w:marLeft w:val="547"/>
          <w:marRight w:val="0"/>
          <w:marTop w:val="96"/>
          <w:marBottom w:val="0"/>
          <w:divBdr>
            <w:top w:val="none" w:sz="0" w:space="0" w:color="auto"/>
            <w:left w:val="none" w:sz="0" w:space="0" w:color="auto"/>
            <w:bottom w:val="none" w:sz="0" w:space="0" w:color="auto"/>
            <w:right w:val="none" w:sz="0" w:space="0" w:color="auto"/>
          </w:divBdr>
        </w:div>
        <w:div w:id="591354023">
          <w:marLeft w:val="547"/>
          <w:marRight w:val="0"/>
          <w:marTop w:val="96"/>
          <w:marBottom w:val="0"/>
          <w:divBdr>
            <w:top w:val="none" w:sz="0" w:space="0" w:color="auto"/>
            <w:left w:val="none" w:sz="0" w:space="0" w:color="auto"/>
            <w:bottom w:val="none" w:sz="0" w:space="0" w:color="auto"/>
            <w:right w:val="none" w:sz="0" w:space="0" w:color="auto"/>
          </w:divBdr>
        </w:div>
        <w:div w:id="618224953">
          <w:marLeft w:val="547"/>
          <w:marRight w:val="0"/>
          <w:marTop w:val="96"/>
          <w:marBottom w:val="0"/>
          <w:divBdr>
            <w:top w:val="none" w:sz="0" w:space="0" w:color="auto"/>
            <w:left w:val="none" w:sz="0" w:space="0" w:color="auto"/>
            <w:bottom w:val="none" w:sz="0" w:space="0" w:color="auto"/>
            <w:right w:val="none" w:sz="0" w:space="0" w:color="auto"/>
          </w:divBdr>
        </w:div>
        <w:div w:id="239874668">
          <w:marLeft w:val="547"/>
          <w:marRight w:val="0"/>
          <w:marTop w:val="96"/>
          <w:marBottom w:val="0"/>
          <w:divBdr>
            <w:top w:val="none" w:sz="0" w:space="0" w:color="auto"/>
            <w:left w:val="none" w:sz="0" w:space="0" w:color="auto"/>
            <w:bottom w:val="none" w:sz="0" w:space="0" w:color="auto"/>
            <w:right w:val="none" w:sz="0" w:space="0" w:color="auto"/>
          </w:divBdr>
        </w:div>
        <w:div w:id="1645351729">
          <w:marLeft w:val="547"/>
          <w:marRight w:val="0"/>
          <w:marTop w:val="96"/>
          <w:marBottom w:val="0"/>
          <w:divBdr>
            <w:top w:val="none" w:sz="0" w:space="0" w:color="auto"/>
            <w:left w:val="none" w:sz="0" w:space="0" w:color="auto"/>
            <w:bottom w:val="none" w:sz="0" w:space="0" w:color="auto"/>
            <w:right w:val="none" w:sz="0" w:space="0" w:color="auto"/>
          </w:divBdr>
        </w:div>
        <w:div w:id="2014844379">
          <w:marLeft w:val="547"/>
          <w:marRight w:val="0"/>
          <w:marTop w:val="96"/>
          <w:marBottom w:val="0"/>
          <w:divBdr>
            <w:top w:val="none" w:sz="0" w:space="0" w:color="auto"/>
            <w:left w:val="none" w:sz="0" w:space="0" w:color="auto"/>
            <w:bottom w:val="none" w:sz="0" w:space="0" w:color="auto"/>
            <w:right w:val="none" w:sz="0" w:space="0" w:color="auto"/>
          </w:divBdr>
        </w:div>
        <w:div w:id="115756404">
          <w:marLeft w:val="547"/>
          <w:marRight w:val="0"/>
          <w:marTop w:val="96"/>
          <w:marBottom w:val="0"/>
          <w:divBdr>
            <w:top w:val="none" w:sz="0" w:space="0" w:color="auto"/>
            <w:left w:val="none" w:sz="0" w:space="0" w:color="auto"/>
            <w:bottom w:val="none" w:sz="0" w:space="0" w:color="auto"/>
            <w:right w:val="none" w:sz="0" w:space="0" w:color="auto"/>
          </w:divBdr>
        </w:div>
      </w:divsChild>
    </w:div>
    <w:div w:id="304624142">
      <w:bodyDiv w:val="1"/>
      <w:marLeft w:val="0"/>
      <w:marRight w:val="0"/>
      <w:marTop w:val="0"/>
      <w:marBottom w:val="0"/>
      <w:divBdr>
        <w:top w:val="none" w:sz="0" w:space="0" w:color="auto"/>
        <w:left w:val="none" w:sz="0" w:space="0" w:color="auto"/>
        <w:bottom w:val="none" w:sz="0" w:space="0" w:color="auto"/>
        <w:right w:val="none" w:sz="0" w:space="0" w:color="auto"/>
      </w:divBdr>
    </w:div>
    <w:div w:id="344089315">
      <w:bodyDiv w:val="1"/>
      <w:marLeft w:val="0"/>
      <w:marRight w:val="0"/>
      <w:marTop w:val="0"/>
      <w:marBottom w:val="0"/>
      <w:divBdr>
        <w:top w:val="none" w:sz="0" w:space="0" w:color="auto"/>
        <w:left w:val="none" w:sz="0" w:space="0" w:color="auto"/>
        <w:bottom w:val="none" w:sz="0" w:space="0" w:color="auto"/>
        <w:right w:val="none" w:sz="0" w:space="0" w:color="auto"/>
      </w:divBdr>
    </w:div>
    <w:div w:id="346370676">
      <w:bodyDiv w:val="1"/>
      <w:marLeft w:val="0"/>
      <w:marRight w:val="0"/>
      <w:marTop w:val="0"/>
      <w:marBottom w:val="0"/>
      <w:divBdr>
        <w:top w:val="none" w:sz="0" w:space="0" w:color="auto"/>
        <w:left w:val="none" w:sz="0" w:space="0" w:color="auto"/>
        <w:bottom w:val="none" w:sz="0" w:space="0" w:color="auto"/>
        <w:right w:val="none" w:sz="0" w:space="0" w:color="auto"/>
      </w:divBdr>
    </w:div>
    <w:div w:id="443616090">
      <w:bodyDiv w:val="1"/>
      <w:marLeft w:val="0"/>
      <w:marRight w:val="0"/>
      <w:marTop w:val="0"/>
      <w:marBottom w:val="0"/>
      <w:divBdr>
        <w:top w:val="none" w:sz="0" w:space="0" w:color="auto"/>
        <w:left w:val="none" w:sz="0" w:space="0" w:color="auto"/>
        <w:bottom w:val="none" w:sz="0" w:space="0" w:color="auto"/>
        <w:right w:val="none" w:sz="0" w:space="0" w:color="auto"/>
      </w:divBdr>
    </w:div>
    <w:div w:id="485975912">
      <w:bodyDiv w:val="1"/>
      <w:marLeft w:val="0"/>
      <w:marRight w:val="0"/>
      <w:marTop w:val="0"/>
      <w:marBottom w:val="0"/>
      <w:divBdr>
        <w:top w:val="none" w:sz="0" w:space="0" w:color="auto"/>
        <w:left w:val="none" w:sz="0" w:space="0" w:color="auto"/>
        <w:bottom w:val="none" w:sz="0" w:space="0" w:color="auto"/>
        <w:right w:val="none" w:sz="0" w:space="0" w:color="auto"/>
      </w:divBdr>
    </w:div>
    <w:div w:id="598371157">
      <w:bodyDiv w:val="1"/>
      <w:marLeft w:val="0"/>
      <w:marRight w:val="0"/>
      <w:marTop w:val="0"/>
      <w:marBottom w:val="0"/>
      <w:divBdr>
        <w:top w:val="none" w:sz="0" w:space="0" w:color="auto"/>
        <w:left w:val="none" w:sz="0" w:space="0" w:color="auto"/>
        <w:bottom w:val="none" w:sz="0" w:space="0" w:color="auto"/>
        <w:right w:val="none" w:sz="0" w:space="0" w:color="auto"/>
      </w:divBdr>
      <w:divsChild>
        <w:div w:id="1525754217">
          <w:marLeft w:val="0"/>
          <w:marRight w:val="0"/>
          <w:marTop w:val="0"/>
          <w:marBottom w:val="300"/>
          <w:divBdr>
            <w:top w:val="none" w:sz="0" w:space="0" w:color="auto"/>
            <w:left w:val="none" w:sz="0" w:space="0" w:color="auto"/>
            <w:bottom w:val="none" w:sz="0" w:space="0" w:color="auto"/>
            <w:right w:val="none" w:sz="0" w:space="0" w:color="auto"/>
          </w:divBdr>
          <w:divsChild>
            <w:div w:id="505944508">
              <w:marLeft w:val="-225"/>
              <w:marRight w:val="-225"/>
              <w:marTop w:val="0"/>
              <w:marBottom w:val="0"/>
              <w:divBdr>
                <w:top w:val="none" w:sz="0" w:space="0" w:color="auto"/>
                <w:left w:val="none" w:sz="0" w:space="0" w:color="auto"/>
                <w:bottom w:val="none" w:sz="0" w:space="0" w:color="auto"/>
                <w:right w:val="none" w:sz="0" w:space="0" w:color="auto"/>
              </w:divBdr>
            </w:div>
          </w:divsChild>
        </w:div>
        <w:div w:id="1581794396">
          <w:marLeft w:val="0"/>
          <w:marRight w:val="0"/>
          <w:marTop w:val="0"/>
          <w:marBottom w:val="300"/>
          <w:divBdr>
            <w:top w:val="none" w:sz="0" w:space="0" w:color="auto"/>
            <w:left w:val="none" w:sz="0" w:space="0" w:color="auto"/>
            <w:bottom w:val="none" w:sz="0" w:space="0" w:color="auto"/>
            <w:right w:val="none" w:sz="0" w:space="0" w:color="auto"/>
          </w:divBdr>
          <w:divsChild>
            <w:div w:id="11838607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76004514">
      <w:bodyDiv w:val="1"/>
      <w:marLeft w:val="0"/>
      <w:marRight w:val="0"/>
      <w:marTop w:val="0"/>
      <w:marBottom w:val="0"/>
      <w:divBdr>
        <w:top w:val="none" w:sz="0" w:space="0" w:color="auto"/>
        <w:left w:val="none" w:sz="0" w:space="0" w:color="auto"/>
        <w:bottom w:val="none" w:sz="0" w:space="0" w:color="auto"/>
        <w:right w:val="none" w:sz="0" w:space="0" w:color="auto"/>
      </w:divBdr>
    </w:div>
    <w:div w:id="683435588">
      <w:bodyDiv w:val="1"/>
      <w:marLeft w:val="0"/>
      <w:marRight w:val="0"/>
      <w:marTop w:val="0"/>
      <w:marBottom w:val="0"/>
      <w:divBdr>
        <w:top w:val="none" w:sz="0" w:space="0" w:color="auto"/>
        <w:left w:val="none" w:sz="0" w:space="0" w:color="auto"/>
        <w:bottom w:val="none" w:sz="0" w:space="0" w:color="auto"/>
        <w:right w:val="none" w:sz="0" w:space="0" w:color="auto"/>
      </w:divBdr>
    </w:div>
    <w:div w:id="766972587">
      <w:bodyDiv w:val="1"/>
      <w:marLeft w:val="0"/>
      <w:marRight w:val="0"/>
      <w:marTop w:val="0"/>
      <w:marBottom w:val="0"/>
      <w:divBdr>
        <w:top w:val="none" w:sz="0" w:space="0" w:color="auto"/>
        <w:left w:val="none" w:sz="0" w:space="0" w:color="auto"/>
        <w:bottom w:val="none" w:sz="0" w:space="0" w:color="auto"/>
        <w:right w:val="none" w:sz="0" w:space="0" w:color="auto"/>
      </w:divBdr>
    </w:div>
    <w:div w:id="769811253">
      <w:bodyDiv w:val="1"/>
      <w:marLeft w:val="0"/>
      <w:marRight w:val="0"/>
      <w:marTop w:val="0"/>
      <w:marBottom w:val="0"/>
      <w:divBdr>
        <w:top w:val="none" w:sz="0" w:space="0" w:color="auto"/>
        <w:left w:val="none" w:sz="0" w:space="0" w:color="auto"/>
        <w:bottom w:val="none" w:sz="0" w:space="0" w:color="auto"/>
        <w:right w:val="none" w:sz="0" w:space="0" w:color="auto"/>
      </w:divBdr>
    </w:div>
    <w:div w:id="793597017">
      <w:bodyDiv w:val="1"/>
      <w:marLeft w:val="0"/>
      <w:marRight w:val="0"/>
      <w:marTop w:val="0"/>
      <w:marBottom w:val="0"/>
      <w:divBdr>
        <w:top w:val="none" w:sz="0" w:space="0" w:color="auto"/>
        <w:left w:val="none" w:sz="0" w:space="0" w:color="auto"/>
        <w:bottom w:val="none" w:sz="0" w:space="0" w:color="auto"/>
        <w:right w:val="none" w:sz="0" w:space="0" w:color="auto"/>
      </w:divBdr>
      <w:divsChild>
        <w:div w:id="1629824294">
          <w:marLeft w:val="0"/>
          <w:marRight w:val="0"/>
          <w:marTop w:val="0"/>
          <w:marBottom w:val="0"/>
          <w:divBdr>
            <w:top w:val="none" w:sz="0" w:space="0" w:color="auto"/>
            <w:left w:val="none" w:sz="0" w:space="0" w:color="auto"/>
            <w:bottom w:val="none" w:sz="0" w:space="0" w:color="auto"/>
            <w:right w:val="none" w:sz="0" w:space="0" w:color="auto"/>
          </w:divBdr>
        </w:div>
      </w:divsChild>
    </w:div>
    <w:div w:id="834761648">
      <w:bodyDiv w:val="1"/>
      <w:marLeft w:val="0"/>
      <w:marRight w:val="0"/>
      <w:marTop w:val="0"/>
      <w:marBottom w:val="0"/>
      <w:divBdr>
        <w:top w:val="none" w:sz="0" w:space="0" w:color="auto"/>
        <w:left w:val="none" w:sz="0" w:space="0" w:color="auto"/>
        <w:bottom w:val="none" w:sz="0" w:space="0" w:color="auto"/>
        <w:right w:val="none" w:sz="0" w:space="0" w:color="auto"/>
      </w:divBdr>
    </w:div>
    <w:div w:id="856694081">
      <w:bodyDiv w:val="1"/>
      <w:marLeft w:val="0"/>
      <w:marRight w:val="0"/>
      <w:marTop w:val="0"/>
      <w:marBottom w:val="0"/>
      <w:divBdr>
        <w:top w:val="none" w:sz="0" w:space="0" w:color="auto"/>
        <w:left w:val="none" w:sz="0" w:space="0" w:color="auto"/>
        <w:bottom w:val="none" w:sz="0" w:space="0" w:color="auto"/>
        <w:right w:val="none" w:sz="0" w:space="0" w:color="auto"/>
      </w:divBdr>
    </w:div>
    <w:div w:id="903833932">
      <w:bodyDiv w:val="1"/>
      <w:marLeft w:val="0"/>
      <w:marRight w:val="0"/>
      <w:marTop w:val="0"/>
      <w:marBottom w:val="0"/>
      <w:divBdr>
        <w:top w:val="none" w:sz="0" w:space="0" w:color="auto"/>
        <w:left w:val="none" w:sz="0" w:space="0" w:color="auto"/>
        <w:bottom w:val="none" w:sz="0" w:space="0" w:color="auto"/>
        <w:right w:val="none" w:sz="0" w:space="0" w:color="auto"/>
      </w:divBdr>
    </w:div>
    <w:div w:id="919604318">
      <w:bodyDiv w:val="1"/>
      <w:marLeft w:val="0"/>
      <w:marRight w:val="0"/>
      <w:marTop w:val="0"/>
      <w:marBottom w:val="0"/>
      <w:divBdr>
        <w:top w:val="none" w:sz="0" w:space="0" w:color="auto"/>
        <w:left w:val="none" w:sz="0" w:space="0" w:color="auto"/>
        <w:bottom w:val="none" w:sz="0" w:space="0" w:color="auto"/>
        <w:right w:val="none" w:sz="0" w:space="0" w:color="auto"/>
      </w:divBdr>
    </w:div>
    <w:div w:id="964232190">
      <w:bodyDiv w:val="1"/>
      <w:marLeft w:val="0"/>
      <w:marRight w:val="0"/>
      <w:marTop w:val="0"/>
      <w:marBottom w:val="0"/>
      <w:divBdr>
        <w:top w:val="none" w:sz="0" w:space="0" w:color="auto"/>
        <w:left w:val="none" w:sz="0" w:space="0" w:color="auto"/>
        <w:bottom w:val="none" w:sz="0" w:space="0" w:color="auto"/>
        <w:right w:val="none" w:sz="0" w:space="0" w:color="auto"/>
      </w:divBdr>
      <w:divsChild>
        <w:div w:id="1606617367">
          <w:marLeft w:val="806"/>
          <w:marRight w:val="0"/>
          <w:marTop w:val="115"/>
          <w:marBottom w:val="0"/>
          <w:divBdr>
            <w:top w:val="none" w:sz="0" w:space="0" w:color="auto"/>
            <w:left w:val="none" w:sz="0" w:space="0" w:color="auto"/>
            <w:bottom w:val="none" w:sz="0" w:space="0" w:color="auto"/>
            <w:right w:val="none" w:sz="0" w:space="0" w:color="auto"/>
          </w:divBdr>
        </w:div>
      </w:divsChild>
    </w:div>
    <w:div w:id="975333826">
      <w:bodyDiv w:val="1"/>
      <w:marLeft w:val="0"/>
      <w:marRight w:val="0"/>
      <w:marTop w:val="0"/>
      <w:marBottom w:val="0"/>
      <w:divBdr>
        <w:top w:val="none" w:sz="0" w:space="0" w:color="auto"/>
        <w:left w:val="none" w:sz="0" w:space="0" w:color="auto"/>
        <w:bottom w:val="none" w:sz="0" w:space="0" w:color="auto"/>
        <w:right w:val="none" w:sz="0" w:space="0" w:color="auto"/>
      </w:divBdr>
    </w:div>
    <w:div w:id="975338347">
      <w:bodyDiv w:val="1"/>
      <w:marLeft w:val="0"/>
      <w:marRight w:val="0"/>
      <w:marTop w:val="0"/>
      <w:marBottom w:val="0"/>
      <w:divBdr>
        <w:top w:val="none" w:sz="0" w:space="0" w:color="auto"/>
        <w:left w:val="none" w:sz="0" w:space="0" w:color="auto"/>
        <w:bottom w:val="none" w:sz="0" w:space="0" w:color="auto"/>
        <w:right w:val="none" w:sz="0" w:space="0" w:color="auto"/>
      </w:divBdr>
      <w:divsChild>
        <w:div w:id="5795520">
          <w:marLeft w:val="360"/>
          <w:marRight w:val="0"/>
          <w:marTop w:val="200"/>
          <w:marBottom w:val="0"/>
          <w:divBdr>
            <w:top w:val="none" w:sz="0" w:space="0" w:color="auto"/>
            <w:left w:val="none" w:sz="0" w:space="0" w:color="auto"/>
            <w:bottom w:val="none" w:sz="0" w:space="0" w:color="auto"/>
            <w:right w:val="none" w:sz="0" w:space="0" w:color="auto"/>
          </w:divBdr>
        </w:div>
        <w:div w:id="1153182396">
          <w:marLeft w:val="360"/>
          <w:marRight w:val="0"/>
          <w:marTop w:val="200"/>
          <w:marBottom w:val="0"/>
          <w:divBdr>
            <w:top w:val="none" w:sz="0" w:space="0" w:color="auto"/>
            <w:left w:val="none" w:sz="0" w:space="0" w:color="auto"/>
            <w:bottom w:val="none" w:sz="0" w:space="0" w:color="auto"/>
            <w:right w:val="none" w:sz="0" w:space="0" w:color="auto"/>
          </w:divBdr>
        </w:div>
        <w:div w:id="2084713609">
          <w:marLeft w:val="1080"/>
          <w:marRight w:val="0"/>
          <w:marTop w:val="100"/>
          <w:marBottom w:val="0"/>
          <w:divBdr>
            <w:top w:val="none" w:sz="0" w:space="0" w:color="auto"/>
            <w:left w:val="none" w:sz="0" w:space="0" w:color="auto"/>
            <w:bottom w:val="none" w:sz="0" w:space="0" w:color="auto"/>
            <w:right w:val="none" w:sz="0" w:space="0" w:color="auto"/>
          </w:divBdr>
        </w:div>
        <w:div w:id="1643076603">
          <w:marLeft w:val="1080"/>
          <w:marRight w:val="0"/>
          <w:marTop w:val="100"/>
          <w:marBottom w:val="0"/>
          <w:divBdr>
            <w:top w:val="none" w:sz="0" w:space="0" w:color="auto"/>
            <w:left w:val="none" w:sz="0" w:space="0" w:color="auto"/>
            <w:bottom w:val="none" w:sz="0" w:space="0" w:color="auto"/>
            <w:right w:val="none" w:sz="0" w:space="0" w:color="auto"/>
          </w:divBdr>
        </w:div>
        <w:div w:id="598026991">
          <w:marLeft w:val="1080"/>
          <w:marRight w:val="0"/>
          <w:marTop w:val="100"/>
          <w:marBottom w:val="0"/>
          <w:divBdr>
            <w:top w:val="none" w:sz="0" w:space="0" w:color="auto"/>
            <w:left w:val="none" w:sz="0" w:space="0" w:color="auto"/>
            <w:bottom w:val="none" w:sz="0" w:space="0" w:color="auto"/>
            <w:right w:val="none" w:sz="0" w:space="0" w:color="auto"/>
          </w:divBdr>
        </w:div>
        <w:div w:id="1746761467">
          <w:marLeft w:val="1080"/>
          <w:marRight w:val="0"/>
          <w:marTop w:val="100"/>
          <w:marBottom w:val="0"/>
          <w:divBdr>
            <w:top w:val="none" w:sz="0" w:space="0" w:color="auto"/>
            <w:left w:val="none" w:sz="0" w:space="0" w:color="auto"/>
            <w:bottom w:val="none" w:sz="0" w:space="0" w:color="auto"/>
            <w:right w:val="none" w:sz="0" w:space="0" w:color="auto"/>
          </w:divBdr>
        </w:div>
        <w:div w:id="521356811">
          <w:marLeft w:val="1080"/>
          <w:marRight w:val="0"/>
          <w:marTop w:val="100"/>
          <w:marBottom w:val="0"/>
          <w:divBdr>
            <w:top w:val="none" w:sz="0" w:space="0" w:color="auto"/>
            <w:left w:val="none" w:sz="0" w:space="0" w:color="auto"/>
            <w:bottom w:val="none" w:sz="0" w:space="0" w:color="auto"/>
            <w:right w:val="none" w:sz="0" w:space="0" w:color="auto"/>
          </w:divBdr>
        </w:div>
        <w:div w:id="632978274">
          <w:marLeft w:val="1080"/>
          <w:marRight w:val="0"/>
          <w:marTop w:val="100"/>
          <w:marBottom w:val="0"/>
          <w:divBdr>
            <w:top w:val="none" w:sz="0" w:space="0" w:color="auto"/>
            <w:left w:val="none" w:sz="0" w:space="0" w:color="auto"/>
            <w:bottom w:val="none" w:sz="0" w:space="0" w:color="auto"/>
            <w:right w:val="none" w:sz="0" w:space="0" w:color="auto"/>
          </w:divBdr>
        </w:div>
        <w:div w:id="1107194803">
          <w:marLeft w:val="1080"/>
          <w:marRight w:val="0"/>
          <w:marTop w:val="100"/>
          <w:marBottom w:val="0"/>
          <w:divBdr>
            <w:top w:val="none" w:sz="0" w:space="0" w:color="auto"/>
            <w:left w:val="none" w:sz="0" w:space="0" w:color="auto"/>
            <w:bottom w:val="none" w:sz="0" w:space="0" w:color="auto"/>
            <w:right w:val="none" w:sz="0" w:space="0" w:color="auto"/>
          </w:divBdr>
        </w:div>
        <w:div w:id="1098909957">
          <w:marLeft w:val="1080"/>
          <w:marRight w:val="0"/>
          <w:marTop w:val="100"/>
          <w:marBottom w:val="0"/>
          <w:divBdr>
            <w:top w:val="none" w:sz="0" w:space="0" w:color="auto"/>
            <w:left w:val="none" w:sz="0" w:space="0" w:color="auto"/>
            <w:bottom w:val="none" w:sz="0" w:space="0" w:color="auto"/>
            <w:right w:val="none" w:sz="0" w:space="0" w:color="auto"/>
          </w:divBdr>
        </w:div>
        <w:div w:id="658459400">
          <w:marLeft w:val="1080"/>
          <w:marRight w:val="0"/>
          <w:marTop w:val="100"/>
          <w:marBottom w:val="0"/>
          <w:divBdr>
            <w:top w:val="none" w:sz="0" w:space="0" w:color="auto"/>
            <w:left w:val="none" w:sz="0" w:space="0" w:color="auto"/>
            <w:bottom w:val="none" w:sz="0" w:space="0" w:color="auto"/>
            <w:right w:val="none" w:sz="0" w:space="0" w:color="auto"/>
          </w:divBdr>
        </w:div>
        <w:div w:id="66654044">
          <w:marLeft w:val="1080"/>
          <w:marRight w:val="0"/>
          <w:marTop w:val="100"/>
          <w:marBottom w:val="0"/>
          <w:divBdr>
            <w:top w:val="none" w:sz="0" w:space="0" w:color="auto"/>
            <w:left w:val="none" w:sz="0" w:space="0" w:color="auto"/>
            <w:bottom w:val="none" w:sz="0" w:space="0" w:color="auto"/>
            <w:right w:val="none" w:sz="0" w:space="0" w:color="auto"/>
          </w:divBdr>
        </w:div>
      </w:divsChild>
    </w:div>
    <w:div w:id="1036197463">
      <w:bodyDiv w:val="1"/>
      <w:marLeft w:val="0"/>
      <w:marRight w:val="0"/>
      <w:marTop w:val="0"/>
      <w:marBottom w:val="0"/>
      <w:divBdr>
        <w:top w:val="none" w:sz="0" w:space="0" w:color="auto"/>
        <w:left w:val="none" w:sz="0" w:space="0" w:color="auto"/>
        <w:bottom w:val="none" w:sz="0" w:space="0" w:color="auto"/>
        <w:right w:val="none" w:sz="0" w:space="0" w:color="auto"/>
      </w:divBdr>
    </w:div>
    <w:div w:id="1067875463">
      <w:bodyDiv w:val="1"/>
      <w:marLeft w:val="0"/>
      <w:marRight w:val="0"/>
      <w:marTop w:val="0"/>
      <w:marBottom w:val="0"/>
      <w:divBdr>
        <w:top w:val="none" w:sz="0" w:space="0" w:color="auto"/>
        <w:left w:val="none" w:sz="0" w:space="0" w:color="auto"/>
        <w:bottom w:val="none" w:sz="0" w:space="0" w:color="auto"/>
        <w:right w:val="none" w:sz="0" w:space="0" w:color="auto"/>
      </w:divBdr>
    </w:div>
    <w:div w:id="1134718998">
      <w:bodyDiv w:val="1"/>
      <w:marLeft w:val="0"/>
      <w:marRight w:val="0"/>
      <w:marTop w:val="0"/>
      <w:marBottom w:val="0"/>
      <w:divBdr>
        <w:top w:val="none" w:sz="0" w:space="0" w:color="auto"/>
        <w:left w:val="none" w:sz="0" w:space="0" w:color="auto"/>
        <w:bottom w:val="none" w:sz="0" w:space="0" w:color="auto"/>
        <w:right w:val="none" w:sz="0" w:space="0" w:color="auto"/>
      </w:divBdr>
    </w:div>
    <w:div w:id="1231691678">
      <w:bodyDiv w:val="1"/>
      <w:marLeft w:val="0"/>
      <w:marRight w:val="0"/>
      <w:marTop w:val="0"/>
      <w:marBottom w:val="0"/>
      <w:divBdr>
        <w:top w:val="none" w:sz="0" w:space="0" w:color="auto"/>
        <w:left w:val="none" w:sz="0" w:space="0" w:color="auto"/>
        <w:bottom w:val="none" w:sz="0" w:space="0" w:color="auto"/>
        <w:right w:val="none" w:sz="0" w:space="0" w:color="auto"/>
      </w:divBdr>
    </w:div>
    <w:div w:id="1328098531">
      <w:bodyDiv w:val="1"/>
      <w:marLeft w:val="0"/>
      <w:marRight w:val="0"/>
      <w:marTop w:val="0"/>
      <w:marBottom w:val="0"/>
      <w:divBdr>
        <w:top w:val="none" w:sz="0" w:space="0" w:color="auto"/>
        <w:left w:val="none" w:sz="0" w:space="0" w:color="auto"/>
        <w:bottom w:val="none" w:sz="0" w:space="0" w:color="auto"/>
        <w:right w:val="none" w:sz="0" w:space="0" w:color="auto"/>
      </w:divBdr>
    </w:div>
    <w:div w:id="1532643311">
      <w:bodyDiv w:val="1"/>
      <w:marLeft w:val="0"/>
      <w:marRight w:val="0"/>
      <w:marTop w:val="0"/>
      <w:marBottom w:val="0"/>
      <w:divBdr>
        <w:top w:val="none" w:sz="0" w:space="0" w:color="auto"/>
        <w:left w:val="none" w:sz="0" w:space="0" w:color="auto"/>
        <w:bottom w:val="none" w:sz="0" w:space="0" w:color="auto"/>
        <w:right w:val="none" w:sz="0" w:space="0" w:color="auto"/>
      </w:divBdr>
    </w:div>
    <w:div w:id="1554730090">
      <w:bodyDiv w:val="1"/>
      <w:marLeft w:val="0"/>
      <w:marRight w:val="0"/>
      <w:marTop w:val="0"/>
      <w:marBottom w:val="0"/>
      <w:divBdr>
        <w:top w:val="none" w:sz="0" w:space="0" w:color="auto"/>
        <w:left w:val="none" w:sz="0" w:space="0" w:color="auto"/>
        <w:bottom w:val="none" w:sz="0" w:space="0" w:color="auto"/>
        <w:right w:val="none" w:sz="0" w:space="0" w:color="auto"/>
      </w:divBdr>
      <w:divsChild>
        <w:div w:id="825974271">
          <w:marLeft w:val="0"/>
          <w:marRight w:val="0"/>
          <w:marTop w:val="0"/>
          <w:marBottom w:val="300"/>
          <w:divBdr>
            <w:top w:val="none" w:sz="0" w:space="0" w:color="auto"/>
            <w:left w:val="none" w:sz="0" w:space="0" w:color="auto"/>
            <w:bottom w:val="none" w:sz="0" w:space="0" w:color="auto"/>
            <w:right w:val="none" w:sz="0" w:space="0" w:color="auto"/>
          </w:divBdr>
          <w:divsChild>
            <w:div w:id="256401653">
              <w:marLeft w:val="-225"/>
              <w:marRight w:val="-225"/>
              <w:marTop w:val="0"/>
              <w:marBottom w:val="0"/>
              <w:divBdr>
                <w:top w:val="none" w:sz="0" w:space="0" w:color="auto"/>
                <w:left w:val="none" w:sz="0" w:space="0" w:color="auto"/>
                <w:bottom w:val="none" w:sz="0" w:space="0" w:color="auto"/>
                <w:right w:val="none" w:sz="0" w:space="0" w:color="auto"/>
              </w:divBdr>
            </w:div>
          </w:divsChild>
        </w:div>
        <w:div w:id="2091732371">
          <w:marLeft w:val="0"/>
          <w:marRight w:val="0"/>
          <w:marTop w:val="0"/>
          <w:marBottom w:val="300"/>
          <w:divBdr>
            <w:top w:val="none" w:sz="0" w:space="0" w:color="auto"/>
            <w:left w:val="none" w:sz="0" w:space="0" w:color="auto"/>
            <w:bottom w:val="none" w:sz="0" w:space="0" w:color="auto"/>
            <w:right w:val="none" w:sz="0" w:space="0" w:color="auto"/>
          </w:divBdr>
          <w:divsChild>
            <w:div w:id="399527037">
              <w:marLeft w:val="-225"/>
              <w:marRight w:val="-225"/>
              <w:marTop w:val="0"/>
              <w:marBottom w:val="0"/>
              <w:divBdr>
                <w:top w:val="none" w:sz="0" w:space="0" w:color="auto"/>
                <w:left w:val="none" w:sz="0" w:space="0" w:color="auto"/>
                <w:bottom w:val="none" w:sz="0" w:space="0" w:color="auto"/>
                <w:right w:val="none" w:sz="0" w:space="0" w:color="auto"/>
              </w:divBdr>
            </w:div>
          </w:divsChild>
        </w:div>
        <w:div w:id="1250769596">
          <w:marLeft w:val="0"/>
          <w:marRight w:val="0"/>
          <w:marTop w:val="0"/>
          <w:marBottom w:val="300"/>
          <w:divBdr>
            <w:top w:val="none" w:sz="0" w:space="0" w:color="auto"/>
            <w:left w:val="none" w:sz="0" w:space="0" w:color="auto"/>
            <w:bottom w:val="none" w:sz="0" w:space="0" w:color="auto"/>
            <w:right w:val="none" w:sz="0" w:space="0" w:color="auto"/>
          </w:divBdr>
          <w:divsChild>
            <w:div w:id="808208598">
              <w:marLeft w:val="-225"/>
              <w:marRight w:val="-225"/>
              <w:marTop w:val="0"/>
              <w:marBottom w:val="0"/>
              <w:divBdr>
                <w:top w:val="none" w:sz="0" w:space="0" w:color="auto"/>
                <w:left w:val="none" w:sz="0" w:space="0" w:color="auto"/>
                <w:bottom w:val="none" w:sz="0" w:space="0" w:color="auto"/>
                <w:right w:val="none" w:sz="0" w:space="0" w:color="auto"/>
              </w:divBdr>
            </w:div>
          </w:divsChild>
        </w:div>
        <w:div w:id="1765490059">
          <w:marLeft w:val="0"/>
          <w:marRight w:val="0"/>
          <w:marTop w:val="0"/>
          <w:marBottom w:val="300"/>
          <w:divBdr>
            <w:top w:val="none" w:sz="0" w:space="0" w:color="auto"/>
            <w:left w:val="none" w:sz="0" w:space="0" w:color="auto"/>
            <w:bottom w:val="none" w:sz="0" w:space="0" w:color="auto"/>
            <w:right w:val="none" w:sz="0" w:space="0" w:color="auto"/>
          </w:divBdr>
          <w:divsChild>
            <w:div w:id="1590389693">
              <w:marLeft w:val="-225"/>
              <w:marRight w:val="-225"/>
              <w:marTop w:val="0"/>
              <w:marBottom w:val="0"/>
              <w:divBdr>
                <w:top w:val="none" w:sz="0" w:space="0" w:color="auto"/>
                <w:left w:val="none" w:sz="0" w:space="0" w:color="auto"/>
                <w:bottom w:val="none" w:sz="0" w:space="0" w:color="auto"/>
                <w:right w:val="none" w:sz="0" w:space="0" w:color="auto"/>
              </w:divBdr>
            </w:div>
          </w:divsChild>
        </w:div>
        <w:div w:id="1474063059">
          <w:marLeft w:val="0"/>
          <w:marRight w:val="0"/>
          <w:marTop w:val="0"/>
          <w:marBottom w:val="300"/>
          <w:divBdr>
            <w:top w:val="none" w:sz="0" w:space="0" w:color="auto"/>
            <w:left w:val="none" w:sz="0" w:space="0" w:color="auto"/>
            <w:bottom w:val="none" w:sz="0" w:space="0" w:color="auto"/>
            <w:right w:val="none" w:sz="0" w:space="0" w:color="auto"/>
          </w:divBdr>
          <w:divsChild>
            <w:div w:id="514156964">
              <w:marLeft w:val="-225"/>
              <w:marRight w:val="-225"/>
              <w:marTop w:val="0"/>
              <w:marBottom w:val="0"/>
              <w:divBdr>
                <w:top w:val="none" w:sz="0" w:space="0" w:color="auto"/>
                <w:left w:val="none" w:sz="0" w:space="0" w:color="auto"/>
                <w:bottom w:val="none" w:sz="0" w:space="0" w:color="auto"/>
                <w:right w:val="none" w:sz="0" w:space="0" w:color="auto"/>
              </w:divBdr>
            </w:div>
          </w:divsChild>
        </w:div>
        <w:div w:id="1678271654">
          <w:marLeft w:val="0"/>
          <w:marRight w:val="0"/>
          <w:marTop w:val="0"/>
          <w:marBottom w:val="750"/>
          <w:divBdr>
            <w:top w:val="none" w:sz="0" w:space="0" w:color="auto"/>
            <w:left w:val="none" w:sz="0" w:space="0" w:color="auto"/>
            <w:bottom w:val="none" w:sz="0" w:space="0" w:color="auto"/>
            <w:right w:val="none" w:sz="0" w:space="0" w:color="auto"/>
          </w:divBdr>
          <w:divsChild>
            <w:div w:id="17188935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26642769">
      <w:bodyDiv w:val="1"/>
      <w:marLeft w:val="0"/>
      <w:marRight w:val="0"/>
      <w:marTop w:val="0"/>
      <w:marBottom w:val="0"/>
      <w:divBdr>
        <w:top w:val="none" w:sz="0" w:space="0" w:color="auto"/>
        <w:left w:val="none" w:sz="0" w:space="0" w:color="auto"/>
        <w:bottom w:val="none" w:sz="0" w:space="0" w:color="auto"/>
        <w:right w:val="none" w:sz="0" w:space="0" w:color="auto"/>
      </w:divBdr>
    </w:div>
    <w:div w:id="1808744686">
      <w:bodyDiv w:val="1"/>
      <w:marLeft w:val="0"/>
      <w:marRight w:val="0"/>
      <w:marTop w:val="0"/>
      <w:marBottom w:val="0"/>
      <w:divBdr>
        <w:top w:val="none" w:sz="0" w:space="0" w:color="auto"/>
        <w:left w:val="none" w:sz="0" w:space="0" w:color="auto"/>
        <w:bottom w:val="none" w:sz="0" w:space="0" w:color="auto"/>
        <w:right w:val="none" w:sz="0" w:space="0" w:color="auto"/>
      </w:divBdr>
      <w:divsChild>
        <w:div w:id="560486975">
          <w:marLeft w:val="547"/>
          <w:marRight w:val="0"/>
          <w:marTop w:val="96"/>
          <w:marBottom w:val="0"/>
          <w:divBdr>
            <w:top w:val="none" w:sz="0" w:space="0" w:color="auto"/>
            <w:left w:val="none" w:sz="0" w:space="0" w:color="auto"/>
            <w:bottom w:val="none" w:sz="0" w:space="0" w:color="auto"/>
            <w:right w:val="none" w:sz="0" w:space="0" w:color="auto"/>
          </w:divBdr>
        </w:div>
        <w:div w:id="1795442422">
          <w:marLeft w:val="547"/>
          <w:marRight w:val="0"/>
          <w:marTop w:val="96"/>
          <w:marBottom w:val="0"/>
          <w:divBdr>
            <w:top w:val="none" w:sz="0" w:space="0" w:color="auto"/>
            <w:left w:val="none" w:sz="0" w:space="0" w:color="auto"/>
            <w:bottom w:val="none" w:sz="0" w:space="0" w:color="auto"/>
            <w:right w:val="none" w:sz="0" w:space="0" w:color="auto"/>
          </w:divBdr>
        </w:div>
        <w:div w:id="11881286">
          <w:marLeft w:val="547"/>
          <w:marRight w:val="0"/>
          <w:marTop w:val="96"/>
          <w:marBottom w:val="0"/>
          <w:divBdr>
            <w:top w:val="none" w:sz="0" w:space="0" w:color="auto"/>
            <w:left w:val="none" w:sz="0" w:space="0" w:color="auto"/>
            <w:bottom w:val="none" w:sz="0" w:space="0" w:color="auto"/>
            <w:right w:val="none" w:sz="0" w:space="0" w:color="auto"/>
          </w:divBdr>
        </w:div>
        <w:div w:id="1722097388">
          <w:marLeft w:val="547"/>
          <w:marRight w:val="0"/>
          <w:marTop w:val="96"/>
          <w:marBottom w:val="0"/>
          <w:divBdr>
            <w:top w:val="none" w:sz="0" w:space="0" w:color="auto"/>
            <w:left w:val="none" w:sz="0" w:space="0" w:color="auto"/>
            <w:bottom w:val="none" w:sz="0" w:space="0" w:color="auto"/>
            <w:right w:val="none" w:sz="0" w:space="0" w:color="auto"/>
          </w:divBdr>
        </w:div>
        <w:div w:id="1603370910">
          <w:marLeft w:val="547"/>
          <w:marRight w:val="0"/>
          <w:marTop w:val="96"/>
          <w:marBottom w:val="0"/>
          <w:divBdr>
            <w:top w:val="none" w:sz="0" w:space="0" w:color="auto"/>
            <w:left w:val="none" w:sz="0" w:space="0" w:color="auto"/>
            <w:bottom w:val="none" w:sz="0" w:space="0" w:color="auto"/>
            <w:right w:val="none" w:sz="0" w:space="0" w:color="auto"/>
          </w:divBdr>
        </w:div>
      </w:divsChild>
    </w:div>
    <w:div w:id="1912421034">
      <w:bodyDiv w:val="1"/>
      <w:marLeft w:val="0"/>
      <w:marRight w:val="0"/>
      <w:marTop w:val="0"/>
      <w:marBottom w:val="0"/>
      <w:divBdr>
        <w:top w:val="none" w:sz="0" w:space="0" w:color="auto"/>
        <w:left w:val="none" w:sz="0" w:space="0" w:color="auto"/>
        <w:bottom w:val="none" w:sz="0" w:space="0" w:color="auto"/>
        <w:right w:val="none" w:sz="0" w:space="0" w:color="auto"/>
      </w:divBdr>
    </w:div>
    <w:div w:id="1912932219">
      <w:bodyDiv w:val="1"/>
      <w:marLeft w:val="0"/>
      <w:marRight w:val="0"/>
      <w:marTop w:val="0"/>
      <w:marBottom w:val="0"/>
      <w:divBdr>
        <w:top w:val="none" w:sz="0" w:space="0" w:color="auto"/>
        <w:left w:val="none" w:sz="0" w:space="0" w:color="auto"/>
        <w:bottom w:val="none" w:sz="0" w:space="0" w:color="auto"/>
        <w:right w:val="none" w:sz="0" w:space="0" w:color="auto"/>
      </w:divBdr>
    </w:div>
    <w:div w:id="1984960969">
      <w:bodyDiv w:val="1"/>
      <w:marLeft w:val="0"/>
      <w:marRight w:val="0"/>
      <w:marTop w:val="0"/>
      <w:marBottom w:val="0"/>
      <w:divBdr>
        <w:top w:val="none" w:sz="0" w:space="0" w:color="auto"/>
        <w:left w:val="none" w:sz="0" w:space="0" w:color="auto"/>
        <w:bottom w:val="none" w:sz="0" w:space="0" w:color="auto"/>
        <w:right w:val="none" w:sz="0" w:space="0" w:color="auto"/>
      </w:divBdr>
    </w:div>
    <w:div w:id="20655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e/en/publication/470e6-national-strategic-framework-for-lifelong-guidance-and-strategic-action-plan-2023-203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da.ie/publications/narrative-analysis-of-wellbeing-and-social-inclusion-consultations" TargetMode="External"/><Relationship Id="rId13" Type="http://schemas.openxmlformats.org/officeDocument/2006/relationships/hyperlink" Target="https://hea.ie/policy/access-policy/path/" TargetMode="External"/><Relationship Id="rId18" Type="http://schemas.openxmlformats.org/officeDocument/2006/relationships/hyperlink" Target="https://www.pobal.ie/programmes/workability-inclusive-pathways-to-employment-programme/" TargetMode="External"/><Relationship Id="rId26" Type="http://schemas.openxmlformats.org/officeDocument/2006/relationships/hyperlink" Target="https://www.gov.ie/en/publication/1feaf-pathways-to-work-2021/" TargetMode="External"/><Relationship Id="rId3" Type="http://schemas.openxmlformats.org/officeDocument/2006/relationships/hyperlink" Target="https://hea.ie/assets/uploads/2023/12/ONLINE-v2-NDPAC-2.pdf" TargetMode="External"/><Relationship Id="rId21" Type="http://schemas.openxmlformats.org/officeDocument/2006/relationships/hyperlink" Target="https://www.cso.ie/en/statistics/health/nationaldisabilitysurvey2006volume2/" TargetMode="External"/><Relationship Id="rId7" Type="http://schemas.openxmlformats.org/officeDocument/2006/relationships/hyperlink" Target="https://nda.ie/publications/hows-it-going-national-survey" TargetMode="External"/><Relationship Id="rId12" Type="http://schemas.openxmlformats.org/officeDocument/2006/relationships/hyperlink" Target="https://assets.gov.ie/279196/ac7dfa38-00fb-4dcf-8285-0f187b76469c.pdf" TargetMode="External"/><Relationship Id="rId17" Type="http://schemas.openxmlformats.org/officeDocument/2006/relationships/hyperlink" Target="https://hea.ie/funding-governance-performance/funding/student-finance/fund-for-students-with-disabilities/" TargetMode="External"/><Relationship Id="rId25" Type="http://schemas.openxmlformats.org/officeDocument/2006/relationships/hyperlink" Target="http://www.ibec.ie" TargetMode="External"/><Relationship Id="rId2" Type="http://schemas.openxmlformats.org/officeDocument/2006/relationships/hyperlink" Target="https://hea.ie/2023/02/23/hea-publishes-graduate-outcomes-and-disability-report/" TargetMode="External"/><Relationship Id="rId16" Type="http://schemas.openxmlformats.org/officeDocument/2006/relationships/hyperlink" Target="https://hea.ie/assets/uploads/2018/06/FSD-Guidelines_2022-23-Final.pdf" TargetMode="External"/><Relationship Id="rId20" Type="http://schemas.openxmlformats.org/officeDocument/2006/relationships/hyperlink" Target="https://www.pobal.ie/app/uploads/2018/06/Ability-Progamme-Evaluation-Report-2018-2021-Final.pdf" TargetMode="External"/><Relationship Id="rId1" Type="http://schemas.openxmlformats.org/officeDocument/2006/relationships/hyperlink" Target="https://www.cso.ie/en/releasesandpublications/ep/p-cpp4/census2022profile4-disabilityhealthandcarers/keyfindings/" TargetMode="External"/><Relationship Id="rId6" Type="http://schemas.openxmlformats.org/officeDocument/2006/relationships/hyperlink" Target="https://universaldesign.ie/education" TargetMode="External"/><Relationship Id="rId11" Type="http://schemas.openxmlformats.org/officeDocument/2006/relationships/hyperlink" Target="https://assets.gov.ie/24951/dffde726604b451aa6cc50239a375299.pdf" TargetMode="External"/><Relationship Id="rId24" Type="http://schemas.openxmlformats.org/officeDocument/2006/relationships/hyperlink" Target="https://www.workplacerelations.ie/en/what_you_should_know/codes_practice/code-of-practice-for-employers-and-employees-right-to-request-flexible-working-and-right-to-request-remote-working/code-of-practice-for-employers-and-employees.pdf" TargetMode="External"/><Relationship Id="rId5" Type="http://schemas.openxmlformats.org/officeDocument/2006/relationships/hyperlink" Target="https://www.solas.ie/f/70398/x/dfa32cd975/disabilities-fet-report.pdf" TargetMode="External"/><Relationship Id="rId15" Type="http://schemas.openxmlformats.org/officeDocument/2006/relationships/hyperlink" Target="https://nto.hea.ie/" TargetMode="External"/><Relationship Id="rId23" Type="http://schemas.openxmlformats.org/officeDocument/2006/relationships/hyperlink" Target="https://www.gov.ie/en/publication/76eb9-low-pay-commission-annual-report-2023/" TargetMode="External"/><Relationship Id="rId28" Type="http://schemas.openxmlformats.org/officeDocument/2006/relationships/hyperlink" Target="https://www.gov.ie/en/publication/136b9-connecting-government-2030-a-digital-and-ict-strategy-for-irelands-public-service/" TargetMode="External"/><Relationship Id="rId10" Type="http://schemas.openxmlformats.org/officeDocument/2006/relationships/hyperlink" Target="https://nda.ie/education/career-guidance-for-students-with-additional-needs" TargetMode="External"/><Relationship Id="rId19" Type="http://schemas.openxmlformats.org/officeDocument/2006/relationships/hyperlink" Target="https://www.gov.ie/en/collection/b9ede-designated-disability-case-officers/" TargetMode="External"/><Relationship Id="rId4" Type="http://schemas.openxmlformats.org/officeDocument/2006/relationships/hyperlink" Target="https://irelandseducationyearbook.ie/downloads/IEYB2023/Irelands%20Yearbook%20of%20Education%202023%20-%20Higher%20Education-14.pdf" TargetMode="External"/><Relationship Id="rId9" Type="http://schemas.openxmlformats.org/officeDocument/2006/relationships/hyperlink" Target="file:///C:\Users\tammingr\Downloads\270938_7c444ddf-acfc-4d28-ad82-c7b1baa37cc1.pdf" TargetMode="External"/><Relationship Id="rId14" Type="http://schemas.openxmlformats.org/officeDocument/2006/relationships/hyperlink" Target="https://universaldesign.ie/publications/universal-design-in-education-and-training-policy-landscape-in-ireland" TargetMode="External"/><Relationship Id="rId22" Type="http://schemas.openxmlformats.org/officeDocument/2006/relationships/hyperlink" Target="https://assets.gov.ie/207521/8644347b-8f0c-4910-bbf5-b7950fd7f869.pdf" TargetMode="External"/><Relationship Id="rId27" Type="http://schemas.openxmlformats.org/officeDocument/2006/relationships/hyperlink" Target="https://nda.ie/publications/nda-annual-reports-on-compliance-with-part-5-of-the-disability-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7740-06DF-4C30-8D4E-0EC3892A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TotalTime>
  <Pages>24</Pages>
  <Words>7135</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cp:lastModifiedBy>Damhnait O'Malley (NDA)</cp:lastModifiedBy>
  <cp:revision>5</cp:revision>
  <cp:lastPrinted>2024-05-02T09:39:00Z</cp:lastPrinted>
  <dcterms:created xsi:type="dcterms:W3CDTF">2024-06-25T09:20:00Z</dcterms:created>
  <dcterms:modified xsi:type="dcterms:W3CDTF">2024-06-25T10:57:00Z</dcterms:modified>
</cp:coreProperties>
</file>