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footer2.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6B61" w14:textId="0C445022" w:rsidR="00180D03" w:rsidRDefault="005D5E30" w:rsidP="00180D03">
      <w:pPr>
        <w:pStyle w:val="Title"/>
        <w:spacing w:after="720"/>
        <w:jc w:val="left"/>
        <w:rPr>
          <w:sz w:val="64"/>
          <w:szCs w:val="64"/>
        </w:rPr>
      </w:pPr>
      <w:bookmarkStart w:id="0" w:name="_Toc182219466"/>
      <w:bookmarkStart w:id="1" w:name="_Toc182220167"/>
      <w:bookmarkStart w:id="2" w:name="_Toc182555512"/>
      <w:bookmarkStart w:id="3" w:name="_Toc182555687"/>
      <w:r>
        <w:rPr>
          <w:sz w:val="64"/>
          <w:szCs w:val="64"/>
        </w:rPr>
        <w:t>Final</w:t>
      </w:r>
      <w:r w:rsidR="0093061B">
        <w:rPr>
          <w:sz w:val="64"/>
          <w:szCs w:val="64"/>
        </w:rPr>
        <w:t xml:space="preserve"> Review of the</w:t>
      </w:r>
      <w:r w:rsidR="00180D03" w:rsidRPr="00C042CA">
        <w:rPr>
          <w:sz w:val="64"/>
          <w:szCs w:val="64"/>
        </w:rPr>
        <w:t xml:space="preserve"> Comprehensive Employment Strategy for Persons with Disabilities 2015-2024</w:t>
      </w:r>
      <w:bookmarkEnd w:id="0"/>
      <w:bookmarkEnd w:id="1"/>
      <w:bookmarkEnd w:id="2"/>
      <w:bookmarkEnd w:id="3"/>
    </w:p>
    <w:p w14:paraId="47DB2AAF" w14:textId="77777777" w:rsidR="00F21380" w:rsidRPr="00F21380" w:rsidRDefault="00F21380" w:rsidP="00F21380"/>
    <w:p w14:paraId="55CD4B72" w14:textId="20131C80" w:rsidR="00570D8D" w:rsidRPr="00B42243" w:rsidRDefault="00233BC4" w:rsidP="00180D03">
      <w:pPr>
        <w:spacing w:before="240" w:after="1440" w:line="720" w:lineRule="auto"/>
        <w:rPr>
          <w:b/>
          <w:sz w:val="44"/>
          <w:szCs w:val="44"/>
        </w:rPr>
      </w:pPr>
      <w:r>
        <w:rPr>
          <w:b/>
          <w:sz w:val="44"/>
          <w:szCs w:val="44"/>
        </w:rPr>
        <w:t>February</w:t>
      </w:r>
      <w:r w:rsidR="00C55573" w:rsidRPr="00B42243">
        <w:rPr>
          <w:b/>
          <w:sz w:val="44"/>
          <w:szCs w:val="44"/>
        </w:rPr>
        <w:t xml:space="preserve"> </w:t>
      </w:r>
      <w:r w:rsidR="006F7CD1" w:rsidRPr="00B42243">
        <w:rPr>
          <w:b/>
          <w:sz w:val="44"/>
          <w:szCs w:val="44"/>
        </w:rPr>
        <w:t>202</w:t>
      </w:r>
      <w:r w:rsidR="00F149AC">
        <w:rPr>
          <w:b/>
          <w:sz w:val="44"/>
          <w:szCs w:val="44"/>
        </w:rPr>
        <w:t>5</w:t>
      </w:r>
    </w:p>
    <w:p w14:paraId="3FC808AB" w14:textId="341833BA" w:rsidR="00180D03" w:rsidRDefault="00570D8D" w:rsidP="00570D8D">
      <w:pPr>
        <w:spacing w:before="240" w:after="1440" w:line="720" w:lineRule="auto"/>
        <w:rPr>
          <w:b/>
          <w:sz w:val="56"/>
          <w:szCs w:val="56"/>
        </w:rPr>
      </w:pPr>
      <w:r>
        <w:rPr>
          <w:noProof/>
          <w:lang w:eastAsia="en-IE"/>
        </w:rPr>
        <w:drawing>
          <wp:inline distT="0" distB="0" distL="0" distR="0" wp14:anchorId="3ECEAD61" wp14:editId="19DE29CC">
            <wp:extent cx="2524125" cy="1800225"/>
            <wp:effectExtent l="0" t="0" r="0" b="0"/>
            <wp:docPr id="473830566" name="Picture 473830566" descr="NDA_LOGO_2010_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_LOGO_2010_COLOUR 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r w:rsidR="00180D03">
        <w:rPr>
          <w:b/>
          <w:sz w:val="56"/>
          <w:szCs w:val="56"/>
        </w:rPr>
        <w:br w:type="page"/>
      </w:r>
    </w:p>
    <w:p w14:paraId="0EF4C73B" w14:textId="2E9F90E6" w:rsidR="008517F5" w:rsidRDefault="008517F5" w:rsidP="00C172AB">
      <w:pPr>
        <w:pStyle w:val="Heading1"/>
      </w:pPr>
      <w:bookmarkStart w:id="4" w:name="_Toc182555513"/>
      <w:bookmarkStart w:id="5" w:name="_Toc182555688"/>
      <w:r>
        <w:lastRenderedPageBreak/>
        <w:t>Acknowledgements</w:t>
      </w:r>
      <w:bookmarkEnd w:id="4"/>
      <w:bookmarkEnd w:id="5"/>
    </w:p>
    <w:p w14:paraId="2388E781" w14:textId="4F168DE1" w:rsidR="008517F5" w:rsidRDefault="00B324CD" w:rsidP="006419BE">
      <w:pPr>
        <w:rPr>
          <w:rFonts w:ascii="Gill Sans MT" w:hAnsi="Gill Sans MT"/>
          <w:szCs w:val="26"/>
        </w:rPr>
      </w:pPr>
      <w:r>
        <w:rPr>
          <w:rFonts w:ascii="Gill Sans MT" w:hAnsi="Gill Sans MT"/>
          <w:szCs w:val="26"/>
        </w:rPr>
        <w:t>The</w:t>
      </w:r>
      <w:r w:rsidR="008517F5" w:rsidRPr="00FD4F24">
        <w:rPr>
          <w:rFonts w:ascii="Gill Sans MT" w:hAnsi="Gill Sans MT"/>
          <w:szCs w:val="26"/>
        </w:rPr>
        <w:t xml:space="preserve"> N</w:t>
      </w:r>
      <w:r w:rsidR="005C4BA5">
        <w:rPr>
          <w:rFonts w:ascii="Gill Sans MT" w:hAnsi="Gill Sans MT"/>
          <w:szCs w:val="26"/>
        </w:rPr>
        <w:t xml:space="preserve">ational Disability </w:t>
      </w:r>
      <w:r w:rsidR="008517F5" w:rsidRPr="00FD4F24">
        <w:rPr>
          <w:rFonts w:ascii="Gill Sans MT" w:hAnsi="Gill Sans MT"/>
          <w:szCs w:val="26"/>
        </w:rPr>
        <w:t>A</w:t>
      </w:r>
      <w:r w:rsidR="005C4BA5">
        <w:rPr>
          <w:rFonts w:ascii="Gill Sans MT" w:hAnsi="Gill Sans MT"/>
          <w:szCs w:val="26"/>
        </w:rPr>
        <w:t>uthority (NDA)</w:t>
      </w:r>
      <w:r w:rsidR="008517F5" w:rsidRPr="00FD4F24">
        <w:rPr>
          <w:rFonts w:ascii="Gill Sans MT" w:hAnsi="Gill Sans MT"/>
          <w:szCs w:val="26"/>
        </w:rPr>
        <w:t xml:space="preserve"> acknowledge</w:t>
      </w:r>
      <w:r w:rsidR="005D5E30">
        <w:rPr>
          <w:rFonts w:ascii="Gill Sans MT" w:hAnsi="Gill Sans MT"/>
          <w:szCs w:val="26"/>
        </w:rPr>
        <w:t>s</w:t>
      </w:r>
      <w:r w:rsidR="008517F5" w:rsidRPr="00FD4F24">
        <w:rPr>
          <w:rFonts w:ascii="Gill Sans MT" w:hAnsi="Gill Sans MT"/>
          <w:szCs w:val="26"/>
        </w:rPr>
        <w:t xml:space="preserve"> the cooperation of </w:t>
      </w:r>
      <w:r w:rsidR="00D911B4">
        <w:rPr>
          <w:rFonts w:ascii="Gill Sans MT" w:hAnsi="Gill Sans MT"/>
          <w:szCs w:val="26"/>
        </w:rPr>
        <w:t>government</w:t>
      </w:r>
      <w:r w:rsidR="008517F5">
        <w:rPr>
          <w:rFonts w:ascii="Gill Sans MT" w:hAnsi="Gill Sans MT"/>
          <w:szCs w:val="26"/>
        </w:rPr>
        <w:t xml:space="preserve"> </w:t>
      </w:r>
      <w:r w:rsidR="008517F5" w:rsidRPr="00FD4F24">
        <w:rPr>
          <w:rFonts w:ascii="Gill Sans MT" w:hAnsi="Gill Sans MT"/>
          <w:szCs w:val="26"/>
        </w:rPr>
        <w:t xml:space="preserve">departments, </w:t>
      </w:r>
      <w:r w:rsidR="00D911B4">
        <w:rPr>
          <w:rFonts w:ascii="Gill Sans MT" w:hAnsi="Gill Sans MT"/>
          <w:szCs w:val="26"/>
        </w:rPr>
        <w:t xml:space="preserve">state </w:t>
      </w:r>
      <w:r w:rsidR="008517F5" w:rsidRPr="00FD4F24">
        <w:rPr>
          <w:rFonts w:ascii="Gill Sans MT" w:hAnsi="Gill Sans MT"/>
          <w:szCs w:val="26"/>
        </w:rPr>
        <w:t>agencies</w:t>
      </w:r>
      <w:r w:rsidR="008517F5" w:rsidRPr="00960EA8">
        <w:rPr>
          <w:rFonts w:ascii="Gill Sans MT" w:hAnsi="Gill Sans MT"/>
          <w:szCs w:val="26"/>
        </w:rPr>
        <w:t>,</w:t>
      </w:r>
      <w:r w:rsidR="008517F5" w:rsidRPr="00FD4F24">
        <w:rPr>
          <w:rFonts w:ascii="Gill Sans MT" w:hAnsi="Gill Sans MT"/>
          <w:szCs w:val="26"/>
        </w:rPr>
        <w:t xml:space="preserve"> and other stakeholders </w:t>
      </w:r>
      <w:r w:rsidR="008517F5">
        <w:rPr>
          <w:rFonts w:ascii="Gill Sans MT" w:hAnsi="Gill Sans MT"/>
          <w:szCs w:val="26"/>
        </w:rPr>
        <w:t>who have provided</w:t>
      </w:r>
      <w:r w:rsidR="008517F5" w:rsidRPr="00FD4F24">
        <w:rPr>
          <w:rFonts w:ascii="Gill Sans MT" w:hAnsi="Gill Sans MT"/>
          <w:szCs w:val="26"/>
        </w:rPr>
        <w:t xml:space="preserve"> </w:t>
      </w:r>
      <w:r w:rsidR="008C5500">
        <w:rPr>
          <w:rFonts w:ascii="Gill Sans MT" w:hAnsi="Gill Sans MT"/>
          <w:szCs w:val="26"/>
        </w:rPr>
        <w:t>information</w:t>
      </w:r>
      <w:r w:rsidR="00D911B4">
        <w:rPr>
          <w:rFonts w:ascii="Gill Sans MT" w:hAnsi="Gill Sans MT"/>
          <w:szCs w:val="26"/>
        </w:rPr>
        <w:t xml:space="preserve"> </w:t>
      </w:r>
      <w:r w:rsidR="00722696">
        <w:rPr>
          <w:rFonts w:ascii="Gill Sans MT" w:hAnsi="Gill Sans MT"/>
          <w:szCs w:val="26"/>
        </w:rPr>
        <w:t xml:space="preserve">to facilitate </w:t>
      </w:r>
      <w:r w:rsidR="00DD0548">
        <w:rPr>
          <w:rFonts w:ascii="Gill Sans MT" w:hAnsi="Gill Sans MT"/>
          <w:szCs w:val="26"/>
        </w:rPr>
        <w:t>monitoring of progress under the Comprehensive Employment Strategy for People with Disabilities</w:t>
      </w:r>
      <w:r w:rsidR="00612EAE">
        <w:rPr>
          <w:rFonts w:ascii="Gill Sans MT" w:hAnsi="Gill Sans MT"/>
          <w:szCs w:val="26"/>
        </w:rPr>
        <w:t xml:space="preserve"> 2015-20</w:t>
      </w:r>
      <w:r w:rsidR="003239D1">
        <w:rPr>
          <w:rFonts w:ascii="Gill Sans MT" w:hAnsi="Gill Sans MT"/>
          <w:szCs w:val="26"/>
        </w:rPr>
        <w:t>2</w:t>
      </w:r>
      <w:r w:rsidR="00612EAE">
        <w:rPr>
          <w:rFonts w:ascii="Gill Sans MT" w:hAnsi="Gill Sans MT"/>
          <w:szCs w:val="26"/>
        </w:rPr>
        <w:t>4</w:t>
      </w:r>
      <w:r w:rsidR="008517F5">
        <w:rPr>
          <w:rFonts w:ascii="Gill Sans MT" w:hAnsi="Gill Sans MT"/>
          <w:szCs w:val="26"/>
        </w:rPr>
        <w:t xml:space="preserve">, </w:t>
      </w:r>
      <w:r w:rsidR="00722696">
        <w:rPr>
          <w:rFonts w:ascii="Gill Sans MT" w:hAnsi="Gill Sans MT"/>
          <w:szCs w:val="26"/>
        </w:rPr>
        <w:t>both</w:t>
      </w:r>
      <w:r w:rsidR="00D911B4">
        <w:rPr>
          <w:rFonts w:ascii="Gill Sans MT" w:hAnsi="Gill Sans MT"/>
          <w:szCs w:val="26"/>
        </w:rPr>
        <w:t xml:space="preserve"> </w:t>
      </w:r>
      <w:r w:rsidR="00722696">
        <w:rPr>
          <w:rFonts w:ascii="Gill Sans MT" w:hAnsi="Gill Sans MT"/>
          <w:szCs w:val="26"/>
        </w:rPr>
        <w:t xml:space="preserve">for </w:t>
      </w:r>
      <w:r w:rsidR="00D911B4">
        <w:rPr>
          <w:rFonts w:ascii="Gill Sans MT" w:hAnsi="Gill Sans MT"/>
          <w:szCs w:val="26"/>
        </w:rPr>
        <w:t>this</w:t>
      </w:r>
      <w:r w:rsidR="008517F5">
        <w:rPr>
          <w:rFonts w:ascii="Gill Sans MT" w:hAnsi="Gill Sans MT"/>
          <w:szCs w:val="26"/>
        </w:rPr>
        <w:t xml:space="preserve"> report </w:t>
      </w:r>
      <w:r w:rsidR="00722696">
        <w:rPr>
          <w:rFonts w:ascii="Gill Sans MT" w:hAnsi="Gill Sans MT"/>
          <w:szCs w:val="26"/>
        </w:rPr>
        <w:t>and</w:t>
      </w:r>
      <w:r w:rsidR="008517F5">
        <w:rPr>
          <w:rFonts w:ascii="Gill Sans MT" w:hAnsi="Gill Sans MT"/>
          <w:szCs w:val="26"/>
        </w:rPr>
        <w:t xml:space="preserve"> over the lifetime of the strategy</w:t>
      </w:r>
      <w:r>
        <w:rPr>
          <w:rFonts w:ascii="Gill Sans MT" w:hAnsi="Gill Sans MT"/>
          <w:szCs w:val="26"/>
        </w:rPr>
        <w:t>.</w:t>
      </w:r>
      <w:r w:rsidR="00B62309">
        <w:rPr>
          <w:rFonts w:ascii="Gill Sans MT" w:hAnsi="Gill Sans MT"/>
          <w:szCs w:val="26"/>
        </w:rPr>
        <w:t xml:space="preserve"> Feedback from Disabled Persons’ Organisations (DPOs) on earlier drafts of this report and on progress under the CES more broadly is also gratefully acknowledged.</w:t>
      </w:r>
    </w:p>
    <w:p w14:paraId="453E9F82" w14:textId="73C0AC23" w:rsidR="009F2C8A" w:rsidRDefault="00431588" w:rsidP="009F2C8A">
      <w:pPr>
        <w:pStyle w:val="Heading1"/>
      </w:pPr>
      <w:bookmarkStart w:id="6" w:name="_Toc182555514"/>
      <w:bookmarkStart w:id="7" w:name="_Toc182555689"/>
      <w:r>
        <w:t>Statement</w:t>
      </w:r>
      <w:r w:rsidR="009F2C8A">
        <w:t xml:space="preserve"> on language</w:t>
      </w:r>
      <w:bookmarkEnd w:id="6"/>
      <w:bookmarkEnd w:id="7"/>
    </w:p>
    <w:p w14:paraId="701F4F18" w14:textId="25BB2EBD" w:rsidR="00431588" w:rsidRDefault="00431588" w:rsidP="006419BE">
      <w:pPr>
        <w:rPr>
          <w:rFonts w:ascii="Gill Sans MT" w:hAnsi="Gill Sans MT"/>
          <w:szCs w:val="26"/>
        </w:rPr>
      </w:pPr>
      <w:r w:rsidRPr="00431588">
        <w:rPr>
          <w:rFonts w:ascii="Gill Sans MT" w:hAnsi="Gill Sans MT"/>
          <w:szCs w:val="26"/>
        </w:rPr>
        <w:t xml:space="preserve">In this report, we use the terms </w:t>
      </w:r>
      <w:r w:rsidRPr="00431588">
        <w:rPr>
          <w:rFonts w:ascii="Gill Sans MT" w:hAnsi="Gill Sans MT" w:hint="eastAsia"/>
          <w:szCs w:val="26"/>
        </w:rPr>
        <w:t>‘</w:t>
      </w:r>
      <w:r w:rsidRPr="00431588">
        <w:rPr>
          <w:rFonts w:ascii="Gill Sans MT" w:hAnsi="Gill Sans MT"/>
          <w:szCs w:val="26"/>
        </w:rPr>
        <w:t>people/persons with disabilities</w:t>
      </w:r>
      <w:r w:rsidRPr="00431588">
        <w:rPr>
          <w:rFonts w:ascii="Gill Sans MT" w:hAnsi="Gill Sans MT" w:hint="eastAsia"/>
          <w:szCs w:val="26"/>
        </w:rPr>
        <w:t>’</w:t>
      </w:r>
      <w:r w:rsidRPr="00431588">
        <w:rPr>
          <w:rFonts w:ascii="Gill Sans MT" w:hAnsi="Gill Sans MT"/>
          <w:szCs w:val="26"/>
        </w:rPr>
        <w:t xml:space="preserve"> and </w:t>
      </w:r>
      <w:r w:rsidRPr="00431588">
        <w:rPr>
          <w:rFonts w:ascii="Gill Sans MT" w:hAnsi="Gill Sans MT" w:hint="eastAsia"/>
          <w:szCs w:val="26"/>
        </w:rPr>
        <w:t>‘</w:t>
      </w:r>
      <w:r w:rsidRPr="00431588">
        <w:rPr>
          <w:rFonts w:ascii="Gill Sans MT" w:hAnsi="Gill Sans MT"/>
          <w:szCs w:val="26"/>
        </w:rPr>
        <w:t>disabled people</w:t>
      </w:r>
      <w:r w:rsidRPr="00431588">
        <w:rPr>
          <w:rFonts w:ascii="Gill Sans MT" w:hAnsi="Gill Sans MT" w:hint="eastAsia"/>
          <w:szCs w:val="26"/>
        </w:rPr>
        <w:t>’</w:t>
      </w:r>
      <w:r w:rsidRPr="00431588">
        <w:rPr>
          <w:rFonts w:ascii="Gill Sans MT" w:hAnsi="Gill Sans MT"/>
          <w:szCs w:val="26"/>
        </w:rPr>
        <w:t xml:space="preserve"> interchangeably. Many people within the disability rights movement in Ireland prefer the term </w:t>
      </w:r>
      <w:r w:rsidRPr="00431588">
        <w:rPr>
          <w:rFonts w:ascii="Gill Sans MT" w:hAnsi="Gill Sans MT" w:hint="eastAsia"/>
          <w:szCs w:val="26"/>
        </w:rPr>
        <w:t>‘</w:t>
      </w:r>
      <w:r w:rsidRPr="00431588">
        <w:rPr>
          <w:rFonts w:ascii="Gill Sans MT" w:hAnsi="Gill Sans MT"/>
          <w:szCs w:val="26"/>
        </w:rPr>
        <w:t>disabled people</w:t>
      </w:r>
      <w:r w:rsidRPr="00431588">
        <w:rPr>
          <w:rFonts w:ascii="Gill Sans MT" w:hAnsi="Gill Sans MT" w:hint="eastAsia"/>
          <w:szCs w:val="26"/>
        </w:rPr>
        <w:t>’</w:t>
      </w:r>
      <w:r w:rsidR="0001753B">
        <w:rPr>
          <w:rFonts w:ascii="Gill Sans MT" w:hAnsi="Gill Sans MT"/>
          <w:szCs w:val="26"/>
        </w:rPr>
        <w:t xml:space="preserve"> </w:t>
      </w:r>
      <w:r w:rsidRPr="00431588">
        <w:rPr>
          <w:rFonts w:ascii="Gill Sans MT" w:hAnsi="Gill Sans MT"/>
          <w:szCs w:val="26"/>
        </w:rPr>
        <w:t>because it is considered to acknowledge the fact that people are disabled by barriers in the environment and society</w:t>
      </w:r>
      <w:r>
        <w:rPr>
          <w:rFonts w:ascii="Gill Sans MT" w:hAnsi="Gill Sans MT"/>
          <w:szCs w:val="26"/>
        </w:rPr>
        <w:t xml:space="preserve">, </w:t>
      </w:r>
      <w:r w:rsidR="0001753B">
        <w:rPr>
          <w:rFonts w:ascii="Gill Sans MT" w:hAnsi="Gill Sans MT"/>
          <w:szCs w:val="26"/>
        </w:rPr>
        <w:t xml:space="preserve">and this aligns </w:t>
      </w:r>
      <w:r w:rsidRPr="00431588">
        <w:rPr>
          <w:rFonts w:ascii="Gill Sans MT" w:hAnsi="Gill Sans MT"/>
          <w:szCs w:val="26"/>
        </w:rPr>
        <w:t>with the social and human rights model</w:t>
      </w:r>
      <w:r>
        <w:rPr>
          <w:rFonts w:ascii="Gill Sans MT" w:hAnsi="Gill Sans MT"/>
          <w:szCs w:val="26"/>
        </w:rPr>
        <w:t>s</w:t>
      </w:r>
      <w:r w:rsidRPr="00431588">
        <w:rPr>
          <w:rFonts w:ascii="Gill Sans MT" w:hAnsi="Gill Sans MT"/>
          <w:szCs w:val="26"/>
        </w:rPr>
        <w:t xml:space="preserve"> of disability. However, we also recognise that others prefer the term </w:t>
      </w:r>
      <w:r w:rsidRPr="00431588">
        <w:rPr>
          <w:rFonts w:ascii="Gill Sans MT" w:hAnsi="Gill Sans MT" w:hint="eastAsia"/>
          <w:szCs w:val="26"/>
        </w:rPr>
        <w:t>‘</w:t>
      </w:r>
      <w:r w:rsidRPr="00431588">
        <w:rPr>
          <w:rFonts w:ascii="Gill Sans MT" w:hAnsi="Gill Sans MT"/>
          <w:szCs w:val="26"/>
        </w:rPr>
        <w:t>people/persons with disabilities</w:t>
      </w:r>
      <w:r w:rsidRPr="00431588">
        <w:rPr>
          <w:rFonts w:ascii="Gill Sans MT" w:hAnsi="Gill Sans MT" w:hint="eastAsia"/>
          <w:szCs w:val="26"/>
        </w:rPr>
        <w:t>’</w:t>
      </w:r>
      <w:r w:rsidRPr="00431588">
        <w:rPr>
          <w:rFonts w:ascii="Gill Sans MT" w:hAnsi="Gill Sans MT"/>
          <w:szCs w:val="26"/>
        </w:rPr>
        <w:t xml:space="preserve">, because of the inherent understanding in </w:t>
      </w:r>
      <w:r w:rsidR="0081648D">
        <w:rPr>
          <w:rFonts w:ascii="Gill Sans MT" w:hAnsi="Gill Sans MT"/>
          <w:szCs w:val="26"/>
        </w:rPr>
        <w:t>this phrasing</w:t>
      </w:r>
      <w:r w:rsidRPr="00431588">
        <w:rPr>
          <w:rFonts w:ascii="Gill Sans MT" w:hAnsi="Gill Sans MT"/>
          <w:szCs w:val="26"/>
        </w:rPr>
        <w:t xml:space="preserve"> that they are first and foremost human beings entitled to human rights</w:t>
      </w:r>
      <w:r>
        <w:rPr>
          <w:rFonts w:ascii="Gill Sans MT" w:hAnsi="Gill Sans MT"/>
          <w:szCs w:val="26"/>
        </w:rPr>
        <w:t xml:space="preserve">. Person-first language </w:t>
      </w:r>
      <w:r w:rsidR="0081648D">
        <w:rPr>
          <w:rFonts w:ascii="Gill Sans MT" w:hAnsi="Gill Sans MT"/>
          <w:szCs w:val="26"/>
        </w:rPr>
        <w:t>is used</w:t>
      </w:r>
      <w:r w:rsidRPr="00431588">
        <w:rPr>
          <w:rFonts w:ascii="Gill Sans MT" w:hAnsi="Gill Sans MT"/>
          <w:szCs w:val="26"/>
        </w:rPr>
        <w:t xml:space="preserve"> in the United Nations Conventions on the Rights of Persons with Disabilities (UNCRPD). We recognise that many people with an intellectual disability</w:t>
      </w:r>
      <w:r>
        <w:rPr>
          <w:rFonts w:ascii="Gill Sans MT" w:hAnsi="Gill Sans MT"/>
          <w:szCs w:val="26"/>
        </w:rPr>
        <w:t xml:space="preserve"> and</w:t>
      </w:r>
      <w:r w:rsidRPr="00431588">
        <w:rPr>
          <w:rFonts w:ascii="Gill Sans MT" w:hAnsi="Gill Sans MT"/>
          <w:szCs w:val="26"/>
        </w:rPr>
        <w:t xml:space="preserve"> people with a mental health difficulty or psycho-social disability prefer person-first language. We also acknowledge that some people </w:t>
      </w:r>
      <w:r w:rsidR="008C5500">
        <w:rPr>
          <w:rFonts w:ascii="Gill Sans MT" w:hAnsi="Gill Sans MT"/>
          <w:szCs w:val="26"/>
        </w:rPr>
        <w:t xml:space="preserve">to which information in this report may apply </w:t>
      </w:r>
      <w:r w:rsidRPr="00431588">
        <w:rPr>
          <w:rFonts w:ascii="Gill Sans MT" w:hAnsi="Gill Sans MT"/>
          <w:szCs w:val="26"/>
        </w:rPr>
        <w:t>do not identify with either term.</w:t>
      </w:r>
    </w:p>
    <w:p w14:paraId="561CEBC0" w14:textId="16EF9F20" w:rsidR="00570D8D" w:rsidRDefault="00653C33" w:rsidP="006419BE">
      <w:pPr>
        <w:rPr>
          <w:rFonts w:ascii="Gill Sans MT" w:hAnsi="Gill Sans MT"/>
          <w:szCs w:val="26"/>
        </w:rPr>
      </w:pPr>
      <w:r w:rsidRPr="00653C33">
        <w:rPr>
          <w:rFonts w:ascii="Gill Sans MT" w:hAnsi="Gill Sans MT"/>
          <w:szCs w:val="26"/>
        </w:rPr>
        <w:t xml:space="preserve">The term </w:t>
      </w:r>
      <w:r w:rsidR="00D1294F">
        <w:rPr>
          <w:rFonts w:ascii="Gill Sans MT" w:hAnsi="Gill Sans MT"/>
          <w:szCs w:val="26"/>
        </w:rPr>
        <w:t>‘</w:t>
      </w:r>
      <w:r w:rsidRPr="00653C33">
        <w:rPr>
          <w:rFonts w:ascii="Gill Sans MT" w:hAnsi="Gill Sans MT"/>
          <w:szCs w:val="26"/>
        </w:rPr>
        <w:t>Disabled Persons</w:t>
      </w:r>
      <w:r w:rsidRPr="00653C33">
        <w:rPr>
          <w:rFonts w:ascii="Gill Sans MT" w:hAnsi="Gill Sans MT" w:hint="eastAsia"/>
          <w:szCs w:val="26"/>
        </w:rPr>
        <w:t>’</w:t>
      </w:r>
      <w:r w:rsidRPr="00653C33">
        <w:rPr>
          <w:rFonts w:ascii="Gill Sans MT" w:hAnsi="Gill Sans MT"/>
          <w:szCs w:val="26"/>
        </w:rPr>
        <w:t xml:space="preserve"> Organisation (DPO)</w:t>
      </w:r>
      <w:r w:rsidR="00D1294F">
        <w:rPr>
          <w:rFonts w:ascii="Gill Sans MT" w:hAnsi="Gill Sans MT"/>
          <w:szCs w:val="26"/>
        </w:rPr>
        <w:t>’</w:t>
      </w:r>
      <w:r w:rsidRPr="00653C33">
        <w:rPr>
          <w:rFonts w:ascii="Gill Sans MT" w:hAnsi="Gill Sans MT"/>
          <w:szCs w:val="26"/>
        </w:rPr>
        <w:t xml:space="preserve"> </w:t>
      </w:r>
      <w:r>
        <w:rPr>
          <w:rFonts w:ascii="Gill Sans MT" w:hAnsi="Gill Sans MT"/>
          <w:szCs w:val="26"/>
        </w:rPr>
        <w:t>is</w:t>
      </w:r>
      <w:r w:rsidRPr="00653C33">
        <w:rPr>
          <w:rFonts w:ascii="Gill Sans MT" w:hAnsi="Gill Sans MT"/>
          <w:szCs w:val="26"/>
        </w:rPr>
        <w:t xml:space="preserve"> used in this report</w:t>
      </w:r>
      <w:r w:rsidR="007D430D" w:rsidRPr="007D430D">
        <w:rPr>
          <w:rFonts w:ascii="Gill Sans MT" w:hAnsi="Gill Sans MT"/>
          <w:szCs w:val="26"/>
        </w:rPr>
        <w:t xml:space="preserve"> </w:t>
      </w:r>
      <w:r w:rsidR="007D430D">
        <w:rPr>
          <w:rFonts w:ascii="Gill Sans MT" w:hAnsi="Gill Sans MT"/>
          <w:szCs w:val="26"/>
        </w:rPr>
        <w:t xml:space="preserve">to refer to </w:t>
      </w:r>
      <w:r w:rsidR="007D430D" w:rsidRPr="007D430D">
        <w:rPr>
          <w:rFonts w:ascii="Gill Sans MT" w:hAnsi="Gill Sans MT"/>
          <w:szCs w:val="26"/>
        </w:rPr>
        <w:t xml:space="preserve">organisations </w:t>
      </w:r>
      <w:r w:rsidR="005B6BB3">
        <w:rPr>
          <w:rFonts w:ascii="Gill Sans MT" w:hAnsi="Gill Sans MT"/>
          <w:szCs w:val="26"/>
        </w:rPr>
        <w:t xml:space="preserve">that are </w:t>
      </w:r>
      <w:r w:rsidR="007D430D">
        <w:rPr>
          <w:rFonts w:ascii="Gill Sans MT" w:hAnsi="Gill Sans MT"/>
          <w:szCs w:val="26"/>
        </w:rPr>
        <w:t>rooted</w:t>
      </w:r>
      <w:r w:rsidR="007D430D" w:rsidRPr="007D430D">
        <w:rPr>
          <w:rFonts w:ascii="Gill Sans MT" w:hAnsi="Gill Sans MT"/>
          <w:szCs w:val="26"/>
        </w:rPr>
        <w:t xml:space="preserve"> in the principles and rights of the </w:t>
      </w:r>
      <w:r w:rsidR="008C5500">
        <w:rPr>
          <w:rFonts w:ascii="Gill Sans MT" w:hAnsi="Gill Sans MT"/>
          <w:szCs w:val="26"/>
        </w:rPr>
        <w:t>UNCRPD</w:t>
      </w:r>
      <w:r w:rsidR="00194A74">
        <w:rPr>
          <w:rFonts w:ascii="Gill Sans MT" w:hAnsi="Gill Sans MT"/>
          <w:szCs w:val="26"/>
        </w:rPr>
        <w:t xml:space="preserve"> and are led by people with disabilities</w:t>
      </w:r>
      <w:r w:rsidR="008C5500">
        <w:rPr>
          <w:rFonts w:ascii="Gill Sans MT" w:hAnsi="Gill Sans MT"/>
          <w:szCs w:val="26"/>
        </w:rPr>
        <w:t>;</w:t>
      </w:r>
      <w:r w:rsidR="007D430D">
        <w:rPr>
          <w:rFonts w:ascii="Gill Sans MT" w:hAnsi="Gill Sans MT"/>
          <w:szCs w:val="26"/>
        </w:rPr>
        <w:t xml:space="preserve"> however,</w:t>
      </w:r>
      <w:r w:rsidRPr="00653C33">
        <w:rPr>
          <w:rFonts w:ascii="Gill Sans MT" w:hAnsi="Gill Sans MT"/>
          <w:szCs w:val="26"/>
        </w:rPr>
        <w:t xml:space="preserve"> we acknowledge that some </w:t>
      </w:r>
      <w:r w:rsidR="00D1294F">
        <w:rPr>
          <w:rFonts w:ascii="Gill Sans MT" w:hAnsi="Gill Sans MT"/>
          <w:szCs w:val="26"/>
        </w:rPr>
        <w:t xml:space="preserve">organisations </w:t>
      </w:r>
      <w:r w:rsidRPr="00653C33">
        <w:rPr>
          <w:rFonts w:ascii="Gill Sans MT" w:hAnsi="Gill Sans MT"/>
          <w:szCs w:val="26"/>
        </w:rPr>
        <w:t xml:space="preserve">may prefer the term </w:t>
      </w:r>
      <w:r w:rsidR="005C4BA5">
        <w:rPr>
          <w:rFonts w:ascii="Gill Sans MT" w:hAnsi="Gill Sans MT"/>
          <w:szCs w:val="26"/>
        </w:rPr>
        <w:t>‘</w:t>
      </w:r>
      <w:r w:rsidRPr="00653C33">
        <w:rPr>
          <w:rFonts w:ascii="Gill Sans MT" w:hAnsi="Gill Sans MT"/>
          <w:szCs w:val="26"/>
        </w:rPr>
        <w:t>Disabled Persons</w:t>
      </w:r>
      <w:r w:rsidRPr="00653C33">
        <w:rPr>
          <w:rFonts w:ascii="Gill Sans MT" w:hAnsi="Gill Sans MT" w:hint="eastAsia"/>
          <w:szCs w:val="26"/>
        </w:rPr>
        <w:t>’</w:t>
      </w:r>
      <w:r w:rsidRPr="00653C33">
        <w:rPr>
          <w:rFonts w:ascii="Gill Sans MT" w:hAnsi="Gill Sans MT"/>
          <w:szCs w:val="26"/>
        </w:rPr>
        <w:t xml:space="preserve"> Representative Organisation (DPRO)</w:t>
      </w:r>
      <w:r w:rsidR="005C4BA5">
        <w:rPr>
          <w:rFonts w:ascii="Gill Sans MT" w:hAnsi="Gill Sans MT"/>
          <w:szCs w:val="26"/>
        </w:rPr>
        <w:t>’</w:t>
      </w:r>
      <w:r w:rsidRPr="00653C33">
        <w:rPr>
          <w:rFonts w:ascii="Gill Sans MT" w:hAnsi="Gill Sans MT"/>
          <w:szCs w:val="26"/>
        </w:rPr>
        <w:t>.</w:t>
      </w:r>
    </w:p>
    <w:p w14:paraId="31DC033B" w14:textId="77777777" w:rsidR="00692826" w:rsidRDefault="00570D8D">
      <w:pPr>
        <w:spacing w:after="0"/>
        <w:rPr>
          <w:rFonts w:ascii="Gill Sans MT" w:hAnsi="Gill Sans MT"/>
          <w:szCs w:val="26"/>
        </w:rPr>
        <w:sectPr w:rsidR="00692826" w:rsidSect="007D2DFC">
          <w:footerReference w:type="default" r:id="rId9"/>
          <w:pgSz w:w="12240" w:h="15840"/>
          <w:pgMar w:top="1440" w:right="1797" w:bottom="1440" w:left="1797" w:header="709" w:footer="709" w:gutter="0"/>
          <w:cols w:space="708"/>
          <w:docGrid w:linePitch="360"/>
        </w:sectPr>
      </w:pPr>
      <w:r>
        <w:rPr>
          <w:rFonts w:ascii="Gill Sans MT" w:hAnsi="Gill Sans MT"/>
          <w:szCs w:val="26"/>
        </w:rPr>
        <w:br w:type="page"/>
      </w:r>
    </w:p>
    <w:p w14:paraId="2E7F4260" w14:textId="334671E7" w:rsidR="00147EEF" w:rsidRDefault="00147EEF" w:rsidP="00147EEF">
      <w:pPr>
        <w:pStyle w:val="Heading1"/>
      </w:pPr>
      <w:r>
        <w:lastRenderedPageBreak/>
        <w:t>Table of Contents</w:t>
      </w:r>
    </w:p>
    <w:p w14:paraId="1F54F9A7" w14:textId="02847AD4" w:rsidR="00147EEF" w:rsidRDefault="00147EEF" w:rsidP="00147EEF">
      <w:pPr>
        <w:pStyle w:val="TOC1"/>
        <w:rPr>
          <w:rFonts w:asciiTheme="minorHAnsi" w:eastAsiaTheme="minorEastAsia" w:hAnsiTheme="minorHAnsi" w:cstheme="minorBidi"/>
          <w:noProof/>
          <w:kern w:val="2"/>
          <w:sz w:val="22"/>
          <w:szCs w:val="22"/>
          <w:lang w:eastAsia="en-IE"/>
          <w14:ligatures w14:val="standardContextual"/>
        </w:rPr>
      </w:pPr>
      <w:r>
        <w:rPr>
          <w:rFonts w:ascii="Gill Sans MT" w:hAnsi="Gill Sans MT"/>
          <w:szCs w:val="26"/>
        </w:rPr>
        <w:fldChar w:fldCharType="begin"/>
      </w:r>
      <w:r>
        <w:rPr>
          <w:rFonts w:ascii="Gill Sans MT" w:hAnsi="Gill Sans MT"/>
          <w:szCs w:val="26"/>
        </w:rPr>
        <w:instrText xml:space="preserve"> TOC \o "1-2" \h \z \u </w:instrText>
      </w:r>
      <w:r>
        <w:rPr>
          <w:rFonts w:ascii="Gill Sans MT" w:hAnsi="Gill Sans MT"/>
          <w:szCs w:val="26"/>
        </w:rPr>
        <w:fldChar w:fldCharType="separate"/>
      </w:r>
      <w:hyperlink w:anchor="_Toc182555688" w:history="1">
        <w:r w:rsidRPr="00B720F1">
          <w:rPr>
            <w:rStyle w:val="Hyperlink"/>
            <w:noProof/>
          </w:rPr>
          <w:t>Acknowledgements</w:t>
        </w:r>
        <w:r>
          <w:rPr>
            <w:noProof/>
            <w:webHidden/>
          </w:rPr>
          <w:tab/>
        </w:r>
        <w:r>
          <w:rPr>
            <w:noProof/>
            <w:webHidden/>
          </w:rPr>
          <w:fldChar w:fldCharType="begin"/>
        </w:r>
        <w:r>
          <w:rPr>
            <w:noProof/>
            <w:webHidden/>
          </w:rPr>
          <w:instrText xml:space="preserve"> PAGEREF _Toc182555688 \h </w:instrText>
        </w:r>
        <w:r>
          <w:rPr>
            <w:noProof/>
            <w:webHidden/>
          </w:rPr>
        </w:r>
        <w:r>
          <w:rPr>
            <w:noProof/>
            <w:webHidden/>
          </w:rPr>
          <w:fldChar w:fldCharType="separate"/>
        </w:r>
        <w:r>
          <w:rPr>
            <w:noProof/>
            <w:webHidden/>
          </w:rPr>
          <w:t>2</w:t>
        </w:r>
        <w:r>
          <w:rPr>
            <w:noProof/>
            <w:webHidden/>
          </w:rPr>
          <w:fldChar w:fldCharType="end"/>
        </w:r>
      </w:hyperlink>
    </w:p>
    <w:p w14:paraId="19FA3165" w14:textId="683D259B"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689" w:history="1">
        <w:r w:rsidR="00147EEF" w:rsidRPr="00B720F1">
          <w:rPr>
            <w:rStyle w:val="Hyperlink"/>
            <w:noProof/>
          </w:rPr>
          <w:t>Statement on language</w:t>
        </w:r>
        <w:r w:rsidR="00147EEF">
          <w:rPr>
            <w:noProof/>
            <w:webHidden/>
          </w:rPr>
          <w:tab/>
        </w:r>
        <w:r w:rsidR="00147EEF">
          <w:rPr>
            <w:noProof/>
            <w:webHidden/>
          </w:rPr>
          <w:fldChar w:fldCharType="begin"/>
        </w:r>
        <w:r w:rsidR="00147EEF">
          <w:rPr>
            <w:noProof/>
            <w:webHidden/>
          </w:rPr>
          <w:instrText xml:space="preserve"> PAGEREF _Toc182555689 \h </w:instrText>
        </w:r>
        <w:r w:rsidR="00147EEF">
          <w:rPr>
            <w:noProof/>
            <w:webHidden/>
          </w:rPr>
        </w:r>
        <w:r w:rsidR="00147EEF">
          <w:rPr>
            <w:noProof/>
            <w:webHidden/>
          </w:rPr>
          <w:fldChar w:fldCharType="separate"/>
        </w:r>
        <w:r w:rsidR="00147EEF">
          <w:rPr>
            <w:noProof/>
            <w:webHidden/>
          </w:rPr>
          <w:t>2</w:t>
        </w:r>
        <w:r w:rsidR="00147EEF">
          <w:rPr>
            <w:noProof/>
            <w:webHidden/>
          </w:rPr>
          <w:fldChar w:fldCharType="end"/>
        </w:r>
      </w:hyperlink>
    </w:p>
    <w:p w14:paraId="2E45AC3C" w14:textId="6ACEE516"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690" w:history="1">
        <w:r w:rsidR="00147EEF" w:rsidRPr="00B720F1">
          <w:rPr>
            <w:rStyle w:val="Hyperlink"/>
            <w:noProof/>
          </w:rPr>
          <w:t>List of tables</w:t>
        </w:r>
        <w:r w:rsidR="00147EEF">
          <w:rPr>
            <w:noProof/>
            <w:webHidden/>
          </w:rPr>
          <w:tab/>
        </w:r>
        <w:r w:rsidR="00147EEF">
          <w:rPr>
            <w:noProof/>
            <w:webHidden/>
          </w:rPr>
          <w:fldChar w:fldCharType="begin"/>
        </w:r>
        <w:r w:rsidR="00147EEF">
          <w:rPr>
            <w:noProof/>
            <w:webHidden/>
          </w:rPr>
          <w:instrText xml:space="preserve"> PAGEREF _Toc182555690 \h </w:instrText>
        </w:r>
        <w:r w:rsidR="00147EEF">
          <w:rPr>
            <w:noProof/>
            <w:webHidden/>
          </w:rPr>
        </w:r>
        <w:r w:rsidR="00147EEF">
          <w:rPr>
            <w:noProof/>
            <w:webHidden/>
          </w:rPr>
          <w:fldChar w:fldCharType="separate"/>
        </w:r>
        <w:r w:rsidR="00147EEF">
          <w:rPr>
            <w:noProof/>
            <w:webHidden/>
          </w:rPr>
          <w:t>6</w:t>
        </w:r>
        <w:r w:rsidR="00147EEF">
          <w:rPr>
            <w:noProof/>
            <w:webHidden/>
          </w:rPr>
          <w:fldChar w:fldCharType="end"/>
        </w:r>
      </w:hyperlink>
    </w:p>
    <w:p w14:paraId="41ED4AA5" w14:textId="4D38CD79"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691" w:history="1">
        <w:r w:rsidR="00147EEF" w:rsidRPr="00B720F1">
          <w:rPr>
            <w:rStyle w:val="Hyperlink"/>
            <w:noProof/>
          </w:rPr>
          <w:t>List of figures</w:t>
        </w:r>
        <w:r w:rsidR="00147EEF">
          <w:rPr>
            <w:noProof/>
            <w:webHidden/>
          </w:rPr>
          <w:tab/>
        </w:r>
        <w:r w:rsidR="00147EEF">
          <w:rPr>
            <w:noProof/>
            <w:webHidden/>
          </w:rPr>
          <w:fldChar w:fldCharType="begin"/>
        </w:r>
        <w:r w:rsidR="00147EEF">
          <w:rPr>
            <w:noProof/>
            <w:webHidden/>
          </w:rPr>
          <w:instrText xml:space="preserve"> PAGEREF _Toc182555691 \h </w:instrText>
        </w:r>
        <w:r w:rsidR="00147EEF">
          <w:rPr>
            <w:noProof/>
            <w:webHidden/>
          </w:rPr>
        </w:r>
        <w:r w:rsidR="00147EEF">
          <w:rPr>
            <w:noProof/>
            <w:webHidden/>
          </w:rPr>
          <w:fldChar w:fldCharType="separate"/>
        </w:r>
        <w:r w:rsidR="00147EEF">
          <w:rPr>
            <w:noProof/>
            <w:webHidden/>
          </w:rPr>
          <w:t>7</w:t>
        </w:r>
        <w:r w:rsidR="00147EEF">
          <w:rPr>
            <w:noProof/>
            <w:webHidden/>
          </w:rPr>
          <w:fldChar w:fldCharType="end"/>
        </w:r>
      </w:hyperlink>
    </w:p>
    <w:p w14:paraId="47557568" w14:textId="10F43B0E"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692" w:history="1">
        <w:r w:rsidR="00147EEF" w:rsidRPr="00B720F1">
          <w:rPr>
            <w:rStyle w:val="Hyperlink"/>
            <w:noProof/>
          </w:rPr>
          <w:t>List of abbreviations</w:t>
        </w:r>
        <w:r w:rsidR="00147EEF">
          <w:rPr>
            <w:noProof/>
            <w:webHidden/>
          </w:rPr>
          <w:tab/>
        </w:r>
        <w:r w:rsidR="00147EEF">
          <w:rPr>
            <w:noProof/>
            <w:webHidden/>
          </w:rPr>
          <w:fldChar w:fldCharType="begin"/>
        </w:r>
        <w:r w:rsidR="00147EEF">
          <w:rPr>
            <w:noProof/>
            <w:webHidden/>
          </w:rPr>
          <w:instrText xml:space="preserve"> PAGEREF _Toc182555692 \h </w:instrText>
        </w:r>
        <w:r w:rsidR="00147EEF">
          <w:rPr>
            <w:noProof/>
            <w:webHidden/>
          </w:rPr>
        </w:r>
        <w:r w:rsidR="00147EEF">
          <w:rPr>
            <w:noProof/>
            <w:webHidden/>
          </w:rPr>
          <w:fldChar w:fldCharType="separate"/>
        </w:r>
        <w:r w:rsidR="00147EEF">
          <w:rPr>
            <w:noProof/>
            <w:webHidden/>
          </w:rPr>
          <w:t>8</w:t>
        </w:r>
        <w:r w:rsidR="00147EEF">
          <w:rPr>
            <w:noProof/>
            <w:webHidden/>
          </w:rPr>
          <w:fldChar w:fldCharType="end"/>
        </w:r>
      </w:hyperlink>
    </w:p>
    <w:p w14:paraId="3485EBFA" w14:textId="4613355F"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693" w:history="1">
        <w:r w:rsidR="00147EEF" w:rsidRPr="00B720F1">
          <w:rPr>
            <w:rStyle w:val="Hyperlink"/>
            <w:noProof/>
          </w:rPr>
          <w:t>Executive Summary</w:t>
        </w:r>
        <w:r w:rsidR="00147EEF">
          <w:rPr>
            <w:noProof/>
            <w:webHidden/>
          </w:rPr>
          <w:tab/>
        </w:r>
        <w:r w:rsidR="00147EEF">
          <w:rPr>
            <w:noProof/>
            <w:webHidden/>
          </w:rPr>
          <w:fldChar w:fldCharType="begin"/>
        </w:r>
        <w:r w:rsidR="00147EEF">
          <w:rPr>
            <w:noProof/>
            <w:webHidden/>
          </w:rPr>
          <w:instrText xml:space="preserve"> PAGEREF _Toc182555693 \h </w:instrText>
        </w:r>
        <w:r w:rsidR="00147EEF">
          <w:rPr>
            <w:noProof/>
            <w:webHidden/>
          </w:rPr>
        </w:r>
        <w:r w:rsidR="00147EEF">
          <w:rPr>
            <w:noProof/>
            <w:webHidden/>
          </w:rPr>
          <w:fldChar w:fldCharType="separate"/>
        </w:r>
        <w:r w:rsidR="00147EEF">
          <w:rPr>
            <w:noProof/>
            <w:webHidden/>
          </w:rPr>
          <w:t>10</w:t>
        </w:r>
        <w:r w:rsidR="00147EEF">
          <w:rPr>
            <w:noProof/>
            <w:webHidden/>
          </w:rPr>
          <w:fldChar w:fldCharType="end"/>
        </w:r>
      </w:hyperlink>
    </w:p>
    <w:p w14:paraId="10BA9D74" w14:textId="3933F4CE"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694" w:history="1">
        <w:r w:rsidR="00147EEF" w:rsidRPr="00B720F1">
          <w:rPr>
            <w:rStyle w:val="Hyperlink"/>
            <w:noProof/>
          </w:rPr>
          <w:t>Introduction</w:t>
        </w:r>
        <w:r w:rsidR="00147EEF">
          <w:rPr>
            <w:noProof/>
            <w:webHidden/>
          </w:rPr>
          <w:tab/>
        </w:r>
        <w:r w:rsidR="00147EEF">
          <w:rPr>
            <w:noProof/>
            <w:webHidden/>
          </w:rPr>
          <w:fldChar w:fldCharType="begin"/>
        </w:r>
        <w:r w:rsidR="00147EEF">
          <w:rPr>
            <w:noProof/>
            <w:webHidden/>
          </w:rPr>
          <w:instrText xml:space="preserve"> PAGEREF _Toc182555694 \h </w:instrText>
        </w:r>
        <w:r w:rsidR="00147EEF">
          <w:rPr>
            <w:noProof/>
            <w:webHidden/>
          </w:rPr>
        </w:r>
        <w:r w:rsidR="00147EEF">
          <w:rPr>
            <w:noProof/>
            <w:webHidden/>
          </w:rPr>
          <w:fldChar w:fldCharType="separate"/>
        </w:r>
        <w:r w:rsidR="00147EEF">
          <w:rPr>
            <w:noProof/>
            <w:webHidden/>
          </w:rPr>
          <w:t>10</w:t>
        </w:r>
        <w:r w:rsidR="00147EEF">
          <w:rPr>
            <w:noProof/>
            <w:webHidden/>
          </w:rPr>
          <w:fldChar w:fldCharType="end"/>
        </w:r>
      </w:hyperlink>
    </w:p>
    <w:p w14:paraId="6237377E" w14:textId="47C01099"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695" w:history="1">
        <w:r w:rsidR="00147EEF" w:rsidRPr="00B720F1">
          <w:rPr>
            <w:rStyle w:val="Hyperlink"/>
            <w:noProof/>
          </w:rPr>
          <w:t>Methodology</w:t>
        </w:r>
        <w:r w:rsidR="00147EEF">
          <w:rPr>
            <w:noProof/>
            <w:webHidden/>
          </w:rPr>
          <w:tab/>
        </w:r>
        <w:r w:rsidR="00147EEF">
          <w:rPr>
            <w:noProof/>
            <w:webHidden/>
          </w:rPr>
          <w:fldChar w:fldCharType="begin"/>
        </w:r>
        <w:r w:rsidR="00147EEF">
          <w:rPr>
            <w:noProof/>
            <w:webHidden/>
          </w:rPr>
          <w:instrText xml:space="preserve"> PAGEREF _Toc182555695 \h </w:instrText>
        </w:r>
        <w:r w:rsidR="00147EEF">
          <w:rPr>
            <w:noProof/>
            <w:webHidden/>
          </w:rPr>
        </w:r>
        <w:r w:rsidR="00147EEF">
          <w:rPr>
            <w:noProof/>
            <w:webHidden/>
          </w:rPr>
          <w:fldChar w:fldCharType="separate"/>
        </w:r>
        <w:r w:rsidR="00147EEF">
          <w:rPr>
            <w:noProof/>
            <w:webHidden/>
          </w:rPr>
          <w:t>11</w:t>
        </w:r>
        <w:r w:rsidR="00147EEF">
          <w:rPr>
            <w:noProof/>
            <w:webHidden/>
          </w:rPr>
          <w:fldChar w:fldCharType="end"/>
        </w:r>
      </w:hyperlink>
    </w:p>
    <w:p w14:paraId="7B58BA21" w14:textId="58797973"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696" w:history="1">
        <w:r w:rsidR="00147EEF" w:rsidRPr="00B720F1">
          <w:rPr>
            <w:rStyle w:val="Hyperlink"/>
            <w:noProof/>
          </w:rPr>
          <w:t>Progress and achievements</w:t>
        </w:r>
        <w:r w:rsidR="00147EEF">
          <w:rPr>
            <w:noProof/>
            <w:webHidden/>
          </w:rPr>
          <w:tab/>
        </w:r>
        <w:r w:rsidR="00147EEF">
          <w:rPr>
            <w:noProof/>
            <w:webHidden/>
          </w:rPr>
          <w:fldChar w:fldCharType="begin"/>
        </w:r>
        <w:r w:rsidR="00147EEF">
          <w:rPr>
            <w:noProof/>
            <w:webHidden/>
          </w:rPr>
          <w:instrText xml:space="preserve"> PAGEREF _Toc182555696 \h </w:instrText>
        </w:r>
        <w:r w:rsidR="00147EEF">
          <w:rPr>
            <w:noProof/>
            <w:webHidden/>
          </w:rPr>
        </w:r>
        <w:r w:rsidR="00147EEF">
          <w:rPr>
            <w:noProof/>
            <w:webHidden/>
          </w:rPr>
          <w:fldChar w:fldCharType="separate"/>
        </w:r>
        <w:r w:rsidR="00147EEF">
          <w:rPr>
            <w:noProof/>
            <w:webHidden/>
          </w:rPr>
          <w:t>12</w:t>
        </w:r>
        <w:r w:rsidR="00147EEF">
          <w:rPr>
            <w:noProof/>
            <w:webHidden/>
          </w:rPr>
          <w:fldChar w:fldCharType="end"/>
        </w:r>
      </w:hyperlink>
    </w:p>
    <w:p w14:paraId="15E990A2" w14:textId="58978490"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697" w:history="1">
        <w:r w:rsidR="00147EEF" w:rsidRPr="00B720F1">
          <w:rPr>
            <w:rStyle w:val="Hyperlink"/>
            <w:noProof/>
          </w:rPr>
          <w:t>Gaps and challenges</w:t>
        </w:r>
        <w:r w:rsidR="00147EEF">
          <w:rPr>
            <w:noProof/>
            <w:webHidden/>
          </w:rPr>
          <w:tab/>
        </w:r>
        <w:r w:rsidR="00147EEF">
          <w:rPr>
            <w:noProof/>
            <w:webHidden/>
          </w:rPr>
          <w:fldChar w:fldCharType="begin"/>
        </w:r>
        <w:r w:rsidR="00147EEF">
          <w:rPr>
            <w:noProof/>
            <w:webHidden/>
          </w:rPr>
          <w:instrText xml:space="preserve"> PAGEREF _Toc182555697 \h </w:instrText>
        </w:r>
        <w:r w:rsidR="00147EEF">
          <w:rPr>
            <w:noProof/>
            <w:webHidden/>
          </w:rPr>
        </w:r>
        <w:r w:rsidR="00147EEF">
          <w:rPr>
            <w:noProof/>
            <w:webHidden/>
          </w:rPr>
          <w:fldChar w:fldCharType="separate"/>
        </w:r>
        <w:r w:rsidR="00147EEF">
          <w:rPr>
            <w:noProof/>
            <w:webHidden/>
          </w:rPr>
          <w:t>14</w:t>
        </w:r>
        <w:r w:rsidR="00147EEF">
          <w:rPr>
            <w:noProof/>
            <w:webHidden/>
          </w:rPr>
          <w:fldChar w:fldCharType="end"/>
        </w:r>
      </w:hyperlink>
    </w:p>
    <w:p w14:paraId="3C5E4814" w14:textId="79AF6B35"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698" w:history="1">
        <w:r w:rsidR="00147EEF" w:rsidRPr="00B720F1">
          <w:rPr>
            <w:rStyle w:val="Hyperlink"/>
            <w:noProof/>
          </w:rPr>
          <w:t>Conclusion</w:t>
        </w:r>
        <w:r w:rsidR="00147EEF">
          <w:rPr>
            <w:noProof/>
            <w:webHidden/>
          </w:rPr>
          <w:tab/>
        </w:r>
        <w:r w:rsidR="00147EEF">
          <w:rPr>
            <w:noProof/>
            <w:webHidden/>
          </w:rPr>
          <w:fldChar w:fldCharType="begin"/>
        </w:r>
        <w:r w:rsidR="00147EEF">
          <w:rPr>
            <w:noProof/>
            <w:webHidden/>
          </w:rPr>
          <w:instrText xml:space="preserve"> PAGEREF _Toc182555698 \h </w:instrText>
        </w:r>
        <w:r w:rsidR="00147EEF">
          <w:rPr>
            <w:noProof/>
            <w:webHidden/>
          </w:rPr>
        </w:r>
        <w:r w:rsidR="00147EEF">
          <w:rPr>
            <w:noProof/>
            <w:webHidden/>
          </w:rPr>
          <w:fldChar w:fldCharType="separate"/>
        </w:r>
        <w:r w:rsidR="00147EEF">
          <w:rPr>
            <w:noProof/>
            <w:webHidden/>
          </w:rPr>
          <w:t>16</w:t>
        </w:r>
        <w:r w:rsidR="00147EEF">
          <w:rPr>
            <w:noProof/>
            <w:webHidden/>
          </w:rPr>
          <w:fldChar w:fldCharType="end"/>
        </w:r>
      </w:hyperlink>
    </w:p>
    <w:p w14:paraId="08000E12" w14:textId="6FDDC2CD"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699" w:history="1">
        <w:r w:rsidR="00147EEF" w:rsidRPr="00B720F1">
          <w:rPr>
            <w:rStyle w:val="Hyperlink"/>
            <w:noProof/>
          </w:rPr>
          <w:t>Introduction</w:t>
        </w:r>
        <w:r w:rsidR="00147EEF">
          <w:rPr>
            <w:noProof/>
            <w:webHidden/>
          </w:rPr>
          <w:tab/>
        </w:r>
        <w:r w:rsidR="00147EEF">
          <w:rPr>
            <w:noProof/>
            <w:webHidden/>
          </w:rPr>
          <w:fldChar w:fldCharType="begin"/>
        </w:r>
        <w:r w:rsidR="00147EEF">
          <w:rPr>
            <w:noProof/>
            <w:webHidden/>
          </w:rPr>
          <w:instrText xml:space="preserve"> PAGEREF _Toc182555699 \h </w:instrText>
        </w:r>
        <w:r w:rsidR="00147EEF">
          <w:rPr>
            <w:noProof/>
            <w:webHidden/>
          </w:rPr>
        </w:r>
        <w:r w:rsidR="00147EEF">
          <w:rPr>
            <w:noProof/>
            <w:webHidden/>
          </w:rPr>
          <w:fldChar w:fldCharType="separate"/>
        </w:r>
        <w:r w:rsidR="00147EEF">
          <w:rPr>
            <w:noProof/>
            <w:webHidden/>
          </w:rPr>
          <w:t>18</w:t>
        </w:r>
        <w:r w:rsidR="00147EEF">
          <w:rPr>
            <w:noProof/>
            <w:webHidden/>
          </w:rPr>
          <w:fldChar w:fldCharType="end"/>
        </w:r>
      </w:hyperlink>
    </w:p>
    <w:p w14:paraId="0528841C" w14:textId="41E99198"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0" w:history="1">
        <w:r w:rsidR="00147EEF" w:rsidRPr="00B720F1">
          <w:rPr>
            <w:rStyle w:val="Hyperlink"/>
            <w:noProof/>
          </w:rPr>
          <w:t>Contextual factors</w:t>
        </w:r>
        <w:r w:rsidR="00147EEF">
          <w:rPr>
            <w:noProof/>
            <w:webHidden/>
          </w:rPr>
          <w:tab/>
        </w:r>
        <w:r w:rsidR="00147EEF">
          <w:rPr>
            <w:noProof/>
            <w:webHidden/>
          </w:rPr>
          <w:fldChar w:fldCharType="begin"/>
        </w:r>
        <w:r w:rsidR="00147EEF">
          <w:rPr>
            <w:noProof/>
            <w:webHidden/>
          </w:rPr>
          <w:instrText xml:space="preserve"> PAGEREF _Toc182555700 \h </w:instrText>
        </w:r>
        <w:r w:rsidR="00147EEF">
          <w:rPr>
            <w:noProof/>
            <w:webHidden/>
          </w:rPr>
        </w:r>
        <w:r w:rsidR="00147EEF">
          <w:rPr>
            <w:noProof/>
            <w:webHidden/>
          </w:rPr>
          <w:fldChar w:fldCharType="separate"/>
        </w:r>
        <w:r w:rsidR="00147EEF">
          <w:rPr>
            <w:noProof/>
            <w:webHidden/>
          </w:rPr>
          <w:t>19</w:t>
        </w:r>
        <w:r w:rsidR="00147EEF">
          <w:rPr>
            <w:noProof/>
            <w:webHidden/>
          </w:rPr>
          <w:fldChar w:fldCharType="end"/>
        </w:r>
      </w:hyperlink>
    </w:p>
    <w:p w14:paraId="7E60E927" w14:textId="1EFA96C6"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1" w:history="1">
        <w:r w:rsidR="00147EEF" w:rsidRPr="00B720F1">
          <w:rPr>
            <w:rStyle w:val="Hyperlink"/>
            <w:noProof/>
          </w:rPr>
          <w:t>Structure of the report</w:t>
        </w:r>
        <w:r w:rsidR="00147EEF">
          <w:rPr>
            <w:noProof/>
            <w:webHidden/>
          </w:rPr>
          <w:tab/>
        </w:r>
        <w:r w:rsidR="00147EEF">
          <w:rPr>
            <w:noProof/>
            <w:webHidden/>
          </w:rPr>
          <w:fldChar w:fldCharType="begin"/>
        </w:r>
        <w:r w:rsidR="00147EEF">
          <w:rPr>
            <w:noProof/>
            <w:webHidden/>
          </w:rPr>
          <w:instrText xml:space="preserve"> PAGEREF _Toc182555701 \h </w:instrText>
        </w:r>
        <w:r w:rsidR="00147EEF">
          <w:rPr>
            <w:noProof/>
            <w:webHidden/>
          </w:rPr>
        </w:r>
        <w:r w:rsidR="00147EEF">
          <w:rPr>
            <w:noProof/>
            <w:webHidden/>
          </w:rPr>
          <w:fldChar w:fldCharType="separate"/>
        </w:r>
        <w:r w:rsidR="00147EEF">
          <w:rPr>
            <w:noProof/>
            <w:webHidden/>
          </w:rPr>
          <w:t>21</w:t>
        </w:r>
        <w:r w:rsidR="00147EEF">
          <w:rPr>
            <w:noProof/>
            <w:webHidden/>
          </w:rPr>
          <w:fldChar w:fldCharType="end"/>
        </w:r>
      </w:hyperlink>
    </w:p>
    <w:p w14:paraId="66DD8C34" w14:textId="0104915D"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02" w:history="1">
        <w:r w:rsidR="00147EEF" w:rsidRPr="00B720F1">
          <w:rPr>
            <w:rStyle w:val="Hyperlink"/>
            <w:noProof/>
          </w:rPr>
          <w:t>Methodology</w:t>
        </w:r>
        <w:r w:rsidR="00147EEF">
          <w:rPr>
            <w:noProof/>
            <w:webHidden/>
          </w:rPr>
          <w:tab/>
        </w:r>
        <w:r w:rsidR="00147EEF">
          <w:rPr>
            <w:noProof/>
            <w:webHidden/>
          </w:rPr>
          <w:fldChar w:fldCharType="begin"/>
        </w:r>
        <w:r w:rsidR="00147EEF">
          <w:rPr>
            <w:noProof/>
            <w:webHidden/>
          </w:rPr>
          <w:instrText xml:space="preserve"> PAGEREF _Toc182555702 \h </w:instrText>
        </w:r>
        <w:r w:rsidR="00147EEF">
          <w:rPr>
            <w:noProof/>
            <w:webHidden/>
          </w:rPr>
        </w:r>
        <w:r w:rsidR="00147EEF">
          <w:rPr>
            <w:noProof/>
            <w:webHidden/>
          </w:rPr>
          <w:fldChar w:fldCharType="separate"/>
        </w:r>
        <w:r w:rsidR="00147EEF">
          <w:rPr>
            <w:noProof/>
            <w:webHidden/>
          </w:rPr>
          <w:t>21</w:t>
        </w:r>
        <w:r w:rsidR="00147EEF">
          <w:rPr>
            <w:noProof/>
            <w:webHidden/>
          </w:rPr>
          <w:fldChar w:fldCharType="end"/>
        </w:r>
      </w:hyperlink>
    </w:p>
    <w:p w14:paraId="5C589DA7" w14:textId="411A9D37"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3" w:history="1">
        <w:r w:rsidR="00147EEF" w:rsidRPr="00B720F1">
          <w:rPr>
            <w:rStyle w:val="Hyperlink"/>
            <w:noProof/>
          </w:rPr>
          <w:t>Collecting views of stakeholders involved in CES delivery and monitoring</w:t>
        </w:r>
        <w:r w:rsidR="00147EEF">
          <w:rPr>
            <w:noProof/>
            <w:webHidden/>
          </w:rPr>
          <w:tab/>
        </w:r>
        <w:r w:rsidR="00147EEF">
          <w:rPr>
            <w:noProof/>
            <w:webHidden/>
          </w:rPr>
          <w:fldChar w:fldCharType="begin"/>
        </w:r>
        <w:r w:rsidR="00147EEF">
          <w:rPr>
            <w:noProof/>
            <w:webHidden/>
          </w:rPr>
          <w:instrText xml:space="preserve"> PAGEREF _Toc182555703 \h </w:instrText>
        </w:r>
        <w:r w:rsidR="00147EEF">
          <w:rPr>
            <w:noProof/>
            <w:webHidden/>
          </w:rPr>
        </w:r>
        <w:r w:rsidR="00147EEF">
          <w:rPr>
            <w:noProof/>
            <w:webHidden/>
          </w:rPr>
          <w:fldChar w:fldCharType="separate"/>
        </w:r>
        <w:r w:rsidR="00147EEF">
          <w:rPr>
            <w:noProof/>
            <w:webHidden/>
          </w:rPr>
          <w:t>21</w:t>
        </w:r>
        <w:r w:rsidR="00147EEF">
          <w:rPr>
            <w:noProof/>
            <w:webHidden/>
          </w:rPr>
          <w:fldChar w:fldCharType="end"/>
        </w:r>
      </w:hyperlink>
    </w:p>
    <w:p w14:paraId="4EA4E5AF" w14:textId="779CB60C"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4" w:history="1">
        <w:r w:rsidR="00147EEF" w:rsidRPr="00B720F1">
          <w:rPr>
            <w:rStyle w:val="Hyperlink"/>
            <w:noProof/>
          </w:rPr>
          <w:t>Capturing lived experience of people with disabilities</w:t>
        </w:r>
        <w:r w:rsidR="00147EEF">
          <w:rPr>
            <w:noProof/>
            <w:webHidden/>
          </w:rPr>
          <w:tab/>
        </w:r>
        <w:r w:rsidR="00147EEF">
          <w:rPr>
            <w:noProof/>
            <w:webHidden/>
          </w:rPr>
          <w:fldChar w:fldCharType="begin"/>
        </w:r>
        <w:r w:rsidR="00147EEF">
          <w:rPr>
            <w:noProof/>
            <w:webHidden/>
          </w:rPr>
          <w:instrText xml:space="preserve"> PAGEREF _Toc182555704 \h </w:instrText>
        </w:r>
        <w:r w:rsidR="00147EEF">
          <w:rPr>
            <w:noProof/>
            <w:webHidden/>
          </w:rPr>
        </w:r>
        <w:r w:rsidR="00147EEF">
          <w:rPr>
            <w:noProof/>
            <w:webHidden/>
          </w:rPr>
          <w:fldChar w:fldCharType="separate"/>
        </w:r>
        <w:r w:rsidR="00147EEF">
          <w:rPr>
            <w:noProof/>
            <w:webHidden/>
          </w:rPr>
          <w:t>22</w:t>
        </w:r>
        <w:r w:rsidR="00147EEF">
          <w:rPr>
            <w:noProof/>
            <w:webHidden/>
          </w:rPr>
          <w:fldChar w:fldCharType="end"/>
        </w:r>
      </w:hyperlink>
    </w:p>
    <w:p w14:paraId="270C587F" w14:textId="09B496BC"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5" w:history="1">
        <w:r w:rsidR="00147EEF" w:rsidRPr="00B720F1">
          <w:rPr>
            <w:rStyle w:val="Hyperlink"/>
            <w:noProof/>
          </w:rPr>
          <w:t>Examining indicators of progress</w:t>
        </w:r>
        <w:r w:rsidR="00147EEF">
          <w:rPr>
            <w:noProof/>
            <w:webHidden/>
          </w:rPr>
          <w:tab/>
        </w:r>
        <w:r w:rsidR="00147EEF">
          <w:rPr>
            <w:noProof/>
            <w:webHidden/>
          </w:rPr>
          <w:fldChar w:fldCharType="begin"/>
        </w:r>
        <w:r w:rsidR="00147EEF">
          <w:rPr>
            <w:noProof/>
            <w:webHidden/>
          </w:rPr>
          <w:instrText xml:space="preserve"> PAGEREF _Toc182555705 \h </w:instrText>
        </w:r>
        <w:r w:rsidR="00147EEF">
          <w:rPr>
            <w:noProof/>
            <w:webHidden/>
          </w:rPr>
        </w:r>
        <w:r w:rsidR="00147EEF">
          <w:rPr>
            <w:noProof/>
            <w:webHidden/>
          </w:rPr>
          <w:fldChar w:fldCharType="separate"/>
        </w:r>
        <w:r w:rsidR="00147EEF">
          <w:rPr>
            <w:noProof/>
            <w:webHidden/>
          </w:rPr>
          <w:t>23</w:t>
        </w:r>
        <w:r w:rsidR="00147EEF">
          <w:rPr>
            <w:noProof/>
            <w:webHidden/>
          </w:rPr>
          <w:fldChar w:fldCharType="end"/>
        </w:r>
      </w:hyperlink>
    </w:p>
    <w:p w14:paraId="1FABC586" w14:textId="645AB579"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06" w:history="1">
        <w:r w:rsidR="00147EEF" w:rsidRPr="00B720F1">
          <w:rPr>
            <w:rStyle w:val="Hyperlink"/>
            <w:noProof/>
          </w:rPr>
          <w:t>Primary indicators of progress under the CES</w:t>
        </w:r>
        <w:r w:rsidR="00147EEF">
          <w:rPr>
            <w:noProof/>
            <w:webHidden/>
          </w:rPr>
          <w:tab/>
        </w:r>
        <w:r w:rsidR="00147EEF">
          <w:rPr>
            <w:noProof/>
            <w:webHidden/>
          </w:rPr>
          <w:fldChar w:fldCharType="begin"/>
        </w:r>
        <w:r w:rsidR="00147EEF">
          <w:rPr>
            <w:noProof/>
            <w:webHidden/>
          </w:rPr>
          <w:instrText xml:space="preserve"> PAGEREF _Toc182555706 \h </w:instrText>
        </w:r>
        <w:r w:rsidR="00147EEF">
          <w:rPr>
            <w:noProof/>
            <w:webHidden/>
          </w:rPr>
        </w:r>
        <w:r w:rsidR="00147EEF">
          <w:rPr>
            <w:noProof/>
            <w:webHidden/>
          </w:rPr>
          <w:fldChar w:fldCharType="separate"/>
        </w:r>
        <w:r w:rsidR="00147EEF">
          <w:rPr>
            <w:noProof/>
            <w:webHidden/>
          </w:rPr>
          <w:t>26</w:t>
        </w:r>
        <w:r w:rsidR="00147EEF">
          <w:rPr>
            <w:noProof/>
            <w:webHidden/>
          </w:rPr>
          <w:fldChar w:fldCharType="end"/>
        </w:r>
      </w:hyperlink>
    </w:p>
    <w:p w14:paraId="1BC560CD" w14:textId="5E819905"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7" w:history="1">
        <w:r w:rsidR="00147EEF" w:rsidRPr="00B720F1">
          <w:rPr>
            <w:rStyle w:val="Hyperlink"/>
            <w:noProof/>
          </w:rPr>
          <w:t>Primary indicator A</w:t>
        </w:r>
        <w:r w:rsidR="00147EEF">
          <w:rPr>
            <w:noProof/>
            <w:webHidden/>
          </w:rPr>
          <w:tab/>
        </w:r>
        <w:r w:rsidR="00147EEF">
          <w:rPr>
            <w:noProof/>
            <w:webHidden/>
          </w:rPr>
          <w:fldChar w:fldCharType="begin"/>
        </w:r>
        <w:r w:rsidR="00147EEF">
          <w:rPr>
            <w:noProof/>
            <w:webHidden/>
          </w:rPr>
          <w:instrText xml:space="preserve"> PAGEREF _Toc182555707 \h </w:instrText>
        </w:r>
        <w:r w:rsidR="00147EEF">
          <w:rPr>
            <w:noProof/>
            <w:webHidden/>
          </w:rPr>
        </w:r>
        <w:r w:rsidR="00147EEF">
          <w:rPr>
            <w:noProof/>
            <w:webHidden/>
          </w:rPr>
          <w:fldChar w:fldCharType="separate"/>
        </w:r>
        <w:r w:rsidR="00147EEF">
          <w:rPr>
            <w:noProof/>
            <w:webHidden/>
          </w:rPr>
          <w:t>26</w:t>
        </w:r>
        <w:r w:rsidR="00147EEF">
          <w:rPr>
            <w:noProof/>
            <w:webHidden/>
          </w:rPr>
          <w:fldChar w:fldCharType="end"/>
        </w:r>
      </w:hyperlink>
    </w:p>
    <w:p w14:paraId="7E1F5802" w14:textId="7CFB6F45"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08" w:history="1">
        <w:r w:rsidR="00147EEF" w:rsidRPr="00B720F1">
          <w:rPr>
            <w:rStyle w:val="Hyperlink"/>
            <w:noProof/>
            <w:lang w:eastAsia="en-IE"/>
          </w:rPr>
          <w:t>Primary Indicator B</w:t>
        </w:r>
        <w:r w:rsidR="00147EEF">
          <w:rPr>
            <w:noProof/>
            <w:webHidden/>
          </w:rPr>
          <w:tab/>
        </w:r>
        <w:r w:rsidR="00147EEF">
          <w:rPr>
            <w:noProof/>
            <w:webHidden/>
          </w:rPr>
          <w:fldChar w:fldCharType="begin"/>
        </w:r>
        <w:r w:rsidR="00147EEF">
          <w:rPr>
            <w:noProof/>
            <w:webHidden/>
          </w:rPr>
          <w:instrText xml:space="preserve"> PAGEREF _Toc182555708 \h </w:instrText>
        </w:r>
        <w:r w:rsidR="00147EEF">
          <w:rPr>
            <w:noProof/>
            <w:webHidden/>
          </w:rPr>
        </w:r>
        <w:r w:rsidR="00147EEF">
          <w:rPr>
            <w:noProof/>
            <w:webHidden/>
          </w:rPr>
          <w:fldChar w:fldCharType="separate"/>
        </w:r>
        <w:r w:rsidR="00147EEF">
          <w:rPr>
            <w:noProof/>
            <w:webHidden/>
          </w:rPr>
          <w:t>29</w:t>
        </w:r>
        <w:r w:rsidR="00147EEF">
          <w:rPr>
            <w:noProof/>
            <w:webHidden/>
          </w:rPr>
          <w:fldChar w:fldCharType="end"/>
        </w:r>
      </w:hyperlink>
    </w:p>
    <w:p w14:paraId="13804621" w14:textId="79D68D78"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09" w:history="1">
        <w:r w:rsidR="00147EEF" w:rsidRPr="00B720F1">
          <w:rPr>
            <w:rStyle w:val="Hyperlink"/>
            <w:noProof/>
            <w:lang w:eastAsia="en-IE"/>
          </w:rPr>
          <w:t>Strategic Priority 1: Building skills, capacity and independence.</w:t>
        </w:r>
        <w:r w:rsidR="00147EEF">
          <w:rPr>
            <w:noProof/>
            <w:webHidden/>
          </w:rPr>
          <w:tab/>
        </w:r>
        <w:r w:rsidR="00147EEF">
          <w:rPr>
            <w:noProof/>
            <w:webHidden/>
          </w:rPr>
          <w:fldChar w:fldCharType="begin"/>
        </w:r>
        <w:r w:rsidR="00147EEF">
          <w:rPr>
            <w:noProof/>
            <w:webHidden/>
          </w:rPr>
          <w:instrText xml:space="preserve"> PAGEREF _Toc182555709 \h </w:instrText>
        </w:r>
        <w:r w:rsidR="00147EEF">
          <w:rPr>
            <w:noProof/>
            <w:webHidden/>
          </w:rPr>
        </w:r>
        <w:r w:rsidR="00147EEF">
          <w:rPr>
            <w:noProof/>
            <w:webHidden/>
          </w:rPr>
          <w:fldChar w:fldCharType="separate"/>
        </w:r>
        <w:r w:rsidR="00147EEF">
          <w:rPr>
            <w:noProof/>
            <w:webHidden/>
          </w:rPr>
          <w:t>31</w:t>
        </w:r>
        <w:r w:rsidR="00147EEF">
          <w:rPr>
            <w:noProof/>
            <w:webHidden/>
          </w:rPr>
          <w:fldChar w:fldCharType="end"/>
        </w:r>
      </w:hyperlink>
    </w:p>
    <w:p w14:paraId="3B0F2E24" w14:textId="50FFEAA5"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0" w:history="1">
        <w:r w:rsidR="00147EEF" w:rsidRPr="00B720F1">
          <w:rPr>
            <w:rStyle w:val="Hyperlink"/>
            <w:noProof/>
            <w:lang w:eastAsia="en-IE"/>
          </w:rPr>
          <w:t>1.1 Number of children receiving targeted pre-school support (levels 4-7 of the Access and Inclusion Model) (Process)</w:t>
        </w:r>
        <w:r w:rsidR="00147EEF">
          <w:rPr>
            <w:noProof/>
            <w:webHidden/>
          </w:rPr>
          <w:tab/>
        </w:r>
        <w:r w:rsidR="00147EEF">
          <w:rPr>
            <w:noProof/>
            <w:webHidden/>
          </w:rPr>
          <w:fldChar w:fldCharType="begin"/>
        </w:r>
        <w:r w:rsidR="00147EEF">
          <w:rPr>
            <w:noProof/>
            <w:webHidden/>
          </w:rPr>
          <w:instrText xml:space="preserve"> PAGEREF _Toc182555710 \h </w:instrText>
        </w:r>
        <w:r w:rsidR="00147EEF">
          <w:rPr>
            <w:noProof/>
            <w:webHidden/>
          </w:rPr>
        </w:r>
        <w:r w:rsidR="00147EEF">
          <w:rPr>
            <w:noProof/>
            <w:webHidden/>
          </w:rPr>
          <w:fldChar w:fldCharType="separate"/>
        </w:r>
        <w:r w:rsidR="00147EEF">
          <w:rPr>
            <w:noProof/>
            <w:webHidden/>
          </w:rPr>
          <w:t>31</w:t>
        </w:r>
        <w:r w:rsidR="00147EEF">
          <w:rPr>
            <w:noProof/>
            <w:webHidden/>
          </w:rPr>
          <w:fldChar w:fldCharType="end"/>
        </w:r>
      </w:hyperlink>
    </w:p>
    <w:p w14:paraId="5069DFDD" w14:textId="2DD1E31C"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1" w:history="1">
        <w:r w:rsidR="00147EEF" w:rsidRPr="00B720F1">
          <w:rPr>
            <w:rStyle w:val="Hyperlink"/>
            <w:noProof/>
          </w:rPr>
          <w:t>1.2 Proportion of people with and without disabilities achieving each educational attainment level (primary, secondary, tertiary, FET) by disability type (Process)</w:t>
        </w:r>
        <w:r w:rsidR="00147EEF">
          <w:rPr>
            <w:noProof/>
            <w:webHidden/>
          </w:rPr>
          <w:tab/>
        </w:r>
        <w:r w:rsidR="00147EEF">
          <w:rPr>
            <w:noProof/>
            <w:webHidden/>
          </w:rPr>
          <w:fldChar w:fldCharType="begin"/>
        </w:r>
        <w:r w:rsidR="00147EEF">
          <w:rPr>
            <w:noProof/>
            <w:webHidden/>
          </w:rPr>
          <w:instrText xml:space="preserve"> PAGEREF _Toc182555711 \h </w:instrText>
        </w:r>
        <w:r w:rsidR="00147EEF">
          <w:rPr>
            <w:noProof/>
            <w:webHidden/>
          </w:rPr>
        </w:r>
        <w:r w:rsidR="00147EEF">
          <w:rPr>
            <w:noProof/>
            <w:webHidden/>
          </w:rPr>
          <w:fldChar w:fldCharType="separate"/>
        </w:r>
        <w:r w:rsidR="00147EEF">
          <w:rPr>
            <w:noProof/>
            <w:webHidden/>
          </w:rPr>
          <w:t>32</w:t>
        </w:r>
        <w:r w:rsidR="00147EEF">
          <w:rPr>
            <w:noProof/>
            <w:webHidden/>
          </w:rPr>
          <w:fldChar w:fldCharType="end"/>
        </w:r>
      </w:hyperlink>
    </w:p>
    <w:p w14:paraId="08BDF163" w14:textId="40FED791"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2" w:history="1">
        <w:r w:rsidR="00147EEF" w:rsidRPr="00147EEF">
          <w:rPr>
            <w:rStyle w:val="Hyperlink"/>
            <w:rFonts w:ascii="Gill Sans MT" w:hAnsi="Gill Sans MT" w:cs="Arial Bold"/>
            <w:iCs/>
            <w:noProof/>
          </w:rPr>
          <w:t xml:space="preserve">1.3 </w:t>
        </w:r>
        <w:r w:rsidR="00147EEF" w:rsidRPr="00147EEF">
          <w:rPr>
            <w:rStyle w:val="Hyperlink"/>
            <w:rFonts w:ascii="Gill Sans MT" w:hAnsi="Gill Sans MT" w:cs="Arial Bold"/>
            <w:iCs/>
            <w:noProof/>
            <w:lang w:eastAsia="en-IE"/>
          </w:rPr>
          <w:t xml:space="preserve">Proportion of all people accessing higher education, further education and training who have a disability </w:t>
        </w:r>
        <w:r w:rsidR="00147EEF" w:rsidRPr="00147EEF">
          <w:rPr>
            <w:rStyle w:val="Hyperlink"/>
            <w:rFonts w:ascii="Gill Sans MT" w:hAnsi="Gill Sans MT" w:cs="Arial Bold"/>
            <w:iCs/>
            <w:noProof/>
          </w:rPr>
          <w:t>(Process)</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_Toc182555712 \h </w:instrText>
        </w:r>
        <w:r w:rsidR="00147EEF" w:rsidRPr="00147EEF">
          <w:rPr>
            <w:noProof/>
            <w:webHidden/>
          </w:rPr>
        </w:r>
        <w:r w:rsidR="00147EEF" w:rsidRPr="00147EEF">
          <w:rPr>
            <w:noProof/>
            <w:webHidden/>
          </w:rPr>
          <w:fldChar w:fldCharType="separate"/>
        </w:r>
        <w:r w:rsidR="00147EEF">
          <w:rPr>
            <w:noProof/>
            <w:webHidden/>
          </w:rPr>
          <w:t>38</w:t>
        </w:r>
        <w:r w:rsidR="00147EEF" w:rsidRPr="00147EEF">
          <w:rPr>
            <w:noProof/>
            <w:webHidden/>
          </w:rPr>
          <w:fldChar w:fldCharType="end"/>
        </w:r>
      </w:hyperlink>
    </w:p>
    <w:p w14:paraId="79E21D1B" w14:textId="2EF5C711"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3" w:history="1">
        <w:r w:rsidR="00147EEF" w:rsidRPr="00147EEF">
          <w:rPr>
            <w:rStyle w:val="Hyperlink"/>
            <w:rFonts w:ascii="Gill Sans MT" w:hAnsi="Gill Sans MT" w:cs="Arial Bold"/>
            <w:iCs/>
            <w:noProof/>
          </w:rPr>
          <w:t>1.4 Improved transition planning for children and young people with disabilities (Process)</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_Toc182555713 \h </w:instrText>
        </w:r>
        <w:r w:rsidR="00147EEF" w:rsidRPr="00147EEF">
          <w:rPr>
            <w:noProof/>
            <w:webHidden/>
          </w:rPr>
        </w:r>
        <w:r w:rsidR="00147EEF" w:rsidRPr="00147EEF">
          <w:rPr>
            <w:noProof/>
            <w:webHidden/>
          </w:rPr>
          <w:fldChar w:fldCharType="separate"/>
        </w:r>
        <w:r w:rsidR="00147EEF">
          <w:rPr>
            <w:noProof/>
            <w:webHidden/>
          </w:rPr>
          <w:t>42</w:t>
        </w:r>
        <w:r w:rsidR="00147EEF" w:rsidRPr="00147EEF">
          <w:rPr>
            <w:noProof/>
            <w:webHidden/>
          </w:rPr>
          <w:fldChar w:fldCharType="end"/>
        </w:r>
      </w:hyperlink>
    </w:p>
    <w:p w14:paraId="72839336" w14:textId="010D41E7"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4" w:history="1">
        <w:r w:rsidR="00147EEF" w:rsidRPr="00147EEF">
          <w:rPr>
            <w:rStyle w:val="Hyperlink"/>
            <w:rFonts w:ascii="Gill Sans MT" w:hAnsi="Gill Sans MT" w:cs="Arial Bold"/>
            <w:iCs/>
            <w:noProof/>
            <w:lang w:eastAsia="en-IE"/>
          </w:rPr>
          <w:t>1.5 Destination of persons exiting Rehabilitative Training – i.e. to work, further education and training, or other (Outcome)</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_Toc182555714 \h </w:instrText>
        </w:r>
        <w:r w:rsidR="00147EEF" w:rsidRPr="00147EEF">
          <w:rPr>
            <w:noProof/>
            <w:webHidden/>
          </w:rPr>
        </w:r>
        <w:r w:rsidR="00147EEF" w:rsidRPr="00147EEF">
          <w:rPr>
            <w:noProof/>
            <w:webHidden/>
          </w:rPr>
          <w:fldChar w:fldCharType="separate"/>
        </w:r>
        <w:r w:rsidR="00147EEF">
          <w:rPr>
            <w:noProof/>
            <w:webHidden/>
          </w:rPr>
          <w:t>46</w:t>
        </w:r>
        <w:r w:rsidR="00147EEF" w:rsidRPr="00147EEF">
          <w:rPr>
            <w:noProof/>
            <w:webHidden/>
          </w:rPr>
          <w:fldChar w:fldCharType="end"/>
        </w:r>
      </w:hyperlink>
    </w:p>
    <w:p w14:paraId="3CB368F1" w14:textId="1AE89F30"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5" w:history="1">
        <w:r w:rsidR="00147EEF" w:rsidRPr="00147EEF">
          <w:rPr>
            <w:rStyle w:val="Hyperlink"/>
            <w:rFonts w:ascii="Gill Sans MT" w:hAnsi="Gill Sans MT" w:cs="Arial Bold"/>
            <w:iCs/>
            <w:noProof/>
          </w:rPr>
          <w:t>1.6 Proportion of Disability Allowance recipients aged 16-19 (Process)</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_Toc182555715 \h </w:instrText>
        </w:r>
        <w:r w:rsidR="00147EEF" w:rsidRPr="00147EEF">
          <w:rPr>
            <w:noProof/>
            <w:webHidden/>
          </w:rPr>
        </w:r>
        <w:r w:rsidR="00147EEF" w:rsidRPr="00147EEF">
          <w:rPr>
            <w:noProof/>
            <w:webHidden/>
          </w:rPr>
          <w:fldChar w:fldCharType="separate"/>
        </w:r>
        <w:r w:rsidR="00147EEF">
          <w:rPr>
            <w:noProof/>
            <w:webHidden/>
          </w:rPr>
          <w:t>49</w:t>
        </w:r>
        <w:r w:rsidR="00147EEF" w:rsidRPr="00147EEF">
          <w:rPr>
            <w:noProof/>
            <w:webHidden/>
          </w:rPr>
          <w:fldChar w:fldCharType="end"/>
        </w:r>
      </w:hyperlink>
    </w:p>
    <w:p w14:paraId="49CDB5CC" w14:textId="67A7E6E1"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6" w:history="1">
        <w:r w:rsidR="00147EEF" w:rsidRPr="00147EEF">
          <w:rPr>
            <w:rStyle w:val="Hyperlink"/>
            <w:rFonts w:ascii="Gill Sans MT" w:hAnsi="Gill Sans MT" w:cs="Arial Bold"/>
            <w:iCs/>
            <w:noProof/>
          </w:rPr>
          <w:t>1.7 Numbers of Back to Education Allowance recipients with disabilities (Process)</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_Toc182555716 \h </w:instrText>
        </w:r>
        <w:r w:rsidR="00147EEF" w:rsidRPr="00147EEF">
          <w:rPr>
            <w:noProof/>
            <w:webHidden/>
          </w:rPr>
        </w:r>
        <w:r w:rsidR="00147EEF" w:rsidRPr="00147EEF">
          <w:rPr>
            <w:noProof/>
            <w:webHidden/>
          </w:rPr>
          <w:fldChar w:fldCharType="separate"/>
        </w:r>
        <w:r w:rsidR="00147EEF">
          <w:rPr>
            <w:noProof/>
            <w:webHidden/>
          </w:rPr>
          <w:t>49</w:t>
        </w:r>
        <w:r w:rsidR="00147EEF" w:rsidRPr="00147EEF">
          <w:rPr>
            <w:noProof/>
            <w:webHidden/>
          </w:rPr>
          <w:fldChar w:fldCharType="end"/>
        </w:r>
      </w:hyperlink>
    </w:p>
    <w:p w14:paraId="73C4418D" w14:textId="5A965000"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7" w:history="1">
        <w:r w:rsidR="00147EEF" w:rsidRPr="00147EEF">
          <w:rPr>
            <w:rStyle w:val="Hyperlink"/>
            <w:rFonts w:ascii="Gill Sans MT" w:hAnsi="Gill Sans MT" w:cs="Arial Bold"/>
            <w:iCs/>
            <w:noProof/>
          </w:rPr>
          <w:t>1.8 The proportion of persons with disabilities who are early school leavers compared to persons without disabilities (Outcome)</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_Toc182555717 \h </w:instrText>
        </w:r>
        <w:r w:rsidR="00147EEF" w:rsidRPr="00147EEF">
          <w:rPr>
            <w:noProof/>
            <w:webHidden/>
          </w:rPr>
        </w:r>
        <w:r w:rsidR="00147EEF" w:rsidRPr="00147EEF">
          <w:rPr>
            <w:noProof/>
            <w:webHidden/>
          </w:rPr>
          <w:fldChar w:fldCharType="separate"/>
        </w:r>
        <w:r w:rsidR="00147EEF">
          <w:rPr>
            <w:noProof/>
            <w:webHidden/>
          </w:rPr>
          <w:t>50</w:t>
        </w:r>
        <w:r w:rsidR="00147EEF" w:rsidRPr="00147EEF">
          <w:rPr>
            <w:noProof/>
            <w:webHidden/>
          </w:rPr>
          <w:fldChar w:fldCharType="end"/>
        </w:r>
      </w:hyperlink>
    </w:p>
    <w:p w14:paraId="4B13B462" w14:textId="20ACA892"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18" w:history="1">
        <w:r w:rsidR="00147EEF" w:rsidRPr="00B720F1">
          <w:rPr>
            <w:rStyle w:val="Hyperlink"/>
            <w:noProof/>
          </w:rPr>
          <w:t>Overview of SP1</w:t>
        </w:r>
        <w:r w:rsidR="00147EEF">
          <w:rPr>
            <w:noProof/>
            <w:webHidden/>
          </w:rPr>
          <w:tab/>
        </w:r>
        <w:r w:rsidR="00147EEF">
          <w:rPr>
            <w:noProof/>
            <w:webHidden/>
          </w:rPr>
          <w:fldChar w:fldCharType="begin"/>
        </w:r>
        <w:r w:rsidR="00147EEF">
          <w:rPr>
            <w:noProof/>
            <w:webHidden/>
          </w:rPr>
          <w:instrText xml:space="preserve"> PAGEREF _Toc182555718 \h </w:instrText>
        </w:r>
        <w:r w:rsidR="00147EEF">
          <w:rPr>
            <w:noProof/>
            <w:webHidden/>
          </w:rPr>
        </w:r>
        <w:r w:rsidR="00147EEF">
          <w:rPr>
            <w:noProof/>
            <w:webHidden/>
          </w:rPr>
          <w:fldChar w:fldCharType="separate"/>
        </w:r>
        <w:r w:rsidR="00147EEF">
          <w:rPr>
            <w:noProof/>
            <w:webHidden/>
          </w:rPr>
          <w:t>51</w:t>
        </w:r>
        <w:r w:rsidR="00147EEF">
          <w:rPr>
            <w:noProof/>
            <w:webHidden/>
          </w:rPr>
          <w:fldChar w:fldCharType="end"/>
        </w:r>
      </w:hyperlink>
    </w:p>
    <w:p w14:paraId="4DFBFEAC" w14:textId="1508CE89"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19" w:history="1">
        <w:r w:rsidR="00147EEF" w:rsidRPr="00B720F1">
          <w:rPr>
            <w:rStyle w:val="Hyperlink"/>
            <w:noProof/>
          </w:rPr>
          <w:t>Strategic Priority 2: Provide bridges and supports into work</w:t>
        </w:r>
        <w:r w:rsidR="00147EEF">
          <w:rPr>
            <w:noProof/>
            <w:webHidden/>
          </w:rPr>
          <w:tab/>
        </w:r>
        <w:r w:rsidR="00147EEF">
          <w:rPr>
            <w:noProof/>
            <w:webHidden/>
          </w:rPr>
          <w:fldChar w:fldCharType="begin"/>
        </w:r>
        <w:r w:rsidR="00147EEF">
          <w:rPr>
            <w:noProof/>
            <w:webHidden/>
          </w:rPr>
          <w:instrText xml:space="preserve"> PAGEREF _Toc182555719 \h </w:instrText>
        </w:r>
        <w:r w:rsidR="00147EEF">
          <w:rPr>
            <w:noProof/>
            <w:webHidden/>
          </w:rPr>
        </w:r>
        <w:r w:rsidR="00147EEF">
          <w:rPr>
            <w:noProof/>
            <w:webHidden/>
          </w:rPr>
          <w:fldChar w:fldCharType="separate"/>
        </w:r>
        <w:r w:rsidR="00147EEF">
          <w:rPr>
            <w:noProof/>
            <w:webHidden/>
          </w:rPr>
          <w:t>53</w:t>
        </w:r>
        <w:r w:rsidR="00147EEF">
          <w:rPr>
            <w:noProof/>
            <w:webHidden/>
          </w:rPr>
          <w:fldChar w:fldCharType="end"/>
        </w:r>
      </w:hyperlink>
    </w:p>
    <w:p w14:paraId="5765FBFA" w14:textId="1C37E08F"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0" w:history="1">
        <w:r w:rsidR="00147EEF" w:rsidRPr="00B720F1">
          <w:rPr>
            <w:rStyle w:val="Hyperlink"/>
            <w:noProof/>
            <w:lang w:eastAsia="en-IE"/>
          </w:rPr>
          <w:t>2.2 Numbers of persons with disabilities in work placements, internships, work learning programmes, and apprenticeships (Process)</w:t>
        </w:r>
        <w:r w:rsidR="00147EEF">
          <w:rPr>
            <w:noProof/>
            <w:webHidden/>
          </w:rPr>
          <w:tab/>
        </w:r>
        <w:r w:rsidR="00147EEF">
          <w:rPr>
            <w:noProof/>
            <w:webHidden/>
          </w:rPr>
          <w:fldChar w:fldCharType="begin"/>
        </w:r>
        <w:r w:rsidR="00147EEF">
          <w:rPr>
            <w:noProof/>
            <w:webHidden/>
          </w:rPr>
          <w:instrText xml:space="preserve"> PAGEREF _Toc182555720 \h </w:instrText>
        </w:r>
        <w:r w:rsidR="00147EEF">
          <w:rPr>
            <w:noProof/>
            <w:webHidden/>
          </w:rPr>
        </w:r>
        <w:r w:rsidR="00147EEF">
          <w:rPr>
            <w:noProof/>
            <w:webHidden/>
          </w:rPr>
          <w:fldChar w:fldCharType="separate"/>
        </w:r>
        <w:r w:rsidR="00147EEF">
          <w:rPr>
            <w:noProof/>
            <w:webHidden/>
          </w:rPr>
          <w:t>53</w:t>
        </w:r>
        <w:r w:rsidR="00147EEF">
          <w:rPr>
            <w:noProof/>
            <w:webHidden/>
          </w:rPr>
          <w:fldChar w:fldCharType="end"/>
        </w:r>
      </w:hyperlink>
    </w:p>
    <w:p w14:paraId="7E808A72" w14:textId="12B0215B"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1" w:history="1">
        <w:r w:rsidR="00147EEF" w:rsidRPr="00B720F1">
          <w:rPr>
            <w:rStyle w:val="Hyperlink"/>
            <w:noProof/>
            <w:lang w:eastAsia="en-IE"/>
          </w:rPr>
          <w:t>2.4 Proportion of EmployAbility participants exiting into employment (Outcome)</w:t>
        </w:r>
        <w:r w:rsidR="00147EEF">
          <w:rPr>
            <w:noProof/>
            <w:webHidden/>
          </w:rPr>
          <w:tab/>
        </w:r>
        <w:r w:rsidR="00147EEF">
          <w:rPr>
            <w:noProof/>
            <w:webHidden/>
          </w:rPr>
          <w:fldChar w:fldCharType="begin"/>
        </w:r>
        <w:r w:rsidR="00147EEF">
          <w:rPr>
            <w:noProof/>
            <w:webHidden/>
          </w:rPr>
          <w:instrText xml:space="preserve"> PAGEREF _Toc182555721 \h </w:instrText>
        </w:r>
        <w:r w:rsidR="00147EEF">
          <w:rPr>
            <w:noProof/>
            <w:webHidden/>
          </w:rPr>
        </w:r>
        <w:r w:rsidR="00147EEF">
          <w:rPr>
            <w:noProof/>
            <w:webHidden/>
          </w:rPr>
          <w:fldChar w:fldCharType="separate"/>
        </w:r>
        <w:r w:rsidR="00147EEF">
          <w:rPr>
            <w:noProof/>
            <w:webHidden/>
          </w:rPr>
          <w:t>57</w:t>
        </w:r>
        <w:r w:rsidR="00147EEF">
          <w:rPr>
            <w:noProof/>
            <w:webHidden/>
          </w:rPr>
          <w:fldChar w:fldCharType="end"/>
        </w:r>
      </w:hyperlink>
    </w:p>
    <w:p w14:paraId="244C3572" w14:textId="3006817A"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2" w:history="1">
        <w:r w:rsidR="00147EEF" w:rsidRPr="00B720F1">
          <w:rPr>
            <w:rStyle w:val="Hyperlink"/>
            <w:noProof/>
          </w:rPr>
          <w:t>2.5 Number of persons with mental health difficulties receiving support under the IPS model of supported employment (Process)</w:t>
        </w:r>
        <w:r w:rsidR="00147EEF">
          <w:rPr>
            <w:noProof/>
            <w:webHidden/>
          </w:rPr>
          <w:tab/>
        </w:r>
        <w:r w:rsidR="00147EEF">
          <w:rPr>
            <w:noProof/>
            <w:webHidden/>
          </w:rPr>
          <w:fldChar w:fldCharType="begin"/>
        </w:r>
        <w:r w:rsidR="00147EEF">
          <w:rPr>
            <w:noProof/>
            <w:webHidden/>
          </w:rPr>
          <w:instrText xml:space="preserve"> PAGEREF _Toc182555722 \h </w:instrText>
        </w:r>
        <w:r w:rsidR="00147EEF">
          <w:rPr>
            <w:noProof/>
            <w:webHidden/>
          </w:rPr>
        </w:r>
        <w:r w:rsidR="00147EEF">
          <w:rPr>
            <w:noProof/>
            <w:webHidden/>
          </w:rPr>
          <w:fldChar w:fldCharType="separate"/>
        </w:r>
        <w:r w:rsidR="00147EEF">
          <w:rPr>
            <w:noProof/>
            <w:webHidden/>
          </w:rPr>
          <w:t>58</w:t>
        </w:r>
        <w:r w:rsidR="00147EEF">
          <w:rPr>
            <w:noProof/>
            <w:webHidden/>
          </w:rPr>
          <w:fldChar w:fldCharType="end"/>
        </w:r>
      </w:hyperlink>
    </w:p>
    <w:p w14:paraId="1AAB1DF9" w14:textId="54E663A7"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3" w:history="1">
        <w:r w:rsidR="00147EEF" w:rsidRPr="00B720F1">
          <w:rPr>
            <w:rStyle w:val="Hyperlink"/>
            <w:noProof/>
            <w:lang w:eastAsia="en-IE"/>
          </w:rPr>
          <w:t>2.6 Percentage of persons with disabilities using public transport services for their journey to work vs non-disabled counterparts (Process)</w:t>
        </w:r>
        <w:r w:rsidR="00147EEF">
          <w:rPr>
            <w:noProof/>
            <w:webHidden/>
          </w:rPr>
          <w:tab/>
        </w:r>
        <w:r w:rsidR="00147EEF">
          <w:rPr>
            <w:noProof/>
            <w:webHidden/>
          </w:rPr>
          <w:fldChar w:fldCharType="begin"/>
        </w:r>
        <w:r w:rsidR="00147EEF">
          <w:rPr>
            <w:noProof/>
            <w:webHidden/>
          </w:rPr>
          <w:instrText xml:space="preserve"> PAGEREF _Toc182555723 \h </w:instrText>
        </w:r>
        <w:r w:rsidR="00147EEF">
          <w:rPr>
            <w:noProof/>
            <w:webHidden/>
          </w:rPr>
        </w:r>
        <w:r w:rsidR="00147EEF">
          <w:rPr>
            <w:noProof/>
            <w:webHidden/>
          </w:rPr>
          <w:fldChar w:fldCharType="separate"/>
        </w:r>
        <w:r w:rsidR="00147EEF">
          <w:rPr>
            <w:noProof/>
            <w:webHidden/>
          </w:rPr>
          <w:t>59</w:t>
        </w:r>
        <w:r w:rsidR="00147EEF">
          <w:rPr>
            <w:noProof/>
            <w:webHidden/>
          </w:rPr>
          <w:fldChar w:fldCharType="end"/>
        </w:r>
      </w:hyperlink>
    </w:p>
    <w:p w14:paraId="31A99ED8" w14:textId="3639CF96"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4" w:history="1">
        <w:r w:rsidR="00147EEF" w:rsidRPr="00B720F1">
          <w:rPr>
            <w:rStyle w:val="Hyperlink"/>
            <w:noProof/>
          </w:rPr>
          <w:t>2.7 Numbers of persons with disabilities accessing Enterprise Ireland supports (Process)</w:t>
        </w:r>
        <w:r w:rsidR="00147EEF">
          <w:rPr>
            <w:noProof/>
            <w:webHidden/>
          </w:rPr>
          <w:tab/>
        </w:r>
        <w:r w:rsidR="00147EEF">
          <w:rPr>
            <w:noProof/>
            <w:webHidden/>
          </w:rPr>
          <w:fldChar w:fldCharType="begin"/>
        </w:r>
        <w:r w:rsidR="00147EEF">
          <w:rPr>
            <w:noProof/>
            <w:webHidden/>
          </w:rPr>
          <w:instrText xml:space="preserve"> PAGEREF _Toc182555724 \h </w:instrText>
        </w:r>
        <w:r w:rsidR="00147EEF">
          <w:rPr>
            <w:noProof/>
            <w:webHidden/>
          </w:rPr>
        </w:r>
        <w:r w:rsidR="00147EEF">
          <w:rPr>
            <w:noProof/>
            <w:webHidden/>
          </w:rPr>
          <w:fldChar w:fldCharType="separate"/>
        </w:r>
        <w:r w:rsidR="00147EEF">
          <w:rPr>
            <w:noProof/>
            <w:webHidden/>
          </w:rPr>
          <w:t>61</w:t>
        </w:r>
        <w:r w:rsidR="00147EEF">
          <w:rPr>
            <w:noProof/>
            <w:webHidden/>
          </w:rPr>
          <w:fldChar w:fldCharType="end"/>
        </w:r>
      </w:hyperlink>
    </w:p>
    <w:p w14:paraId="533F7F96" w14:textId="666CE742"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5" w:history="1">
        <w:r w:rsidR="00147EEF" w:rsidRPr="00B720F1">
          <w:rPr>
            <w:rStyle w:val="Hyperlink"/>
            <w:rFonts w:cs="Calibri"/>
            <w:noProof/>
            <w:lang w:eastAsia="en-IE"/>
          </w:rPr>
          <w:t xml:space="preserve">2.7.1 </w:t>
        </w:r>
        <w:r w:rsidR="00147EEF" w:rsidRPr="00B720F1">
          <w:rPr>
            <w:rStyle w:val="Hyperlink"/>
            <w:noProof/>
            <w:lang w:eastAsia="en-IE"/>
          </w:rPr>
          <w:t>Percentage of persons with and without a disability who are self-employed (Outcome)</w:t>
        </w:r>
        <w:r w:rsidR="00147EEF">
          <w:rPr>
            <w:noProof/>
            <w:webHidden/>
          </w:rPr>
          <w:tab/>
        </w:r>
        <w:r w:rsidR="00147EEF">
          <w:rPr>
            <w:noProof/>
            <w:webHidden/>
          </w:rPr>
          <w:fldChar w:fldCharType="begin"/>
        </w:r>
        <w:r w:rsidR="00147EEF">
          <w:rPr>
            <w:noProof/>
            <w:webHidden/>
          </w:rPr>
          <w:instrText xml:space="preserve"> PAGEREF _Toc182555725 \h </w:instrText>
        </w:r>
        <w:r w:rsidR="00147EEF">
          <w:rPr>
            <w:noProof/>
            <w:webHidden/>
          </w:rPr>
        </w:r>
        <w:r w:rsidR="00147EEF">
          <w:rPr>
            <w:noProof/>
            <w:webHidden/>
          </w:rPr>
          <w:fldChar w:fldCharType="separate"/>
        </w:r>
        <w:r w:rsidR="00147EEF">
          <w:rPr>
            <w:noProof/>
            <w:webHidden/>
          </w:rPr>
          <w:t>62</w:t>
        </w:r>
        <w:r w:rsidR="00147EEF">
          <w:rPr>
            <w:noProof/>
            <w:webHidden/>
          </w:rPr>
          <w:fldChar w:fldCharType="end"/>
        </w:r>
      </w:hyperlink>
    </w:p>
    <w:p w14:paraId="460E8365" w14:textId="7FB112C3"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6" w:history="1">
        <w:r w:rsidR="00147EEF" w:rsidRPr="00B720F1">
          <w:rPr>
            <w:rStyle w:val="Hyperlink"/>
            <w:noProof/>
          </w:rPr>
          <w:t>2.8 Proportion of young persons with a disability who are NEET compared to young persons without a disability (Outcome) (N)</w:t>
        </w:r>
        <w:r w:rsidR="00147EEF">
          <w:rPr>
            <w:noProof/>
            <w:webHidden/>
          </w:rPr>
          <w:tab/>
        </w:r>
        <w:r w:rsidR="00147EEF">
          <w:rPr>
            <w:noProof/>
            <w:webHidden/>
          </w:rPr>
          <w:fldChar w:fldCharType="begin"/>
        </w:r>
        <w:r w:rsidR="00147EEF">
          <w:rPr>
            <w:noProof/>
            <w:webHidden/>
          </w:rPr>
          <w:instrText xml:space="preserve"> PAGEREF _Toc182555726 \h </w:instrText>
        </w:r>
        <w:r w:rsidR="00147EEF">
          <w:rPr>
            <w:noProof/>
            <w:webHidden/>
          </w:rPr>
        </w:r>
        <w:r w:rsidR="00147EEF">
          <w:rPr>
            <w:noProof/>
            <w:webHidden/>
          </w:rPr>
          <w:fldChar w:fldCharType="separate"/>
        </w:r>
        <w:r w:rsidR="00147EEF">
          <w:rPr>
            <w:noProof/>
            <w:webHidden/>
          </w:rPr>
          <w:t>63</w:t>
        </w:r>
        <w:r w:rsidR="00147EEF">
          <w:rPr>
            <w:noProof/>
            <w:webHidden/>
          </w:rPr>
          <w:fldChar w:fldCharType="end"/>
        </w:r>
      </w:hyperlink>
    </w:p>
    <w:p w14:paraId="35D394BB" w14:textId="2A48B66E"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7" w:history="1">
        <w:r w:rsidR="00147EEF" w:rsidRPr="00B720F1">
          <w:rPr>
            <w:rStyle w:val="Hyperlink"/>
            <w:noProof/>
          </w:rPr>
          <w:t>Overview of SP2: Provide bridges and support into work:</w:t>
        </w:r>
        <w:r w:rsidR="00147EEF">
          <w:rPr>
            <w:noProof/>
            <w:webHidden/>
          </w:rPr>
          <w:tab/>
        </w:r>
        <w:r w:rsidR="00147EEF">
          <w:rPr>
            <w:noProof/>
            <w:webHidden/>
          </w:rPr>
          <w:fldChar w:fldCharType="begin"/>
        </w:r>
        <w:r w:rsidR="00147EEF">
          <w:rPr>
            <w:noProof/>
            <w:webHidden/>
          </w:rPr>
          <w:instrText xml:space="preserve"> PAGEREF _Toc182555727 \h </w:instrText>
        </w:r>
        <w:r w:rsidR="00147EEF">
          <w:rPr>
            <w:noProof/>
            <w:webHidden/>
          </w:rPr>
        </w:r>
        <w:r w:rsidR="00147EEF">
          <w:rPr>
            <w:noProof/>
            <w:webHidden/>
          </w:rPr>
          <w:fldChar w:fldCharType="separate"/>
        </w:r>
        <w:r w:rsidR="00147EEF">
          <w:rPr>
            <w:noProof/>
            <w:webHidden/>
          </w:rPr>
          <w:t>64</w:t>
        </w:r>
        <w:r w:rsidR="00147EEF">
          <w:rPr>
            <w:noProof/>
            <w:webHidden/>
          </w:rPr>
          <w:fldChar w:fldCharType="end"/>
        </w:r>
      </w:hyperlink>
    </w:p>
    <w:p w14:paraId="10FD9803" w14:textId="7AC0F2D3"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28" w:history="1">
        <w:r w:rsidR="00147EEF" w:rsidRPr="00B720F1">
          <w:rPr>
            <w:rStyle w:val="Hyperlink"/>
            <w:noProof/>
          </w:rPr>
          <w:t>Strategic Priority 3: Make Work Pay</w:t>
        </w:r>
        <w:r w:rsidR="00147EEF">
          <w:rPr>
            <w:noProof/>
            <w:webHidden/>
          </w:rPr>
          <w:tab/>
        </w:r>
        <w:r w:rsidR="00147EEF">
          <w:rPr>
            <w:noProof/>
            <w:webHidden/>
          </w:rPr>
          <w:fldChar w:fldCharType="begin"/>
        </w:r>
        <w:r w:rsidR="00147EEF">
          <w:rPr>
            <w:noProof/>
            <w:webHidden/>
          </w:rPr>
          <w:instrText xml:space="preserve"> PAGEREF _Toc182555728 \h </w:instrText>
        </w:r>
        <w:r w:rsidR="00147EEF">
          <w:rPr>
            <w:noProof/>
            <w:webHidden/>
          </w:rPr>
        </w:r>
        <w:r w:rsidR="00147EEF">
          <w:rPr>
            <w:noProof/>
            <w:webHidden/>
          </w:rPr>
          <w:fldChar w:fldCharType="separate"/>
        </w:r>
        <w:r w:rsidR="00147EEF">
          <w:rPr>
            <w:noProof/>
            <w:webHidden/>
          </w:rPr>
          <w:t>68</w:t>
        </w:r>
        <w:r w:rsidR="00147EEF">
          <w:rPr>
            <w:noProof/>
            <w:webHidden/>
          </w:rPr>
          <w:fldChar w:fldCharType="end"/>
        </w:r>
      </w:hyperlink>
    </w:p>
    <w:p w14:paraId="6BBD68E7" w14:textId="787593F7"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29" w:history="1">
        <w:r w:rsidR="00147EEF" w:rsidRPr="00B720F1">
          <w:rPr>
            <w:rStyle w:val="Hyperlink"/>
            <w:noProof/>
          </w:rPr>
          <w:t>3.2 Number of people receiving disability payments/benefits (Process)</w:t>
        </w:r>
        <w:r w:rsidR="00147EEF">
          <w:rPr>
            <w:noProof/>
            <w:webHidden/>
          </w:rPr>
          <w:tab/>
        </w:r>
        <w:r w:rsidR="00147EEF">
          <w:rPr>
            <w:noProof/>
            <w:webHidden/>
          </w:rPr>
          <w:fldChar w:fldCharType="begin"/>
        </w:r>
        <w:r w:rsidR="00147EEF">
          <w:rPr>
            <w:noProof/>
            <w:webHidden/>
          </w:rPr>
          <w:instrText xml:space="preserve"> PAGEREF _Toc182555729 \h </w:instrText>
        </w:r>
        <w:r w:rsidR="00147EEF">
          <w:rPr>
            <w:noProof/>
            <w:webHidden/>
          </w:rPr>
        </w:r>
        <w:r w:rsidR="00147EEF">
          <w:rPr>
            <w:noProof/>
            <w:webHidden/>
          </w:rPr>
          <w:fldChar w:fldCharType="separate"/>
        </w:r>
        <w:r w:rsidR="00147EEF">
          <w:rPr>
            <w:noProof/>
            <w:webHidden/>
          </w:rPr>
          <w:t>68</w:t>
        </w:r>
        <w:r w:rsidR="00147EEF">
          <w:rPr>
            <w:noProof/>
            <w:webHidden/>
          </w:rPr>
          <w:fldChar w:fldCharType="end"/>
        </w:r>
      </w:hyperlink>
    </w:p>
    <w:p w14:paraId="5C6E6080" w14:textId="76A55027"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0" w:history="1">
        <w:r w:rsidR="00147EEF" w:rsidRPr="00B720F1">
          <w:rPr>
            <w:rStyle w:val="Hyperlink"/>
            <w:noProof/>
          </w:rPr>
          <w:t>Overview of SP3: Make Work Pay</w:t>
        </w:r>
        <w:r w:rsidR="00147EEF">
          <w:rPr>
            <w:noProof/>
            <w:webHidden/>
          </w:rPr>
          <w:tab/>
        </w:r>
        <w:r w:rsidR="00147EEF">
          <w:rPr>
            <w:noProof/>
            <w:webHidden/>
          </w:rPr>
          <w:fldChar w:fldCharType="begin"/>
        </w:r>
        <w:r w:rsidR="00147EEF">
          <w:rPr>
            <w:noProof/>
            <w:webHidden/>
          </w:rPr>
          <w:instrText xml:space="preserve"> PAGEREF _Toc182555730 \h </w:instrText>
        </w:r>
        <w:r w:rsidR="00147EEF">
          <w:rPr>
            <w:noProof/>
            <w:webHidden/>
          </w:rPr>
        </w:r>
        <w:r w:rsidR="00147EEF">
          <w:rPr>
            <w:noProof/>
            <w:webHidden/>
          </w:rPr>
          <w:fldChar w:fldCharType="separate"/>
        </w:r>
        <w:r w:rsidR="00147EEF">
          <w:rPr>
            <w:noProof/>
            <w:webHidden/>
          </w:rPr>
          <w:t>71</w:t>
        </w:r>
        <w:r w:rsidR="00147EEF">
          <w:rPr>
            <w:noProof/>
            <w:webHidden/>
          </w:rPr>
          <w:fldChar w:fldCharType="end"/>
        </w:r>
      </w:hyperlink>
    </w:p>
    <w:p w14:paraId="1178EEA3" w14:textId="205DFC28"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31" w:history="1">
        <w:r w:rsidR="00147EEF" w:rsidRPr="00B720F1">
          <w:rPr>
            <w:rStyle w:val="Hyperlink"/>
            <w:rFonts w:ascii="Gill Sans MT" w:hAnsi="Gill Sans MT" w:cs="Arial"/>
            <w:bCs/>
            <w:noProof/>
            <w:kern w:val="32"/>
          </w:rPr>
          <w:t>Strategic Priority 4: Promote job retention and re-entry to work</w:t>
        </w:r>
        <w:r w:rsidR="00147EEF">
          <w:rPr>
            <w:noProof/>
            <w:webHidden/>
          </w:rPr>
          <w:tab/>
        </w:r>
        <w:r w:rsidR="00147EEF">
          <w:rPr>
            <w:noProof/>
            <w:webHidden/>
          </w:rPr>
          <w:fldChar w:fldCharType="begin"/>
        </w:r>
        <w:r w:rsidR="00147EEF">
          <w:rPr>
            <w:noProof/>
            <w:webHidden/>
          </w:rPr>
          <w:instrText xml:space="preserve"> PAGEREF _Toc182555731 \h </w:instrText>
        </w:r>
        <w:r w:rsidR="00147EEF">
          <w:rPr>
            <w:noProof/>
            <w:webHidden/>
          </w:rPr>
        </w:r>
        <w:r w:rsidR="00147EEF">
          <w:rPr>
            <w:noProof/>
            <w:webHidden/>
          </w:rPr>
          <w:fldChar w:fldCharType="separate"/>
        </w:r>
        <w:r w:rsidR="00147EEF">
          <w:rPr>
            <w:noProof/>
            <w:webHidden/>
          </w:rPr>
          <w:t>74</w:t>
        </w:r>
        <w:r w:rsidR="00147EEF">
          <w:rPr>
            <w:noProof/>
            <w:webHidden/>
          </w:rPr>
          <w:fldChar w:fldCharType="end"/>
        </w:r>
      </w:hyperlink>
    </w:p>
    <w:p w14:paraId="67679869" w14:textId="092BB81E"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2" w:history="1">
        <w:r w:rsidR="00147EEF" w:rsidRPr="00147EEF">
          <w:rPr>
            <w:rStyle w:val="Hyperlink"/>
            <w:rFonts w:ascii="Gill Sans MT" w:hAnsi="Gill Sans MT" w:cs="Arial Bold"/>
            <w:iCs/>
            <w:noProof/>
          </w:rPr>
          <w:t>4.1 Number of persons in employment supported through the Wage Subsidy Scheme (Process)</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_Toc182555732 \h </w:instrText>
        </w:r>
        <w:r w:rsidR="00147EEF" w:rsidRPr="00147EEF">
          <w:rPr>
            <w:noProof/>
            <w:webHidden/>
          </w:rPr>
        </w:r>
        <w:r w:rsidR="00147EEF" w:rsidRPr="00147EEF">
          <w:rPr>
            <w:noProof/>
            <w:webHidden/>
          </w:rPr>
          <w:fldChar w:fldCharType="separate"/>
        </w:r>
        <w:r w:rsidR="00147EEF">
          <w:rPr>
            <w:noProof/>
            <w:webHidden/>
          </w:rPr>
          <w:t>74</w:t>
        </w:r>
        <w:r w:rsidR="00147EEF" w:rsidRPr="00147EEF">
          <w:rPr>
            <w:noProof/>
            <w:webHidden/>
          </w:rPr>
          <w:fldChar w:fldCharType="end"/>
        </w:r>
      </w:hyperlink>
    </w:p>
    <w:p w14:paraId="0C4EF300" w14:textId="3EB2C4E7"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3" w:history="1">
        <w:r w:rsidR="00147EEF" w:rsidRPr="00147EEF">
          <w:rPr>
            <w:rStyle w:val="Hyperlink"/>
            <w:rFonts w:ascii="Gill Sans MT" w:hAnsi="Gill Sans MT" w:cs="Arial Bold"/>
            <w:iCs/>
            <w:noProof/>
            <w:lang w:eastAsia="en-IE"/>
          </w:rPr>
          <w:t>4.2 Number of successful applications to the Reasonable Accommodation Fund (Process)</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_Toc182555733 \h </w:instrText>
        </w:r>
        <w:r w:rsidR="00147EEF" w:rsidRPr="00147EEF">
          <w:rPr>
            <w:noProof/>
            <w:webHidden/>
          </w:rPr>
        </w:r>
        <w:r w:rsidR="00147EEF" w:rsidRPr="00147EEF">
          <w:rPr>
            <w:noProof/>
            <w:webHidden/>
          </w:rPr>
          <w:fldChar w:fldCharType="separate"/>
        </w:r>
        <w:r w:rsidR="00147EEF">
          <w:rPr>
            <w:noProof/>
            <w:webHidden/>
          </w:rPr>
          <w:t>76</w:t>
        </w:r>
        <w:r w:rsidR="00147EEF" w:rsidRPr="00147EEF">
          <w:rPr>
            <w:noProof/>
            <w:webHidden/>
          </w:rPr>
          <w:fldChar w:fldCharType="end"/>
        </w:r>
      </w:hyperlink>
    </w:p>
    <w:p w14:paraId="4BCD0E55" w14:textId="77A388D6" w:rsidR="00147EEF" w:rsidRP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4" w:history="1">
        <w:r w:rsidR="00147EEF" w:rsidRPr="00147EEF">
          <w:rPr>
            <w:rStyle w:val="Hyperlink"/>
            <w:rFonts w:ascii="Gill Sans MT" w:hAnsi="Gill Sans MT" w:cs="Arial Bold"/>
            <w:iCs/>
            <w:noProof/>
            <w:lang w:eastAsia="en-IE"/>
          </w:rPr>
          <w:t>4.3 Number of people exiting disability payments/benefits into employment (Outcome)</w:t>
        </w:r>
        <w:r w:rsidR="00147EEF" w:rsidRPr="00147EEF">
          <w:rPr>
            <w:noProof/>
            <w:webHidden/>
          </w:rPr>
          <w:tab/>
        </w:r>
        <w:r w:rsidR="00147EEF" w:rsidRPr="00147EEF">
          <w:rPr>
            <w:noProof/>
            <w:webHidden/>
          </w:rPr>
          <w:fldChar w:fldCharType="begin"/>
        </w:r>
        <w:r w:rsidR="00147EEF" w:rsidRPr="00147EEF">
          <w:rPr>
            <w:noProof/>
            <w:webHidden/>
          </w:rPr>
          <w:instrText xml:space="preserve"> PAGEREF _Toc182555734 \h </w:instrText>
        </w:r>
        <w:r w:rsidR="00147EEF" w:rsidRPr="00147EEF">
          <w:rPr>
            <w:noProof/>
            <w:webHidden/>
          </w:rPr>
        </w:r>
        <w:r w:rsidR="00147EEF" w:rsidRPr="00147EEF">
          <w:rPr>
            <w:noProof/>
            <w:webHidden/>
          </w:rPr>
          <w:fldChar w:fldCharType="separate"/>
        </w:r>
        <w:r w:rsidR="00147EEF">
          <w:rPr>
            <w:noProof/>
            <w:webHidden/>
          </w:rPr>
          <w:t>79</w:t>
        </w:r>
        <w:r w:rsidR="00147EEF" w:rsidRPr="00147EEF">
          <w:rPr>
            <w:noProof/>
            <w:webHidden/>
          </w:rPr>
          <w:fldChar w:fldCharType="end"/>
        </w:r>
      </w:hyperlink>
    </w:p>
    <w:p w14:paraId="14ABA9B9" w14:textId="4C461D49"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5" w:history="1">
        <w:r w:rsidR="00147EEF" w:rsidRPr="00B720F1">
          <w:rPr>
            <w:rStyle w:val="Hyperlink"/>
            <w:noProof/>
          </w:rPr>
          <w:t>Overview of SP4: Promote job retention and re-entry to work</w:t>
        </w:r>
        <w:r w:rsidR="00147EEF">
          <w:rPr>
            <w:noProof/>
            <w:webHidden/>
          </w:rPr>
          <w:tab/>
        </w:r>
        <w:r w:rsidR="00147EEF">
          <w:rPr>
            <w:noProof/>
            <w:webHidden/>
          </w:rPr>
          <w:fldChar w:fldCharType="begin"/>
        </w:r>
        <w:r w:rsidR="00147EEF">
          <w:rPr>
            <w:noProof/>
            <w:webHidden/>
          </w:rPr>
          <w:instrText xml:space="preserve"> PAGEREF _Toc182555735 \h </w:instrText>
        </w:r>
        <w:r w:rsidR="00147EEF">
          <w:rPr>
            <w:noProof/>
            <w:webHidden/>
          </w:rPr>
        </w:r>
        <w:r w:rsidR="00147EEF">
          <w:rPr>
            <w:noProof/>
            <w:webHidden/>
          </w:rPr>
          <w:fldChar w:fldCharType="separate"/>
        </w:r>
        <w:r w:rsidR="00147EEF">
          <w:rPr>
            <w:noProof/>
            <w:webHidden/>
          </w:rPr>
          <w:t>79</w:t>
        </w:r>
        <w:r w:rsidR="00147EEF">
          <w:rPr>
            <w:noProof/>
            <w:webHidden/>
          </w:rPr>
          <w:fldChar w:fldCharType="end"/>
        </w:r>
      </w:hyperlink>
    </w:p>
    <w:p w14:paraId="189AE5B1" w14:textId="421CFA05"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36" w:history="1">
        <w:r w:rsidR="00147EEF" w:rsidRPr="00B720F1">
          <w:rPr>
            <w:rStyle w:val="Hyperlink"/>
            <w:noProof/>
          </w:rPr>
          <w:t>Strategic Priority 5: Provide coordinated and seamless support</w:t>
        </w:r>
        <w:r w:rsidR="00147EEF">
          <w:rPr>
            <w:noProof/>
            <w:webHidden/>
          </w:rPr>
          <w:tab/>
        </w:r>
        <w:r w:rsidR="00147EEF">
          <w:rPr>
            <w:noProof/>
            <w:webHidden/>
          </w:rPr>
          <w:fldChar w:fldCharType="begin"/>
        </w:r>
        <w:r w:rsidR="00147EEF">
          <w:rPr>
            <w:noProof/>
            <w:webHidden/>
          </w:rPr>
          <w:instrText xml:space="preserve"> PAGEREF _Toc182555736 \h </w:instrText>
        </w:r>
        <w:r w:rsidR="00147EEF">
          <w:rPr>
            <w:noProof/>
            <w:webHidden/>
          </w:rPr>
        </w:r>
        <w:r w:rsidR="00147EEF">
          <w:rPr>
            <w:noProof/>
            <w:webHidden/>
          </w:rPr>
          <w:fldChar w:fldCharType="separate"/>
        </w:r>
        <w:r w:rsidR="00147EEF">
          <w:rPr>
            <w:noProof/>
            <w:webHidden/>
          </w:rPr>
          <w:t>81</w:t>
        </w:r>
        <w:r w:rsidR="00147EEF">
          <w:rPr>
            <w:noProof/>
            <w:webHidden/>
          </w:rPr>
          <w:fldChar w:fldCharType="end"/>
        </w:r>
      </w:hyperlink>
    </w:p>
    <w:p w14:paraId="096A75B8" w14:textId="4652C6E3"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7" w:history="1">
        <w:r w:rsidR="00147EEF" w:rsidRPr="00B720F1">
          <w:rPr>
            <w:rStyle w:val="Hyperlink"/>
            <w:noProof/>
          </w:rPr>
          <w:t>5.1 Evaluation of Ability programmes to provide innovative pre-activation approaches for persons with disabilities (Process)</w:t>
        </w:r>
        <w:r w:rsidR="00147EEF">
          <w:rPr>
            <w:noProof/>
            <w:webHidden/>
          </w:rPr>
          <w:tab/>
        </w:r>
        <w:r w:rsidR="00147EEF">
          <w:rPr>
            <w:noProof/>
            <w:webHidden/>
          </w:rPr>
          <w:fldChar w:fldCharType="begin"/>
        </w:r>
        <w:r w:rsidR="00147EEF">
          <w:rPr>
            <w:noProof/>
            <w:webHidden/>
          </w:rPr>
          <w:instrText xml:space="preserve"> PAGEREF _Toc182555737 \h </w:instrText>
        </w:r>
        <w:r w:rsidR="00147EEF">
          <w:rPr>
            <w:noProof/>
            <w:webHidden/>
          </w:rPr>
        </w:r>
        <w:r w:rsidR="00147EEF">
          <w:rPr>
            <w:noProof/>
            <w:webHidden/>
          </w:rPr>
          <w:fldChar w:fldCharType="separate"/>
        </w:r>
        <w:r w:rsidR="00147EEF">
          <w:rPr>
            <w:noProof/>
            <w:webHidden/>
          </w:rPr>
          <w:t>81</w:t>
        </w:r>
        <w:r w:rsidR="00147EEF">
          <w:rPr>
            <w:noProof/>
            <w:webHidden/>
          </w:rPr>
          <w:fldChar w:fldCharType="end"/>
        </w:r>
      </w:hyperlink>
    </w:p>
    <w:p w14:paraId="5432D315" w14:textId="7B0B375A"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8" w:history="1">
        <w:r w:rsidR="00147EEF" w:rsidRPr="00B720F1">
          <w:rPr>
            <w:rStyle w:val="Hyperlink"/>
            <w:noProof/>
          </w:rPr>
          <w:t>5.2 Evaluation of pilot phase to provide complementary support services to persons with disabilities (5.1 implementation plan) (Outcome)</w:t>
        </w:r>
        <w:r w:rsidR="00147EEF">
          <w:rPr>
            <w:noProof/>
            <w:webHidden/>
          </w:rPr>
          <w:tab/>
        </w:r>
        <w:r w:rsidR="00147EEF">
          <w:rPr>
            <w:noProof/>
            <w:webHidden/>
          </w:rPr>
          <w:fldChar w:fldCharType="begin"/>
        </w:r>
        <w:r w:rsidR="00147EEF">
          <w:rPr>
            <w:noProof/>
            <w:webHidden/>
          </w:rPr>
          <w:instrText xml:space="preserve"> PAGEREF _Toc182555738 \h </w:instrText>
        </w:r>
        <w:r w:rsidR="00147EEF">
          <w:rPr>
            <w:noProof/>
            <w:webHidden/>
          </w:rPr>
        </w:r>
        <w:r w:rsidR="00147EEF">
          <w:rPr>
            <w:noProof/>
            <w:webHidden/>
          </w:rPr>
          <w:fldChar w:fldCharType="separate"/>
        </w:r>
        <w:r w:rsidR="00147EEF">
          <w:rPr>
            <w:noProof/>
            <w:webHidden/>
          </w:rPr>
          <w:t>82</w:t>
        </w:r>
        <w:r w:rsidR="00147EEF">
          <w:rPr>
            <w:noProof/>
            <w:webHidden/>
          </w:rPr>
          <w:fldChar w:fldCharType="end"/>
        </w:r>
      </w:hyperlink>
    </w:p>
    <w:p w14:paraId="3CD8B228" w14:textId="4EE48132"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39" w:history="1">
        <w:r w:rsidR="00147EEF" w:rsidRPr="00B720F1">
          <w:rPr>
            <w:rStyle w:val="Hyperlink"/>
            <w:noProof/>
          </w:rPr>
          <w:t>5.3 Number of persons with mental health difficulties benefiting from IPS model of supported employment (Process)</w:t>
        </w:r>
        <w:r w:rsidR="00147EEF">
          <w:rPr>
            <w:noProof/>
            <w:webHidden/>
          </w:rPr>
          <w:tab/>
        </w:r>
        <w:r w:rsidR="00147EEF">
          <w:rPr>
            <w:noProof/>
            <w:webHidden/>
          </w:rPr>
          <w:fldChar w:fldCharType="begin"/>
        </w:r>
        <w:r w:rsidR="00147EEF">
          <w:rPr>
            <w:noProof/>
            <w:webHidden/>
          </w:rPr>
          <w:instrText xml:space="preserve"> PAGEREF _Toc182555739 \h </w:instrText>
        </w:r>
        <w:r w:rsidR="00147EEF">
          <w:rPr>
            <w:noProof/>
            <w:webHidden/>
          </w:rPr>
        </w:r>
        <w:r w:rsidR="00147EEF">
          <w:rPr>
            <w:noProof/>
            <w:webHidden/>
          </w:rPr>
          <w:fldChar w:fldCharType="separate"/>
        </w:r>
        <w:r w:rsidR="00147EEF">
          <w:rPr>
            <w:noProof/>
            <w:webHidden/>
          </w:rPr>
          <w:t>83</w:t>
        </w:r>
        <w:r w:rsidR="00147EEF">
          <w:rPr>
            <w:noProof/>
            <w:webHidden/>
          </w:rPr>
          <w:fldChar w:fldCharType="end"/>
        </w:r>
      </w:hyperlink>
    </w:p>
    <w:p w14:paraId="60378717" w14:textId="5D9111B8"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0" w:history="1">
        <w:r w:rsidR="00147EEF" w:rsidRPr="00B720F1">
          <w:rPr>
            <w:rStyle w:val="Hyperlink"/>
            <w:noProof/>
          </w:rPr>
          <w:t>5.4 Development of protocols and MoUs for cross-departmental cooperation, at national and local level (Process)</w:t>
        </w:r>
        <w:r w:rsidR="00147EEF">
          <w:rPr>
            <w:noProof/>
            <w:webHidden/>
          </w:rPr>
          <w:tab/>
        </w:r>
        <w:r w:rsidR="00147EEF">
          <w:rPr>
            <w:noProof/>
            <w:webHidden/>
          </w:rPr>
          <w:fldChar w:fldCharType="begin"/>
        </w:r>
        <w:r w:rsidR="00147EEF">
          <w:rPr>
            <w:noProof/>
            <w:webHidden/>
          </w:rPr>
          <w:instrText xml:space="preserve"> PAGEREF _Toc182555740 \h </w:instrText>
        </w:r>
        <w:r w:rsidR="00147EEF">
          <w:rPr>
            <w:noProof/>
            <w:webHidden/>
          </w:rPr>
        </w:r>
        <w:r w:rsidR="00147EEF">
          <w:rPr>
            <w:noProof/>
            <w:webHidden/>
          </w:rPr>
          <w:fldChar w:fldCharType="separate"/>
        </w:r>
        <w:r w:rsidR="00147EEF">
          <w:rPr>
            <w:noProof/>
            <w:webHidden/>
          </w:rPr>
          <w:t>83</w:t>
        </w:r>
        <w:r w:rsidR="00147EEF">
          <w:rPr>
            <w:noProof/>
            <w:webHidden/>
          </w:rPr>
          <w:fldChar w:fldCharType="end"/>
        </w:r>
      </w:hyperlink>
    </w:p>
    <w:p w14:paraId="4D466009" w14:textId="3A3A4A43"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1" w:history="1">
        <w:r w:rsidR="00147EEF" w:rsidRPr="00B720F1">
          <w:rPr>
            <w:rStyle w:val="Hyperlink"/>
            <w:noProof/>
          </w:rPr>
          <w:t>Overview of SP5</w:t>
        </w:r>
        <w:r w:rsidR="00147EEF">
          <w:rPr>
            <w:noProof/>
            <w:webHidden/>
          </w:rPr>
          <w:tab/>
        </w:r>
        <w:r w:rsidR="00147EEF">
          <w:rPr>
            <w:noProof/>
            <w:webHidden/>
          </w:rPr>
          <w:fldChar w:fldCharType="begin"/>
        </w:r>
        <w:r w:rsidR="00147EEF">
          <w:rPr>
            <w:noProof/>
            <w:webHidden/>
          </w:rPr>
          <w:instrText xml:space="preserve"> PAGEREF _Toc182555741 \h </w:instrText>
        </w:r>
        <w:r w:rsidR="00147EEF">
          <w:rPr>
            <w:noProof/>
            <w:webHidden/>
          </w:rPr>
        </w:r>
        <w:r w:rsidR="00147EEF">
          <w:rPr>
            <w:noProof/>
            <w:webHidden/>
          </w:rPr>
          <w:fldChar w:fldCharType="separate"/>
        </w:r>
        <w:r w:rsidR="00147EEF">
          <w:rPr>
            <w:noProof/>
            <w:webHidden/>
          </w:rPr>
          <w:t>83</w:t>
        </w:r>
        <w:r w:rsidR="00147EEF">
          <w:rPr>
            <w:noProof/>
            <w:webHidden/>
          </w:rPr>
          <w:fldChar w:fldCharType="end"/>
        </w:r>
      </w:hyperlink>
    </w:p>
    <w:p w14:paraId="1FDF1B94" w14:textId="4D10367D"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42" w:history="1">
        <w:r w:rsidR="00147EEF" w:rsidRPr="00B720F1">
          <w:rPr>
            <w:rStyle w:val="Hyperlink"/>
            <w:noProof/>
          </w:rPr>
          <w:t>Strategic Priority 6: Engage employers</w:t>
        </w:r>
        <w:r w:rsidR="00147EEF">
          <w:rPr>
            <w:noProof/>
            <w:webHidden/>
          </w:rPr>
          <w:tab/>
        </w:r>
        <w:r w:rsidR="00147EEF">
          <w:rPr>
            <w:noProof/>
            <w:webHidden/>
          </w:rPr>
          <w:fldChar w:fldCharType="begin"/>
        </w:r>
        <w:r w:rsidR="00147EEF">
          <w:rPr>
            <w:noProof/>
            <w:webHidden/>
          </w:rPr>
          <w:instrText xml:space="preserve"> PAGEREF _Toc182555742 \h </w:instrText>
        </w:r>
        <w:r w:rsidR="00147EEF">
          <w:rPr>
            <w:noProof/>
            <w:webHidden/>
          </w:rPr>
        </w:r>
        <w:r w:rsidR="00147EEF">
          <w:rPr>
            <w:noProof/>
            <w:webHidden/>
          </w:rPr>
          <w:fldChar w:fldCharType="separate"/>
        </w:r>
        <w:r w:rsidR="00147EEF">
          <w:rPr>
            <w:noProof/>
            <w:webHidden/>
          </w:rPr>
          <w:t>85</w:t>
        </w:r>
        <w:r w:rsidR="00147EEF">
          <w:rPr>
            <w:noProof/>
            <w:webHidden/>
          </w:rPr>
          <w:fldChar w:fldCharType="end"/>
        </w:r>
      </w:hyperlink>
    </w:p>
    <w:p w14:paraId="4D31BC3B" w14:textId="696E2E1C"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3" w:history="1">
        <w:r w:rsidR="00147EEF" w:rsidRPr="00B720F1">
          <w:rPr>
            <w:rStyle w:val="Hyperlink"/>
            <w:noProof/>
          </w:rPr>
          <w:t>6.1 Number of persons in employment supported through the Wage Subsidy Scheme (Process)</w:t>
        </w:r>
        <w:r w:rsidR="00147EEF">
          <w:rPr>
            <w:noProof/>
            <w:webHidden/>
          </w:rPr>
          <w:tab/>
        </w:r>
        <w:r w:rsidR="00147EEF">
          <w:rPr>
            <w:noProof/>
            <w:webHidden/>
          </w:rPr>
          <w:fldChar w:fldCharType="begin"/>
        </w:r>
        <w:r w:rsidR="00147EEF">
          <w:rPr>
            <w:noProof/>
            <w:webHidden/>
          </w:rPr>
          <w:instrText xml:space="preserve"> PAGEREF _Toc182555743 \h </w:instrText>
        </w:r>
        <w:r w:rsidR="00147EEF">
          <w:rPr>
            <w:noProof/>
            <w:webHidden/>
          </w:rPr>
        </w:r>
        <w:r w:rsidR="00147EEF">
          <w:rPr>
            <w:noProof/>
            <w:webHidden/>
          </w:rPr>
          <w:fldChar w:fldCharType="separate"/>
        </w:r>
        <w:r w:rsidR="00147EEF">
          <w:rPr>
            <w:noProof/>
            <w:webHidden/>
          </w:rPr>
          <w:t>85</w:t>
        </w:r>
        <w:r w:rsidR="00147EEF">
          <w:rPr>
            <w:noProof/>
            <w:webHidden/>
          </w:rPr>
          <w:fldChar w:fldCharType="end"/>
        </w:r>
      </w:hyperlink>
    </w:p>
    <w:p w14:paraId="080EF782" w14:textId="6C47B5B1"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4" w:history="1">
        <w:r w:rsidR="00147EEF" w:rsidRPr="00B720F1">
          <w:rPr>
            <w:rStyle w:val="Hyperlink"/>
            <w:noProof/>
          </w:rPr>
          <w:t>6.2</w:t>
        </w:r>
        <w:r w:rsidR="00147EEF" w:rsidRPr="00B720F1">
          <w:rPr>
            <w:rStyle w:val="Hyperlink"/>
            <w:noProof/>
            <w:lang w:eastAsia="en-IE"/>
          </w:rPr>
          <w:t xml:space="preserve"> Number of applications for Reasonable Accommodation Fund (Process)</w:t>
        </w:r>
        <w:r w:rsidR="00147EEF">
          <w:rPr>
            <w:noProof/>
            <w:webHidden/>
          </w:rPr>
          <w:tab/>
        </w:r>
        <w:r w:rsidR="00147EEF">
          <w:rPr>
            <w:noProof/>
            <w:webHidden/>
          </w:rPr>
          <w:fldChar w:fldCharType="begin"/>
        </w:r>
        <w:r w:rsidR="00147EEF">
          <w:rPr>
            <w:noProof/>
            <w:webHidden/>
          </w:rPr>
          <w:instrText xml:space="preserve"> PAGEREF _Toc182555744 \h </w:instrText>
        </w:r>
        <w:r w:rsidR="00147EEF">
          <w:rPr>
            <w:noProof/>
            <w:webHidden/>
          </w:rPr>
        </w:r>
        <w:r w:rsidR="00147EEF">
          <w:rPr>
            <w:noProof/>
            <w:webHidden/>
          </w:rPr>
          <w:fldChar w:fldCharType="separate"/>
        </w:r>
        <w:r w:rsidR="00147EEF">
          <w:rPr>
            <w:noProof/>
            <w:webHidden/>
          </w:rPr>
          <w:t>85</w:t>
        </w:r>
        <w:r w:rsidR="00147EEF">
          <w:rPr>
            <w:noProof/>
            <w:webHidden/>
          </w:rPr>
          <w:fldChar w:fldCharType="end"/>
        </w:r>
      </w:hyperlink>
    </w:p>
    <w:p w14:paraId="4139E20F" w14:textId="51320C61"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5" w:history="1">
        <w:r w:rsidR="00147EEF" w:rsidRPr="00B720F1">
          <w:rPr>
            <w:rStyle w:val="Hyperlink"/>
            <w:noProof/>
          </w:rPr>
          <w:t>6.3 Employer engagement with the Employer Disability Information service (Process)</w:t>
        </w:r>
        <w:r w:rsidR="00147EEF">
          <w:rPr>
            <w:noProof/>
            <w:webHidden/>
          </w:rPr>
          <w:tab/>
        </w:r>
        <w:r w:rsidR="00147EEF">
          <w:rPr>
            <w:noProof/>
            <w:webHidden/>
          </w:rPr>
          <w:fldChar w:fldCharType="begin"/>
        </w:r>
        <w:r w:rsidR="00147EEF">
          <w:rPr>
            <w:noProof/>
            <w:webHidden/>
          </w:rPr>
          <w:instrText xml:space="preserve"> PAGEREF _Toc182555745 \h </w:instrText>
        </w:r>
        <w:r w:rsidR="00147EEF">
          <w:rPr>
            <w:noProof/>
            <w:webHidden/>
          </w:rPr>
        </w:r>
        <w:r w:rsidR="00147EEF">
          <w:rPr>
            <w:noProof/>
            <w:webHidden/>
          </w:rPr>
          <w:fldChar w:fldCharType="separate"/>
        </w:r>
        <w:r w:rsidR="00147EEF">
          <w:rPr>
            <w:noProof/>
            <w:webHidden/>
          </w:rPr>
          <w:t>85</w:t>
        </w:r>
        <w:r w:rsidR="00147EEF">
          <w:rPr>
            <w:noProof/>
            <w:webHidden/>
          </w:rPr>
          <w:fldChar w:fldCharType="end"/>
        </w:r>
      </w:hyperlink>
    </w:p>
    <w:p w14:paraId="64A23D40" w14:textId="2B15DCDD"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6" w:history="1">
        <w:r w:rsidR="00147EEF" w:rsidRPr="00B720F1">
          <w:rPr>
            <w:rStyle w:val="Hyperlink"/>
            <w:noProof/>
          </w:rPr>
          <w:t>6.4 No. of employers in peer-to-peer networks (Process)</w:t>
        </w:r>
        <w:r w:rsidR="00147EEF">
          <w:rPr>
            <w:noProof/>
            <w:webHidden/>
          </w:rPr>
          <w:tab/>
        </w:r>
        <w:r w:rsidR="00147EEF">
          <w:rPr>
            <w:noProof/>
            <w:webHidden/>
          </w:rPr>
          <w:fldChar w:fldCharType="begin"/>
        </w:r>
        <w:r w:rsidR="00147EEF">
          <w:rPr>
            <w:noProof/>
            <w:webHidden/>
          </w:rPr>
          <w:instrText xml:space="preserve"> PAGEREF _Toc182555746 \h </w:instrText>
        </w:r>
        <w:r w:rsidR="00147EEF">
          <w:rPr>
            <w:noProof/>
            <w:webHidden/>
          </w:rPr>
        </w:r>
        <w:r w:rsidR="00147EEF">
          <w:rPr>
            <w:noProof/>
            <w:webHidden/>
          </w:rPr>
          <w:fldChar w:fldCharType="separate"/>
        </w:r>
        <w:r w:rsidR="00147EEF">
          <w:rPr>
            <w:noProof/>
            <w:webHidden/>
          </w:rPr>
          <w:t>86</w:t>
        </w:r>
        <w:r w:rsidR="00147EEF">
          <w:rPr>
            <w:noProof/>
            <w:webHidden/>
          </w:rPr>
          <w:fldChar w:fldCharType="end"/>
        </w:r>
      </w:hyperlink>
    </w:p>
    <w:p w14:paraId="3F14BE5B" w14:textId="65B7F8FF" w:rsidR="00147EEF" w:rsidRDefault="006248A8">
      <w:pPr>
        <w:pStyle w:val="TOC2"/>
        <w:tabs>
          <w:tab w:val="right" w:leader="dot" w:pos="8636"/>
        </w:tabs>
        <w:rPr>
          <w:rFonts w:asciiTheme="minorHAnsi" w:eastAsiaTheme="minorEastAsia" w:hAnsiTheme="minorHAnsi" w:cstheme="minorBidi"/>
          <w:noProof/>
          <w:kern w:val="2"/>
          <w:sz w:val="22"/>
          <w:szCs w:val="22"/>
          <w:lang w:eastAsia="en-IE"/>
          <w14:ligatures w14:val="standardContextual"/>
        </w:rPr>
      </w:pPr>
      <w:hyperlink w:anchor="_Toc182555747" w:history="1">
        <w:r w:rsidR="00147EEF" w:rsidRPr="00B720F1">
          <w:rPr>
            <w:rStyle w:val="Hyperlink"/>
            <w:noProof/>
          </w:rPr>
          <w:t>Overview of SP6</w:t>
        </w:r>
        <w:r w:rsidR="00147EEF">
          <w:rPr>
            <w:noProof/>
            <w:webHidden/>
          </w:rPr>
          <w:tab/>
        </w:r>
        <w:r w:rsidR="00147EEF">
          <w:rPr>
            <w:noProof/>
            <w:webHidden/>
          </w:rPr>
          <w:fldChar w:fldCharType="begin"/>
        </w:r>
        <w:r w:rsidR="00147EEF">
          <w:rPr>
            <w:noProof/>
            <w:webHidden/>
          </w:rPr>
          <w:instrText xml:space="preserve"> PAGEREF _Toc182555747 \h </w:instrText>
        </w:r>
        <w:r w:rsidR="00147EEF">
          <w:rPr>
            <w:noProof/>
            <w:webHidden/>
          </w:rPr>
        </w:r>
        <w:r w:rsidR="00147EEF">
          <w:rPr>
            <w:noProof/>
            <w:webHidden/>
          </w:rPr>
          <w:fldChar w:fldCharType="separate"/>
        </w:r>
        <w:r w:rsidR="00147EEF">
          <w:rPr>
            <w:noProof/>
            <w:webHidden/>
          </w:rPr>
          <w:t>87</w:t>
        </w:r>
        <w:r w:rsidR="00147EEF">
          <w:rPr>
            <w:noProof/>
            <w:webHidden/>
          </w:rPr>
          <w:fldChar w:fldCharType="end"/>
        </w:r>
      </w:hyperlink>
    </w:p>
    <w:p w14:paraId="19D77770" w14:textId="4E248D70"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48" w:history="1">
        <w:r w:rsidR="00147EEF" w:rsidRPr="00B720F1">
          <w:rPr>
            <w:rStyle w:val="Hyperlink"/>
            <w:noProof/>
            <w:lang w:eastAsia="en-IE"/>
          </w:rPr>
          <w:t>Conclusion</w:t>
        </w:r>
        <w:r w:rsidR="00147EEF">
          <w:rPr>
            <w:noProof/>
            <w:webHidden/>
          </w:rPr>
          <w:tab/>
        </w:r>
        <w:r w:rsidR="00147EEF">
          <w:rPr>
            <w:noProof/>
            <w:webHidden/>
          </w:rPr>
          <w:fldChar w:fldCharType="begin"/>
        </w:r>
        <w:r w:rsidR="00147EEF">
          <w:rPr>
            <w:noProof/>
            <w:webHidden/>
          </w:rPr>
          <w:instrText xml:space="preserve"> PAGEREF _Toc182555748 \h </w:instrText>
        </w:r>
        <w:r w:rsidR="00147EEF">
          <w:rPr>
            <w:noProof/>
            <w:webHidden/>
          </w:rPr>
        </w:r>
        <w:r w:rsidR="00147EEF">
          <w:rPr>
            <w:noProof/>
            <w:webHidden/>
          </w:rPr>
          <w:fldChar w:fldCharType="separate"/>
        </w:r>
        <w:r w:rsidR="00147EEF">
          <w:rPr>
            <w:noProof/>
            <w:webHidden/>
          </w:rPr>
          <w:t>89</w:t>
        </w:r>
        <w:r w:rsidR="00147EEF">
          <w:rPr>
            <w:noProof/>
            <w:webHidden/>
          </w:rPr>
          <w:fldChar w:fldCharType="end"/>
        </w:r>
      </w:hyperlink>
    </w:p>
    <w:p w14:paraId="7A0DB703" w14:textId="6837B39F"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49" w:history="1">
        <w:r w:rsidR="00147EEF" w:rsidRPr="00B720F1">
          <w:rPr>
            <w:rStyle w:val="Hyperlink"/>
            <w:noProof/>
          </w:rPr>
          <w:t>References</w:t>
        </w:r>
        <w:r w:rsidR="00147EEF">
          <w:rPr>
            <w:noProof/>
            <w:webHidden/>
          </w:rPr>
          <w:tab/>
        </w:r>
        <w:r w:rsidR="00147EEF">
          <w:rPr>
            <w:noProof/>
            <w:webHidden/>
          </w:rPr>
          <w:fldChar w:fldCharType="begin"/>
        </w:r>
        <w:r w:rsidR="00147EEF">
          <w:rPr>
            <w:noProof/>
            <w:webHidden/>
          </w:rPr>
          <w:instrText xml:space="preserve"> PAGEREF _Toc182555749 \h </w:instrText>
        </w:r>
        <w:r w:rsidR="00147EEF">
          <w:rPr>
            <w:noProof/>
            <w:webHidden/>
          </w:rPr>
        </w:r>
        <w:r w:rsidR="00147EEF">
          <w:rPr>
            <w:noProof/>
            <w:webHidden/>
          </w:rPr>
          <w:fldChar w:fldCharType="separate"/>
        </w:r>
        <w:r w:rsidR="00147EEF">
          <w:rPr>
            <w:noProof/>
            <w:webHidden/>
          </w:rPr>
          <w:t>92</w:t>
        </w:r>
        <w:r w:rsidR="00147EEF">
          <w:rPr>
            <w:noProof/>
            <w:webHidden/>
          </w:rPr>
          <w:fldChar w:fldCharType="end"/>
        </w:r>
      </w:hyperlink>
    </w:p>
    <w:p w14:paraId="7B32D82F" w14:textId="6CFB1C18"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50" w:history="1">
        <w:r w:rsidR="00147EEF" w:rsidRPr="00B720F1">
          <w:rPr>
            <w:rStyle w:val="Hyperlink"/>
            <w:noProof/>
          </w:rPr>
          <w:t>Appendix 1: Amendments to original indicator set for midterm report</w:t>
        </w:r>
        <w:r w:rsidR="00147EEF">
          <w:rPr>
            <w:noProof/>
            <w:webHidden/>
          </w:rPr>
          <w:tab/>
        </w:r>
        <w:r w:rsidR="00147EEF">
          <w:rPr>
            <w:noProof/>
            <w:webHidden/>
          </w:rPr>
          <w:fldChar w:fldCharType="begin"/>
        </w:r>
        <w:r w:rsidR="00147EEF">
          <w:rPr>
            <w:noProof/>
            <w:webHidden/>
          </w:rPr>
          <w:instrText xml:space="preserve"> PAGEREF _Toc182555750 \h </w:instrText>
        </w:r>
        <w:r w:rsidR="00147EEF">
          <w:rPr>
            <w:noProof/>
            <w:webHidden/>
          </w:rPr>
        </w:r>
        <w:r w:rsidR="00147EEF">
          <w:rPr>
            <w:noProof/>
            <w:webHidden/>
          </w:rPr>
          <w:fldChar w:fldCharType="separate"/>
        </w:r>
        <w:r w:rsidR="00147EEF">
          <w:rPr>
            <w:noProof/>
            <w:webHidden/>
          </w:rPr>
          <w:t>103</w:t>
        </w:r>
        <w:r w:rsidR="00147EEF">
          <w:rPr>
            <w:noProof/>
            <w:webHidden/>
          </w:rPr>
          <w:fldChar w:fldCharType="end"/>
        </w:r>
      </w:hyperlink>
    </w:p>
    <w:p w14:paraId="689C8B11" w14:textId="3ADF5A0F"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51" w:history="1">
        <w:r w:rsidR="00147EEF" w:rsidRPr="00B720F1">
          <w:rPr>
            <w:rStyle w:val="Hyperlink"/>
            <w:noProof/>
          </w:rPr>
          <w:t>Appendix 2: New indicators added to original set</w:t>
        </w:r>
        <w:r w:rsidR="00147EEF">
          <w:rPr>
            <w:noProof/>
            <w:webHidden/>
          </w:rPr>
          <w:tab/>
        </w:r>
        <w:r w:rsidR="00147EEF">
          <w:rPr>
            <w:noProof/>
            <w:webHidden/>
          </w:rPr>
          <w:fldChar w:fldCharType="begin"/>
        </w:r>
        <w:r w:rsidR="00147EEF">
          <w:rPr>
            <w:noProof/>
            <w:webHidden/>
          </w:rPr>
          <w:instrText xml:space="preserve"> PAGEREF _Toc182555751 \h </w:instrText>
        </w:r>
        <w:r w:rsidR="00147EEF">
          <w:rPr>
            <w:noProof/>
            <w:webHidden/>
          </w:rPr>
        </w:r>
        <w:r w:rsidR="00147EEF">
          <w:rPr>
            <w:noProof/>
            <w:webHidden/>
          </w:rPr>
          <w:fldChar w:fldCharType="separate"/>
        </w:r>
        <w:r w:rsidR="00147EEF">
          <w:rPr>
            <w:noProof/>
            <w:webHidden/>
          </w:rPr>
          <w:t>111</w:t>
        </w:r>
        <w:r w:rsidR="00147EEF">
          <w:rPr>
            <w:noProof/>
            <w:webHidden/>
          </w:rPr>
          <w:fldChar w:fldCharType="end"/>
        </w:r>
      </w:hyperlink>
    </w:p>
    <w:p w14:paraId="588FFF17" w14:textId="6F3F8867" w:rsidR="00147EEF" w:rsidRDefault="006248A8" w:rsidP="00147EEF">
      <w:pPr>
        <w:pStyle w:val="TOC1"/>
        <w:rPr>
          <w:rFonts w:asciiTheme="minorHAnsi" w:eastAsiaTheme="minorEastAsia" w:hAnsiTheme="minorHAnsi" w:cstheme="minorBidi"/>
          <w:noProof/>
          <w:kern w:val="2"/>
          <w:sz w:val="22"/>
          <w:szCs w:val="22"/>
          <w:lang w:eastAsia="en-IE"/>
          <w14:ligatures w14:val="standardContextual"/>
        </w:rPr>
      </w:pPr>
      <w:hyperlink w:anchor="_Toc182555752" w:history="1">
        <w:r w:rsidR="00147EEF" w:rsidRPr="00B720F1">
          <w:rPr>
            <w:rStyle w:val="Hyperlink"/>
            <w:noProof/>
          </w:rPr>
          <w:t>Appendix 3: Amendments to midterm indicator set for final report</w:t>
        </w:r>
        <w:r w:rsidR="00147EEF">
          <w:rPr>
            <w:noProof/>
            <w:webHidden/>
          </w:rPr>
          <w:tab/>
        </w:r>
        <w:r w:rsidR="00147EEF">
          <w:rPr>
            <w:noProof/>
            <w:webHidden/>
          </w:rPr>
          <w:fldChar w:fldCharType="begin"/>
        </w:r>
        <w:r w:rsidR="00147EEF">
          <w:rPr>
            <w:noProof/>
            <w:webHidden/>
          </w:rPr>
          <w:instrText xml:space="preserve"> PAGEREF _Toc182555752 \h </w:instrText>
        </w:r>
        <w:r w:rsidR="00147EEF">
          <w:rPr>
            <w:noProof/>
            <w:webHidden/>
          </w:rPr>
        </w:r>
        <w:r w:rsidR="00147EEF">
          <w:rPr>
            <w:noProof/>
            <w:webHidden/>
          </w:rPr>
          <w:fldChar w:fldCharType="separate"/>
        </w:r>
        <w:r w:rsidR="00147EEF">
          <w:rPr>
            <w:noProof/>
            <w:webHidden/>
          </w:rPr>
          <w:t>112</w:t>
        </w:r>
        <w:r w:rsidR="00147EEF">
          <w:rPr>
            <w:noProof/>
            <w:webHidden/>
          </w:rPr>
          <w:fldChar w:fldCharType="end"/>
        </w:r>
      </w:hyperlink>
    </w:p>
    <w:p w14:paraId="3C86C383" w14:textId="2739EF1F" w:rsidR="00361585" w:rsidRDefault="00147EEF">
      <w:pPr>
        <w:spacing w:after="0"/>
        <w:rPr>
          <w:rFonts w:ascii="Gill Sans MT" w:hAnsi="Gill Sans MT"/>
          <w:szCs w:val="26"/>
        </w:rPr>
        <w:sectPr w:rsidR="00361585" w:rsidSect="007D2DFC">
          <w:pgSz w:w="12240" w:h="15840"/>
          <w:pgMar w:top="1440" w:right="1797" w:bottom="1440" w:left="1797" w:header="709" w:footer="709" w:gutter="0"/>
          <w:cols w:space="708"/>
          <w:docGrid w:linePitch="360"/>
        </w:sectPr>
      </w:pPr>
      <w:r>
        <w:rPr>
          <w:rFonts w:ascii="Gill Sans MT" w:hAnsi="Gill Sans MT"/>
          <w:szCs w:val="26"/>
        </w:rPr>
        <w:fldChar w:fldCharType="end"/>
      </w:r>
    </w:p>
    <w:p w14:paraId="50F39196" w14:textId="35BE02F0" w:rsidR="009D0855" w:rsidRPr="009D0855" w:rsidRDefault="009D0855" w:rsidP="009D0855">
      <w:pPr>
        <w:pStyle w:val="H1Heading1NDA"/>
      </w:pPr>
      <w:bookmarkStart w:id="8" w:name="_Toc182555516"/>
      <w:bookmarkStart w:id="9" w:name="_Toc182555690"/>
      <w:r>
        <w:t>List of tables</w:t>
      </w:r>
      <w:bookmarkEnd w:id="8"/>
      <w:bookmarkEnd w:id="9"/>
    </w:p>
    <w:p w14:paraId="1182C220" w14:textId="1E1DFE79" w:rsidR="00361585" w:rsidRDefault="00361585" w:rsidP="009D0855">
      <w:pPr>
        <w:rPr>
          <w:noProof/>
        </w:rPr>
      </w:pPr>
      <w:r>
        <w:rPr>
          <w:szCs w:val="26"/>
        </w:rPr>
        <w:fldChar w:fldCharType="begin"/>
      </w:r>
      <w:r>
        <w:rPr>
          <w:szCs w:val="26"/>
        </w:rPr>
        <w:instrText xml:space="preserve"> TOC \h \z \c "Table" </w:instrText>
      </w:r>
      <w:r>
        <w:rPr>
          <w:szCs w:val="26"/>
        </w:rPr>
        <w:fldChar w:fldCharType="separate"/>
      </w:r>
      <w:hyperlink w:anchor="_Toc182219705" w:history="1">
        <w:r w:rsidRPr="00E7167C">
          <w:rPr>
            <w:rStyle w:val="Hyperlink"/>
            <w:noProof/>
          </w:rPr>
          <w:t xml:space="preserve">Table 1: </w:t>
        </w:r>
        <w:r w:rsidRPr="00E7167C">
          <w:rPr>
            <w:rStyle w:val="Hyperlink"/>
            <w:rFonts w:ascii="Gill Sans MT" w:eastAsia="SimSun" w:hAnsi="Gill Sans MT" w:cs="FuturaEF-Book"/>
            <w:noProof/>
            <w:lang w:eastAsia="en-IE"/>
          </w:rPr>
          <w:t>Number of indicators relating to each CES strategic priority, by indicator typ</w:t>
        </w:r>
        <w:r w:rsidR="00DA5790">
          <w:rPr>
            <w:rStyle w:val="Hyperlink"/>
            <w:rFonts w:ascii="Gill Sans MT" w:eastAsia="SimSun" w:hAnsi="Gill Sans MT" w:cs="FuturaEF-Book"/>
            <w:noProof/>
            <w:lang w:eastAsia="en-IE"/>
          </w:rPr>
          <w:t xml:space="preserve">e </w:t>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sidR="00DA5790">
          <w:rPr>
            <w:rStyle w:val="Hyperlink"/>
            <w:rFonts w:ascii="Gill Sans MT" w:eastAsia="SimSun" w:hAnsi="Gill Sans MT" w:cs="FuturaEF-Book"/>
            <w:noProof/>
            <w:lang w:eastAsia="en-IE"/>
          </w:rPr>
          <w:tab/>
        </w:r>
        <w:r>
          <w:rPr>
            <w:noProof/>
            <w:webHidden/>
          </w:rPr>
          <w:fldChar w:fldCharType="begin"/>
        </w:r>
        <w:r>
          <w:rPr>
            <w:noProof/>
            <w:webHidden/>
          </w:rPr>
          <w:instrText xml:space="preserve"> PAGEREF _Toc182219705 \h </w:instrText>
        </w:r>
        <w:r>
          <w:rPr>
            <w:noProof/>
            <w:webHidden/>
          </w:rPr>
        </w:r>
        <w:r>
          <w:rPr>
            <w:noProof/>
            <w:webHidden/>
          </w:rPr>
          <w:fldChar w:fldCharType="separate"/>
        </w:r>
        <w:r>
          <w:rPr>
            <w:noProof/>
            <w:webHidden/>
          </w:rPr>
          <w:t>21</w:t>
        </w:r>
        <w:r>
          <w:rPr>
            <w:noProof/>
            <w:webHidden/>
          </w:rPr>
          <w:fldChar w:fldCharType="end"/>
        </w:r>
      </w:hyperlink>
    </w:p>
    <w:p w14:paraId="605DFBCC" w14:textId="520B6E4E" w:rsidR="00361585" w:rsidRDefault="006248A8" w:rsidP="009D0855">
      <w:pPr>
        <w:rPr>
          <w:noProof/>
        </w:rPr>
      </w:pPr>
      <w:hyperlink w:anchor="_Toc182219706" w:history="1">
        <w:r w:rsidR="00361585" w:rsidRPr="00E7167C">
          <w:rPr>
            <w:rStyle w:val="Hyperlink"/>
            <w:noProof/>
          </w:rPr>
          <w:t xml:space="preserve">Table 2: </w:t>
        </w:r>
        <w:r w:rsidR="00361585" w:rsidRPr="00E7167C">
          <w:rPr>
            <w:rStyle w:val="Hyperlink"/>
            <w:noProof/>
            <w:lang w:eastAsia="en-IE"/>
          </w:rPr>
          <w:t>Number of children supported per calendar year under AIM Levels 4, 5, 6 and 7, 2016 to 2022</w:t>
        </w:r>
        <w:r w:rsidR="009D0855">
          <w:rPr>
            <w:rStyle w:val="Hyperlink"/>
            <w:noProof/>
            <w:lang w:eastAsia="en-IE"/>
          </w:rPr>
          <w:tab/>
        </w:r>
        <w:r w:rsidR="009D0855">
          <w:rPr>
            <w:rStyle w:val="Hyperlink"/>
            <w:noProof/>
            <w:lang w:eastAsia="en-IE"/>
          </w:rPr>
          <w:tab/>
        </w:r>
        <w:r w:rsidR="009D0855">
          <w:rPr>
            <w:rStyle w:val="Hyperlink"/>
            <w:noProof/>
            <w:lang w:eastAsia="en-IE"/>
          </w:rPr>
          <w:tab/>
        </w:r>
        <w:r w:rsidR="009D0855">
          <w:rPr>
            <w:rStyle w:val="Hyperlink"/>
            <w:noProof/>
            <w:lang w:eastAsia="en-IE"/>
          </w:rPr>
          <w:tab/>
        </w:r>
        <w:r w:rsidR="009D0855">
          <w:rPr>
            <w:rStyle w:val="Hyperlink"/>
            <w:noProof/>
            <w:lang w:eastAsia="en-IE"/>
          </w:rPr>
          <w:tab/>
        </w:r>
        <w:r w:rsidR="009D0855">
          <w:rPr>
            <w:rStyle w:val="Hyperlink"/>
            <w:noProof/>
            <w:lang w:eastAsia="en-IE"/>
          </w:rPr>
          <w:tab/>
        </w:r>
        <w:r w:rsidR="009D0855">
          <w:rPr>
            <w:rStyle w:val="Hyperlink"/>
            <w:noProof/>
            <w:lang w:eastAsia="en-IE"/>
          </w:rPr>
          <w:tab/>
        </w:r>
        <w:r w:rsidR="00361585">
          <w:rPr>
            <w:noProof/>
            <w:webHidden/>
          </w:rPr>
          <w:tab/>
        </w:r>
        <w:r w:rsidR="00361585">
          <w:rPr>
            <w:noProof/>
            <w:webHidden/>
          </w:rPr>
          <w:fldChar w:fldCharType="begin"/>
        </w:r>
        <w:r w:rsidR="00361585">
          <w:rPr>
            <w:noProof/>
            <w:webHidden/>
          </w:rPr>
          <w:instrText xml:space="preserve"> PAGEREF _Toc182219706 \h </w:instrText>
        </w:r>
        <w:r w:rsidR="00361585">
          <w:rPr>
            <w:noProof/>
            <w:webHidden/>
          </w:rPr>
        </w:r>
        <w:r w:rsidR="00361585">
          <w:rPr>
            <w:noProof/>
            <w:webHidden/>
          </w:rPr>
          <w:fldChar w:fldCharType="separate"/>
        </w:r>
        <w:r w:rsidR="00361585">
          <w:rPr>
            <w:noProof/>
            <w:webHidden/>
          </w:rPr>
          <w:t>29</w:t>
        </w:r>
        <w:r w:rsidR="00361585">
          <w:rPr>
            <w:noProof/>
            <w:webHidden/>
          </w:rPr>
          <w:fldChar w:fldCharType="end"/>
        </w:r>
      </w:hyperlink>
    </w:p>
    <w:p w14:paraId="1091A777" w14:textId="666641A0" w:rsidR="00361585" w:rsidRDefault="006248A8" w:rsidP="009D0855">
      <w:pPr>
        <w:rPr>
          <w:noProof/>
        </w:rPr>
      </w:pPr>
      <w:hyperlink w:anchor="_Toc182219707" w:history="1">
        <w:r w:rsidR="00361585" w:rsidRPr="00E7167C">
          <w:rPr>
            <w:rStyle w:val="Hyperlink"/>
            <w:noProof/>
          </w:rPr>
          <w:t>Table 3: Highest level of educational attainment for people grouped by limitation status, 2015-2023</w:t>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361585">
          <w:rPr>
            <w:noProof/>
            <w:webHidden/>
          </w:rPr>
          <w:tab/>
        </w:r>
        <w:r w:rsidR="00361585">
          <w:rPr>
            <w:noProof/>
            <w:webHidden/>
          </w:rPr>
          <w:fldChar w:fldCharType="begin"/>
        </w:r>
        <w:r w:rsidR="00361585">
          <w:rPr>
            <w:noProof/>
            <w:webHidden/>
          </w:rPr>
          <w:instrText xml:space="preserve"> PAGEREF _Toc182219707 \h </w:instrText>
        </w:r>
        <w:r w:rsidR="00361585">
          <w:rPr>
            <w:noProof/>
            <w:webHidden/>
          </w:rPr>
        </w:r>
        <w:r w:rsidR="00361585">
          <w:rPr>
            <w:noProof/>
            <w:webHidden/>
          </w:rPr>
          <w:fldChar w:fldCharType="separate"/>
        </w:r>
        <w:r w:rsidR="00361585">
          <w:rPr>
            <w:noProof/>
            <w:webHidden/>
          </w:rPr>
          <w:t>32</w:t>
        </w:r>
        <w:r w:rsidR="00361585">
          <w:rPr>
            <w:noProof/>
            <w:webHidden/>
          </w:rPr>
          <w:fldChar w:fldCharType="end"/>
        </w:r>
      </w:hyperlink>
    </w:p>
    <w:p w14:paraId="3ED2385A" w14:textId="502195C8" w:rsidR="00361585" w:rsidRDefault="006248A8" w:rsidP="009D0855">
      <w:pPr>
        <w:rPr>
          <w:noProof/>
        </w:rPr>
      </w:pPr>
      <w:hyperlink w:anchor="_Toc182219708" w:history="1">
        <w:r w:rsidR="00361585" w:rsidRPr="00E7167C">
          <w:rPr>
            <w:rStyle w:val="Hyperlink"/>
            <w:noProof/>
          </w:rPr>
          <w:t>Table 4: Population aged 15 years and over with and without a disability by highest level of education completed</w:t>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9D0855">
          <w:rPr>
            <w:rStyle w:val="Hyperlink"/>
            <w:noProof/>
          </w:rPr>
          <w:tab/>
        </w:r>
        <w:r w:rsidR="00361585">
          <w:rPr>
            <w:noProof/>
            <w:webHidden/>
          </w:rPr>
          <w:tab/>
        </w:r>
        <w:r w:rsidR="00361585">
          <w:rPr>
            <w:noProof/>
            <w:webHidden/>
          </w:rPr>
          <w:fldChar w:fldCharType="begin"/>
        </w:r>
        <w:r w:rsidR="00361585">
          <w:rPr>
            <w:noProof/>
            <w:webHidden/>
          </w:rPr>
          <w:instrText xml:space="preserve"> PAGEREF _Toc182219708 \h </w:instrText>
        </w:r>
        <w:r w:rsidR="00361585">
          <w:rPr>
            <w:noProof/>
            <w:webHidden/>
          </w:rPr>
        </w:r>
        <w:r w:rsidR="00361585">
          <w:rPr>
            <w:noProof/>
            <w:webHidden/>
          </w:rPr>
          <w:fldChar w:fldCharType="separate"/>
        </w:r>
        <w:r w:rsidR="00361585">
          <w:rPr>
            <w:noProof/>
            <w:webHidden/>
          </w:rPr>
          <w:t>33</w:t>
        </w:r>
        <w:r w:rsidR="00361585">
          <w:rPr>
            <w:noProof/>
            <w:webHidden/>
          </w:rPr>
          <w:fldChar w:fldCharType="end"/>
        </w:r>
      </w:hyperlink>
    </w:p>
    <w:p w14:paraId="21C8B069" w14:textId="50828723" w:rsidR="00361585" w:rsidRDefault="006248A8" w:rsidP="009D0855">
      <w:pPr>
        <w:rPr>
          <w:noProof/>
        </w:rPr>
      </w:pPr>
      <w:hyperlink w:anchor="_Toc182219709" w:history="1">
        <w:r w:rsidR="00361585" w:rsidRPr="00E7167C">
          <w:rPr>
            <w:rStyle w:val="Hyperlink"/>
            <w:noProof/>
          </w:rPr>
          <w:t>Table 5: Highest level of education completed by people with disabilities aged fifteen and over, by disability type, 2022</w:t>
        </w:r>
        <w:r w:rsidR="0036158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361585">
          <w:rPr>
            <w:noProof/>
            <w:webHidden/>
          </w:rPr>
          <w:fldChar w:fldCharType="begin"/>
        </w:r>
        <w:r w:rsidR="00361585">
          <w:rPr>
            <w:noProof/>
            <w:webHidden/>
          </w:rPr>
          <w:instrText xml:space="preserve"> PAGEREF _Toc182219709 \h </w:instrText>
        </w:r>
        <w:r w:rsidR="00361585">
          <w:rPr>
            <w:noProof/>
            <w:webHidden/>
          </w:rPr>
        </w:r>
        <w:r w:rsidR="00361585">
          <w:rPr>
            <w:noProof/>
            <w:webHidden/>
          </w:rPr>
          <w:fldChar w:fldCharType="separate"/>
        </w:r>
        <w:r w:rsidR="00361585">
          <w:rPr>
            <w:noProof/>
            <w:webHidden/>
          </w:rPr>
          <w:t>35</w:t>
        </w:r>
        <w:r w:rsidR="00361585">
          <w:rPr>
            <w:noProof/>
            <w:webHidden/>
          </w:rPr>
          <w:fldChar w:fldCharType="end"/>
        </w:r>
      </w:hyperlink>
    </w:p>
    <w:p w14:paraId="2B246C36" w14:textId="3A873A55" w:rsidR="00361585" w:rsidRDefault="006248A8" w:rsidP="009D0855">
      <w:pPr>
        <w:rPr>
          <w:noProof/>
        </w:rPr>
      </w:pPr>
      <w:hyperlink w:anchor="_Toc182219710" w:history="1">
        <w:r w:rsidR="00361585" w:rsidRPr="00E7167C">
          <w:rPr>
            <w:rStyle w:val="Hyperlink"/>
            <w:noProof/>
          </w:rPr>
          <w:t xml:space="preserve">Table 6: </w:t>
        </w:r>
        <w:r w:rsidR="00361585" w:rsidRPr="00E7167C">
          <w:rPr>
            <w:rStyle w:val="Hyperlink"/>
            <w:rFonts w:ascii="Gill Sans MT" w:hAnsi="Gill Sans MT"/>
            <w:noProof/>
            <w:lang w:eastAsia="en-IE"/>
          </w:rPr>
          <w:t>Primary disability of students accessing disability support services in higher education institutions by Academic Year 2015-2021 (%)</w:t>
        </w:r>
        <w:r w:rsidR="009D0855">
          <w:rPr>
            <w:rStyle w:val="Hyperlink"/>
            <w:rFonts w:ascii="Gill Sans MT" w:hAnsi="Gill Sans MT"/>
            <w:noProof/>
            <w:lang w:eastAsia="en-IE"/>
          </w:rPr>
          <w:tab/>
        </w:r>
        <w:r w:rsidR="00361585">
          <w:rPr>
            <w:noProof/>
            <w:webHidden/>
          </w:rPr>
          <w:tab/>
        </w:r>
        <w:r w:rsidR="00361585">
          <w:rPr>
            <w:noProof/>
            <w:webHidden/>
          </w:rPr>
          <w:fldChar w:fldCharType="begin"/>
        </w:r>
        <w:r w:rsidR="00361585">
          <w:rPr>
            <w:noProof/>
            <w:webHidden/>
          </w:rPr>
          <w:instrText xml:space="preserve"> PAGEREF _Toc182219710 \h </w:instrText>
        </w:r>
        <w:r w:rsidR="00361585">
          <w:rPr>
            <w:noProof/>
            <w:webHidden/>
          </w:rPr>
        </w:r>
        <w:r w:rsidR="00361585">
          <w:rPr>
            <w:noProof/>
            <w:webHidden/>
          </w:rPr>
          <w:fldChar w:fldCharType="separate"/>
        </w:r>
        <w:r w:rsidR="00361585">
          <w:rPr>
            <w:noProof/>
            <w:webHidden/>
          </w:rPr>
          <w:t>39</w:t>
        </w:r>
        <w:r w:rsidR="00361585">
          <w:rPr>
            <w:noProof/>
            <w:webHidden/>
          </w:rPr>
          <w:fldChar w:fldCharType="end"/>
        </w:r>
      </w:hyperlink>
    </w:p>
    <w:p w14:paraId="2F5812B5" w14:textId="6F411B16" w:rsidR="00361585" w:rsidRDefault="006248A8" w:rsidP="009D0855">
      <w:pPr>
        <w:rPr>
          <w:noProof/>
        </w:rPr>
      </w:pPr>
      <w:hyperlink w:anchor="_Toc182219711" w:history="1">
        <w:r w:rsidR="00361585" w:rsidRPr="00E7167C">
          <w:rPr>
            <w:rStyle w:val="Hyperlink"/>
            <w:noProof/>
          </w:rPr>
          <w:t xml:space="preserve">Table 7: </w:t>
        </w:r>
        <w:r w:rsidR="00361585" w:rsidRPr="00E7167C">
          <w:rPr>
            <w:rStyle w:val="Hyperlink"/>
            <w:rFonts w:ascii="Gill Sans MT" w:hAnsi="Gill Sans MT"/>
            <w:noProof/>
            <w:lang w:eastAsia="en-IE"/>
          </w:rPr>
          <w:t>Rehabilitative Training Outcomes 2015-2023</w:t>
        </w:r>
        <w:r w:rsidR="00361585">
          <w:rPr>
            <w:noProof/>
            <w:webHidden/>
          </w:rPr>
          <w:tab/>
        </w:r>
        <w:r w:rsidR="009D0855">
          <w:rPr>
            <w:noProof/>
            <w:webHidden/>
          </w:rPr>
          <w:tab/>
        </w:r>
        <w:r w:rsidR="009D0855">
          <w:rPr>
            <w:noProof/>
            <w:webHidden/>
          </w:rPr>
          <w:tab/>
        </w:r>
        <w:r w:rsidR="009D0855">
          <w:rPr>
            <w:noProof/>
            <w:webHidden/>
          </w:rPr>
          <w:tab/>
        </w:r>
        <w:r w:rsidR="00361585">
          <w:rPr>
            <w:noProof/>
            <w:webHidden/>
          </w:rPr>
          <w:fldChar w:fldCharType="begin"/>
        </w:r>
        <w:r w:rsidR="00361585">
          <w:rPr>
            <w:noProof/>
            <w:webHidden/>
          </w:rPr>
          <w:instrText xml:space="preserve"> PAGEREF _Toc182219711 \h </w:instrText>
        </w:r>
        <w:r w:rsidR="00361585">
          <w:rPr>
            <w:noProof/>
            <w:webHidden/>
          </w:rPr>
        </w:r>
        <w:r w:rsidR="00361585">
          <w:rPr>
            <w:noProof/>
            <w:webHidden/>
          </w:rPr>
          <w:fldChar w:fldCharType="separate"/>
        </w:r>
        <w:r w:rsidR="00361585">
          <w:rPr>
            <w:noProof/>
            <w:webHidden/>
          </w:rPr>
          <w:t>46</w:t>
        </w:r>
        <w:r w:rsidR="00361585">
          <w:rPr>
            <w:noProof/>
            <w:webHidden/>
          </w:rPr>
          <w:fldChar w:fldCharType="end"/>
        </w:r>
      </w:hyperlink>
    </w:p>
    <w:p w14:paraId="60D28158" w14:textId="41283B8E" w:rsidR="00361585" w:rsidRDefault="006248A8" w:rsidP="009D0855">
      <w:pPr>
        <w:rPr>
          <w:noProof/>
        </w:rPr>
      </w:pPr>
      <w:hyperlink w:anchor="_Toc182219712" w:history="1">
        <w:r w:rsidR="00361585" w:rsidRPr="00E7167C">
          <w:rPr>
            <w:rStyle w:val="Hyperlink"/>
            <w:noProof/>
          </w:rPr>
          <w:t xml:space="preserve">Table 8: </w:t>
        </w:r>
        <w:r w:rsidR="00361585" w:rsidRPr="00E7167C">
          <w:rPr>
            <w:rStyle w:val="Hyperlink"/>
            <w:rFonts w:ascii="Gill Sans MT" w:hAnsi="Gill Sans MT"/>
            <w:noProof/>
          </w:rPr>
          <w:t>Back to Education Allowance recipients moving from disability payments 2015-2023</w:t>
        </w:r>
        <w:r w:rsidR="0036158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361585">
          <w:rPr>
            <w:noProof/>
            <w:webHidden/>
          </w:rPr>
          <w:fldChar w:fldCharType="begin"/>
        </w:r>
        <w:r w:rsidR="00361585">
          <w:rPr>
            <w:noProof/>
            <w:webHidden/>
          </w:rPr>
          <w:instrText xml:space="preserve"> PAGEREF _Toc182219712 \h </w:instrText>
        </w:r>
        <w:r w:rsidR="00361585">
          <w:rPr>
            <w:noProof/>
            <w:webHidden/>
          </w:rPr>
        </w:r>
        <w:r w:rsidR="00361585">
          <w:rPr>
            <w:noProof/>
            <w:webHidden/>
          </w:rPr>
          <w:fldChar w:fldCharType="separate"/>
        </w:r>
        <w:r w:rsidR="00361585">
          <w:rPr>
            <w:noProof/>
            <w:webHidden/>
          </w:rPr>
          <w:t>48</w:t>
        </w:r>
        <w:r w:rsidR="00361585">
          <w:rPr>
            <w:noProof/>
            <w:webHidden/>
          </w:rPr>
          <w:fldChar w:fldCharType="end"/>
        </w:r>
      </w:hyperlink>
    </w:p>
    <w:p w14:paraId="06B8F3C6" w14:textId="66D6AB0E" w:rsidR="00361585" w:rsidRDefault="006248A8" w:rsidP="009D0855">
      <w:pPr>
        <w:rPr>
          <w:noProof/>
        </w:rPr>
      </w:pPr>
      <w:hyperlink w:anchor="_Toc182219713" w:history="1">
        <w:r w:rsidR="00361585" w:rsidRPr="00E7167C">
          <w:rPr>
            <w:rStyle w:val="Hyperlink"/>
            <w:noProof/>
          </w:rPr>
          <w:t>Table 9: Data on EmployAbility participants 2014-2023</w:t>
        </w:r>
        <w:r w:rsidR="00361585">
          <w:rPr>
            <w:noProof/>
            <w:webHidden/>
          </w:rPr>
          <w:tab/>
        </w:r>
        <w:r w:rsidR="009D0855">
          <w:rPr>
            <w:noProof/>
            <w:webHidden/>
          </w:rPr>
          <w:tab/>
        </w:r>
        <w:r w:rsidR="009D0855">
          <w:rPr>
            <w:noProof/>
            <w:webHidden/>
          </w:rPr>
          <w:tab/>
        </w:r>
        <w:r w:rsidR="00361585">
          <w:rPr>
            <w:noProof/>
            <w:webHidden/>
          </w:rPr>
          <w:fldChar w:fldCharType="begin"/>
        </w:r>
        <w:r w:rsidR="00361585">
          <w:rPr>
            <w:noProof/>
            <w:webHidden/>
          </w:rPr>
          <w:instrText xml:space="preserve"> PAGEREF _Toc182219713 \h </w:instrText>
        </w:r>
        <w:r w:rsidR="00361585">
          <w:rPr>
            <w:noProof/>
            <w:webHidden/>
          </w:rPr>
        </w:r>
        <w:r w:rsidR="00361585">
          <w:rPr>
            <w:noProof/>
            <w:webHidden/>
          </w:rPr>
          <w:fldChar w:fldCharType="separate"/>
        </w:r>
        <w:r w:rsidR="00361585">
          <w:rPr>
            <w:noProof/>
            <w:webHidden/>
          </w:rPr>
          <w:t>55</w:t>
        </w:r>
        <w:r w:rsidR="00361585">
          <w:rPr>
            <w:noProof/>
            <w:webHidden/>
          </w:rPr>
          <w:fldChar w:fldCharType="end"/>
        </w:r>
      </w:hyperlink>
    </w:p>
    <w:p w14:paraId="006CAE80" w14:textId="105ADA64" w:rsidR="00361585" w:rsidRPr="00361585" w:rsidRDefault="006248A8" w:rsidP="009D0855">
      <w:pPr>
        <w:rPr>
          <w:noProof/>
        </w:rPr>
      </w:pPr>
      <w:hyperlink w:anchor="_Toc182219714" w:history="1">
        <w:r w:rsidR="00361585" w:rsidRPr="00361585">
          <w:rPr>
            <w:rStyle w:val="Hyperlink"/>
            <w:rFonts w:ascii="Gill Sans MT" w:hAnsi="Gill Sans MT"/>
            <w:noProof/>
          </w:rPr>
          <w:t>Table 10: Number of persons in employment supported through the Wage Subsidy Scheme 2015-2023</w:t>
        </w:r>
        <w:r w:rsidR="00361585" w:rsidRPr="0036158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361585" w:rsidRPr="00361585">
          <w:rPr>
            <w:noProof/>
            <w:webHidden/>
          </w:rPr>
          <w:fldChar w:fldCharType="begin"/>
        </w:r>
        <w:r w:rsidR="00361585" w:rsidRPr="00361585">
          <w:rPr>
            <w:noProof/>
            <w:webHidden/>
          </w:rPr>
          <w:instrText xml:space="preserve"> PAGEREF _Toc182219714 \h </w:instrText>
        </w:r>
        <w:r w:rsidR="00361585" w:rsidRPr="00361585">
          <w:rPr>
            <w:noProof/>
            <w:webHidden/>
          </w:rPr>
        </w:r>
        <w:r w:rsidR="00361585" w:rsidRPr="00361585">
          <w:rPr>
            <w:noProof/>
            <w:webHidden/>
          </w:rPr>
          <w:fldChar w:fldCharType="separate"/>
        </w:r>
        <w:r w:rsidR="00361585" w:rsidRPr="00361585">
          <w:rPr>
            <w:noProof/>
            <w:webHidden/>
          </w:rPr>
          <w:t>72</w:t>
        </w:r>
        <w:r w:rsidR="00361585" w:rsidRPr="00361585">
          <w:rPr>
            <w:noProof/>
            <w:webHidden/>
          </w:rPr>
          <w:fldChar w:fldCharType="end"/>
        </w:r>
      </w:hyperlink>
    </w:p>
    <w:p w14:paraId="646F277C" w14:textId="04B9F114" w:rsidR="00361585" w:rsidRDefault="006248A8" w:rsidP="009D0855">
      <w:pPr>
        <w:rPr>
          <w:noProof/>
        </w:rPr>
      </w:pPr>
      <w:hyperlink w:anchor="_Toc182219715" w:history="1">
        <w:r w:rsidR="00361585" w:rsidRPr="00E7167C">
          <w:rPr>
            <w:rStyle w:val="Hyperlink"/>
            <w:noProof/>
          </w:rPr>
          <w:t>Table 11: Number of grant claims claimed through the Reasonable Accommodation Fund 2015-2023, by grant type</w:t>
        </w:r>
        <w:r w:rsidR="00361585">
          <w:rPr>
            <w:noProof/>
            <w:webHidden/>
          </w:rPr>
          <w:tab/>
        </w:r>
        <w:r w:rsidR="009D0855">
          <w:rPr>
            <w:noProof/>
            <w:webHidden/>
          </w:rPr>
          <w:tab/>
        </w:r>
        <w:r w:rsidR="009D0855">
          <w:rPr>
            <w:noProof/>
            <w:webHidden/>
          </w:rPr>
          <w:tab/>
        </w:r>
        <w:r w:rsidR="009D0855">
          <w:rPr>
            <w:noProof/>
            <w:webHidden/>
          </w:rPr>
          <w:tab/>
        </w:r>
        <w:r w:rsidR="00361585">
          <w:rPr>
            <w:noProof/>
            <w:webHidden/>
          </w:rPr>
          <w:fldChar w:fldCharType="begin"/>
        </w:r>
        <w:r w:rsidR="00361585">
          <w:rPr>
            <w:noProof/>
            <w:webHidden/>
          </w:rPr>
          <w:instrText xml:space="preserve"> PAGEREF _Toc182219715 \h </w:instrText>
        </w:r>
        <w:r w:rsidR="00361585">
          <w:rPr>
            <w:noProof/>
            <w:webHidden/>
          </w:rPr>
        </w:r>
        <w:r w:rsidR="00361585">
          <w:rPr>
            <w:noProof/>
            <w:webHidden/>
          </w:rPr>
          <w:fldChar w:fldCharType="separate"/>
        </w:r>
        <w:r w:rsidR="00361585">
          <w:rPr>
            <w:noProof/>
            <w:webHidden/>
          </w:rPr>
          <w:t>75</w:t>
        </w:r>
        <w:r w:rsidR="00361585">
          <w:rPr>
            <w:noProof/>
            <w:webHidden/>
          </w:rPr>
          <w:fldChar w:fldCharType="end"/>
        </w:r>
      </w:hyperlink>
    </w:p>
    <w:p w14:paraId="174AA8BA" w14:textId="77F15F51" w:rsidR="00361585" w:rsidRDefault="006248A8" w:rsidP="009D0855">
      <w:pPr>
        <w:rPr>
          <w:noProof/>
        </w:rPr>
      </w:pPr>
      <w:hyperlink w:anchor="_Toc182219716" w:history="1">
        <w:r w:rsidR="00361585" w:rsidRPr="00E7167C">
          <w:rPr>
            <w:rStyle w:val="Hyperlink"/>
            <w:noProof/>
          </w:rPr>
          <w:t xml:space="preserve">Table 12: </w:t>
        </w:r>
        <w:r w:rsidR="00361585" w:rsidRPr="00E7167C">
          <w:rPr>
            <w:rStyle w:val="Hyperlink"/>
            <w:rFonts w:ascii="Gill Sans MT" w:hAnsi="Gill Sans MT"/>
            <w:noProof/>
            <w:lang w:eastAsia="en-IE"/>
          </w:rPr>
          <w:t>Yearly Reasonable Accommodation Fund expenditure 2015-2021, by grant type</w:t>
        </w:r>
        <w:r w:rsidR="0036158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361585">
          <w:rPr>
            <w:noProof/>
            <w:webHidden/>
          </w:rPr>
          <w:fldChar w:fldCharType="begin"/>
        </w:r>
        <w:r w:rsidR="00361585">
          <w:rPr>
            <w:noProof/>
            <w:webHidden/>
          </w:rPr>
          <w:instrText xml:space="preserve"> PAGEREF _Toc182219716 \h </w:instrText>
        </w:r>
        <w:r w:rsidR="00361585">
          <w:rPr>
            <w:noProof/>
            <w:webHidden/>
          </w:rPr>
        </w:r>
        <w:r w:rsidR="00361585">
          <w:rPr>
            <w:noProof/>
            <w:webHidden/>
          </w:rPr>
          <w:fldChar w:fldCharType="separate"/>
        </w:r>
        <w:r w:rsidR="00361585">
          <w:rPr>
            <w:noProof/>
            <w:webHidden/>
          </w:rPr>
          <w:t>76</w:t>
        </w:r>
        <w:r w:rsidR="00361585">
          <w:rPr>
            <w:noProof/>
            <w:webHidden/>
          </w:rPr>
          <w:fldChar w:fldCharType="end"/>
        </w:r>
      </w:hyperlink>
    </w:p>
    <w:p w14:paraId="01E2AB81" w14:textId="77777777" w:rsidR="009D0855" w:rsidRDefault="00361585" w:rsidP="009D0855">
      <w:pPr>
        <w:rPr>
          <w:szCs w:val="26"/>
        </w:rPr>
        <w:sectPr w:rsidR="009D0855" w:rsidSect="007D2DFC">
          <w:pgSz w:w="12240" w:h="15840"/>
          <w:pgMar w:top="1440" w:right="1797" w:bottom="1440" w:left="1797" w:header="709" w:footer="709" w:gutter="0"/>
          <w:cols w:space="708"/>
          <w:docGrid w:linePitch="360"/>
        </w:sectPr>
      </w:pPr>
      <w:r>
        <w:rPr>
          <w:szCs w:val="26"/>
        </w:rPr>
        <w:fldChar w:fldCharType="end"/>
      </w:r>
    </w:p>
    <w:p w14:paraId="72980439" w14:textId="00D69BD0" w:rsidR="009D0855" w:rsidRDefault="009D0855" w:rsidP="009D0855">
      <w:pPr>
        <w:pStyle w:val="Heading1"/>
      </w:pPr>
      <w:bookmarkStart w:id="10" w:name="_Toc182555517"/>
      <w:bookmarkStart w:id="11" w:name="_Toc182555691"/>
      <w:r>
        <w:t xml:space="preserve">List of </w:t>
      </w:r>
      <w:r w:rsidR="00DA5790">
        <w:t>f</w:t>
      </w:r>
      <w:r>
        <w:t>igures</w:t>
      </w:r>
      <w:bookmarkEnd w:id="10"/>
      <w:bookmarkEnd w:id="11"/>
    </w:p>
    <w:p w14:paraId="4F240A66" w14:textId="76A7E499" w:rsidR="009D0855" w:rsidRDefault="009D0855" w:rsidP="009D0855">
      <w:pPr>
        <w:rPr>
          <w:rFonts w:asciiTheme="minorHAnsi" w:eastAsiaTheme="minorEastAsia" w:hAnsiTheme="minorHAnsi" w:cstheme="minorBidi"/>
          <w:noProof/>
          <w:kern w:val="2"/>
          <w:sz w:val="22"/>
          <w:szCs w:val="22"/>
          <w:lang w:eastAsia="en-IE"/>
          <w14:ligatures w14:val="standardContextual"/>
        </w:rPr>
      </w:pPr>
      <w:r>
        <w:rPr>
          <w:szCs w:val="26"/>
        </w:rPr>
        <w:fldChar w:fldCharType="begin"/>
      </w:r>
      <w:r>
        <w:rPr>
          <w:szCs w:val="26"/>
        </w:rPr>
        <w:instrText xml:space="preserve"> TOC \h \z \c "Figure" </w:instrText>
      </w:r>
      <w:r>
        <w:rPr>
          <w:szCs w:val="26"/>
        </w:rPr>
        <w:fldChar w:fldCharType="separate"/>
      </w:r>
      <w:hyperlink w:anchor="_Toc182219897" w:history="1">
        <w:r w:rsidRPr="002550A5">
          <w:rPr>
            <w:rStyle w:val="Hyperlink"/>
            <w:noProof/>
          </w:rPr>
          <w:t>Figure 1: Principal economic status of people aged 20-64 in 2022, by disability status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_Toc182219897 \h </w:instrText>
        </w:r>
        <w:r>
          <w:rPr>
            <w:noProof/>
            <w:webHidden/>
          </w:rPr>
        </w:r>
        <w:r>
          <w:rPr>
            <w:noProof/>
            <w:webHidden/>
          </w:rPr>
          <w:fldChar w:fldCharType="separate"/>
        </w:r>
        <w:r>
          <w:rPr>
            <w:noProof/>
            <w:webHidden/>
          </w:rPr>
          <w:t>26</w:t>
        </w:r>
        <w:r>
          <w:rPr>
            <w:noProof/>
            <w:webHidden/>
          </w:rPr>
          <w:fldChar w:fldCharType="end"/>
        </w:r>
      </w:hyperlink>
    </w:p>
    <w:p w14:paraId="34AFC93E" w14:textId="26F09599"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898" w:history="1">
        <w:r w:rsidR="009D0855" w:rsidRPr="002550A5">
          <w:rPr>
            <w:rStyle w:val="Hyperlink"/>
            <w:noProof/>
          </w:rPr>
          <w:t>Figure 2: Disability employment gap for EU member states, 2022</w:t>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_Toc182219898 \h </w:instrText>
        </w:r>
        <w:r w:rsidR="009D0855">
          <w:rPr>
            <w:noProof/>
            <w:webHidden/>
          </w:rPr>
        </w:r>
        <w:r w:rsidR="009D0855">
          <w:rPr>
            <w:noProof/>
            <w:webHidden/>
          </w:rPr>
          <w:fldChar w:fldCharType="separate"/>
        </w:r>
        <w:r w:rsidR="009D0855">
          <w:rPr>
            <w:noProof/>
            <w:webHidden/>
          </w:rPr>
          <w:t>27</w:t>
        </w:r>
        <w:r w:rsidR="009D0855">
          <w:rPr>
            <w:noProof/>
            <w:webHidden/>
          </w:rPr>
          <w:fldChar w:fldCharType="end"/>
        </w:r>
      </w:hyperlink>
    </w:p>
    <w:p w14:paraId="56C80F5C" w14:textId="5D0BC0CE"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899" w:history="1">
        <w:r w:rsidR="009D0855" w:rsidRPr="002550A5">
          <w:rPr>
            <w:rStyle w:val="Hyperlink"/>
            <w:noProof/>
          </w:rPr>
          <w:t>Figure 3: Disability employment gap in Ireland and in the EU overall, 2014-2022</w:t>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_Toc182219899 \h </w:instrText>
        </w:r>
        <w:r w:rsidR="009D0855">
          <w:rPr>
            <w:noProof/>
            <w:webHidden/>
          </w:rPr>
        </w:r>
        <w:r w:rsidR="009D0855">
          <w:rPr>
            <w:noProof/>
            <w:webHidden/>
          </w:rPr>
          <w:fldChar w:fldCharType="separate"/>
        </w:r>
        <w:r w:rsidR="009D0855">
          <w:rPr>
            <w:noProof/>
            <w:webHidden/>
          </w:rPr>
          <w:t>27</w:t>
        </w:r>
        <w:r w:rsidR="009D0855">
          <w:rPr>
            <w:noProof/>
            <w:webHidden/>
          </w:rPr>
          <w:fldChar w:fldCharType="end"/>
        </w:r>
      </w:hyperlink>
    </w:p>
    <w:p w14:paraId="54023355" w14:textId="48862379"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0" w:history="1">
        <w:r w:rsidR="009D0855" w:rsidRPr="002550A5">
          <w:rPr>
            <w:rStyle w:val="Hyperlink"/>
            <w:noProof/>
          </w:rPr>
          <w:t xml:space="preserve">Figure 4: </w:t>
        </w:r>
        <w:r w:rsidR="009D0855" w:rsidRPr="002550A5">
          <w:rPr>
            <w:rStyle w:val="Hyperlink"/>
            <w:noProof/>
            <w:lang w:eastAsia="en-IE"/>
          </w:rPr>
          <w:t>Percentage of public sector employees reporting a disability 2015-2022</w:t>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_Toc182219900 \h </w:instrText>
        </w:r>
        <w:r w:rsidR="009D0855">
          <w:rPr>
            <w:noProof/>
            <w:webHidden/>
          </w:rPr>
        </w:r>
        <w:r w:rsidR="009D0855">
          <w:rPr>
            <w:noProof/>
            <w:webHidden/>
          </w:rPr>
          <w:fldChar w:fldCharType="separate"/>
        </w:r>
        <w:r w:rsidR="009D0855">
          <w:rPr>
            <w:noProof/>
            <w:webHidden/>
          </w:rPr>
          <w:t>29</w:t>
        </w:r>
        <w:r w:rsidR="009D0855">
          <w:rPr>
            <w:noProof/>
            <w:webHidden/>
          </w:rPr>
          <w:fldChar w:fldCharType="end"/>
        </w:r>
      </w:hyperlink>
    </w:p>
    <w:p w14:paraId="737827D5" w14:textId="1F84E65C" w:rsidR="009D0855" w:rsidRP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1" w:history="1">
        <w:r w:rsidR="009D0855" w:rsidRPr="009D0855">
          <w:rPr>
            <w:rStyle w:val="Hyperlink"/>
            <w:noProof/>
          </w:rPr>
          <w:t>Figure 5: Percentage of new entrants to higher education registered with student disability services, 2015-2022</w:t>
        </w:r>
        <w:r w:rsidR="009D0855" w:rsidRP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sidRPr="009D0855">
          <w:rPr>
            <w:noProof/>
            <w:webHidden/>
          </w:rPr>
          <w:fldChar w:fldCharType="begin"/>
        </w:r>
        <w:r w:rsidR="009D0855" w:rsidRPr="009D0855">
          <w:rPr>
            <w:noProof/>
            <w:webHidden/>
          </w:rPr>
          <w:instrText xml:space="preserve"> PAGEREF _Toc182219901 \h </w:instrText>
        </w:r>
        <w:r w:rsidR="009D0855" w:rsidRPr="009D0855">
          <w:rPr>
            <w:noProof/>
            <w:webHidden/>
          </w:rPr>
        </w:r>
        <w:r w:rsidR="009D0855" w:rsidRPr="009D0855">
          <w:rPr>
            <w:noProof/>
            <w:webHidden/>
          </w:rPr>
          <w:fldChar w:fldCharType="separate"/>
        </w:r>
        <w:r w:rsidR="009D0855" w:rsidRPr="009D0855">
          <w:rPr>
            <w:noProof/>
            <w:webHidden/>
          </w:rPr>
          <w:t>38</w:t>
        </w:r>
        <w:r w:rsidR="009D0855" w:rsidRPr="009D0855">
          <w:rPr>
            <w:noProof/>
            <w:webHidden/>
          </w:rPr>
          <w:fldChar w:fldCharType="end"/>
        </w:r>
      </w:hyperlink>
    </w:p>
    <w:p w14:paraId="639CFC0E" w14:textId="3C4E3646"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2" w:history="1">
        <w:r w:rsidR="009D0855" w:rsidRPr="002550A5">
          <w:rPr>
            <w:rStyle w:val="Hyperlink"/>
            <w:noProof/>
          </w:rPr>
          <w:t>Figure 6: Types of disabilities of those enrolled in FET, 2018 and 2022</w:t>
        </w:r>
        <w:r w:rsidR="009D0855">
          <w:rPr>
            <w:noProof/>
            <w:webHidden/>
          </w:rPr>
          <w:tab/>
        </w:r>
        <w:r w:rsidR="009D0855">
          <w:rPr>
            <w:noProof/>
            <w:webHidden/>
          </w:rPr>
          <w:fldChar w:fldCharType="begin"/>
        </w:r>
        <w:r w:rsidR="009D0855">
          <w:rPr>
            <w:noProof/>
            <w:webHidden/>
          </w:rPr>
          <w:instrText xml:space="preserve"> PAGEREF _Toc182219902 \h </w:instrText>
        </w:r>
        <w:r w:rsidR="009D0855">
          <w:rPr>
            <w:noProof/>
            <w:webHidden/>
          </w:rPr>
        </w:r>
        <w:r w:rsidR="009D0855">
          <w:rPr>
            <w:noProof/>
            <w:webHidden/>
          </w:rPr>
          <w:fldChar w:fldCharType="separate"/>
        </w:r>
        <w:r w:rsidR="009D0855">
          <w:rPr>
            <w:noProof/>
            <w:webHidden/>
          </w:rPr>
          <w:t>41</w:t>
        </w:r>
        <w:r w:rsidR="009D0855">
          <w:rPr>
            <w:noProof/>
            <w:webHidden/>
          </w:rPr>
          <w:fldChar w:fldCharType="end"/>
        </w:r>
      </w:hyperlink>
    </w:p>
    <w:p w14:paraId="187E91A9" w14:textId="30624E0E"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3" w:history="1">
        <w:r w:rsidR="009D0855" w:rsidRPr="002550A5">
          <w:rPr>
            <w:rStyle w:val="Hyperlink"/>
            <w:noProof/>
          </w:rPr>
          <w:t>Figure 7: Means of public transport to work of persons with and without disabilities, 2022</w:t>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_Toc182219903 \h </w:instrText>
        </w:r>
        <w:r w:rsidR="009D0855">
          <w:rPr>
            <w:noProof/>
            <w:webHidden/>
          </w:rPr>
        </w:r>
        <w:r w:rsidR="009D0855">
          <w:rPr>
            <w:noProof/>
            <w:webHidden/>
          </w:rPr>
          <w:fldChar w:fldCharType="separate"/>
        </w:r>
        <w:r w:rsidR="009D0855">
          <w:rPr>
            <w:noProof/>
            <w:webHidden/>
          </w:rPr>
          <w:t>59</w:t>
        </w:r>
        <w:r w:rsidR="009D0855">
          <w:rPr>
            <w:noProof/>
            <w:webHidden/>
          </w:rPr>
          <w:fldChar w:fldCharType="end"/>
        </w:r>
      </w:hyperlink>
    </w:p>
    <w:p w14:paraId="4AA6BB70" w14:textId="6AF69602"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4" w:history="1">
        <w:r w:rsidR="009D0855" w:rsidRPr="002550A5">
          <w:rPr>
            <w:rStyle w:val="Hyperlink"/>
            <w:noProof/>
          </w:rPr>
          <w:t>Figure 8: Population who are self-employed in 2022, by disability status and type</w:t>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_Toc182219904 \h </w:instrText>
        </w:r>
        <w:r w:rsidR="009D0855">
          <w:rPr>
            <w:noProof/>
            <w:webHidden/>
          </w:rPr>
        </w:r>
        <w:r w:rsidR="009D0855">
          <w:rPr>
            <w:noProof/>
            <w:webHidden/>
          </w:rPr>
          <w:fldChar w:fldCharType="separate"/>
        </w:r>
        <w:r w:rsidR="009D0855">
          <w:rPr>
            <w:noProof/>
            <w:webHidden/>
          </w:rPr>
          <w:t>62</w:t>
        </w:r>
        <w:r w:rsidR="009D0855">
          <w:rPr>
            <w:noProof/>
            <w:webHidden/>
          </w:rPr>
          <w:fldChar w:fldCharType="end"/>
        </w:r>
      </w:hyperlink>
    </w:p>
    <w:p w14:paraId="7971969E" w14:textId="15C78444"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5" w:history="1">
        <w:r w:rsidR="009D0855" w:rsidRPr="002550A5">
          <w:rPr>
            <w:rStyle w:val="Hyperlink"/>
            <w:noProof/>
          </w:rPr>
          <w:t>Figure 9: Percentage of disabled persons aged 15-24 who were NEET in 2022, by disability type</w:t>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_Toc182219905 \h </w:instrText>
        </w:r>
        <w:r w:rsidR="009D0855">
          <w:rPr>
            <w:noProof/>
            <w:webHidden/>
          </w:rPr>
        </w:r>
        <w:r w:rsidR="009D0855">
          <w:rPr>
            <w:noProof/>
            <w:webHidden/>
          </w:rPr>
          <w:fldChar w:fldCharType="separate"/>
        </w:r>
        <w:r w:rsidR="009D0855">
          <w:rPr>
            <w:noProof/>
            <w:webHidden/>
          </w:rPr>
          <w:t>63</w:t>
        </w:r>
        <w:r w:rsidR="009D0855">
          <w:rPr>
            <w:noProof/>
            <w:webHidden/>
          </w:rPr>
          <w:fldChar w:fldCharType="end"/>
        </w:r>
      </w:hyperlink>
    </w:p>
    <w:p w14:paraId="15AC30EC" w14:textId="17229F9F" w:rsidR="009D0855" w:rsidRP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6" w:history="1">
        <w:r w:rsidR="009D0855" w:rsidRPr="009D0855">
          <w:rPr>
            <w:rStyle w:val="Hyperlink"/>
            <w:noProof/>
          </w:rPr>
          <w:t xml:space="preserve">Figure 10: </w:t>
        </w:r>
        <w:r w:rsidR="009D0855" w:rsidRPr="009D0855">
          <w:rPr>
            <w:rStyle w:val="Hyperlink"/>
            <w:noProof/>
            <w:lang w:val="en-US" w:eastAsia="en-IE"/>
          </w:rPr>
          <w:t>Total number of Disability Allowance recipients 2015-2022</w:t>
        </w:r>
        <w:r w:rsidR="009D0855" w:rsidRPr="009D0855">
          <w:rPr>
            <w:noProof/>
            <w:webHidden/>
          </w:rPr>
          <w:tab/>
        </w:r>
        <w:r w:rsidR="009D0855" w:rsidRPr="009D0855">
          <w:rPr>
            <w:noProof/>
            <w:webHidden/>
          </w:rPr>
          <w:fldChar w:fldCharType="begin"/>
        </w:r>
        <w:r w:rsidR="009D0855" w:rsidRPr="009D0855">
          <w:rPr>
            <w:noProof/>
            <w:webHidden/>
          </w:rPr>
          <w:instrText xml:space="preserve"> PAGEREF _Toc182219906 \h </w:instrText>
        </w:r>
        <w:r w:rsidR="009D0855" w:rsidRPr="009D0855">
          <w:rPr>
            <w:noProof/>
            <w:webHidden/>
          </w:rPr>
        </w:r>
        <w:r w:rsidR="009D0855" w:rsidRPr="009D0855">
          <w:rPr>
            <w:noProof/>
            <w:webHidden/>
          </w:rPr>
          <w:fldChar w:fldCharType="separate"/>
        </w:r>
        <w:r w:rsidR="009D0855" w:rsidRPr="009D0855">
          <w:rPr>
            <w:noProof/>
            <w:webHidden/>
          </w:rPr>
          <w:t>67</w:t>
        </w:r>
        <w:r w:rsidR="009D0855" w:rsidRPr="009D0855">
          <w:rPr>
            <w:noProof/>
            <w:webHidden/>
          </w:rPr>
          <w:fldChar w:fldCharType="end"/>
        </w:r>
      </w:hyperlink>
    </w:p>
    <w:p w14:paraId="09DD9B97" w14:textId="0AD13643" w:rsidR="009D0855" w:rsidRDefault="006248A8" w:rsidP="009D0855">
      <w:pPr>
        <w:rPr>
          <w:rFonts w:asciiTheme="minorHAnsi" w:eastAsiaTheme="minorEastAsia" w:hAnsiTheme="minorHAnsi" w:cstheme="minorBidi"/>
          <w:noProof/>
          <w:kern w:val="2"/>
          <w:sz w:val="22"/>
          <w:szCs w:val="22"/>
          <w:lang w:eastAsia="en-IE"/>
          <w14:ligatures w14:val="standardContextual"/>
        </w:rPr>
      </w:pPr>
      <w:hyperlink w:anchor="_Toc182219907" w:history="1">
        <w:r w:rsidR="009D0855" w:rsidRPr="002550A5">
          <w:rPr>
            <w:rStyle w:val="Hyperlink"/>
            <w:noProof/>
          </w:rPr>
          <w:t xml:space="preserve">Figure 11: </w:t>
        </w:r>
        <w:r w:rsidR="009D0855" w:rsidRPr="002550A5">
          <w:rPr>
            <w:rStyle w:val="Hyperlink"/>
            <w:noProof/>
            <w:lang w:eastAsia="en-IE"/>
          </w:rPr>
          <w:t>Recipients of Partial Capacity Benefit, Illness Benefit and Invalidity Pension 2015-2022</w:t>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tab/>
        </w:r>
        <w:r w:rsidR="009D0855">
          <w:rPr>
            <w:noProof/>
            <w:webHidden/>
          </w:rPr>
          <w:fldChar w:fldCharType="begin"/>
        </w:r>
        <w:r w:rsidR="009D0855">
          <w:rPr>
            <w:noProof/>
            <w:webHidden/>
          </w:rPr>
          <w:instrText xml:space="preserve"> PAGEREF _Toc182219907 \h </w:instrText>
        </w:r>
        <w:r w:rsidR="009D0855">
          <w:rPr>
            <w:noProof/>
            <w:webHidden/>
          </w:rPr>
        </w:r>
        <w:r w:rsidR="009D0855">
          <w:rPr>
            <w:noProof/>
            <w:webHidden/>
          </w:rPr>
          <w:fldChar w:fldCharType="separate"/>
        </w:r>
        <w:r w:rsidR="009D0855">
          <w:rPr>
            <w:noProof/>
            <w:webHidden/>
          </w:rPr>
          <w:t>70</w:t>
        </w:r>
        <w:r w:rsidR="009D0855">
          <w:rPr>
            <w:noProof/>
            <w:webHidden/>
          </w:rPr>
          <w:fldChar w:fldCharType="end"/>
        </w:r>
      </w:hyperlink>
    </w:p>
    <w:p w14:paraId="171B4EEE" w14:textId="77777777" w:rsidR="009D0855" w:rsidRDefault="009D0855" w:rsidP="00361585">
      <w:pPr>
        <w:rPr>
          <w:szCs w:val="26"/>
        </w:rPr>
        <w:sectPr w:rsidR="009D0855" w:rsidSect="007D2DFC">
          <w:pgSz w:w="12240" w:h="15840"/>
          <w:pgMar w:top="1440" w:right="1797" w:bottom="1440" w:left="1797" w:header="709" w:footer="709" w:gutter="0"/>
          <w:cols w:space="708"/>
          <w:docGrid w:linePitch="360"/>
        </w:sectPr>
      </w:pPr>
      <w:r>
        <w:rPr>
          <w:szCs w:val="26"/>
        </w:rPr>
        <w:fldChar w:fldCharType="end"/>
      </w:r>
    </w:p>
    <w:p w14:paraId="2DA1A063" w14:textId="351BF638" w:rsidR="003239D1" w:rsidRDefault="003239D1" w:rsidP="003239D1">
      <w:pPr>
        <w:pStyle w:val="Heading1"/>
      </w:pPr>
      <w:bookmarkStart w:id="12" w:name="_Toc182555518"/>
      <w:bookmarkStart w:id="13" w:name="_Toc182555692"/>
      <w:r>
        <w:t>List of abbreviations</w:t>
      </w:r>
      <w:bookmarkEnd w:id="12"/>
      <w:bookmarkEnd w:id="13"/>
    </w:p>
    <w:p w14:paraId="2DC488DE" w14:textId="4CFEC1D0" w:rsidR="004D516B" w:rsidRDefault="004D516B" w:rsidP="00A14402">
      <w:pPr>
        <w:spacing w:after="0" w:line="360" w:lineRule="auto"/>
      </w:pPr>
      <w:r>
        <w:t>AIM: Access and Inclusion Model</w:t>
      </w:r>
    </w:p>
    <w:p w14:paraId="7ECD038D" w14:textId="66647777" w:rsidR="00B8159B" w:rsidRDefault="00B8159B" w:rsidP="00A14402">
      <w:pPr>
        <w:spacing w:after="0" w:line="360" w:lineRule="auto"/>
      </w:pPr>
      <w:r>
        <w:t>BTEA: Back to Education Allowance</w:t>
      </w:r>
    </w:p>
    <w:p w14:paraId="657B8EEA" w14:textId="06ACC9C0" w:rsidR="003239D1" w:rsidRDefault="003239D1" w:rsidP="00A14402">
      <w:pPr>
        <w:spacing w:after="0" w:line="360" w:lineRule="auto"/>
      </w:pPr>
      <w:r>
        <w:t>CES: Comprehensive Employment Strategy for People with Disabilities 2015-2024</w:t>
      </w:r>
    </w:p>
    <w:p w14:paraId="4F17031F" w14:textId="5F45E2D4" w:rsidR="003239D1" w:rsidRDefault="003239D1" w:rsidP="00A14402">
      <w:pPr>
        <w:spacing w:after="0" w:line="360" w:lineRule="auto"/>
      </w:pPr>
      <w:r>
        <w:t>CESIG: Comprehensive Employment Strategy Implementation Group</w:t>
      </w:r>
    </w:p>
    <w:p w14:paraId="04A73E80" w14:textId="7072AF55" w:rsidR="003239D1" w:rsidRDefault="003239D1" w:rsidP="00A14402">
      <w:pPr>
        <w:spacing w:after="0" w:line="360" w:lineRule="auto"/>
      </w:pPr>
      <w:r>
        <w:t>CSO: Central Statistics Office</w:t>
      </w:r>
    </w:p>
    <w:p w14:paraId="48B00673" w14:textId="7CB80D82" w:rsidR="00B8159B" w:rsidRDefault="00B8159B" w:rsidP="00A14402">
      <w:pPr>
        <w:spacing w:after="0" w:line="360" w:lineRule="auto"/>
      </w:pPr>
      <w:r>
        <w:t>DA: Disability Allowance</w:t>
      </w:r>
    </w:p>
    <w:p w14:paraId="1CD6BCD9" w14:textId="392A5CDF" w:rsidR="00FD38E1" w:rsidRDefault="00FD38E1" w:rsidP="00A14402">
      <w:pPr>
        <w:spacing w:after="0" w:line="360" w:lineRule="auto"/>
      </w:pPr>
      <w:r>
        <w:t>DARE: Disability Access Route to Education</w:t>
      </w:r>
    </w:p>
    <w:p w14:paraId="3EA06D3A" w14:textId="3B74004A" w:rsidR="00F97FEF" w:rsidRDefault="00F97FEF" w:rsidP="00A14402">
      <w:pPr>
        <w:spacing w:after="0" w:line="360" w:lineRule="auto"/>
      </w:pPr>
      <w:r>
        <w:t>DASS: Disability Awareness Support Scheme</w:t>
      </w:r>
    </w:p>
    <w:p w14:paraId="773E0193" w14:textId="66F67C51" w:rsidR="004D4D50" w:rsidRDefault="004D4D50" w:rsidP="00A14402">
      <w:pPr>
        <w:spacing w:after="0" w:line="360" w:lineRule="auto"/>
      </w:pPr>
      <w:r>
        <w:t>DCA: Domiciliary Care Allowance</w:t>
      </w:r>
    </w:p>
    <w:p w14:paraId="1D7CCB03" w14:textId="5D2C12F8" w:rsidR="00207C59" w:rsidRDefault="00207C59" w:rsidP="00A14402">
      <w:pPr>
        <w:spacing w:after="0" w:line="360" w:lineRule="auto"/>
      </w:pPr>
      <w:r>
        <w:t>DCEDIY: Department of Children, Equality, Disability, Integration and Youth</w:t>
      </w:r>
    </w:p>
    <w:p w14:paraId="573B9649" w14:textId="0596A92A" w:rsidR="002478C0" w:rsidRDefault="002478C0" w:rsidP="00A14402">
      <w:pPr>
        <w:spacing w:after="0" w:line="360" w:lineRule="auto"/>
      </w:pPr>
      <w:r>
        <w:t>DEG: Disability Employment Gap</w:t>
      </w:r>
    </w:p>
    <w:p w14:paraId="7D75F0B3" w14:textId="6B06EB7D" w:rsidR="00DB6D20" w:rsidRDefault="00B8159B" w:rsidP="00A14402">
      <w:pPr>
        <w:spacing w:after="0" w:line="360" w:lineRule="auto"/>
      </w:pPr>
      <w:r>
        <w:t xml:space="preserve">DFHERIS: </w:t>
      </w:r>
      <w:r w:rsidRPr="00B8159B">
        <w:t>Department of Further and Higher Education, Research, Innovation and Science</w:t>
      </w:r>
    </w:p>
    <w:p w14:paraId="19A85B96" w14:textId="7BA3F802" w:rsidR="009C1129" w:rsidRDefault="009C1129" w:rsidP="00A14402">
      <w:pPr>
        <w:spacing w:after="0" w:line="360" w:lineRule="auto"/>
      </w:pPr>
      <w:r>
        <w:t>DPER: Department of Public Expenditure and Reform</w:t>
      </w:r>
    </w:p>
    <w:p w14:paraId="4518856A" w14:textId="4F429F9D" w:rsidR="001827FB" w:rsidRDefault="001827FB" w:rsidP="00A14402">
      <w:pPr>
        <w:spacing w:after="0" w:line="360" w:lineRule="auto"/>
      </w:pPr>
      <w:r>
        <w:t>DPO: Disabled Persons’ Organisation</w:t>
      </w:r>
    </w:p>
    <w:p w14:paraId="20A63576" w14:textId="62232A87" w:rsidR="00DB6D20" w:rsidRDefault="00DB6D20" w:rsidP="00A14402">
      <w:pPr>
        <w:spacing w:after="0" w:line="360" w:lineRule="auto"/>
      </w:pPr>
      <w:r>
        <w:t>DSP: Department of Social Protection</w:t>
      </w:r>
    </w:p>
    <w:p w14:paraId="64A927BC" w14:textId="08882243" w:rsidR="004D516B" w:rsidRDefault="004D516B" w:rsidP="00A14402">
      <w:pPr>
        <w:spacing w:after="0" w:line="360" w:lineRule="auto"/>
      </w:pPr>
      <w:r>
        <w:t>ECCE: Early Childhood Care and Education Programme</w:t>
      </w:r>
    </w:p>
    <w:p w14:paraId="1BFCD141" w14:textId="03FE87AA" w:rsidR="00555834" w:rsidRDefault="00555834" w:rsidP="00A14402">
      <w:pPr>
        <w:spacing w:after="0" w:line="360" w:lineRule="auto"/>
      </w:pPr>
      <w:r>
        <w:t>EDI: Employer Disability Information service</w:t>
      </w:r>
    </w:p>
    <w:p w14:paraId="68E5F963" w14:textId="5A8B99C0" w:rsidR="004D4D50" w:rsidRDefault="004D4D50" w:rsidP="00A14402">
      <w:pPr>
        <w:spacing w:after="0" w:line="360" w:lineRule="auto"/>
      </w:pPr>
      <w:r>
        <w:t>EI: Enterprise Ireland</w:t>
      </w:r>
    </w:p>
    <w:p w14:paraId="087A90B1" w14:textId="6078DBC6" w:rsidR="004D516B" w:rsidRDefault="004D516B" w:rsidP="00A14402">
      <w:pPr>
        <w:spacing w:after="0" w:line="360" w:lineRule="auto"/>
      </w:pPr>
      <w:r>
        <w:t>ELC: Early Learning and Care</w:t>
      </w:r>
    </w:p>
    <w:p w14:paraId="39893299" w14:textId="28768C2F" w:rsidR="005D5B63" w:rsidRDefault="005D5B63" w:rsidP="00A14402">
      <w:pPr>
        <w:spacing w:after="0" w:line="360" w:lineRule="auto"/>
      </w:pPr>
      <w:r>
        <w:t>ESRI: Economic and Social Research Institute</w:t>
      </w:r>
    </w:p>
    <w:p w14:paraId="0869D339" w14:textId="37F417FF" w:rsidR="00207C59" w:rsidRDefault="00207C59" w:rsidP="00A14402">
      <w:pPr>
        <w:spacing w:after="0" w:line="360" w:lineRule="auto"/>
      </w:pPr>
      <w:r>
        <w:t>EPSEN Act: The Education for Persons with Special Education Needs Act 2004</w:t>
      </w:r>
    </w:p>
    <w:p w14:paraId="56C53024" w14:textId="0C3E2FCF" w:rsidR="00882926" w:rsidRDefault="00882926" w:rsidP="00A14402">
      <w:pPr>
        <w:spacing w:after="0" w:line="360" w:lineRule="auto"/>
      </w:pPr>
      <w:r>
        <w:t>FET: Further Education and Training</w:t>
      </w:r>
    </w:p>
    <w:p w14:paraId="0E209A8C" w14:textId="33F6305B" w:rsidR="00882926" w:rsidRDefault="00882926" w:rsidP="00A14402">
      <w:pPr>
        <w:spacing w:after="0" w:line="360" w:lineRule="auto"/>
      </w:pPr>
      <w:r>
        <w:t>HEA: Higher Education Authority</w:t>
      </w:r>
    </w:p>
    <w:p w14:paraId="0775E3BE" w14:textId="0329E797" w:rsidR="00BE5B2C" w:rsidRDefault="00BE5B2C" w:rsidP="00A14402">
      <w:pPr>
        <w:spacing w:after="0" w:line="360" w:lineRule="auto"/>
      </w:pPr>
      <w:r>
        <w:t>HEI: Higher Education Institution</w:t>
      </w:r>
    </w:p>
    <w:p w14:paraId="5F6F693E" w14:textId="2305379F" w:rsidR="00B8159B" w:rsidRDefault="00B8159B" w:rsidP="00A14402">
      <w:pPr>
        <w:spacing w:after="0" w:line="360" w:lineRule="auto"/>
      </w:pPr>
      <w:r>
        <w:t>HSE: Health Services Executive</w:t>
      </w:r>
    </w:p>
    <w:p w14:paraId="74EA7C71" w14:textId="75D945B7" w:rsidR="004D4D50" w:rsidRDefault="004D4D50" w:rsidP="00A14402">
      <w:pPr>
        <w:spacing w:after="0" w:line="360" w:lineRule="auto"/>
      </w:pPr>
      <w:r>
        <w:t>IGEES: Irish Government Economic and Evaluation Service</w:t>
      </w:r>
    </w:p>
    <w:p w14:paraId="0617CE93" w14:textId="4251E3F5" w:rsidR="00255434" w:rsidRDefault="00255434" w:rsidP="00A14402">
      <w:pPr>
        <w:spacing w:after="0" w:line="360" w:lineRule="auto"/>
      </w:pPr>
      <w:r>
        <w:t>IHREC: Irish Human Rights and Equality Commission</w:t>
      </w:r>
    </w:p>
    <w:p w14:paraId="00F2C50D" w14:textId="7C092A68" w:rsidR="004D516B" w:rsidRDefault="004D516B" w:rsidP="00A14402">
      <w:pPr>
        <w:spacing w:after="0" w:line="360" w:lineRule="auto"/>
      </w:pPr>
      <w:r>
        <w:t>ILMI: Independent Living Movement of Ireland</w:t>
      </w:r>
    </w:p>
    <w:p w14:paraId="396FA646" w14:textId="43C1258D" w:rsidR="00DB6D20" w:rsidRDefault="00DB6D20" w:rsidP="00A14402">
      <w:pPr>
        <w:spacing w:after="0" w:line="360" w:lineRule="auto"/>
      </w:pPr>
      <w:r>
        <w:t>IPS: Individual Placement and Support</w:t>
      </w:r>
    </w:p>
    <w:p w14:paraId="571D7271" w14:textId="587D601B" w:rsidR="003147A3" w:rsidRDefault="003147A3" w:rsidP="00A14402">
      <w:pPr>
        <w:spacing w:after="0" w:line="360" w:lineRule="auto"/>
      </w:pPr>
      <w:r>
        <w:t>LEO: Local Enterprise Office</w:t>
      </w:r>
    </w:p>
    <w:p w14:paraId="0BF2C625" w14:textId="34C9D001" w:rsidR="00DB6D20" w:rsidRDefault="00DB6D20" w:rsidP="00A14402">
      <w:pPr>
        <w:spacing w:after="0" w:line="360" w:lineRule="auto"/>
      </w:pPr>
      <w:r>
        <w:t>NAO: National Apprenticeship Office</w:t>
      </w:r>
    </w:p>
    <w:p w14:paraId="738D8952" w14:textId="54C4DC1F" w:rsidR="001F4356" w:rsidRDefault="001F4356" w:rsidP="00A14402">
      <w:pPr>
        <w:spacing w:after="0" w:line="360" w:lineRule="auto"/>
      </w:pPr>
      <w:r>
        <w:t>NAP: National Access Plan</w:t>
      </w:r>
    </w:p>
    <w:p w14:paraId="231A1F71" w14:textId="372D7202" w:rsidR="003239D1" w:rsidRDefault="003239D1" w:rsidP="00A14402">
      <w:pPr>
        <w:spacing w:after="0" w:line="360" w:lineRule="auto"/>
      </w:pPr>
      <w:r>
        <w:t>NDA: National Disability Authority</w:t>
      </w:r>
    </w:p>
    <w:p w14:paraId="3D594E1D" w14:textId="500E2595" w:rsidR="00A36E40" w:rsidRDefault="00A36E40" w:rsidP="00A14402">
      <w:pPr>
        <w:spacing w:after="0" w:line="360" w:lineRule="auto"/>
      </w:pPr>
      <w:r>
        <w:t xml:space="preserve">NDS: National Disability Strategy </w:t>
      </w:r>
    </w:p>
    <w:p w14:paraId="15279DD2" w14:textId="2EB1DB26" w:rsidR="00BE5B2C" w:rsidRDefault="00BE5B2C" w:rsidP="00A14402">
      <w:pPr>
        <w:spacing w:after="0" w:line="360" w:lineRule="auto"/>
      </w:pPr>
      <w:r>
        <w:t>NDIS: National Disability Inclusion Strategy</w:t>
      </w:r>
      <w:r w:rsidR="00A36E40">
        <w:t xml:space="preserve"> 2017-2022</w:t>
      </w:r>
    </w:p>
    <w:p w14:paraId="0358477E" w14:textId="3FA626B8" w:rsidR="004D4D50" w:rsidRDefault="004D4D50" w:rsidP="00A14402">
      <w:pPr>
        <w:spacing w:after="0" w:line="360" w:lineRule="auto"/>
      </w:pPr>
      <w:r>
        <w:t>NEET: Not in Education, Employment or Training</w:t>
      </w:r>
    </w:p>
    <w:p w14:paraId="77EFC789" w14:textId="6D6EAB41" w:rsidR="00BE5B2C" w:rsidRDefault="00BE5B2C" w:rsidP="00A14402">
      <w:pPr>
        <w:spacing w:after="0" w:line="360" w:lineRule="auto"/>
      </w:pPr>
      <w:r>
        <w:t>NEPS: National Educational Psychological Service</w:t>
      </w:r>
    </w:p>
    <w:p w14:paraId="65D0FF59" w14:textId="204BED2D" w:rsidR="00BE5B2C" w:rsidRDefault="00BE5B2C" w:rsidP="00A14402">
      <w:pPr>
        <w:spacing w:after="0" w:line="360" w:lineRule="auto"/>
      </w:pPr>
      <w:r>
        <w:t>NCSE: National Council for Special Education</w:t>
      </w:r>
    </w:p>
    <w:p w14:paraId="64608925" w14:textId="6FDCC0DB" w:rsidR="004D4D50" w:rsidRDefault="004D4D50" w:rsidP="00A14402">
      <w:pPr>
        <w:spacing w:after="0" w:line="360" w:lineRule="auto"/>
      </w:pPr>
      <w:r>
        <w:t>NTA: National Transport Authority</w:t>
      </w:r>
    </w:p>
    <w:p w14:paraId="67F2AA15" w14:textId="42003E25" w:rsidR="001827FB" w:rsidRDefault="001827FB" w:rsidP="00A14402">
      <w:pPr>
        <w:spacing w:after="0" w:line="360" w:lineRule="auto"/>
      </w:pPr>
      <w:r>
        <w:t>OECD: Organisation for Economic Cooperation and Development</w:t>
      </w:r>
    </w:p>
    <w:p w14:paraId="2803D2EF" w14:textId="4FE4B20B" w:rsidR="00FD38E1" w:rsidRDefault="00FD38E1" w:rsidP="00A14402">
      <w:pPr>
        <w:spacing w:after="0" w:line="360" w:lineRule="auto"/>
      </w:pPr>
      <w:r>
        <w:t>OWL: Oireachtas Work Learning Programme</w:t>
      </w:r>
    </w:p>
    <w:p w14:paraId="3FED343E" w14:textId="23E6DBBA" w:rsidR="00504644" w:rsidRDefault="00504644" w:rsidP="00A14402">
      <w:pPr>
        <w:spacing w:after="0" w:line="360" w:lineRule="auto"/>
      </w:pPr>
      <w:r>
        <w:t>PA: Personal Assistance</w:t>
      </w:r>
    </w:p>
    <w:p w14:paraId="25454CBD" w14:textId="122B4041" w:rsidR="00FD38E1" w:rsidRDefault="00FD38E1" w:rsidP="00A14402">
      <w:pPr>
        <w:spacing w:after="0" w:line="360" w:lineRule="auto"/>
      </w:pPr>
      <w:r>
        <w:t>PATH: Programme for Access to Higher Education</w:t>
      </w:r>
    </w:p>
    <w:p w14:paraId="6D03031A" w14:textId="2A0FAF86" w:rsidR="001827FB" w:rsidRDefault="001827FB" w:rsidP="00A14402">
      <w:pPr>
        <w:spacing w:after="0" w:line="360" w:lineRule="auto"/>
      </w:pPr>
      <w:r>
        <w:t xml:space="preserve">PIAAC: </w:t>
      </w:r>
      <w:r w:rsidRPr="001827FB">
        <w:t>Programme for the International Assessment of Adult Competencies</w:t>
      </w:r>
    </w:p>
    <w:p w14:paraId="75B53DB2" w14:textId="7AAA28A4" w:rsidR="001C1A5A" w:rsidRDefault="001C1A5A" w:rsidP="00A14402">
      <w:pPr>
        <w:spacing w:after="0" w:line="360" w:lineRule="auto"/>
      </w:pPr>
      <w:r>
        <w:t>RAF: Reasonable Accommodation Fund</w:t>
      </w:r>
    </w:p>
    <w:p w14:paraId="4B2CFBC7" w14:textId="59C7D349" w:rsidR="00B8159B" w:rsidRDefault="00B8159B" w:rsidP="00A14402">
      <w:pPr>
        <w:spacing w:after="0" w:line="360" w:lineRule="auto"/>
      </w:pPr>
      <w:r>
        <w:t>RT: Rehabilitative Training</w:t>
      </w:r>
    </w:p>
    <w:p w14:paraId="2A0417AD" w14:textId="244FB31E" w:rsidR="004D516B" w:rsidRDefault="004D516B" w:rsidP="00A14402">
      <w:pPr>
        <w:spacing w:after="0" w:line="360" w:lineRule="auto"/>
      </w:pPr>
      <w:r>
        <w:t>SAC: School-Aged Childcare</w:t>
      </w:r>
    </w:p>
    <w:p w14:paraId="3F202EAB" w14:textId="0C1ECEEB" w:rsidR="00882926" w:rsidRDefault="00882926" w:rsidP="00A14402">
      <w:pPr>
        <w:spacing w:after="0" w:line="360" w:lineRule="auto"/>
      </w:pPr>
      <w:r>
        <w:t>SEC: State Examinations Commission</w:t>
      </w:r>
    </w:p>
    <w:p w14:paraId="4909E628" w14:textId="7AD0DEF8" w:rsidR="003239D1" w:rsidRDefault="003239D1" w:rsidP="00A14402">
      <w:pPr>
        <w:spacing w:after="0" w:line="360" w:lineRule="auto"/>
      </w:pPr>
      <w:r>
        <w:t>SILC: Survey on Income and Living Conditions</w:t>
      </w:r>
    </w:p>
    <w:p w14:paraId="273AAD91" w14:textId="4B2190CB" w:rsidR="003120C5" w:rsidRDefault="003120C5" w:rsidP="00A14402">
      <w:pPr>
        <w:spacing w:after="0" w:line="360" w:lineRule="auto"/>
      </w:pPr>
      <w:r>
        <w:t>UD: Universal Design</w:t>
      </w:r>
    </w:p>
    <w:p w14:paraId="5717FF26" w14:textId="1C89328A" w:rsidR="007C3043" w:rsidRDefault="007C3043" w:rsidP="00A14402">
      <w:pPr>
        <w:spacing w:after="0" w:line="360" w:lineRule="auto"/>
      </w:pPr>
      <w:r>
        <w:t>UNCRPD: United Nations Convention on the Rights of Persons with Disabilities</w:t>
      </w:r>
    </w:p>
    <w:p w14:paraId="0CA98EA9" w14:textId="1CA78258" w:rsidR="00DB6D20" w:rsidRDefault="00FD38E1" w:rsidP="00A14402">
      <w:pPr>
        <w:spacing w:after="0" w:line="360" w:lineRule="auto"/>
      </w:pPr>
      <w:r>
        <w:t>WAM: Willing Able Mentoring</w:t>
      </w:r>
    </w:p>
    <w:p w14:paraId="1C0E7A8A" w14:textId="5652DD5F" w:rsidR="00570D8D" w:rsidRDefault="001C1A5A" w:rsidP="00A14402">
      <w:pPr>
        <w:spacing w:after="0" w:line="360" w:lineRule="auto"/>
      </w:pPr>
      <w:r>
        <w:t>WSS: Wage Subsidy Schem</w:t>
      </w:r>
      <w:r w:rsidR="00AE183B">
        <w:t>e</w:t>
      </w:r>
      <w:r w:rsidR="00570D8D">
        <w:br w:type="page"/>
      </w:r>
    </w:p>
    <w:p w14:paraId="235AE65C" w14:textId="77777777" w:rsidR="00BA0A61" w:rsidRPr="0078346F" w:rsidRDefault="00BA0A61" w:rsidP="00BA0A61">
      <w:pPr>
        <w:pStyle w:val="H1Heading1NDA"/>
      </w:pPr>
      <w:bookmarkStart w:id="14" w:name="_Toc182555519"/>
      <w:bookmarkStart w:id="15" w:name="_Toc182555693"/>
      <w:r w:rsidRPr="0078346F">
        <w:t>Executive Summary</w:t>
      </w:r>
      <w:bookmarkEnd w:id="14"/>
      <w:bookmarkEnd w:id="15"/>
    </w:p>
    <w:p w14:paraId="71442A24" w14:textId="77777777" w:rsidR="00BA0A61" w:rsidRPr="0078346F" w:rsidRDefault="00BA0A61" w:rsidP="00BA0A61">
      <w:pPr>
        <w:pStyle w:val="H2Heading2NDA"/>
      </w:pPr>
      <w:bookmarkStart w:id="16" w:name="_Toc182555520"/>
      <w:bookmarkStart w:id="17" w:name="_Toc182555694"/>
      <w:r w:rsidRPr="00FC4E79">
        <w:t>Introduction</w:t>
      </w:r>
      <w:bookmarkEnd w:id="16"/>
      <w:bookmarkEnd w:id="17"/>
    </w:p>
    <w:p w14:paraId="5F11954C" w14:textId="77777777" w:rsidR="00BA0A61" w:rsidRPr="0078346F" w:rsidRDefault="00BA0A61" w:rsidP="00BA0A61">
      <w:r w:rsidRPr="0078346F">
        <w:t xml:space="preserve">This final report on the Comprehensive Employment Strategy for People with Disabilities </w:t>
      </w:r>
      <w:r w:rsidRPr="00CB412F">
        <w:t>2015-2024</w:t>
      </w:r>
      <w:r>
        <w:t xml:space="preserve"> (CES)</w:t>
      </w:r>
      <w:r w:rsidRPr="0078346F">
        <w:t xml:space="preserve"> offers an in-depth analysis of Ireland’s efforts to enhance employment opportunities for individuals with disabilities over the past decade. Th</w:t>
      </w:r>
      <w:r>
        <w:t>e</w:t>
      </w:r>
      <w:r w:rsidRPr="0078346F">
        <w:t xml:space="preserve"> report evaluates progress, achievements, and gaps in implementing the CES. </w:t>
      </w:r>
    </w:p>
    <w:p w14:paraId="409965F1" w14:textId="77777777" w:rsidR="00BA0A61" w:rsidRPr="0078346F" w:rsidRDefault="00BA0A61" w:rsidP="00BA0A61">
      <w:r w:rsidRPr="0078346F">
        <w:t>The CES was introduced to tackle the significant employment rate gap between people with and without disabilities in Ireland, one of the largest such gaps across the European Union. Acknowledging the multi-dimensional nature of disability employment, the CES adopted a whole-of-government approach involving multiple departments, agencies, and stakeholders. Its overarching purpose was to ensure that every person with a disability who was able to and wanted to work was supported and facilitated to do so.</w:t>
      </w:r>
    </w:p>
    <w:p w14:paraId="57E8A684" w14:textId="77777777" w:rsidR="00BA0A61" w:rsidRPr="0078346F" w:rsidRDefault="00BA0A61" w:rsidP="00BA0A61">
      <w:r w:rsidRPr="0078346F">
        <w:t>The six strategic priorities of the CES</w:t>
      </w:r>
      <w:r>
        <w:t xml:space="preserve"> listed below</w:t>
      </w:r>
      <w:r w:rsidRPr="0078346F">
        <w:t xml:space="preserve"> aimed to create a structured pathway for employment opportunities for disabled people.</w:t>
      </w:r>
    </w:p>
    <w:p w14:paraId="1348F93C" w14:textId="77777777" w:rsidR="00BA0A61" w:rsidRPr="008A49A9" w:rsidRDefault="00BA0A61" w:rsidP="00147EEF">
      <w:pPr>
        <w:pStyle w:val="ListParagraph"/>
        <w:numPr>
          <w:ilvl w:val="0"/>
          <w:numId w:val="49"/>
        </w:numPr>
        <w:spacing w:after="0"/>
        <w:rPr>
          <w:b/>
          <w:bCs/>
        </w:rPr>
      </w:pPr>
      <w:r w:rsidRPr="008A49A9">
        <w:rPr>
          <w:b/>
          <w:bCs/>
        </w:rPr>
        <w:t>Build Skills, Capacity, and Independence</w:t>
      </w:r>
    </w:p>
    <w:p w14:paraId="718E401F" w14:textId="6EBDE5CE" w:rsidR="00BA0A61" w:rsidRPr="00BD11BE" w:rsidRDefault="00BA0A61" w:rsidP="008A49A9">
      <w:pPr>
        <w:ind w:left="360"/>
      </w:pPr>
      <w:r w:rsidRPr="00BD11BE">
        <w:t>This priority focused on educational and vocational skill</w:t>
      </w:r>
      <w:r w:rsidR="00B426E9">
        <w:t>s</w:t>
      </w:r>
      <w:r w:rsidRPr="00BD11BE">
        <w:t xml:space="preserve"> development and the fostering of independence, from early childhood through to adulthood. </w:t>
      </w:r>
    </w:p>
    <w:p w14:paraId="793ED07B" w14:textId="77777777" w:rsidR="00BA0A61" w:rsidRPr="008A49A9" w:rsidRDefault="00BA0A61" w:rsidP="00147EEF">
      <w:pPr>
        <w:pStyle w:val="ListParagraph"/>
        <w:numPr>
          <w:ilvl w:val="0"/>
          <w:numId w:val="49"/>
        </w:numPr>
        <w:spacing w:after="0"/>
        <w:rPr>
          <w:b/>
          <w:bCs/>
        </w:rPr>
      </w:pPr>
      <w:r w:rsidRPr="008A49A9">
        <w:rPr>
          <w:b/>
          <w:bCs/>
        </w:rPr>
        <w:t>Provide Bridges and Supports into Work</w:t>
      </w:r>
    </w:p>
    <w:p w14:paraId="79D0FC2F" w14:textId="77777777" w:rsidR="00BA0A61" w:rsidRPr="00BD11BE" w:rsidRDefault="00BA0A61" w:rsidP="008A49A9">
      <w:pPr>
        <w:ind w:left="360"/>
      </w:pPr>
      <w:r w:rsidRPr="00BD11BE">
        <w:t>The focus of this priority was to provide individualised supports to enable disabled people to secure jobs in the open labour market.</w:t>
      </w:r>
    </w:p>
    <w:p w14:paraId="6167A0DE" w14:textId="77777777" w:rsidR="00BA0A61" w:rsidRPr="008A49A9" w:rsidRDefault="00BA0A61" w:rsidP="00147EEF">
      <w:pPr>
        <w:pStyle w:val="ListParagraph"/>
        <w:numPr>
          <w:ilvl w:val="0"/>
          <w:numId w:val="49"/>
        </w:numPr>
        <w:spacing w:after="0"/>
        <w:rPr>
          <w:b/>
          <w:bCs/>
        </w:rPr>
      </w:pPr>
      <w:r w:rsidRPr="008A49A9">
        <w:rPr>
          <w:b/>
          <w:bCs/>
        </w:rPr>
        <w:t>Make Work Pay</w:t>
      </w:r>
    </w:p>
    <w:p w14:paraId="5F933FFC" w14:textId="77777777" w:rsidR="00BA0A61" w:rsidRPr="00BD11BE" w:rsidRDefault="00BA0A61" w:rsidP="008A49A9">
      <w:pPr>
        <w:ind w:left="360"/>
      </w:pPr>
      <w:r w:rsidRPr="00BD11BE">
        <w:t>The primary intention under this strategic priority was that work would both pay and be seen to pay. There was also a focus on ensuring that disabled people who obtained employment and had to leave it would have a streamlined return to disability payments.</w:t>
      </w:r>
    </w:p>
    <w:p w14:paraId="2F0A907F" w14:textId="77777777" w:rsidR="00BA0A61" w:rsidRPr="008A49A9" w:rsidRDefault="00BA0A61" w:rsidP="00147EEF">
      <w:pPr>
        <w:pStyle w:val="ListParagraph"/>
        <w:numPr>
          <w:ilvl w:val="0"/>
          <w:numId w:val="49"/>
        </w:numPr>
        <w:spacing w:after="0"/>
        <w:rPr>
          <w:b/>
          <w:bCs/>
        </w:rPr>
      </w:pPr>
      <w:r w:rsidRPr="008A49A9">
        <w:rPr>
          <w:b/>
          <w:bCs/>
        </w:rPr>
        <w:t>Promote job retention and re-entry to work</w:t>
      </w:r>
    </w:p>
    <w:p w14:paraId="401C086B" w14:textId="1666971A" w:rsidR="008A49A9" w:rsidRDefault="00BA0A61" w:rsidP="00147EEF">
      <w:pPr>
        <w:ind w:left="360"/>
      </w:pPr>
      <w:r w:rsidRPr="00BD11BE">
        <w:t>The goal of this priority area was to support individuals who acquire a disability in their working lives to obtain, retain, or regain work.</w:t>
      </w:r>
    </w:p>
    <w:p w14:paraId="5BDC6018" w14:textId="45253982" w:rsidR="00BA0A61" w:rsidRPr="008A49A9" w:rsidRDefault="00BA0A61" w:rsidP="00147EEF">
      <w:pPr>
        <w:pStyle w:val="ListParagraph"/>
        <w:numPr>
          <w:ilvl w:val="0"/>
          <w:numId w:val="49"/>
        </w:numPr>
        <w:spacing w:after="0"/>
        <w:rPr>
          <w:b/>
          <w:bCs/>
        </w:rPr>
      </w:pPr>
      <w:r w:rsidRPr="008A49A9">
        <w:rPr>
          <w:b/>
          <w:bCs/>
        </w:rPr>
        <w:t>Provide co-ordinated and seamless support</w:t>
      </w:r>
    </w:p>
    <w:p w14:paraId="5883D4DB" w14:textId="0DBF2660" w:rsidR="00BA0A61" w:rsidRPr="00BD11BE" w:rsidRDefault="00BA0A61" w:rsidP="008A49A9">
      <w:pPr>
        <w:ind w:left="360"/>
      </w:pPr>
      <w:r w:rsidRPr="00BD11BE">
        <w:t>The focus of this priority was to ensure that public services provided to disabled people to find and succeed in employment would be seamless</w:t>
      </w:r>
      <w:r>
        <w:t>ly coordinated</w:t>
      </w:r>
      <w:r w:rsidRPr="00BD11BE">
        <w:t>.</w:t>
      </w:r>
    </w:p>
    <w:p w14:paraId="5489B58A" w14:textId="77777777" w:rsidR="00BA0A61" w:rsidRPr="008A49A9" w:rsidRDefault="00BA0A61" w:rsidP="00147EEF">
      <w:pPr>
        <w:pStyle w:val="ListParagraph"/>
        <w:numPr>
          <w:ilvl w:val="0"/>
          <w:numId w:val="49"/>
        </w:numPr>
        <w:spacing w:after="0"/>
        <w:rPr>
          <w:b/>
          <w:bCs/>
        </w:rPr>
      </w:pPr>
      <w:r w:rsidRPr="008A49A9">
        <w:rPr>
          <w:b/>
          <w:bCs/>
        </w:rPr>
        <w:t>Engage employers</w:t>
      </w:r>
    </w:p>
    <w:p w14:paraId="4206631F" w14:textId="77777777" w:rsidR="00BA0A61" w:rsidRPr="00BD11BE" w:rsidRDefault="00BA0A61" w:rsidP="008A49A9">
      <w:pPr>
        <w:ind w:left="360"/>
      </w:pPr>
      <w:r w:rsidRPr="00BD11BE">
        <w:t>This strategic priority related to the provision of support and encouragement to employers to employ people with disabilities, to support job retention, and to facilitate return to work after the onset of a disability.</w:t>
      </w:r>
    </w:p>
    <w:p w14:paraId="0A157CFF" w14:textId="77777777" w:rsidR="00BA0A61" w:rsidRPr="0078346F" w:rsidRDefault="00BA0A61" w:rsidP="00BA0A61">
      <w:r w:rsidRPr="0078346F">
        <w:t xml:space="preserve">The key indicator of </w:t>
      </w:r>
      <w:r>
        <w:t xml:space="preserve">progress under </w:t>
      </w:r>
      <w:r w:rsidRPr="0078346F">
        <w:t xml:space="preserve">the strategy was that the employment rate of people with disabilities would increase from 33% </w:t>
      </w:r>
      <w:r>
        <w:t xml:space="preserve">in 2011 </w:t>
      </w:r>
      <w:r w:rsidRPr="0078346F">
        <w:t>to 38% by 2024.</w:t>
      </w:r>
    </w:p>
    <w:p w14:paraId="75690937" w14:textId="4A7DBD7A" w:rsidR="00BA0A61" w:rsidRPr="0078346F" w:rsidRDefault="00BA0A61" w:rsidP="00BA0A61">
      <w:r w:rsidRPr="0078346F">
        <w:t xml:space="preserve">An Implementation Group </w:t>
      </w:r>
      <w:r>
        <w:t xml:space="preserve">(the CESIG) </w:t>
      </w:r>
      <w:r w:rsidRPr="0078346F">
        <w:t xml:space="preserve">was established to monitor progress </w:t>
      </w:r>
      <w:r>
        <w:t>relating to</w:t>
      </w:r>
      <w:r w:rsidRPr="0078346F">
        <w:t xml:space="preserve"> the six strategic priorities. It included relevant government departments and agencies, civil society</w:t>
      </w:r>
      <w:r>
        <w:t xml:space="preserve"> groups</w:t>
      </w:r>
      <w:r w:rsidRPr="0078346F">
        <w:t>, unions</w:t>
      </w:r>
      <w:r>
        <w:t>,</w:t>
      </w:r>
      <w:r w:rsidRPr="0078346F">
        <w:t xml:space="preserve"> and employer bodies. This group was chaired by Fergus Finlay, an independent chair. The secretariat for the strategy was housed in the Disability Policy Unit, initially in the Department of Justice and Equality and laterally in the Department of Children, Equality, Disability, Integration and Youth. </w:t>
      </w:r>
    </w:p>
    <w:p w14:paraId="5993873A" w14:textId="77777777" w:rsidR="00BA0A61" w:rsidRPr="0078346F" w:rsidRDefault="00BA0A61" w:rsidP="00BA0A61">
      <w:pPr>
        <w:pStyle w:val="H2Heading2NDA"/>
      </w:pPr>
      <w:bookmarkStart w:id="18" w:name="_Toc182555521"/>
      <w:bookmarkStart w:id="19" w:name="_Toc182555695"/>
      <w:r w:rsidRPr="0078346F">
        <w:t>Methodology</w:t>
      </w:r>
      <w:bookmarkEnd w:id="18"/>
      <w:bookmarkEnd w:id="19"/>
    </w:p>
    <w:p w14:paraId="0BB7ACD7" w14:textId="77777777" w:rsidR="00BA0A61" w:rsidRPr="0078346F" w:rsidRDefault="00BA0A61" w:rsidP="00BA0A61">
      <w:r w:rsidRPr="0078346F">
        <w:t>To conduct the final review of progress under the CES, a number of methods were adopted:</w:t>
      </w:r>
    </w:p>
    <w:p w14:paraId="206E75BF" w14:textId="77777777" w:rsidR="00BA0A61" w:rsidRPr="0078346F" w:rsidRDefault="00BA0A61" w:rsidP="00642681">
      <w:pPr>
        <w:pStyle w:val="NormalAfterList"/>
        <w:numPr>
          <w:ilvl w:val="0"/>
          <w:numId w:val="47"/>
        </w:numPr>
      </w:pPr>
      <w:r w:rsidRPr="0078346F">
        <w:t>A suite of indicators developed to monitor progress under the CES was examined a final time. The indicator set comprised a mixture of process and outcome indicators and drew on a wide variety of data sources. Relevant data were</w:t>
      </w:r>
      <w:r>
        <w:t xml:space="preserve"> obtained from published reports, the Central Statistics Office (CSO), through data analysis, and through requests to</w:t>
      </w:r>
      <w:r w:rsidRPr="0078346F">
        <w:t xml:space="preserve"> government departments and agencies. </w:t>
      </w:r>
    </w:p>
    <w:p w14:paraId="48A7D85C" w14:textId="13E3CF13" w:rsidR="00BA0A61" w:rsidRPr="0078346F" w:rsidRDefault="00BA0A61" w:rsidP="00642681">
      <w:pPr>
        <w:pStyle w:val="NormalAfterList"/>
        <w:numPr>
          <w:ilvl w:val="0"/>
          <w:numId w:val="47"/>
        </w:numPr>
      </w:pPr>
      <w:r w:rsidRPr="0078346F">
        <w:t>The</w:t>
      </w:r>
      <w:r>
        <w:t xml:space="preserve"> series of</w:t>
      </w:r>
      <w:r w:rsidRPr="0078346F">
        <w:t xml:space="preserve"> annual</w:t>
      </w:r>
      <w:r w:rsidR="00B426E9">
        <w:t>,</w:t>
      </w:r>
      <w:r w:rsidRPr="0078346F">
        <w:t xml:space="preserve"> </w:t>
      </w:r>
      <w:r w:rsidR="00B426E9">
        <w:t xml:space="preserve">independent </w:t>
      </w:r>
      <w:r w:rsidRPr="0078346F">
        <w:t>assessment reports on the CES developed by the NDA were reviewed.</w:t>
      </w:r>
    </w:p>
    <w:p w14:paraId="25CB4CD7" w14:textId="77777777" w:rsidR="00642681" w:rsidRDefault="00BA0A61" w:rsidP="00642681">
      <w:pPr>
        <w:pStyle w:val="NormalAfterList"/>
        <w:numPr>
          <w:ilvl w:val="0"/>
          <w:numId w:val="47"/>
        </w:numPr>
      </w:pPr>
      <w:r w:rsidRPr="0078346F">
        <w:t xml:space="preserve">Views on the key achievements of the strategy and on areas </w:t>
      </w:r>
      <w:r>
        <w:t xml:space="preserve">requiring </w:t>
      </w:r>
      <w:r w:rsidRPr="0078346F">
        <w:t>further focus and development</w:t>
      </w:r>
      <w:r>
        <w:t xml:space="preserve"> were sought</w:t>
      </w:r>
      <w:r w:rsidRPr="0078346F">
        <w:t xml:space="preserve"> from:</w:t>
      </w:r>
    </w:p>
    <w:p w14:paraId="70B3BAFA" w14:textId="77777777" w:rsidR="00642681" w:rsidRDefault="00BA0A61" w:rsidP="00642681">
      <w:pPr>
        <w:pStyle w:val="NormalAfterList"/>
        <w:numPr>
          <w:ilvl w:val="1"/>
          <w:numId w:val="47"/>
        </w:numPr>
      </w:pPr>
      <w:r w:rsidRPr="0078346F">
        <w:t>members of the CES Implementation Group</w:t>
      </w:r>
      <w:r>
        <w:t xml:space="preserve"> and</w:t>
      </w:r>
    </w:p>
    <w:p w14:paraId="2002D316" w14:textId="645A2113" w:rsidR="00BA0A61" w:rsidRPr="0078346F" w:rsidRDefault="00BA0A61" w:rsidP="00642681">
      <w:pPr>
        <w:pStyle w:val="NormalAfterList"/>
        <w:numPr>
          <w:ilvl w:val="1"/>
          <w:numId w:val="47"/>
        </w:numPr>
      </w:pPr>
      <w:r w:rsidRPr="0078346F">
        <w:t>departments and agencies with responsibilities for delivery of actions under the strategy</w:t>
      </w:r>
      <w:r>
        <w:t>.</w:t>
      </w:r>
    </w:p>
    <w:p w14:paraId="2768AB44" w14:textId="23E23C8B" w:rsidR="00BA0A61" w:rsidRPr="0078346F" w:rsidRDefault="00BA0A61" w:rsidP="00642681">
      <w:pPr>
        <w:pStyle w:val="NormalAfterList"/>
        <w:numPr>
          <w:ilvl w:val="0"/>
          <w:numId w:val="48"/>
        </w:numPr>
      </w:pPr>
      <w:r w:rsidRPr="0078346F">
        <w:t>Findings from previous NDA and DCEDIY engagement with disabled people that related to employment, including interviews, focus groups, and large-scale consultations (for example, on the National Disability Strategy and the Autism I</w:t>
      </w:r>
      <w:r>
        <w:t>nnovation</w:t>
      </w:r>
      <w:r w:rsidRPr="0078346F">
        <w:t xml:space="preserve"> Strategy) held during the lifetime of the CES were drawn on when conducting the review</w:t>
      </w:r>
      <w:r>
        <w:t>.</w:t>
      </w:r>
    </w:p>
    <w:p w14:paraId="757F12FC" w14:textId="54DAD786" w:rsidR="00BA0A61" w:rsidRPr="00BD11BE" w:rsidRDefault="00BA0A61" w:rsidP="00642681">
      <w:pPr>
        <w:pStyle w:val="NormalAfterList"/>
        <w:numPr>
          <w:ilvl w:val="0"/>
          <w:numId w:val="48"/>
        </w:numPr>
      </w:pPr>
      <w:r w:rsidRPr="0078346F">
        <w:t>A draft of the report was shared with members of the CES Implementation Group, relevant government departments and agencies, Disabled Persons</w:t>
      </w:r>
      <w:r>
        <w:t>’</w:t>
      </w:r>
      <w:r w:rsidRPr="0078346F">
        <w:t xml:space="preserve"> Organisations, and other relevant stakeholders</w:t>
      </w:r>
      <w:r>
        <w:t>.</w:t>
      </w:r>
      <w:r w:rsidRPr="0078346F">
        <w:t xml:space="preserve"> </w:t>
      </w:r>
      <w:r>
        <w:t>T</w:t>
      </w:r>
      <w:r w:rsidRPr="0078346F">
        <w:t xml:space="preserve">heir views and comments were taken on board </w:t>
      </w:r>
      <w:r w:rsidR="00B426E9">
        <w:t>as</w:t>
      </w:r>
      <w:r w:rsidR="00B426E9" w:rsidRPr="0078346F">
        <w:t xml:space="preserve"> </w:t>
      </w:r>
      <w:r w:rsidRPr="0078346F">
        <w:t xml:space="preserve">relevant and </w:t>
      </w:r>
      <w:r>
        <w:t>appropriate.</w:t>
      </w:r>
    </w:p>
    <w:p w14:paraId="27085219" w14:textId="77777777" w:rsidR="00BA0A61" w:rsidRPr="0078346F" w:rsidRDefault="00BA0A61" w:rsidP="00BA0A61">
      <w:pPr>
        <w:pStyle w:val="H2Heading2NDA"/>
      </w:pPr>
      <w:bookmarkStart w:id="20" w:name="_Toc182555522"/>
      <w:bookmarkStart w:id="21" w:name="_Toc182555696"/>
      <w:r w:rsidRPr="0078346F">
        <w:t>Progress and achievements</w:t>
      </w:r>
      <w:bookmarkEnd w:id="20"/>
      <w:bookmarkEnd w:id="21"/>
    </w:p>
    <w:p w14:paraId="05424900" w14:textId="77777777" w:rsidR="00BA0A61" w:rsidRPr="0078346F" w:rsidRDefault="00BA0A61" w:rsidP="00BA0A61">
      <w:r w:rsidRPr="0078346F">
        <w:t>Over the lifetime of the CES, a number of positive developments were realised across a range of areas.</w:t>
      </w:r>
    </w:p>
    <w:p w14:paraId="5AF73627" w14:textId="77777777" w:rsidR="00BA0A61" w:rsidRPr="0078346F" w:rsidRDefault="00BA0A61" w:rsidP="00BA0A61">
      <w:pPr>
        <w:pStyle w:val="H3Heading3NDA"/>
      </w:pPr>
      <w:bookmarkStart w:id="22" w:name="_Toc182219474"/>
      <w:bookmarkStart w:id="23" w:name="_Toc182220177"/>
      <w:bookmarkStart w:id="24" w:name="_Toc182555523"/>
      <w:r w:rsidRPr="0078346F">
        <w:t>Educational and skill development</w:t>
      </w:r>
      <w:bookmarkEnd w:id="22"/>
      <w:bookmarkEnd w:id="23"/>
      <w:bookmarkEnd w:id="24"/>
    </w:p>
    <w:p w14:paraId="58E55600" w14:textId="56847855" w:rsidR="00BA0A61" w:rsidRPr="0078346F" w:rsidRDefault="00BA0A61" w:rsidP="00BA0A61">
      <w:r w:rsidRPr="0078346F">
        <w:t xml:space="preserve">Increased access to and inclusion in education for young people with disabilities has been achieved over the past ten years. Positive outcomes have been identified of the targeted preschool supports offered under the Access and Inclusion Model (AIM), and there have been increases in the proportion of the further and higher education student populations reporting a disability. The introduction of significant funding under Strand 4 of the Programme for Access to Higher Education (PATH) has also been an important development </w:t>
      </w:r>
      <w:r>
        <w:t xml:space="preserve">for </w:t>
      </w:r>
      <w:r w:rsidRPr="0078346F">
        <w:t>increas</w:t>
      </w:r>
      <w:r>
        <w:t>ing</w:t>
      </w:r>
      <w:r w:rsidRPr="0078346F">
        <w:t xml:space="preserve"> access to </w:t>
      </w:r>
      <w:r>
        <w:t>h</w:t>
      </w:r>
      <w:r w:rsidRPr="0078346F">
        <w:t xml:space="preserve">igher </w:t>
      </w:r>
      <w:r>
        <w:t>e</w:t>
      </w:r>
      <w:r w:rsidRPr="0078346F">
        <w:t>ducation for students with an intellectual disability and</w:t>
      </w:r>
      <w:r>
        <w:t>/or</w:t>
      </w:r>
      <w:r w:rsidRPr="0078346F">
        <w:t xml:space="preserve"> autism. The introduction of a pilot project </w:t>
      </w:r>
      <w:r>
        <w:t>allowing</w:t>
      </w:r>
      <w:r w:rsidRPr="0078346F">
        <w:t xml:space="preserve"> school leavers with a disability to defer access to a </w:t>
      </w:r>
      <w:r>
        <w:t xml:space="preserve">HSE-funded </w:t>
      </w:r>
      <w:r w:rsidRPr="0078346F">
        <w:t xml:space="preserve">day service placement </w:t>
      </w:r>
      <w:r>
        <w:t xml:space="preserve">in order </w:t>
      </w:r>
      <w:r w:rsidRPr="0078346F">
        <w:t>to try education or employment was very successful and is now a permanent offering to school leavers with a disability</w:t>
      </w:r>
      <w:r>
        <w:t>. The deferral period has</w:t>
      </w:r>
      <w:r w:rsidRPr="0078346F">
        <w:t xml:space="preserve"> </w:t>
      </w:r>
      <w:r>
        <w:t>recently</w:t>
      </w:r>
      <w:r w:rsidRPr="0078346F">
        <w:t xml:space="preserve"> been extended from three to five years. Expanding the post</w:t>
      </w:r>
      <w:r>
        <w:t>-</w:t>
      </w:r>
      <w:r w:rsidRPr="0078346F">
        <w:t xml:space="preserve">school opportunities for young disabled learners has </w:t>
      </w:r>
      <w:r w:rsidR="004A2EB5">
        <w:t>been associated with</w:t>
      </w:r>
      <w:r w:rsidRPr="0078346F">
        <w:t xml:space="preserve"> increase</w:t>
      </w:r>
      <w:r>
        <w:t>d</w:t>
      </w:r>
      <w:r w:rsidRPr="0078346F">
        <w:t xml:space="preserve"> representation in</w:t>
      </w:r>
      <w:r>
        <w:t xml:space="preserve"> further education and training and higher education</w:t>
      </w:r>
      <w:r w:rsidRPr="0078346F">
        <w:t xml:space="preserve">, with some increase in representation in </w:t>
      </w:r>
      <w:r>
        <w:t>a</w:t>
      </w:r>
      <w:r w:rsidRPr="0078346F">
        <w:t>pprenticeships. Recent increases to</w:t>
      </w:r>
      <w:r>
        <w:t xml:space="preserve"> the </w:t>
      </w:r>
      <w:r w:rsidRPr="0078346F">
        <w:t>provision of part</w:t>
      </w:r>
      <w:r>
        <w:t>-</w:t>
      </w:r>
      <w:r w:rsidRPr="0078346F">
        <w:t xml:space="preserve">time educational programmes with access to funding such as the Fund for Students with </w:t>
      </w:r>
      <w:r>
        <w:t>D</w:t>
      </w:r>
      <w:r w:rsidRPr="0078346F">
        <w:t xml:space="preserve">isabilities </w:t>
      </w:r>
      <w:r>
        <w:t xml:space="preserve">should, </w:t>
      </w:r>
      <w:r w:rsidRPr="0078346F">
        <w:t>over time</w:t>
      </w:r>
      <w:r>
        <w:t>,</w:t>
      </w:r>
      <w:r w:rsidRPr="0078346F">
        <w:t xml:space="preserve"> </w:t>
      </w:r>
      <w:r>
        <w:t xml:space="preserve">also </w:t>
      </w:r>
      <w:r w:rsidRPr="0078346F">
        <w:t xml:space="preserve">prove beneficial </w:t>
      </w:r>
      <w:r>
        <w:t>to</w:t>
      </w:r>
      <w:r w:rsidRPr="0078346F">
        <w:t xml:space="preserve"> some students with disabilities.</w:t>
      </w:r>
    </w:p>
    <w:p w14:paraId="7121240D" w14:textId="77777777" w:rsidR="00BA0A61" w:rsidRPr="0078346F" w:rsidRDefault="00BA0A61" w:rsidP="00BA0A61">
      <w:pPr>
        <w:pStyle w:val="H3Heading3NDA"/>
      </w:pPr>
      <w:bookmarkStart w:id="25" w:name="_Toc182219475"/>
      <w:bookmarkStart w:id="26" w:name="_Toc182220178"/>
      <w:bookmarkStart w:id="27" w:name="_Toc182555524"/>
      <w:r w:rsidRPr="0078346F">
        <w:t>Employment Supports</w:t>
      </w:r>
      <w:bookmarkEnd w:id="25"/>
      <w:bookmarkEnd w:id="26"/>
      <w:bookmarkEnd w:id="27"/>
    </w:p>
    <w:p w14:paraId="1F70EFB3" w14:textId="024EBC03" w:rsidR="00BA0A61" w:rsidRPr="0078346F" w:rsidRDefault="00BA0A61" w:rsidP="00BA0A61">
      <w:r w:rsidRPr="0078346F">
        <w:t>The numbers</w:t>
      </w:r>
      <w:r w:rsidR="004F618B">
        <w:t xml:space="preserve"> of individuals</w:t>
      </w:r>
      <w:r w:rsidRPr="0078346F">
        <w:t xml:space="preserve"> availing of employment supports under schemes such as the Wage Subsidy Scheme and</w:t>
      </w:r>
      <w:r w:rsidR="004F618B">
        <w:t xml:space="preserve"> the</w:t>
      </w:r>
      <w:r w:rsidRPr="0078346F">
        <w:t xml:space="preserve"> Reasonable Accommodation Fund (RAF) remained low, and in some cases decreased, over the lifetime of the CES. However, in recent years, comprehensive reviews of these schemes have been conducted to identify the reasons for low uptake, and actions have begun to be taken to make these supports more accessible, flexible, and fit for purpose. For example, the recent introduction of the Work and Access scheme</w:t>
      </w:r>
      <w:r>
        <w:t xml:space="preserve"> to replace the RAF</w:t>
      </w:r>
      <w:r w:rsidRPr="0078346F">
        <w:t xml:space="preserve"> provides a broader range of supports and includes a </w:t>
      </w:r>
      <w:r>
        <w:t>w</w:t>
      </w:r>
      <w:r w:rsidRPr="0078346F">
        <w:t xml:space="preserve">orkplace </w:t>
      </w:r>
      <w:r>
        <w:t>n</w:t>
      </w:r>
      <w:r w:rsidRPr="0078346F">
        <w:t xml:space="preserve">eeds </w:t>
      </w:r>
      <w:r>
        <w:t>a</w:t>
      </w:r>
      <w:r w:rsidRPr="0078346F">
        <w:t>ssessment</w:t>
      </w:r>
      <w:r w:rsidRPr="0078346F">
        <w:rPr>
          <w:szCs w:val="26"/>
        </w:rPr>
        <w:t xml:space="preserve">. </w:t>
      </w:r>
    </w:p>
    <w:p w14:paraId="4AA86BEF" w14:textId="1A2FD961" w:rsidR="00BA0A61" w:rsidRPr="0078346F" w:rsidRDefault="00BA0A61" w:rsidP="00BA0A61">
      <w:r w:rsidRPr="0078346F">
        <w:t xml:space="preserve">The recommendations of the Make Work Pay Report (2017) were designed to ensure that people with disabilities who are able to and want to work are supported and enabled to do so. The actions </w:t>
      </w:r>
      <w:r>
        <w:t xml:space="preserve">in this report </w:t>
      </w:r>
      <w:r w:rsidRPr="0078346F">
        <w:t xml:space="preserve">were integrated into the CES action plans. While challenges remain in creating comprehensive financial security for </w:t>
      </w:r>
      <w:r w:rsidR="003F3589">
        <w:t>the population with a disability</w:t>
      </w:r>
      <w:r w:rsidRPr="0078346F">
        <w:t xml:space="preserve">, there have been </w:t>
      </w:r>
      <w:r>
        <w:t xml:space="preserve">some </w:t>
      </w:r>
      <w:r w:rsidRPr="0078346F">
        <w:t xml:space="preserve">strides towards making work more financially feasible. </w:t>
      </w:r>
      <w:r>
        <w:t>Key</w:t>
      </w:r>
      <w:r w:rsidRPr="0078346F">
        <w:t xml:space="preserve"> achievements </w:t>
      </w:r>
      <w:r>
        <w:t>include</w:t>
      </w:r>
      <w:r w:rsidRPr="0078346F">
        <w:t xml:space="preserve"> allowing people leaving the benefits system </w:t>
      </w:r>
      <w:r>
        <w:t>for employment to</w:t>
      </w:r>
      <w:r w:rsidRPr="0078346F">
        <w:t xml:space="preserve"> retain free travel for a period of five years (this was already in place for </w:t>
      </w:r>
      <w:r>
        <w:t>m</w:t>
      </w:r>
      <w:r w:rsidRPr="0078346F">
        <w:t xml:space="preserve">edical </w:t>
      </w:r>
      <w:r>
        <w:t>c</w:t>
      </w:r>
      <w:r w:rsidRPr="0078346F">
        <w:t>ard holders)</w:t>
      </w:r>
      <w:r>
        <w:t xml:space="preserve"> </w:t>
      </w:r>
      <w:r w:rsidRPr="0078346F">
        <w:t xml:space="preserve">and a streamlined return to disability payments if employment does not work out in the first twelve months. </w:t>
      </w:r>
      <w:r>
        <w:t>Further,</w:t>
      </w:r>
      <w:r w:rsidRPr="0078346F">
        <w:t xml:space="preserve"> </w:t>
      </w:r>
      <w:r>
        <w:t xml:space="preserve">there </w:t>
      </w:r>
      <w:r w:rsidRPr="00D832D5">
        <w:t>were increases to the earnings disregard for people in receipt of Disability Allowance</w:t>
      </w:r>
      <w:r>
        <w:t xml:space="preserve"> (DA)</w:t>
      </w:r>
      <w:r w:rsidRPr="00D832D5">
        <w:t xml:space="preserve"> and some other allowances</w:t>
      </w:r>
      <w:r w:rsidRPr="0078346F">
        <w:t xml:space="preserve"> so that</w:t>
      </w:r>
      <w:r>
        <w:t xml:space="preserve"> people</w:t>
      </w:r>
      <w:r w:rsidRPr="0078346F">
        <w:t xml:space="preserve"> could work and earn an income to a certain </w:t>
      </w:r>
      <w:r>
        <w:t xml:space="preserve">threshold </w:t>
      </w:r>
      <w:r w:rsidRPr="0078346F">
        <w:t xml:space="preserve">before their social protection </w:t>
      </w:r>
      <w:r>
        <w:t>payment would</w:t>
      </w:r>
      <w:r w:rsidRPr="0078346F">
        <w:t xml:space="preserve"> </w:t>
      </w:r>
      <w:r>
        <w:t xml:space="preserve">be </w:t>
      </w:r>
      <w:r w:rsidRPr="0078346F">
        <w:t>reduced. The requirement that</w:t>
      </w:r>
      <w:r>
        <w:t xml:space="preserve"> this</w:t>
      </w:r>
      <w:r w:rsidRPr="0078346F">
        <w:t xml:space="preserve"> work be of a ‘rehabilitative nature’ was removed from the DA scheme and</w:t>
      </w:r>
      <w:r w:rsidR="003F3589">
        <w:t>,</w:t>
      </w:r>
      <w:r w:rsidRPr="0078346F">
        <w:t xml:space="preserve"> in doing so</w:t>
      </w:r>
      <w:r w:rsidR="003F3589">
        <w:t xml:space="preserve">, </w:t>
      </w:r>
      <w:r w:rsidRPr="0078346F">
        <w:t xml:space="preserve">more disabled people began to consider work as an option. </w:t>
      </w:r>
    </w:p>
    <w:p w14:paraId="3A419BB9" w14:textId="7CE9950C" w:rsidR="00BA0A61" w:rsidRPr="0078346F" w:rsidRDefault="00BA0A61" w:rsidP="00BA0A61">
      <w:r>
        <w:t>O</w:t>
      </w:r>
      <w:r w:rsidRPr="0078346F">
        <w:t xml:space="preserve">ver the course of the CES, </w:t>
      </w:r>
      <w:r>
        <w:t>the employment</w:t>
      </w:r>
      <w:r w:rsidRPr="0078346F">
        <w:t xml:space="preserve"> landscape has </w:t>
      </w:r>
      <w:r>
        <w:t>shifted</w:t>
      </w:r>
      <w:r w:rsidRPr="0078346F">
        <w:t xml:space="preserve"> from </w:t>
      </w:r>
      <w:r>
        <w:t xml:space="preserve">one of </w:t>
      </w:r>
      <w:r w:rsidRPr="0078346F">
        <w:t>high unemployment to</w:t>
      </w:r>
      <w:r>
        <w:t xml:space="preserve"> one of</w:t>
      </w:r>
      <w:r w:rsidRPr="0078346F">
        <w:t xml:space="preserve"> full employment</w:t>
      </w:r>
      <w:r w:rsidR="00704BDA">
        <w:t xml:space="preserve"> for the general population</w:t>
      </w:r>
      <w:r w:rsidRPr="0078346F">
        <w:t xml:space="preserve">.  </w:t>
      </w:r>
      <w:r>
        <w:t>Many e</w:t>
      </w:r>
      <w:r w:rsidRPr="0078346F">
        <w:t xml:space="preserve">mployers and their representative organisations </w:t>
      </w:r>
      <w:r>
        <w:t xml:space="preserve">have demonstrated openness to </w:t>
      </w:r>
      <w:r w:rsidRPr="0078346F">
        <w:t xml:space="preserve">approaches and connections with disability service providers and education colleges to recruit disabled staff. The AHEAD Willing Able and Mentoring (WAM) programme has increased the numbers of graduates that it supports in both the public and private sectors. The </w:t>
      </w:r>
      <w:r>
        <w:t>Oireachtas Work and Learning (</w:t>
      </w:r>
      <w:r w:rsidRPr="0078346F">
        <w:t>OWL</w:t>
      </w:r>
      <w:r>
        <w:t>)</w:t>
      </w:r>
      <w:r w:rsidRPr="0078346F">
        <w:t xml:space="preserve"> programme has created an innovative and alternative recruitment approach for the Houses of the Oireachtas with the programme resulting in a direct route to permanent roles within the civil service. </w:t>
      </w:r>
    </w:p>
    <w:p w14:paraId="01FFD144" w14:textId="6997DFAC" w:rsidR="00BA0A61" w:rsidRDefault="00BA0A61" w:rsidP="00BA0A61">
      <w:r w:rsidRPr="00287E74">
        <w:t xml:space="preserve">Ibec and ICTU worked collaboratively </w:t>
      </w:r>
      <w:r w:rsidR="003F3589">
        <w:t>during</w:t>
      </w:r>
      <w:r w:rsidRPr="00287E74">
        <w:t xml:space="preserve"> </w:t>
      </w:r>
      <w:r w:rsidR="003F3589">
        <w:t>the lifetime of the CES</w:t>
      </w:r>
      <w:r w:rsidRPr="00287E74">
        <w:t xml:space="preserve"> to address the issue of reasonable accommodation. This resulted in the production of the reasonable accommodation passport, </w:t>
      </w:r>
      <w:r>
        <w:t>through which</w:t>
      </w:r>
      <w:r w:rsidRPr="00287E74">
        <w:t xml:space="preserve"> employees and employers have a mechanism to understand how a reasonable accommodation works for an individual employee. An employer information service called the </w:t>
      </w:r>
      <w:r w:rsidRPr="00287E74">
        <w:rPr>
          <w:lang w:eastAsia="en-IE"/>
        </w:rPr>
        <w:t xml:space="preserve">Employer Disability Information (EDI) service ran from 2016 to 2020. It was managed by a consortium of employer organisations - Chambers Ireland, Ibec and ISME </w:t>
      </w:r>
      <w:r>
        <w:rPr>
          <w:lang w:eastAsia="en-IE"/>
        </w:rPr>
        <w:t xml:space="preserve">- </w:t>
      </w:r>
      <w:r w:rsidRPr="00287E74">
        <w:rPr>
          <w:lang w:eastAsia="en-IE"/>
        </w:rPr>
        <w:t xml:space="preserve">and funded through the NDA. It was followed by the establishment of the Employers for Change service that operates through the Open Doors Initiative. Both services aimed to address the gap in information and support ‘to </w:t>
      </w:r>
      <w:r w:rsidRPr="00287E74">
        <w:t>enable employers with all the information and advice needed to hire, employ, manage and retain staff with disabilities.’ In NDA and OECD research</w:t>
      </w:r>
      <w:r>
        <w:t>,</w:t>
      </w:r>
      <w:r w:rsidRPr="00287E74">
        <w:t xml:space="preserve"> the role of these services to answer questions posed by employers who want to support staff who acquire a disability and to recruit staff with disabilities </w:t>
      </w:r>
      <w:r>
        <w:t>has emerged as</w:t>
      </w:r>
      <w:r w:rsidRPr="00287E74">
        <w:t xml:space="preserve"> essential.</w:t>
      </w:r>
    </w:p>
    <w:p w14:paraId="2FB21A14" w14:textId="0A0C1A3A" w:rsidR="00147EEF" w:rsidRDefault="00C34F51" w:rsidP="00147EEF">
      <w:r w:rsidRPr="00147EEF">
        <w:t xml:space="preserve">Collaborative working was a </w:t>
      </w:r>
      <w:r w:rsidR="00695FBC" w:rsidRPr="00147EEF">
        <w:t xml:space="preserve">necessary </w:t>
      </w:r>
      <w:r w:rsidRPr="00147EEF">
        <w:t>key driver of some of the</w:t>
      </w:r>
      <w:r w:rsidR="001C64E8">
        <w:t xml:space="preserve"> CES</w:t>
      </w:r>
      <w:r w:rsidRPr="00147EEF">
        <w:t xml:space="preserve"> actions</w:t>
      </w:r>
      <w:r w:rsidR="001C64E8">
        <w:t>,</w:t>
      </w:r>
      <w:r w:rsidRPr="00147EEF">
        <w:t xml:space="preserve"> and over the course of the </w:t>
      </w:r>
      <w:r w:rsidR="00695FBC" w:rsidRPr="00147EEF">
        <w:t>strategy’s lifetime and</w:t>
      </w:r>
      <w:r w:rsidRPr="00147EEF">
        <w:t xml:space="preserve"> this can be seen in the ongoing work </w:t>
      </w:r>
      <w:r w:rsidR="00695FBC" w:rsidRPr="00147EEF">
        <w:t>o</w:t>
      </w:r>
      <w:r w:rsidRPr="00147EEF">
        <w:t xml:space="preserve">n transitions involving the Department of Education and agencies under its remit. The work of </w:t>
      </w:r>
      <w:r w:rsidR="001C64E8">
        <w:t>CES A</w:t>
      </w:r>
      <w:r w:rsidRPr="00147EEF">
        <w:t xml:space="preserve">ction 5.1 achieved a joint policy </w:t>
      </w:r>
      <w:r w:rsidR="00695FBC" w:rsidRPr="00147EEF">
        <w:t xml:space="preserve">on elements of a seamless pathway into employment </w:t>
      </w:r>
      <w:r w:rsidR="00640F70" w:rsidRPr="00147EEF">
        <w:t>through</w:t>
      </w:r>
      <w:r w:rsidR="00695FBC" w:rsidRPr="00147EEF">
        <w:t xml:space="preserve"> inter-departmental working. </w:t>
      </w:r>
      <w:r w:rsidR="00640F70" w:rsidRPr="00147EEF">
        <w:t>However, this work did not progress any further.</w:t>
      </w:r>
    </w:p>
    <w:p w14:paraId="4E0BD500" w14:textId="274F7E6E" w:rsidR="00BA0A61" w:rsidRPr="00147EEF" w:rsidRDefault="00BA0A61" w:rsidP="00147EEF">
      <w:pPr>
        <w:pStyle w:val="Heading2"/>
      </w:pPr>
      <w:bookmarkStart w:id="28" w:name="_Toc182555525"/>
      <w:bookmarkStart w:id="29" w:name="_Toc182555697"/>
      <w:r w:rsidRPr="00147EEF">
        <w:t>Gaps and challenges</w:t>
      </w:r>
      <w:bookmarkEnd w:id="28"/>
      <w:bookmarkEnd w:id="29"/>
    </w:p>
    <w:p w14:paraId="36F73CCA" w14:textId="7682B468" w:rsidR="00BA0A61" w:rsidRPr="0078346F" w:rsidRDefault="00BA0A61" w:rsidP="00BA0A61">
      <w:r w:rsidRPr="0078346F">
        <w:t>Despite the advancements</w:t>
      </w:r>
      <w:r w:rsidR="001C64E8">
        <w:t xml:space="preserve"> just described</w:t>
      </w:r>
      <w:r w:rsidRPr="0078346F">
        <w:t xml:space="preserve">, several gaps and challenges </w:t>
      </w:r>
      <w:r>
        <w:t>remain</w:t>
      </w:r>
      <w:r w:rsidRPr="0078346F">
        <w:t>.</w:t>
      </w:r>
    </w:p>
    <w:p w14:paraId="45E3EF6B" w14:textId="77777777" w:rsidR="00BA0A61" w:rsidRPr="0078346F" w:rsidRDefault="00BA0A61" w:rsidP="00BA0A61">
      <w:pPr>
        <w:pStyle w:val="H3Heading3NDA"/>
      </w:pPr>
      <w:bookmarkStart w:id="30" w:name="_Toc182219477"/>
      <w:bookmarkStart w:id="31" w:name="_Toc182220180"/>
      <w:bookmarkStart w:id="32" w:name="_Toc182555526"/>
      <w:r w:rsidRPr="0078346F">
        <w:t>Persistent disability education and employment gaps</w:t>
      </w:r>
      <w:bookmarkEnd w:id="30"/>
      <w:bookmarkEnd w:id="31"/>
      <w:bookmarkEnd w:id="32"/>
    </w:p>
    <w:p w14:paraId="5464B423" w14:textId="77777777" w:rsidR="00BA0A61" w:rsidRDefault="00BA0A61" w:rsidP="00BA0A61">
      <w:r w:rsidRPr="0078346F">
        <w:t>The apparent increase in access to further and higher education over recent years has not yet translated into a significant narrowing of the educational attainment gap, with Census 2022 figures showing</w:t>
      </w:r>
      <w:r>
        <w:t xml:space="preserve"> that</w:t>
      </w:r>
      <w:r w:rsidRPr="0078346F">
        <w:t xml:space="preserve"> disabled people are more likely to be early school leavers and less likely to have higher education qualifications. </w:t>
      </w:r>
    </w:p>
    <w:p w14:paraId="365F7B81" w14:textId="07A2290C" w:rsidR="00BA0A61" w:rsidRDefault="00BA0A61" w:rsidP="00BA0A61">
      <w:r w:rsidRPr="000B3A7F">
        <w:t xml:space="preserve">A target was set in the CES to increase the proportion of people aged 20-64 years with disabilities who are in employment from 33% in </w:t>
      </w:r>
      <w:r>
        <w:t xml:space="preserve">Census </w:t>
      </w:r>
      <w:r w:rsidRPr="000B3A7F">
        <w:t xml:space="preserve">2011 to 38% by 2024. </w:t>
      </w:r>
      <w:r>
        <w:t>By Census 2016, the employment rate of disabled people increased to</w:t>
      </w:r>
      <w:r w:rsidRPr="000B3A7F">
        <w:t xml:space="preserve"> 36.5%</w:t>
      </w:r>
      <w:r w:rsidR="00F04638">
        <w:t>,</w:t>
      </w:r>
      <w:r w:rsidRPr="000B3A7F">
        <w:t xml:space="preserve"> and the overall employment target for 2024 looked set to be achieved.</w:t>
      </w:r>
      <w:r>
        <w:t xml:space="preserve"> C</w:t>
      </w:r>
      <w:r w:rsidRPr="000B3A7F">
        <w:t xml:space="preserve">hanges to the census questions from which data on disability are derived mean that a direct comparison between the employment levels of </w:t>
      </w:r>
      <w:r>
        <w:t>disabled people</w:t>
      </w:r>
      <w:r w:rsidRPr="000B3A7F">
        <w:t xml:space="preserve"> in 2022 and 2016 is not possible</w:t>
      </w:r>
      <w:r w:rsidR="00F04638">
        <w:t>, and so it is not possible to say whether the headline CES target was achieved</w:t>
      </w:r>
      <w:r>
        <w:t xml:space="preserve">. However, </w:t>
      </w:r>
      <w:r w:rsidR="00F04638">
        <w:t xml:space="preserve">other data sources show that </w:t>
      </w:r>
      <w:r>
        <w:t>t</w:t>
      </w:r>
      <w:r w:rsidRPr="000B3A7F">
        <w:t>he</w:t>
      </w:r>
      <w:r w:rsidRPr="0078346F">
        <w:t xml:space="preserve"> employment rate disparity between people with and without disabilities remains substantial in Ireland</w:t>
      </w:r>
      <w:r>
        <w:t xml:space="preserve">, and this is </w:t>
      </w:r>
      <w:r w:rsidR="00F04638">
        <w:t xml:space="preserve">likely </w:t>
      </w:r>
      <w:r>
        <w:t>a better</w:t>
      </w:r>
      <w:r w:rsidR="00F04638">
        <w:t xml:space="preserve"> equality</w:t>
      </w:r>
      <w:r>
        <w:t xml:space="preserve"> indicator to examine than the </w:t>
      </w:r>
      <w:r w:rsidR="00F04638">
        <w:t xml:space="preserve">total </w:t>
      </w:r>
      <w:r>
        <w:t>proportion of disabled people in employment</w:t>
      </w:r>
      <w:r w:rsidRPr="0078346F">
        <w:t xml:space="preserve">. Ireland’s disability employment gap </w:t>
      </w:r>
      <w:r>
        <w:t xml:space="preserve">(DEG) </w:t>
      </w:r>
      <w:r w:rsidRPr="0078346F">
        <w:t>continues to be one of the largest across the European Union. In cross-country comparisons using data</w:t>
      </w:r>
      <w:r>
        <w:t xml:space="preserve"> from the Survey of Income and Living Conditions (SILC)</w:t>
      </w:r>
      <w:r w:rsidRPr="0078346F">
        <w:t>, Ireland had the largest DEG of all 27 Member States in 2022, at 37 percentage points. The average disability employment gap across the EU was 21 percentage points. There has been no substantial reduction in the disability employment gap over the lifetime of the CES</w:t>
      </w:r>
      <w:r>
        <w:t xml:space="preserve"> according to SILC data</w:t>
      </w:r>
      <w:r w:rsidRPr="0078346F">
        <w:t>. While lower in 2022 than in 2015, year-on-year fluctuations mean this should not be considered as evidence of a sustained downward trend.</w:t>
      </w:r>
    </w:p>
    <w:p w14:paraId="0811E712" w14:textId="77777777" w:rsidR="00BA0A61" w:rsidRDefault="00BA0A61" w:rsidP="00BA0A61">
      <w:pPr>
        <w:pStyle w:val="H3Heading3NDA"/>
      </w:pPr>
      <w:bookmarkStart w:id="33" w:name="_Toc182219478"/>
      <w:bookmarkStart w:id="34" w:name="_Toc182220181"/>
      <w:bookmarkStart w:id="35" w:name="_Toc182555527"/>
      <w:r>
        <w:t>Unresolved issues in making work pay</w:t>
      </w:r>
      <w:bookmarkEnd w:id="33"/>
      <w:bookmarkEnd w:id="34"/>
      <w:bookmarkEnd w:id="35"/>
    </w:p>
    <w:p w14:paraId="31DA63E6" w14:textId="07416BB8" w:rsidR="00BA0A61" w:rsidRPr="0078346F" w:rsidRDefault="00BA0A61" w:rsidP="00BA0A61">
      <w:r w:rsidRPr="0078346F">
        <w:t xml:space="preserve">While </w:t>
      </w:r>
      <w:r>
        <w:t xml:space="preserve">the </w:t>
      </w:r>
      <w:r w:rsidRPr="0078346F">
        <w:t>changes</w:t>
      </w:r>
      <w:r>
        <w:t xml:space="preserve"> made as a result of the Make Work Pay report and outlined above have</w:t>
      </w:r>
      <w:r w:rsidRPr="0078346F">
        <w:t xml:space="preserve"> </w:t>
      </w:r>
      <w:r>
        <w:t xml:space="preserve">likely </w:t>
      </w:r>
      <w:r w:rsidRPr="0078346F">
        <w:t>ma</w:t>
      </w:r>
      <w:r>
        <w:t>d</w:t>
      </w:r>
      <w:r w:rsidRPr="0078346F">
        <w:t xml:space="preserve">e work more attractive to </w:t>
      </w:r>
      <w:r>
        <w:t xml:space="preserve">some </w:t>
      </w:r>
      <w:r w:rsidRPr="0078346F">
        <w:t xml:space="preserve">people with disabilities, </w:t>
      </w:r>
      <w:r>
        <w:t>they</w:t>
      </w:r>
      <w:r w:rsidRPr="0078346F">
        <w:t xml:space="preserve"> did not </w:t>
      </w:r>
      <w:r>
        <w:t>translate to</w:t>
      </w:r>
      <w:r w:rsidRPr="0078346F">
        <w:t xml:space="preserve"> significant increases </w:t>
      </w:r>
      <w:r>
        <w:t xml:space="preserve">in the number of </w:t>
      </w:r>
      <w:r w:rsidRPr="0078346F">
        <w:t xml:space="preserve">people transitioning from </w:t>
      </w:r>
      <w:r>
        <w:t>DA</w:t>
      </w:r>
      <w:r w:rsidRPr="0078346F">
        <w:t xml:space="preserve"> to work.</w:t>
      </w:r>
      <w:r>
        <w:t xml:space="preserve"> In fact, the numbers in receipt of all disability-related social welfare payments increased substantially over the course of the CES.</w:t>
      </w:r>
      <w:r w:rsidRPr="0078346F">
        <w:t xml:space="preserve"> Some disincentives to work that were explored in the Make Work Pay report were n</w:t>
      </w:r>
      <w:r w:rsidR="00F04638">
        <w:t>ever</w:t>
      </w:r>
      <w:r w:rsidRPr="0078346F">
        <w:t xml:space="preserve"> resolved. </w:t>
      </w:r>
      <w:r>
        <w:t>For example, i</w:t>
      </w:r>
      <w:r w:rsidRPr="0078346F">
        <w:t>ssues regarding the</w:t>
      </w:r>
      <w:r>
        <w:t xml:space="preserve"> provision and funding of</w:t>
      </w:r>
      <w:r w:rsidRPr="0078346F">
        <w:t xml:space="preserve"> personal assistants in work</w:t>
      </w:r>
      <w:r>
        <w:t xml:space="preserve"> remains outstanding. There also remains a </w:t>
      </w:r>
      <w:r w:rsidRPr="0078346F">
        <w:t xml:space="preserve">disparity </w:t>
      </w:r>
      <w:r>
        <w:t>in</w:t>
      </w:r>
      <w:r w:rsidRPr="0078346F">
        <w:t xml:space="preserve"> earnings potential</w:t>
      </w:r>
      <w:r>
        <w:t xml:space="preserve"> between people with and without disabilities,</w:t>
      </w:r>
      <w:r w:rsidRPr="0078346F">
        <w:t xml:space="preserve"> and </w:t>
      </w:r>
      <w:r>
        <w:t xml:space="preserve">the </w:t>
      </w:r>
      <w:r w:rsidRPr="0078346F">
        <w:t>additional costs of disability</w:t>
      </w:r>
      <w:r>
        <w:t xml:space="preserve"> can mean that some disabled people would not be better off at work</w:t>
      </w:r>
      <w:r w:rsidRPr="0078346F">
        <w:t xml:space="preserve">. Unfortunately, the requirement to provide an annual review of the implementation of Make Work Pay recommendations did not occur.  </w:t>
      </w:r>
    </w:p>
    <w:p w14:paraId="22373789" w14:textId="574F2CCB" w:rsidR="00BA0A61" w:rsidRPr="0078346F" w:rsidRDefault="00E92DC8" w:rsidP="00BA0A61">
      <w:pPr>
        <w:pStyle w:val="H3Heading3NDA"/>
      </w:pPr>
      <w:bookmarkStart w:id="36" w:name="_Toc182219479"/>
      <w:bookmarkStart w:id="37" w:name="_Toc182220182"/>
      <w:bookmarkStart w:id="38" w:name="_Toc182555528"/>
      <w:r>
        <w:t>Limited</w:t>
      </w:r>
      <w:r w:rsidR="00BA0A61" w:rsidRPr="0078346F">
        <w:t xml:space="preserve"> provision of career guidance</w:t>
      </w:r>
      <w:bookmarkEnd w:id="36"/>
      <w:bookmarkEnd w:id="37"/>
      <w:bookmarkEnd w:id="38"/>
    </w:p>
    <w:p w14:paraId="3B5A5976" w14:textId="1D424196" w:rsidR="00BA0A61" w:rsidRPr="0078346F" w:rsidRDefault="00BA0A61" w:rsidP="00BA0A61">
      <w:r w:rsidRPr="0078346F">
        <w:t>Career guidance can help young people transition successfully from school to their chosen post-school paths. There remain substantial gaps with respect to the delivery of career guidance tailored to the individual needs of learners with disabilities at school, with very limited improvements made in the lifetime of the CES. While the development of a Strategic Action Plan for the National Strategic Framework for Lifelong Guidance is to be welcomed,</w:t>
      </w:r>
      <w:r w:rsidR="00E92DC8" w:rsidRPr="00E92DC8">
        <w:t xml:space="preserve"> </w:t>
      </w:r>
      <w:r w:rsidR="00E92DC8">
        <w:t xml:space="preserve">and a </w:t>
      </w:r>
      <w:r w:rsidR="00E92DC8" w:rsidRPr="00E92DC8">
        <w:t>number of actions are</w:t>
      </w:r>
      <w:r w:rsidR="00E92DC8">
        <w:t xml:space="preserve"> being</w:t>
      </w:r>
      <w:r w:rsidR="00E92DC8" w:rsidRPr="00E92DC8">
        <w:t xml:space="preserve"> progressed under the Framework that </w:t>
      </w:r>
      <w:r w:rsidR="00E92DC8">
        <w:t xml:space="preserve">should </w:t>
      </w:r>
      <w:r w:rsidR="00E92DC8" w:rsidRPr="00E92DC8">
        <w:t>ensure high quality and consistenc</w:t>
      </w:r>
      <w:r w:rsidR="00E92DC8">
        <w:t>y</w:t>
      </w:r>
      <w:r w:rsidR="00E92DC8" w:rsidRPr="00E92DC8">
        <w:t xml:space="preserve"> of guidance supports to meet the individual needs of learners with disabilities in schools</w:t>
      </w:r>
      <w:r w:rsidR="00E92DC8">
        <w:t xml:space="preserve">, </w:t>
      </w:r>
      <w:r w:rsidRPr="0078346F">
        <w:t>this will take several years to have an impact</w:t>
      </w:r>
      <w:r w:rsidR="00E92DC8">
        <w:t>.</w:t>
      </w:r>
    </w:p>
    <w:p w14:paraId="1426E3C7" w14:textId="77777777" w:rsidR="00BA0A61" w:rsidRPr="0078346F" w:rsidRDefault="00BA0A61" w:rsidP="00BA0A61">
      <w:pPr>
        <w:pStyle w:val="H3Heading3NDA"/>
      </w:pPr>
      <w:bookmarkStart w:id="39" w:name="_Toc182219480"/>
      <w:bookmarkStart w:id="40" w:name="_Toc182220183"/>
      <w:bookmarkStart w:id="41" w:name="_Toc182555529"/>
      <w:r>
        <w:t>Gaps in supported employment</w:t>
      </w:r>
      <w:bookmarkEnd w:id="39"/>
      <w:bookmarkEnd w:id="40"/>
      <w:bookmarkEnd w:id="41"/>
    </w:p>
    <w:p w14:paraId="32FD0FF4" w14:textId="7069EA14" w:rsidR="00BA0A61" w:rsidRPr="005662FE" w:rsidRDefault="00640F70" w:rsidP="00BA0A61">
      <w:pPr>
        <w:rPr>
          <w:rFonts w:eastAsia="Calibri"/>
        </w:rPr>
      </w:pPr>
      <w:r>
        <w:rPr>
          <w:rFonts w:eastAsia="Calibri"/>
        </w:rPr>
        <w:t xml:space="preserve">Despite agreement on a </w:t>
      </w:r>
      <w:r w:rsidRPr="005662FE">
        <w:rPr>
          <w:rFonts w:eastAsia="Calibri"/>
        </w:rPr>
        <w:t>cross-departmental policy in relation to a coordinated programme of supported employment (Action 5.1)</w:t>
      </w:r>
      <w:r w:rsidR="00BB628D">
        <w:rPr>
          <w:rFonts w:eastAsia="Calibri"/>
        </w:rPr>
        <w:t>,</w:t>
      </w:r>
      <w:r w:rsidRPr="005662FE">
        <w:rPr>
          <w:rFonts w:eastAsia="Calibri"/>
        </w:rPr>
        <w:t xml:space="preserve"> </w:t>
      </w:r>
      <w:r>
        <w:rPr>
          <w:rFonts w:eastAsia="Calibri"/>
        </w:rPr>
        <w:t xml:space="preserve">this </w:t>
      </w:r>
      <w:r w:rsidR="00BA0A61" w:rsidRPr="005662FE">
        <w:rPr>
          <w:rFonts w:eastAsia="Calibri"/>
        </w:rPr>
        <w:t xml:space="preserve">was not progressed. The need for such support was highlighted as part of the consultations on the new National Disability Strategy, and so the NDA would </w:t>
      </w:r>
      <w:r w:rsidR="00BB628D">
        <w:rPr>
          <w:rFonts w:eastAsia="Calibri"/>
        </w:rPr>
        <w:t xml:space="preserve">strongly </w:t>
      </w:r>
      <w:r w:rsidR="00BA0A61" w:rsidRPr="005662FE">
        <w:rPr>
          <w:rFonts w:eastAsia="Calibri"/>
        </w:rPr>
        <w:t>encourage that an appropriate objective and actions in relation to this are included</w:t>
      </w:r>
      <w:r w:rsidR="00BB628D">
        <w:rPr>
          <w:rFonts w:eastAsia="Calibri"/>
        </w:rPr>
        <w:t xml:space="preserve"> in that strategy</w:t>
      </w:r>
      <w:r w:rsidR="00BA0A61" w:rsidRPr="005662FE">
        <w:rPr>
          <w:rFonts w:eastAsia="Calibri"/>
        </w:rPr>
        <w:t xml:space="preserve">. </w:t>
      </w:r>
    </w:p>
    <w:p w14:paraId="3159C222" w14:textId="77777777" w:rsidR="00BA0A61" w:rsidRPr="005662FE" w:rsidRDefault="00BA0A61" w:rsidP="00BA0A61">
      <w:pPr>
        <w:rPr>
          <w:b/>
        </w:rPr>
      </w:pPr>
      <w:r w:rsidRPr="005662FE">
        <w:t>Progress has been very limited under the CES in the area of job retention and re-entry for individuals who acquire a disability while in employment. Gaps remain in relation to the provision of systematic vocational rehabilitation supports in Ireland. Evidence suggests that the longer someone with a disability is out of work, the less likely they are to return. There remains a clear need to improve return-to-work pathways and to ensure that employers have the resources and knowledge necessary to support employees with newly acquired disabilities to retain their jobs.</w:t>
      </w:r>
    </w:p>
    <w:p w14:paraId="5B79588F" w14:textId="77777777" w:rsidR="00BA0A61" w:rsidRPr="0078346F" w:rsidRDefault="00BA0A61" w:rsidP="00BA0A61">
      <w:pPr>
        <w:pStyle w:val="H3Heading3NDA"/>
      </w:pPr>
      <w:bookmarkStart w:id="42" w:name="_Toc182219481"/>
      <w:bookmarkStart w:id="43" w:name="_Toc182220184"/>
      <w:bookmarkStart w:id="44" w:name="_Toc182555530"/>
      <w:r w:rsidRPr="0078346F">
        <w:t>Issues with strategy coordination</w:t>
      </w:r>
      <w:bookmarkEnd w:id="42"/>
      <w:bookmarkEnd w:id="43"/>
      <w:bookmarkEnd w:id="44"/>
    </w:p>
    <w:p w14:paraId="5947475B" w14:textId="71037DE8" w:rsidR="00BA0A61" w:rsidRPr="0078346F" w:rsidRDefault="00BA0A61" w:rsidP="00BA0A61">
      <w:r w:rsidRPr="0078346F">
        <w:t>For any cross-government strategy, strong coordination and effective communication are key drivers of effective implementation. Communication across the lifetime of the strategy was identified as a clear weakness by CES stakeholders. This was particularly acute during the final years of the strategy</w:t>
      </w:r>
      <w:r w:rsidR="00945EDB">
        <w:t>,</w:t>
      </w:r>
      <w:r w:rsidRPr="0078346F">
        <w:t xml:space="preserve"> when there was</w:t>
      </w:r>
      <w:r>
        <w:t xml:space="preserve"> </w:t>
      </w:r>
      <w:r w:rsidRPr="0078346F">
        <w:t>no communication relating to the resignation of the Chairperson or why there were no further meetings of the Implementation Group after Spring 2022. Other challenges such as the COVID-19 pandemic, overlap with other national strategies (e.g., the National Disability Inclusion Strategy), the handover of responsibility for the CES from one department to a new department, and a high level of turnover of personnel involved in the strategy’s coordination and implementation were highlighted as barriers. These ultimately led to a loss of momentum and a de facto disbanding of monitoring and oversight structures for the strategy</w:t>
      </w:r>
      <w:r w:rsidR="00945EDB">
        <w:t xml:space="preserve"> in its latter stages</w:t>
      </w:r>
      <w:r w:rsidRPr="0078346F">
        <w:t>.</w:t>
      </w:r>
    </w:p>
    <w:p w14:paraId="1E894CFF" w14:textId="2BC8C46A" w:rsidR="00BA0A61" w:rsidRDefault="00BA0A61" w:rsidP="00BA0A61">
      <w:r w:rsidRPr="0078346F">
        <w:t xml:space="preserve">While the first two phases of the CES were accompanied by comprehensive action plans, the action plan for the final phase (2022-2024) was never agreed, resulting in limited oversight and momentum in the strategy’s concluding years. Part of the reason for not reaching agreement was the siloed approach taken by Departments and the lack of clarity around where responsibility </w:t>
      </w:r>
      <w:r w:rsidR="00704BDA" w:rsidRPr="0078346F">
        <w:t xml:space="preserve">lay </w:t>
      </w:r>
      <w:r w:rsidRPr="0078346F">
        <w:t xml:space="preserve">for supporting people into employment, particularly where they had high support needs. This gap in implementation and monitoring impeded the realisation of the full potential of the CES. </w:t>
      </w:r>
      <w:r>
        <w:t xml:space="preserve">Some structures such as annual reporting to Cabinet sub-committees did not take place. </w:t>
      </w:r>
      <w:r w:rsidRPr="0078346F">
        <w:t>A key learning may be that actions that require involvement of multiple departments and their agencies require</w:t>
      </w:r>
      <w:r>
        <w:t xml:space="preserve"> overt</w:t>
      </w:r>
      <w:r w:rsidRPr="0078346F">
        <w:t xml:space="preserve"> support to ensure that a coordinated approach is maintained. </w:t>
      </w:r>
    </w:p>
    <w:p w14:paraId="145B8B6F" w14:textId="77777777" w:rsidR="00BA0A61" w:rsidRPr="005662FE" w:rsidRDefault="00BA0A61" w:rsidP="00BA0A61">
      <w:pPr>
        <w:pStyle w:val="H3Heading3NDA"/>
      </w:pPr>
      <w:bookmarkStart w:id="45" w:name="_Toc182219482"/>
      <w:bookmarkStart w:id="46" w:name="_Toc182220185"/>
      <w:bookmarkStart w:id="47" w:name="_Toc182555531"/>
      <w:r>
        <w:t>Challenges in developing i</w:t>
      </w:r>
      <w:r w:rsidRPr="005662FE">
        <w:t>ndicators</w:t>
      </w:r>
      <w:bookmarkEnd w:id="45"/>
      <w:bookmarkEnd w:id="46"/>
      <w:bookmarkEnd w:id="47"/>
    </w:p>
    <w:p w14:paraId="1700EF07" w14:textId="50DCF702" w:rsidR="00BA0A61" w:rsidRPr="0078346F" w:rsidRDefault="00BA0A61" w:rsidP="00BA0A61">
      <w:r w:rsidRPr="0078346F">
        <w:t xml:space="preserve">The indicators developed for this strategy were developed after the strategy was written. </w:t>
      </w:r>
      <w:r w:rsidR="00982A67" w:rsidRPr="0078346F">
        <w:t xml:space="preserve">As a result, the majority of the indicators were process indicators rather than the more </w:t>
      </w:r>
      <w:r w:rsidR="00704BDA">
        <w:t>meaningful</w:t>
      </w:r>
      <w:r w:rsidR="00704BDA" w:rsidRPr="0078346F">
        <w:t xml:space="preserve"> </w:t>
      </w:r>
      <w:r w:rsidR="00982A67" w:rsidRPr="0078346F">
        <w:t>outcome indicators</w:t>
      </w:r>
      <w:r w:rsidR="00982A67">
        <w:t xml:space="preserve">. </w:t>
      </w:r>
      <w:r w:rsidRPr="0078346F">
        <w:t>Apart from the setting of a target in relation to the overall employment rate for people with disabilities</w:t>
      </w:r>
      <w:r>
        <w:t>,</w:t>
      </w:r>
      <w:r w:rsidRPr="0078346F">
        <w:t xml:space="preserve"> there were no other targets</w:t>
      </w:r>
      <w:r>
        <w:t xml:space="preserve"> contained in</w:t>
      </w:r>
      <w:r w:rsidRPr="0078346F">
        <w:t xml:space="preserve"> the strategy. </w:t>
      </w:r>
      <w:r>
        <w:t>T</w:t>
      </w:r>
      <w:r w:rsidRPr="0078346F">
        <w:t>he absence of targets</w:t>
      </w:r>
      <w:r>
        <w:t xml:space="preserve"> makes</w:t>
      </w:r>
      <w:r w:rsidRPr="0078346F">
        <w:t xml:space="preserve"> some of the indicators </w:t>
      </w:r>
      <w:r>
        <w:t>difficult to interpret</w:t>
      </w:r>
      <w:r w:rsidRPr="0078346F">
        <w:t xml:space="preserve">. The change in how </w:t>
      </w:r>
      <w:r>
        <w:t xml:space="preserve">disability </w:t>
      </w:r>
      <w:r w:rsidRPr="0078346F">
        <w:t>data were collected in Census 2022</w:t>
      </w:r>
      <w:r>
        <w:t>,</w:t>
      </w:r>
      <w:r w:rsidRPr="0078346F">
        <w:t xml:space="preserve"> which prevents </w:t>
      </w:r>
      <w:r>
        <w:t xml:space="preserve">meaningful </w:t>
      </w:r>
      <w:r w:rsidRPr="0078346F">
        <w:t>compar</w:t>
      </w:r>
      <w:r>
        <w:t xml:space="preserve">ison </w:t>
      </w:r>
      <w:r w:rsidRPr="0078346F">
        <w:t>with previous census</w:t>
      </w:r>
      <w:r>
        <w:t>es,</w:t>
      </w:r>
      <w:r w:rsidRPr="0078346F">
        <w:t xml:space="preserve"> was also a challenge. A key learning is to develop indicators and </w:t>
      </w:r>
      <w:r>
        <w:t xml:space="preserve">to </w:t>
      </w:r>
      <w:r w:rsidRPr="0078346F">
        <w:t>set targets as a strategy is being developed. In anticipation of an employment pillar being part of the new National Disability Strategy</w:t>
      </w:r>
      <w:r>
        <w:t>,</w:t>
      </w:r>
      <w:r w:rsidRPr="0078346F">
        <w:t xml:space="preserve"> an employments target </w:t>
      </w:r>
      <w:r>
        <w:t xml:space="preserve">discussion </w:t>
      </w:r>
      <w:r w:rsidRPr="0078346F">
        <w:t xml:space="preserve">paper was developed by the NDA. </w:t>
      </w:r>
      <w:r>
        <w:t xml:space="preserve">This paper recommended setting targets both for a reduction in the disability employment gap and for an increase in employment rates of disabled people, rather than a sole focus on increasing the proportion of disabled people employed. This approach is deemed to be preferable in terms of assessing equity in employment and also for accounting </w:t>
      </w:r>
      <w:r w:rsidR="00982A67">
        <w:t>for</w:t>
      </w:r>
      <w:r>
        <w:t xml:space="preserve"> fluctuations in the </w:t>
      </w:r>
      <w:r w:rsidR="00E6110F">
        <w:t xml:space="preserve">national </w:t>
      </w:r>
      <w:r>
        <w:t xml:space="preserve">employment landscape over time. </w:t>
      </w:r>
    </w:p>
    <w:p w14:paraId="19DEA0E2" w14:textId="77777777" w:rsidR="00BA0A61" w:rsidRPr="0078346F" w:rsidRDefault="00BA0A61" w:rsidP="00BA0A61">
      <w:pPr>
        <w:pStyle w:val="H2Heading2NDA"/>
      </w:pPr>
      <w:bookmarkStart w:id="48" w:name="_Toc182555532"/>
      <w:bookmarkStart w:id="49" w:name="_Toc182555698"/>
      <w:r w:rsidRPr="0078346F">
        <w:t>Conclusion</w:t>
      </w:r>
      <w:bookmarkEnd w:id="48"/>
      <w:bookmarkEnd w:id="49"/>
    </w:p>
    <w:p w14:paraId="0CCEC091" w14:textId="0CF0C1B5" w:rsidR="00BA0A61" w:rsidRDefault="00BA0A61" w:rsidP="00BA0A61">
      <w:r w:rsidRPr="0078346F">
        <w:t>The CES laid some important groundwork in creating an inclusive employment landscape for disabled people in Ireland. However, significant challenges remain, as evidenced by the persistent disability employment gap and the continuing fragmentation</w:t>
      </w:r>
      <w:r>
        <w:t xml:space="preserve"> in</w:t>
      </w:r>
      <w:r w:rsidRPr="0078346F">
        <w:t xml:space="preserve"> and inflexibility </w:t>
      </w:r>
      <w:r>
        <w:t>of</w:t>
      </w:r>
      <w:r w:rsidRPr="0078346F">
        <w:t xml:space="preserve"> support services frequently described by disabled people when consulted. </w:t>
      </w:r>
      <w:r w:rsidR="00695FBC">
        <w:t xml:space="preserve">A </w:t>
      </w:r>
      <w:r w:rsidR="00087D1C">
        <w:t>10-year</w:t>
      </w:r>
      <w:r w:rsidR="00695FBC">
        <w:t xml:space="preserve"> strategic plan</w:t>
      </w:r>
      <w:r w:rsidR="00087D1C">
        <w:t xml:space="preserve"> which was envisaged to see benefits of early implementation may, in hindsight, have been too long to sustain momentum, and shorter strategies may be more effective. A key lesson from the CES is that with competing </w:t>
      </w:r>
      <w:r w:rsidR="00640F70">
        <w:t>national strategies</w:t>
      </w:r>
      <w:r w:rsidR="00087D1C">
        <w:t xml:space="preserve"> it is important to make sure that each is given adequate attention and resourcing to ensure it is fully implemented as intended. </w:t>
      </w:r>
      <w:r w:rsidRPr="0078346F">
        <w:t xml:space="preserve">The new National Disability Strategy, currently under development and which will contain an </w:t>
      </w:r>
      <w:r>
        <w:t>e</w:t>
      </w:r>
      <w:r w:rsidRPr="0078346F">
        <w:t xml:space="preserve">mployment </w:t>
      </w:r>
      <w:r>
        <w:t>p</w:t>
      </w:r>
      <w:r w:rsidRPr="0078346F">
        <w:t>illar</w:t>
      </w:r>
      <w:r>
        <w:t>,</w:t>
      </w:r>
      <w:r w:rsidRPr="0078346F">
        <w:t xml:space="preserve"> must build on work under the CES to ensure cohesive and adaptable support mechanisms, to engage employers proactively, and to address the diverse needs of disabled individuals to achieve more equitable employment outcomes. </w:t>
      </w:r>
    </w:p>
    <w:p w14:paraId="38991131" w14:textId="688FCBB9" w:rsidR="00BA0A61" w:rsidRDefault="00BA0A61" w:rsidP="00BA0A61">
      <w:pPr>
        <w:sectPr w:rsidR="00BA0A61" w:rsidSect="007D2DFC">
          <w:pgSz w:w="12240" w:h="15840"/>
          <w:pgMar w:top="1440" w:right="1797" w:bottom="1440" w:left="1797" w:header="709" w:footer="709" w:gutter="0"/>
          <w:cols w:space="708"/>
          <w:docGrid w:linePitch="360"/>
        </w:sectPr>
      </w:pPr>
      <w:r w:rsidRPr="0078346F">
        <w:t>By embedding learnings from the CES into the forthcoming National Disability Strategy, Ireland can continue to progress towards a more inclusive workforce and society. The NDA recommends that developing a comprehensive supported employment system that meets the needs of people with higher support needs and people who acquire a disability during their working lives should be a priority for the new strategy. A</w:t>
      </w:r>
      <w:r>
        <w:t>nother</w:t>
      </w:r>
      <w:r w:rsidRPr="0078346F">
        <w:t xml:space="preserve"> key learning </w:t>
      </w:r>
      <w:r>
        <w:t>is that</w:t>
      </w:r>
      <w:r w:rsidRPr="0078346F">
        <w:t xml:space="preserve"> that for a whole</w:t>
      </w:r>
      <w:r>
        <w:t>-</w:t>
      </w:r>
      <w:r w:rsidRPr="0078346F">
        <w:t>of</w:t>
      </w:r>
      <w:r>
        <w:t>-</w:t>
      </w:r>
      <w:r w:rsidRPr="0078346F">
        <w:t xml:space="preserve">government approach to </w:t>
      </w:r>
      <w:r w:rsidR="00D1057A">
        <w:t xml:space="preserve">reducing </w:t>
      </w:r>
      <w:r w:rsidRPr="0078346F">
        <w:t xml:space="preserve">the disability employment gap to </w:t>
      </w:r>
      <w:r>
        <w:t>succeed</w:t>
      </w:r>
      <w:r w:rsidRPr="0078346F">
        <w:t>,</w:t>
      </w:r>
      <w:r>
        <w:t xml:space="preserve"> </w:t>
      </w:r>
      <w:r w:rsidRPr="0078346F">
        <w:t>coordinated working with a structur</w:t>
      </w:r>
      <w:r>
        <w:t>ed</w:t>
      </w:r>
      <w:r w:rsidRPr="0078346F">
        <w:t xml:space="preserve"> monitoring and implementation process</w:t>
      </w:r>
      <w:r>
        <w:t xml:space="preserve"> is crucial</w:t>
      </w:r>
      <w:r w:rsidRPr="0078346F">
        <w:t xml:space="preserve">. This requires support, </w:t>
      </w:r>
      <w:r>
        <w:t>resources,</w:t>
      </w:r>
      <w:r w:rsidRPr="0078346F">
        <w:t xml:space="preserve"> and active engagement from all </w:t>
      </w:r>
      <w:r>
        <w:t xml:space="preserve">relevant </w:t>
      </w:r>
      <w:r w:rsidRPr="0078346F">
        <w:t>government departments and their agencies. Distinguishing between what is delivered through mainstream provision and what is supported by targeted individualised provision lies at the heart of addressing the disability employment gap in Ireland.</w:t>
      </w:r>
    </w:p>
    <w:p w14:paraId="02F05021" w14:textId="1AC1E8D9" w:rsidR="009C3BD7" w:rsidRDefault="00180D03" w:rsidP="00570D8D">
      <w:pPr>
        <w:pStyle w:val="Heading1"/>
      </w:pPr>
      <w:bookmarkStart w:id="50" w:name="_Toc182555533"/>
      <w:bookmarkStart w:id="51" w:name="_Toc182555699"/>
      <w:r>
        <w:t>Introduction</w:t>
      </w:r>
      <w:bookmarkEnd w:id="50"/>
      <w:bookmarkEnd w:id="51"/>
    </w:p>
    <w:p w14:paraId="70B7BFBA" w14:textId="38FEDB1E" w:rsidR="005770D6" w:rsidRDefault="00FD4F24" w:rsidP="00FD4F24">
      <w:pPr>
        <w:rPr>
          <w:rFonts w:ascii="Gill Sans MT" w:hAnsi="Gill Sans MT"/>
          <w:szCs w:val="26"/>
        </w:rPr>
      </w:pPr>
      <w:r w:rsidRPr="00FD4F24">
        <w:rPr>
          <w:rFonts w:ascii="Gill Sans MT" w:hAnsi="Gill Sans MT"/>
          <w:szCs w:val="26"/>
        </w:rPr>
        <w:t xml:space="preserve">The Comprehensive Employment Strategy for Persons with Disabilities 2015-2024 (CES) </w:t>
      </w:r>
      <w:r>
        <w:rPr>
          <w:rFonts w:ascii="Gill Sans MT" w:hAnsi="Gill Sans MT"/>
          <w:szCs w:val="26"/>
        </w:rPr>
        <w:t>has been the government’s approach to</w:t>
      </w:r>
      <w:r w:rsidRPr="00FD4F24">
        <w:rPr>
          <w:rFonts w:ascii="Gill Sans MT" w:hAnsi="Gill Sans MT"/>
          <w:szCs w:val="26"/>
        </w:rPr>
        <w:t xml:space="preserve"> </w:t>
      </w:r>
      <w:r>
        <w:rPr>
          <w:rFonts w:ascii="Gill Sans MT" w:hAnsi="Gill Sans MT"/>
          <w:szCs w:val="26"/>
        </w:rPr>
        <w:t>supporting persons with disabilities to</w:t>
      </w:r>
      <w:r w:rsidRPr="00FD4F24">
        <w:rPr>
          <w:rFonts w:ascii="Gill Sans MT" w:hAnsi="Gill Sans MT"/>
          <w:szCs w:val="26"/>
        </w:rPr>
        <w:t xml:space="preserve"> </w:t>
      </w:r>
      <w:r w:rsidR="00A721A5">
        <w:rPr>
          <w:rFonts w:ascii="Gill Sans MT" w:hAnsi="Gill Sans MT"/>
          <w:szCs w:val="26"/>
        </w:rPr>
        <w:t>obtain</w:t>
      </w:r>
      <w:r>
        <w:rPr>
          <w:rFonts w:ascii="Gill Sans MT" w:hAnsi="Gill Sans MT"/>
          <w:szCs w:val="26"/>
        </w:rPr>
        <w:t xml:space="preserve"> and retain employment</w:t>
      </w:r>
      <w:r w:rsidR="00F405B9">
        <w:rPr>
          <w:rFonts w:ascii="Gill Sans MT" w:hAnsi="Gill Sans MT"/>
          <w:szCs w:val="26"/>
        </w:rPr>
        <w:t xml:space="preserve"> over the </w:t>
      </w:r>
      <w:r w:rsidR="006A6E5C">
        <w:rPr>
          <w:rFonts w:ascii="Gill Sans MT" w:hAnsi="Gill Sans MT"/>
          <w:szCs w:val="26"/>
        </w:rPr>
        <w:t>p</w:t>
      </w:r>
      <w:r w:rsidR="00F405B9">
        <w:rPr>
          <w:rFonts w:ascii="Gill Sans MT" w:hAnsi="Gill Sans MT"/>
          <w:szCs w:val="26"/>
        </w:rPr>
        <w:t>ast decade</w:t>
      </w:r>
      <w:r w:rsidR="00303779">
        <w:rPr>
          <w:rFonts w:ascii="Gill Sans MT" w:hAnsi="Gill Sans MT"/>
          <w:szCs w:val="26"/>
        </w:rPr>
        <w:t>.</w:t>
      </w:r>
      <w:r w:rsidR="00D2399D">
        <w:rPr>
          <w:rFonts w:ascii="Gill Sans MT" w:hAnsi="Gill Sans MT"/>
          <w:szCs w:val="26"/>
        </w:rPr>
        <w:t xml:space="preserve"> </w:t>
      </w:r>
      <w:r w:rsidR="00D2399D">
        <w:rPr>
          <w:rFonts w:ascii="Gill Sans MT" w:hAnsi="Gill Sans MT"/>
          <w:szCs w:val="26"/>
        </w:rPr>
        <w:fldChar w:fldCharType="begin"/>
      </w:r>
      <w:r w:rsidR="00D2399D">
        <w:rPr>
          <w:rFonts w:ascii="Gill Sans MT" w:hAnsi="Gill Sans MT"/>
          <w:szCs w:val="26"/>
        </w:rPr>
        <w:instrText xml:space="preserve"> ADDIN ZOTERO_ITEM CSL_CITATION {"citationID":"C3dMNWVW","properties":{"formattedCitation":"(1)","plainCitation":"(1)","noteIndex":0},"citationItems":[{"id":155,"uris":["http://zotero.org/users/local/kvLunvBP/items/67YBNVMH"],"itemData":{"id":155,"type":"report","abstract":"Explaining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D2399D">
        <w:rPr>
          <w:rFonts w:ascii="Gill Sans MT" w:hAnsi="Gill Sans MT"/>
          <w:szCs w:val="26"/>
        </w:rPr>
        <w:fldChar w:fldCharType="separate"/>
      </w:r>
      <w:r w:rsidR="00D2399D" w:rsidRPr="00D2399D">
        <w:rPr>
          <w:rFonts w:ascii="Gill Sans MT" w:hAnsi="Gill Sans MT"/>
        </w:rPr>
        <w:t>(1)</w:t>
      </w:r>
      <w:r w:rsidR="00D2399D">
        <w:rPr>
          <w:rFonts w:ascii="Gill Sans MT" w:hAnsi="Gill Sans MT"/>
          <w:szCs w:val="26"/>
        </w:rPr>
        <w:fldChar w:fldCharType="end"/>
      </w:r>
      <w:r w:rsidR="00303779">
        <w:rPr>
          <w:rFonts w:ascii="Gill Sans MT" w:hAnsi="Gill Sans MT"/>
          <w:szCs w:val="26"/>
        </w:rPr>
        <w:t xml:space="preserve"> </w:t>
      </w:r>
      <w:r w:rsidR="00646303">
        <w:rPr>
          <w:rFonts w:ascii="Gill Sans MT" w:hAnsi="Gill Sans MT"/>
          <w:szCs w:val="26"/>
        </w:rPr>
        <w:t>Developed as a whole-of-government strategy, th</w:t>
      </w:r>
      <w:r w:rsidR="005770D6">
        <w:rPr>
          <w:rFonts w:ascii="Gill Sans MT" w:hAnsi="Gill Sans MT"/>
          <w:szCs w:val="26"/>
        </w:rPr>
        <w:t xml:space="preserve">e CES </w:t>
      </w:r>
      <w:r w:rsidR="00477AC5">
        <w:rPr>
          <w:rFonts w:ascii="Gill Sans MT" w:hAnsi="Gill Sans MT"/>
          <w:szCs w:val="26"/>
        </w:rPr>
        <w:t>had</w:t>
      </w:r>
      <w:r w:rsidR="005770D6">
        <w:rPr>
          <w:rFonts w:ascii="Gill Sans MT" w:hAnsi="Gill Sans MT"/>
          <w:szCs w:val="26"/>
        </w:rPr>
        <w:t xml:space="preserve"> six </w:t>
      </w:r>
      <w:r w:rsidR="00110C24">
        <w:rPr>
          <w:rFonts w:ascii="Gill Sans MT" w:hAnsi="Gill Sans MT"/>
          <w:szCs w:val="26"/>
        </w:rPr>
        <w:t xml:space="preserve">key </w:t>
      </w:r>
      <w:r w:rsidR="005770D6">
        <w:rPr>
          <w:rFonts w:ascii="Gill Sans MT" w:hAnsi="Gill Sans MT"/>
          <w:szCs w:val="26"/>
        </w:rPr>
        <w:t>priorities:</w:t>
      </w:r>
    </w:p>
    <w:p w14:paraId="00F957CC" w14:textId="204B1F89" w:rsidR="005770D6" w:rsidRDefault="005770D6" w:rsidP="00FD0C3F">
      <w:pPr>
        <w:pStyle w:val="ListParagraph"/>
        <w:numPr>
          <w:ilvl w:val="0"/>
          <w:numId w:val="10"/>
        </w:numPr>
        <w:rPr>
          <w:rFonts w:ascii="Gill Sans MT" w:hAnsi="Gill Sans MT"/>
          <w:szCs w:val="26"/>
        </w:rPr>
      </w:pPr>
      <w:r w:rsidRPr="005770D6">
        <w:rPr>
          <w:rFonts w:ascii="Gill Sans MT" w:hAnsi="Gill Sans MT"/>
          <w:szCs w:val="26"/>
        </w:rPr>
        <w:t>Build skills, capacity</w:t>
      </w:r>
      <w:r w:rsidR="0001753B">
        <w:rPr>
          <w:rFonts w:ascii="Gill Sans MT" w:hAnsi="Gill Sans MT"/>
          <w:szCs w:val="26"/>
        </w:rPr>
        <w:t>,</w:t>
      </w:r>
      <w:r w:rsidRPr="005770D6">
        <w:rPr>
          <w:rFonts w:ascii="Gill Sans MT" w:hAnsi="Gill Sans MT"/>
          <w:szCs w:val="26"/>
        </w:rPr>
        <w:t xml:space="preserve"> and independence</w:t>
      </w:r>
      <w:r w:rsidR="00A721A5">
        <w:rPr>
          <w:rFonts w:ascii="Gill Sans MT" w:hAnsi="Gill Sans MT"/>
          <w:szCs w:val="26"/>
        </w:rPr>
        <w:t>,</w:t>
      </w:r>
    </w:p>
    <w:p w14:paraId="420DB6E1" w14:textId="78A4E3C8" w:rsidR="005770D6" w:rsidRDefault="005770D6" w:rsidP="00FD0C3F">
      <w:pPr>
        <w:pStyle w:val="ListParagraph"/>
        <w:numPr>
          <w:ilvl w:val="0"/>
          <w:numId w:val="10"/>
        </w:numPr>
        <w:rPr>
          <w:rFonts w:ascii="Gill Sans MT" w:hAnsi="Gill Sans MT"/>
          <w:szCs w:val="26"/>
        </w:rPr>
      </w:pPr>
      <w:r w:rsidRPr="005770D6">
        <w:rPr>
          <w:rFonts w:ascii="Gill Sans MT" w:hAnsi="Gill Sans MT"/>
          <w:szCs w:val="26"/>
        </w:rPr>
        <w:t>Provide bridges and support into work</w:t>
      </w:r>
      <w:r w:rsidR="00A721A5">
        <w:rPr>
          <w:rFonts w:ascii="Gill Sans MT" w:hAnsi="Gill Sans MT"/>
          <w:szCs w:val="26"/>
        </w:rPr>
        <w:t>,</w:t>
      </w:r>
    </w:p>
    <w:p w14:paraId="78467E14" w14:textId="68C3619F" w:rsidR="005770D6" w:rsidRDefault="005770D6" w:rsidP="00FD0C3F">
      <w:pPr>
        <w:pStyle w:val="ListParagraph"/>
        <w:numPr>
          <w:ilvl w:val="0"/>
          <w:numId w:val="10"/>
        </w:numPr>
        <w:rPr>
          <w:rFonts w:ascii="Gill Sans MT" w:hAnsi="Gill Sans MT"/>
          <w:szCs w:val="26"/>
        </w:rPr>
      </w:pPr>
      <w:r w:rsidRPr="005770D6">
        <w:rPr>
          <w:rFonts w:ascii="Gill Sans MT" w:hAnsi="Gill Sans MT"/>
          <w:szCs w:val="26"/>
        </w:rPr>
        <w:t>Make work pay</w:t>
      </w:r>
      <w:r w:rsidR="00A721A5">
        <w:rPr>
          <w:rFonts w:ascii="Gill Sans MT" w:hAnsi="Gill Sans MT"/>
          <w:szCs w:val="26"/>
        </w:rPr>
        <w:t>,</w:t>
      </w:r>
    </w:p>
    <w:p w14:paraId="1EA3E847" w14:textId="0F592E44" w:rsidR="005770D6" w:rsidRDefault="005770D6" w:rsidP="00FD0C3F">
      <w:pPr>
        <w:pStyle w:val="ListParagraph"/>
        <w:numPr>
          <w:ilvl w:val="0"/>
          <w:numId w:val="10"/>
        </w:numPr>
        <w:rPr>
          <w:rFonts w:ascii="Gill Sans MT" w:hAnsi="Gill Sans MT"/>
          <w:szCs w:val="26"/>
        </w:rPr>
      </w:pPr>
      <w:r w:rsidRPr="005770D6">
        <w:rPr>
          <w:rFonts w:ascii="Gill Sans MT" w:hAnsi="Gill Sans MT"/>
          <w:szCs w:val="26"/>
        </w:rPr>
        <w:t>Promote job retention and re-entry to work</w:t>
      </w:r>
      <w:r w:rsidR="00A721A5">
        <w:rPr>
          <w:rFonts w:ascii="Gill Sans MT" w:hAnsi="Gill Sans MT"/>
          <w:szCs w:val="26"/>
        </w:rPr>
        <w:t>,</w:t>
      </w:r>
    </w:p>
    <w:p w14:paraId="14421425" w14:textId="63354702" w:rsidR="005770D6" w:rsidRDefault="005770D6" w:rsidP="00FD0C3F">
      <w:pPr>
        <w:pStyle w:val="ListParagraph"/>
        <w:numPr>
          <w:ilvl w:val="0"/>
          <w:numId w:val="10"/>
        </w:numPr>
        <w:rPr>
          <w:rFonts w:ascii="Gill Sans MT" w:hAnsi="Gill Sans MT"/>
          <w:szCs w:val="26"/>
        </w:rPr>
      </w:pPr>
      <w:r w:rsidRPr="005770D6">
        <w:rPr>
          <w:rFonts w:ascii="Gill Sans MT" w:hAnsi="Gill Sans MT"/>
          <w:szCs w:val="26"/>
        </w:rPr>
        <w:t>Provide coordinated and seamless support</w:t>
      </w:r>
      <w:r w:rsidR="00A721A5">
        <w:rPr>
          <w:rFonts w:ascii="Gill Sans MT" w:hAnsi="Gill Sans MT"/>
          <w:szCs w:val="26"/>
        </w:rPr>
        <w:t>, and</w:t>
      </w:r>
    </w:p>
    <w:p w14:paraId="2EBF6D38" w14:textId="51FE5AF8" w:rsidR="005770D6" w:rsidRPr="005770D6" w:rsidRDefault="005770D6" w:rsidP="00FD0C3F">
      <w:pPr>
        <w:pStyle w:val="ListParagraph"/>
        <w:numPr>
          <w:ilvl w:val="0"/>
          <w:numId w:val="10"/>
        </w:numPr>
        <w:rPr>
          <w:rFonts w:ascii="Gill Sans MT" w:hAnsi="Gill Sans MT"/>
          <w:szCs w:val="26"/>
        </w:rPr>
      </w:pPr>
      <w:r w:rsidRPr="005770D6">
        <w:rPr>
          <w:rFonts w:ascii="Gill Sans MT" w:hAnsi="Gill Sans MT"/>
          <w:szCs w:val="26"/>
        </w:rPr>
        <w:t>Engage employe</w:t>
      </w:r>
      <w:r>
        <w:rPr>
          <w:rFonts w:ascii="Gill Sans MT" w:hAnsi="Gill Sans MT"/>
          <w:szCs w:val="26"/>
        </w:rPr>
        <w:t>rs</w:t>
      </w:r>
      <w:r w:rsidR="004B64F1">
        <w:rPr>
          <w:rFonts w:ascii="Gill Sans MT" w:hAnsi="Gill Sans MT"/>
          <w:szCs w:val="26"/>
        </w:rPr>
        <w:t>.</w:t>
      </w:r>
    </w:p>
    <w:p w14:paraId="4B7E569F" w14:textId="50E48D2B" w:rsidR="00FD4F24" w:rsidRDefault="005770D6" w:rsidP="00FD4F24">
      <w:pPr>
        <w:rPr>
          <w:rFonts w:ascii="Gill Sans MT" w:hAnsi="Gill Sans MT"/>
          <w:szCs w:val="26"/>
        </w:rPr>
      </w:pPr>
      <w:bookmarkStart w:id="52" w:name="_Hlk182228394"/>
      <w:r>
        <w:rPr>
          <w:rFonts w:ascii="Gill Sans MT" w:hAnsi="Gill Sans MT"/>
          <w:szCs w:val="26"/>
        </w:rPr>
        <w:t xml:space="preserve">The </w:t>
      </w:r>
      <w:r w:rsidR="00646303">
        <w:rPr>
          <w:rFonts w:ascii="Gill Sans MT" w:hAnsi="Gill Sans MT"/>
          <w:szCs w:val="26"/>
        </w:rPr>
        <w:t xml:space="preserve">initial </w:t>
      </w:r>
      <w:r w:rsidR="00FD4F24" w:rsidRPr="00FD4F24">
        <w:rPr>
          <w:rFonts w:ascii="Gill Sans MT" w:hAnsi="Gill Sans MT"/>
          <w:szCs w:val="26"/>
        </w:rPr>
        <w:t>three</w:t>
      </w:r>
      <w:r w:rsidR="00FB5A9A">
        <w:rPr>
          <w:rFonts w:ascii="Gill Sans MT" w:hAnsi="Gill Sans MT"/>
          <w:szCs w:val="26"/>
        </w:rPr>
        <w:t>-</w:t>
      </w:r>
      <w:r w:rsidR="00FD4F24" w:rsidRPr="00FD4F24">
        <w:rPr>
          <w:rFonts w:ascii="Gill Sans MT" w:hAnsi="Gill Sans MT"/>
          <w:szCs w:val="26"/>
        </w:rPr>
        <w:t>year</w:t>
      </w:r>
      <w:r w:rsidR="00FB5A9A">
        <w:rPr>
          <w:rFonts w:ascii="Gill Sans MT" w:hAnsi="Gill Sans MT"/>
          <w:szCs w:val="26"/>
        </w:rPr>
        <w:t xml:space="preserve"> period</w:t>
      </w:r>
      <w:r w:rsidR="00FD4F24" w:rsidRPr="00FD4F24">
        <w:rPr>
          <w:rFonts w:ascii="Gill Sans MT" w:hAnsi="Gill Sans MT"/>
          <w:szCs w:val="26"/>
        </w:rPr>
        <w:t xml:space="preserve"> of </w:t>
      </w:r>
      <w:r w:rsidR="00FB5A9A">
        <w:rPr>
          <w:rFonts w:ascii="Gill Sans MT" w:hAnsi="Gill Sans MT"/>
          <w:szCs w:val="26"/>
        </w:rPr>
        <w:t xml:space="preserve">the </w:t>
      </w:r>
      <w:r w:rsidR="00F405B9">
        <w:rPr>
          <w:rFonts w:ascii="Gill Sans MT" w:hAnsi="Gill Sans MT"/>
          <w:szCs w:val="26"/>
        </w:rPr>
        <w:t>CES</w:t>
      </w:r>
      <w:r w:rsidR="00FD4F24" w:rsidRPr="00FD4F24">
        <w:rPr>
          <w:rFonts w:ascii="Gill Sans MT" w:hAnsi="Gill Sans MT"/>
          <w:szCs w:val="26"/>
        </w:rPr>
        <w:t xml:space="preserve"> was intended </w:t>
      </w:r>
      <w:r w:rsidR="00646303">
        <w:rPr>
          <w:rFonts w:ascii="Gill Sans MT" w:hAnsi="Gill Sans MT"/>
          <w:szCs w:val="26"/>
        </w:rPr>
        <w:t>to be a</w:t>
      </w:r>
      <w:r w:rsidR="00FD4F24" w:rsidRPr="00FD4F24">
        <w:rPr>
          <w:rFonts w:ascii="Gill Sans MT" w:hAnsi="Gill Sans MT"/>
          <w:szCs w:val="26"/>
        </w:rPr>
        <w:t xml:space="preserve"> foundation phase</w:t>
      </w:r>
      <w:r w:rsidR="00646303">
        <w:rPr>
          <w:rFonts w:ascii="Gill Sans MT" w:hAnsi="Gill Sans MT"/>
          <w:szCs w:val="26"/>
        </w:rPr>
        <w:t xml:space="preserve"> in which</w:t>
      </w:r>
      <w:r w:rsidR="00FD4F24" w:rsidRPr="00FD4F24">
        <w:rPr>
          <w:rFonts w:ascii="Gill Sans MT" w:hAnsi="Gill Sans MT"/>
          <w:szCs w:val="26"/>
        </w:rPr>
        <w:t xml:space="preserve"> structures and processes </w:t>
      </w:r>
      <w:r w:rsidR="00646303">
        <w:rPr>
          <w:rFonts w:ascii="Gill Sans MT" w:hAnsi="Gill Sans MT"/>
          <w:szCs w:val="26"/>
        </w:rPr>
        <w:t xml:space="preserve">could </w:t>
      </w:r>
      <w:r w:rsidR="00FD4F24" w:rsidRPr="00FD4F24">
        <w:rPr>
          <w:rFonts w:ascii="Gill Sans MT" w:hAnsi="Gill Sans MT"/>
          <w:szCs w:val="26"/>
        </w:rPr>
        <w:t xml:space="preserve">be put in place to </w:t>
      </w:r>
      <w:r w:rsidR="00646303">
        <w:rPr>
          <w:rFonts w:ascii="Gill Sans MT" w:hAnsi="Gill Sans MT"/>
          <w:szCs w:val="26"/>
        </w:rPr>
        <w:t>support</w:t>
      </w:r>
      <w:r w:rsidR="00FD4F24" w:rsidRPr="00FD4F24">
        <w:rPr>
          <w:rFonts w:ascii="Gill Sans MT" w:hAnsi="Gill Sans MT"/>
          <w:szCs w:val="26"/>
        </w:rPr>
        <w:t xml:space="preserve"> achievement of the strategy’s </w:t>
      </w:r>
      <w:r w:rsidR="00646303">
        <w:rPr>
          <w:rFonts w:ascii="Gill Sans MT" w:hAnsi="Gill Sans MT"/>
          <w:szCs w:val="26"/>
        </w:rPr>
        <w:t xml:space="preserve">objectives. </w:t>
      </w:r>
      <w:r w:rsidR="00FD4F24" w:rsidRPr="00FD4F24">
        <w:rPr>
          <w:rFonts w:ascii="Gill Sans MT" w:hAnsi="Gill Sans MT"/>
          <w:szCs w:val="26"/>
        </w:rPr>
        <w:t>The second three-year action plan (2019-2021) aim</w:t>
      </w:r>
      <w:r w:rsidR="00646303">
        <w:rPr>
          <w:rFonts w:ascii="Gill Sans MT" w:hAnsi="Gill Sans MT"/>
          <w:szCs w:val="26"/>
        </w:rPr>
        <w:t>ed</w:t>
      </w:r>
      <w:r w:rsidR="00FD4F24" w:rsidRPr="00FD4F24">
        <w:rPr>
          <w:rFonts w:ascii="Gill Sans MT" w:hAnsi="Gill Sans MT"/>
          <w:szCs w:val="26"/>
        </w:rPr>
        <w:t xml:space="preserve"> to build on these foundations and include</w:t>
      </w:r>
      <w:r w:rsidR="00646303">
        <w:rPr>
          <w:rFonts w:ascii="Gill Sans MT" w:hAnsi="Gill Sans MT"/>
          <w:szCs w:val="26"/>
        </w:rPr>
        <w:t>d both new and modified</w:t>
      </w:r>
      <w:r w:rsidR="00FD4F24" w:rsidRPr="00FD4F24">
        <w:rPr>
          <w:rFonts w:ascii="Gill Sans MT" w:hAnsi="Gill Sans MT"/>
          <w:szCs w:val="26"/>
        </w:rPr>
        <w:t xml:space="preserve"> </w:t>
      </w:r>
      <w:r w:rsidR="00646303">
        <w:rPr>
          <w:rFonts w:ascii="Gill Sans MT" w:hAnsi="Gill Sans MT"/>
          <w:szCs w:val="26"/>
        </w:rPr>
        <w:t>actions</w:t>
      </w:r>
      <w:r w:rsidR="00FD4F24" w:rsidRPr="00FD4F24">
        <w:rPr>
          <w:rFonts w:ascii="Gill Sans MT" w:hAnsi="Gill Sans MT"/>
          <w:szCs w:val="26"/>
        </w:rPr>
        <w:t xml:space="preserve"> to ensure the </w:t>
      </w:r>
      <w:r w:rsidR="00646303">
        <w:rPr>
          <w:rFonts w:ascii="Gill Sans MT" w:hAnsi="Gill Sans MT"/>
          <w:szCs w:val="26"/>
        </w:rPr>
        <w:t>vision of the strategy</w:t>
      </w:r>
      <w:r w:rsidR="00FD4F24" w:rsidRPr="00FD4F24">
        <w:rPr>
          <w:rFonts w:ascii="Gill Sans MT" w:hAnsi="Gill Sans MT"/>
          <w:szCs w:val="26"/>
        </w:rPr>
        <w:t xml:space="preserve"> </w:t>
      </w:r>
      <w:r w:rsidR="00646303">
        <w:rPr>
          <w:rFonts w:ascii="Gill Sans MT" w:hAnsi="Gill Sans MT"/>
          <w:szCs w:val="26"/>
        </w:rPr>
        <w:t>be</w:t>
      </w:r>
      <w:r w:rsidR="00FD4F24" w:rsidRPr="00FD4F24">
        <w:rPr>
          <w:rFonts w:ascii="Gill Sans MT" w:hAnsi="Gill Sans MT"/>
          <w:szCs w:val="26"/>
        </w:rPr>
        <w:t xml:space="preserve"> realised in its lifetime</w:t>
      </w:r>
      <w:r w:rsidR="00303779">
        <w:rPr>
          <w:rFonts w:ascii="Gill Sans MT" w:hAnsi="Gill Sans MT"/>
          <w:szCs w:val="26"/>
        </w:rPr>
        <w:t>.</w:t>
      </w:r>
      <w:r w:rsidR="00D2399D">
        <w:rPr>
          <w:rFonts w:ascii="Gill Sans MT" w:hAnsi="Gill Sans MT"/>
          <w:szCs w:val="26"/>
        </w:rPr>
        <w:t xml:space="preserve"> </w:t>
      </w:r>
      <w:r w:rsidR="00D2399D">
        <w:rPr>
          <w:rFonts w:ascii="Gill Sans MT" w:hAnsi="Gill Sans MT"/>
          <w:szCs w:val="26"/>
        </w:rPr>
        <w:fldChar w:fldCharType="begin"/>
      </w:r>
      <w:r w:rsidR="00D2399D">
        <w:rPr>
          <w:rFonts w:ascii="Gill Sans MT" w:hAnsi="Gill Sans MT"/>
          <w:szCs w:val="26"/>
        </w:rPr>
        <w:instrText xml:space="preserve"> ADDIN ZOTERO_ITEM CSL_CITATION {"citationID":"oCS6jJDp","properties":{"formattedCitation":"(2)","plainCitation":"(2)","noteIndex":0},"citationItems":[{"id":185,"uris":["http://zotero.org/users/local/kvLunvBP/items/ZNC2GC6M"],"itemData":{"id":185,"type":"report","language":"en","title":"Comprehensive Employment Strategy Action Plan 2019 - 2021","URL":"https://www.gov.ie/en/publication/59d403-comprehensive-employment-strategy-action-plan-2019-2021/?referrer=https://www.justice.ie/en/JELR/CES_Action_Plan_2019_to_2021.pdf/Files/CES_Action_Plan_2019_to_2021.pdf","accessed":{"date-parts":[["2024",7,23]]},"issued":{"date-parts":[["2019",12,3]]}}}],"schema":"https://github.com/citation-style-language/schema/raw/master/csl-citation.json"} </w:instrText>
      </w:r>
      <w:r w:rsidR="00D2399D">
        <w:rPr>
          <w:rFonts w:ascii="Gill Sans MT" w:hAnsi="Gill Sans MT"/>
          <w:szCs w:val="26"/>
        </w:rPr>
        <w:fldChar w:fldCharType="separate"/>
      </w:r>
      <w:r w:rsidR="00D2399D" w:rsidRPr="00D2399D">
        <w:rPr>
          <w:rFonts w:ascii="Gill Sans MT" w:hAnsi="Gill Sans MT"/>
        </w:rPr>
        <w:t>(2)</w:t>
      </w:r>
      <w:r w:rsidR="00D2399D">
        <w:rPr>
          <w:rFonts w:ascii="Gill Sans MT" w:hAnsi="Gill Sans MT"/>
          <w:szCs w:val="26"/>
        </w:rPr>
        <w:fldChar w:fldCharType="end"/>
      </w:r>
      <w:r w:rsidR="00FD4F24" w:rsidRPr="00FD4F24">
        <w:rPr>
          <w:rFonts w:ascii="Gill Sans MT" w:hAnsi="Gill Sans MT"/>
          <w:szCs w:val="26"/>
        </w:rPr>
        <w:t xml:space="preserve"> </w:t>
      </w:r>
      <w:r w:rsidR="00251E6D">
        <w:rPr>
          <w:rFonts w:ascii="Gill Sans MT" w:hAnsi="Gill Sans MT"/>
          <w:szCs w:val="26"/>
        </w:rPr>
        <w:t>An action plan for</w:t>
      </w:r>
      <w:r w:rsidR="00D66EF1">
        <w:rPr>
          <w:rFonts w:ascii="Gill Sans MT" w:hAnsi="Gill Sans MT"/>
          <w:szCs w:val="26"/>
        </w:rPr>
        <w:t xml:space="preserve"> the </w:t>
      </w:r>
      <w:r w:rsidR="00251E6D">
        <w:rPr>
          <w:rFonts w:ascii="Gill Sans MT" w:hAnsi="Gill Sans MT"/>
          <w:szCs w:val="26"/>
        </w:rPr>
        <w:t xml:space="preserve">final period of the </w:t>
      </w:r>
      <w:r w:rsidR="00D66EF1">
        <w:rPr>
          <w:rFonts w:ascii="Gill Sans MT" w:hAnsi="Gill Sans MT"/>
          <w:szCs w:val="26"/>
        </w:rPr>
        <w:t>strategy (2022-2024)</w:t>
      </w:r>
      <w:r w:rsidR="00251E6D">
        <w:rPr>
          <w:rFonts w:ascii="Gill Sans MT" w:hAnsi="Gill Sans MT"/>
          <w:szCs w:val="26"/>
        </w:rPr>
        <w:t xml:space="preserve"> was</w:t>
      </w:r>
      <w:r w:rsidR="00587ACC">
        <w:rPr>
          <w:rFonts w:ascii="Gill Sans MT" w:hAnsi="Gill Sans MT"/>
          <w:szCs w:val="26"/>
        </w:rPr>
        <w:t xml:space="preserve"> never finalised</w:t>
      </w:r>
      <w:r w:rsidR="00FB5A9A">
        <w:rPr>
          <w:rFonts w:ascii="Gill Sans MT" w:hAnsi="Gill Sans MT"/>
          <w:szCs w:val="26"/>
        </w:rPr>
        <w:t>,</w:t>
      </w:r>
      <w:r w:rsidR="00587ACC">
        <w:rPr>
          <w:rFonts w:ascii="Gill Sans MT" w:hAnsi="Gill Sans MT"/>
          <w:szCs w:val="26"/>
        </w:rPr>
        <w:t xml:space="preserve"> and while some</w:t>
      </w:r>
      <w:r w:rsidR="00FB5A9A">
        <w:rPr>
          <w:rFonts w:ascii="Gill Sans MT" w:hAnsi="Gill Sans MT"/>
          <w:szCs w:val="26"/>
        </w:rPr>
        <w:t xml:space="preserve"> CES</w:t>
      </w:r>
      <w:r w:rsidR="00587ACC">
        <w:rPr>
          <w:rFonts w:ascii="Gill Sans MT" w:hAnsi="Gill Sans MT"/>
          <w:szCs w:val="26"/>
        </w:rPr>
        <w:t xml:space="preserve"> activities continued</w:t>
      </w:r>
      <w:r w:rsidR="00FB5A9A">
        <w:rPr>
          <w:rFonts w:ascii="Gill Sans MT" w:hAnsi="Gill Sans MT"/>
          <w:szCs w:val="26"/>
        </w:rPr>
        <w:t xml:space="preserve"> over the final period of the strategy’s lifetime,</w:t>
      </w:r>
      <w:r w:rsidR="00587ACC">
        <w:rPr>
          <w:rFonts w:ascii="Gill Sans MT" w:hAnsi="Gill Sans MT"/>
          <w:szCs w:val="26"/>
        </w:rPr>
        <w:t xml:space="preserve"> there was no monitoring or oversight of these</w:t>
      </w:r>
      <w:r w:rsidR="00400A6A">
        <w:rPr>
          <w:rFonts w:ascii="Gill Sans MT" w:hAnsi="Gill Sans MT"/>
          <w:szCs w:val="26"/>
        </w:rPr>
        <w:t>.</w:t>
      </w:r>
    </w:p>
    <w:bookmarkEnd w:id="52"/>
    <w:p w14:paraId="48CDFC16" w14:textId="20D8A739" w:rsidR="00FD4F24" w:rsidRPr="00FD4F24" w:rsidRDefault="00587ACC" w:rsidP="00FD4F24">
      <w:pPr>
        <w:rPr>
          <w:rFonts w:ascii="Gill Sans MT" w:hAnsi="Gill Sans MT"/>
          <w:szCs w:val="26"/>
        </w:rPr>
      </w:pPr>
      <w:r>
        <w:rPr>
          <w:rFonts w:ascii="Gill Sans MT" w:hAnsi="Gill Sans MT"/>
          <w:szCs w:val="26"/>
        </w:rPr>
        <w:t xml:space="preserve">The strategy was overseen by an </w:t>
      </w:r>
      <w:r w:rsidR="007B04D0">
        <w:rPr>
          <w:rFonts w:ascii="Gill Sans MT" w:hAnsi="Gill Sans MT"/>
          <w:szCs w:val="26"/>
        </w:rPr>
        <w:t xml:space="preserve">implementation </w:t>
      </w:r>
      <w:r>
        <w:rPr>
          <w:rFonts w:ascii="Gill Sans MT" w:hAnsi="Gill Sans MT"/>
          <w:szCs w:val="26"/>
        </w:rPr>
        <w:t>group</w:t>
      </w:r>
      <w:r w:rsidR="00A721A5">
        <w:rPr>
          <w:rFonts w:ascii="Gill Sans MT" w:hAnsi="Gill Sans MT"/>
          <w:szCs w:val="26"/>
        </w:rPr>
        <w:t xml:space="preserve"> </w:t>
      </w:r>
      <w:r>
        <w:rPr>
          <w:rFonts w:ascii="Gill Sans MT" w:hAnsi="Gill Sans MT"/>
          <w:szCs w:val="26"/>
        </w:rPr>
        <w:t xml:space="preserve">made up of public officials and relevant stakeholders </w:t>
      </w:r>
      <w:r w:rsidR="00303779">
        <w:rPr>
          <w:rFonts w:ascii="Gill Sans MT" w:hAnsi="Gill Sans MT"/>
          <w:szCs w:val="26"/>
        </w:rPr>
        <w:t xml:space="preserve">and </w:t>
      </w:r>
      <w:r>
        <w:rPr>
          <w:rFonts w:ascii="Gill Sans MT" w:hAnsi="Gill Sans MT"/>
          <w:szCs w:val="26"/>
        </w:rPr>
        <w:t xml:space="preserve">was chaired by an independent chair. </w:t>
      </w:r>
      <w:r w:rsidR="00D66EF1">
        <w:rPr>
          <w:rFonts w:ascii="Gill Sans MT" w:hAnsi="Gill Sans MT"/>
          <w:szCs w:val="26"/>
        </w:rPr>
        <w:t xml:space="preserve">The National Disability Authority </w:t>
      </w:r>
      <w:r w:rsidR="007B04D0">
        <w:rPr>
          <w:rFonts w:ascii="Gill Sans MT" w:hAnsi="Gill Sans MT"/>
          <w:szCs w:val="26"/>
        </w:rPr>
        <w:t xml:space="preserve">has </w:t>
      </w:r>
      <w:r w:rsidR="001B52C7">
        <w:rPr>
          <w:rFonts w:ascii="Gill Sans MT" w:hAnsi="Gill Sans MT"/>
          <w:szCs w:val="26"/>
        </w:rPr>
        <w:t>had</w:t>
      </w:r>
      <w:r w:rsidR="007B04D0">
        <w:rPr>
          <w:rFonts w:ascii="Gill Sans MT" w:hAnsi="Gill Sans MT"/>
          <w:szCs w:val="26"/>
        </w:rPr>
        <w:t xml:space="preserve"> a role in</w:t>
      </w:r>
      <w:r w:rsidR="00D66EF1">
        <w:rPr>
          <w:rFonts w:ascii="Gill Sans MT" w:hAnsi="Gill Sans MT"/>
          <w:szCs w:val="26"/>
        </w:rPr>
        <w:t xml:space="preserve"> monitoring progress towards </w:t>
      </w:r>
      <w:r w:rsidR="00110C24">
        <w:rPr>
          <w:rFonts w:ascii="Gill Sans MT" w:hAnsi="Gill Sans MT"/>
          <w:szCs w:val="26"/>
        </w:rPr>
        <w:t>achievement of the</w:t>
      </w:r>
      <w:r w:rsidR="00D66EF1">
        <w:rPr>
          <w:rFonts w:ascii="Gill Sans MT" w:hAnsi="Gill Sans MT"/>
          <w:szCs w:val="26"/>
        </w:rPr>
        <w:t xml:space="preserve"> goals of the </w:t>
      </w:r>
      <w:r w:rsidR="009F2406">
        <w:rPr>
          <w:rFonts w:ascii="Gill Sans MT" w:hAnsi="Gill Sans MT"/>
          <w:szCs w:val="26"/>
        </w:rPr>
        <w:t>CES</w:t>
      </w:r>
      <w:r w:rsidR="00D66EF1">
        <w:rPr>
          <w:rFonts w:ascii="Gill Sans MT" w:hAnsi="Gill Sans MT"/>
          <w:szCs w:val="26"/>
        </w:rPr>
        <w:t>. To this end, the NDA has produced</w:t>
      </w:r>
      <w:r w:rsidR="004B64F1">
        <w:rPr>
          <w:rFonts w:ascii="Gill Sans MT" w:hAnsi="Gill Sans MT"/>
          <w:szCs w:val="26"/>
        </w:rPr>
        <w:t xml:space="preserve"> </w:t>
      </w:r>
      <w:r w:rsidR="00D66EF1">
        <w:rPr>
          <w:rFonts w:ascii="Gill Sans MT" w:hAnsi="Gill Sans MT"/>
          <w:szCs w:val="26"/>
        </w:rPr>
        <w:t xml:space="preserve">independent assessments </w:t>
      </w:r>
      <w:r w:rsidR="006252C1">
        <w:rPr>
          <w:rFonts w:ascii="Gill Sans MT" w:hAnsi="Gill Sans MT"/>
          <w:szCs w:val="26"/>
        </w:rPr>
        <w:t>of the implementation of the strategy</w:t>
      </w:r>
      <w:r w:rsidR="00054DE1">
        <w:rPr>
          <w:rFonts w:ascii="Gill Sans MT" w:hAnsi="Gill Sans MT"/>
          <w:szCs w:val="26"/>
        </w:rPr>
        <w:t xml:space="preserve"> each year from </w:t>
      </w:r>
      <w:r w:rsidR="00C172AB">
        <w:rPr>
          <w:rFonts w:ascii="Gill Sans MT" w:hAnsi="Gill Sans MT"/>
          <w:szCs w:val="26"/>
        </w:rPr>
        <w:t>2016</w:t>
      </w:r>
      <w:r w:rsidR="00054DE1">
        <w:rPr>
          <w:rFonts w:ascii="Gill Sans MT" w:hAnsi="Gill Sans MT"/>
          <w:szCs w:val="26"/>
        </w:rPr>
        <w:t xml:space="preserve"> to 2023</w:t>
      </w:r>
      <w:r w:rsidR="00303779">
        <w:rPr>
          <w:rFonts w:ascii="Gill Sans MT" w:hAnsi="Gill Sans MT"/>
          <w:szCs w:val="26"/>
        </w:rPr>
        <w:t>.</w:t>
      </w:r>
      <w:r w:rsidR="00695C38">
        <w:rPr>
          <w:rFonts w:ascii="Gill Sans MT" w:hAnsi="Gill Sans MT"/>
          <w:szCs w:val="26"/>
        </w:rPr>
        <w:t xml:space="preserve"> </w:t>
      </w:r>
      <w:r w:rsidR="006252C1">
        <w:rPr>
          <w:rFonts w:ascii="Gill Sans MT" w:hAnsi="Gill Sans MT"/>
          <w:szCs w:val="26"/>
        </w:rPr>
        <w:fldChar w:fldCharType="begin"/>
      </w:r>
      <w:r w:rsidR="006252C1">
        <w:rPr>
          <w:rFonts w:ascii="Gill Sans MT" w:hAnsi="Gill Sans MT"/>
          <w:szCs w:val="26"/>
        </w:rPr>
        <w:instrText xml:space="preserve"> ADDIN ZOTERO_ITEM CSL_CITATION {"citationID":"aZGFTkMz","properties":{"formattedCitation":"(3)","plainCitation":"(3)","noteIndex":0},"citationItems":[{"id":187,"uris":["http://zotero.org/users/local/kvLunvBP/items/DS265XWT"],"itemData":{"id":187,"type":"webpage","abstract":"Implementation of Comprehensive Employment Strategy. Year end reviews/assessments","container-title":"National Disability Authority","language":"en-IE","title":"NDA Independent Assessment of Implementation of CES","title-short":"https","URL":"https://nda.ie/publications/nda-independent-assessment-of-implementation-of-ces","author":[{"family":"National Disability Authority","given":""}],"accessed":{"date-parts":[["2024",7,23]]}}}],"schema":"https://github.com/citation-style-language/schema/raw/master/csl-citation.json"} </w:instrText>
      </w:r>
      <w:r w:rsidR="006252C1">
        <w:rPr>
          <w:rFonts w:ascii="Gill Sans MT" w:hAnsi="Gill Sans MT"/>
          <w:szCs w:val="26"/>
        </w:rPr>
        <w:fldChar w:fldCharType="separate"/>
      </w:r>
      <w:r w:rsidR="006252C1" w:rsidRPr="006252C1">
        <w:rPr>
          <w:rFonts w:ascii="Gill Sans MT" w:hAnsi="Gill Sans MT"/>
        </w:rPr>
        <w:t>(3)</w:t>
      </w:r>
      <w:r w:rsidR="006252C1">
        <w:rPr>
          <w:rFonts w:ascii="Gill Sans MT" w:hAnsi="Gill Sans MT"/>
          <w:szCs w:val="26"/>
        </w:rPr>
        <w:fldChar w:fldCharType="end"/>
      </w:r>
      <w:r w:rsidR="00303779">
        <w:rPr>
          <w:rFonts w:ascii="Gill Sans MT" w:hAnsi="Gill Sans MT"/>
          <w:szCs w:val="26"/>
        </w:rPr>
        <w:t xml:space="preserve"> </w:t>
      </w:r>
      <w:r w:rsidR="004B64F1">
        <w:rPr>
          <w:rFonts w:ascii="Gill Sans MT" w:hAnsi="Gill Sans MT"/>
          <w:szCs w:val="26"/>
        </w:rPr>
        <w:t>Additionally</w:t>
      </w:r>
      <w:r w:rsidR="00D66EF1">
        <w:rPr>
          <w:rFonts w:ascii="Gill Sans MT" w:hAnsi="Gill Sans MT"/>
          <w:szCs w:val="26"/>
        </w:rPr>
        <w:t xml:space="preserve">, at the </w:t>
      </w:r>
      <w:r w:rsidR="00FD4F24" w:rsidRPr="00FD4F24">
        <w:rPr>
          <w:rFonts w:ascii="Gill Sans MT" w:hAnsi="Gill Sans MT"/>
          <w:szCs w:val="26"/>
        </w:rPr>
        <w:t>halfway juncture</w:t>
      </w:r>
      <w:r w:rsidR="004B64F1">
        <w:rPr>
          <w:rFonts w:ascii="Gill Sans MT" w:hAnsi="Gill Sans MT"/>
          <w:szCs w:val="26"/>
        </w:rPr>
        <w:t xml:space="preserve"> of the strategy</w:t>
      </w:r>
      <w:r w:rsidR="00A35152">
        <w:rPr>
          <w:rFonts w:ascii="Gill Sans MT" w:hAnsi="Gill Sans MT"/>
          <w:szCs w:val="26"/>
        </w:rPr>
        <w:t xml:space="preserve"> in 2020</w:t>
      </w:r>
      <w:r w:rsidR="00FD4F24" w:rsidRPr="00FD4F24">
        <w:rPr>
          <w:rFonts w:ascii="Gill Sans MT" w:hAnsi="Gill Sans MT"/>
          <w:szCs w:val="26"/>
        </w:rPr>
        <w:t xml:space="preserve">, </w:t>
      </w:r>
      <w:r w:rsidR="00D66EF1">
        <w:rPr>
          <w:rFonts w:ascii="Gill Sans MT" w:hAnsi="Gill Sans MT"/>
          <w:szCs w:val="26"/>
        </w:rPr>
        <w:t>the NDA produced a</w:t>
      </w:r>
      <w:r w:rsidR="00FD4F24" w:rsidRPr="00FD4F24">
        <w:rPr>
          <w:rFonts w:ascii="Gill Sans MT" w:hAnsi="Gill Sans MT"/>
          <w:szCs w:val="26"/>
        </w:rPr>
        <w:t xml:space="preserve"> report to consider</w:t>
      </w:r>
      <w:r w:rsidR="009D0128">
        <w:rPr>
          <w:rFonts w:ascii="Gill Sans MT" w:hAnsi="Gill Sans MT"/>
          <w:szCs w:val="26"/>
        </w:rPr>
        <w:t>, where possible,</w:t>
      </w:r>
      <w:r w:rsidR="00110C24">
        <w:rPr>
          <w:rFonts w:ascii="Gill Sans MT" w:hAnsi="Gill Sans MT"/>
          <w:szCs w:val="26"/>
        </w:rPr>
        <w:t xml:space="preserve"> </w:t>
      </w:r>
      <w:r w:rsidR="00FD4F24" w:rsidRPr="00FD4F24">
        <w:rPr>
          <w:rFonts w:ascii="Gill Sans MT" w:hAnsi="Gill Sans MT"/>
          <w:szCs w:val="26"/>
        </w:rPr>
        <w:t>the</w:t>
      </w:r>
      <w:r w:rsidR="004B64F1">
        <w:rPr>
          <w:rFonts w:ascii="Gill Sans MT" w:hAnsi="Gill Sans MT"/>
          <w:szCs w:val="26"/>
        </w:rPr>
        <w:t xml:space="preserve"> </w:t>
      </w:r>
      <w:r w:rsidR="00FD4F24" w:rsidRPr="00FD4F24">
        <w:rPr>
          <w:rFonts w:ascii="Gill Sans MT" w:hAnsi="Gill Sans MT"/>
          <w:szCs w:val="26"/>
        </w:rPr>
        <w:t>impact of the activities under the CES on the lives of persons with disabilities</w:t>
      </w:r>
      <w:r w:rsidR="0071189B">
        <w:rPr>
          <w:rFonts w:ascii="Gill Sans MT" w:hAnsi="Gill Sans MT"/>
          <w:szCs w:val="26"/>
        </w:rPr>
        <w:t>.</w:t>
      </w:r>
      <w:r w:rsidR="00A35152">
        <w:rPr>
          <w:rFonts w:ascii="Gill Sans MT" w:hAnsi="Gill Sans MT"/>
          <w:szCs w:val="26"/>
        </w:rPr>
        <w:t xml:space="preserve"> </w:t>
      </w:r>
      <w:r w:rsidR="00A35152">
        <w:rPr>
          <w:rFonts w:ascii="Gill Sans MT" w:hAnsi="Gill Sans MT"/>
          <w:szCs w:val="26"/>
        </w:rPr>
        <w:fldChar w:fldCharType="begin"/>
      </w:r>
      <w:r w:rsidR="00A35152">
        <w:rPr>
          <w:rFonts w:ascii="Gill Sans MT" w:hAnsi="Gill Sans MT"/>
          <w:szCs w:val="26"/>
        </w:rPr>
        <w:instrText xml:space="preserve"> ADDIN ZOTERO_ITEM CSL_CITATION {"citationID":"Wyp9dkb1","properties":{"formattedCitation":"(4)","plainCitation":"(4)","noteIndex":0},"citationItems":[{"id":189,"uris":["http://zotero.org/users/local/kvLunvBP/items/GF4CIXZT"],"itemData":{"id":189,"type":"report","abstract":"Provides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sidR="00A35152">
        <w:rPr>
          <w:rFonts w:ascii="Gill Sans MT" w:hAnsi="Gill Sans MT"/>
          <w:szCs w:val="26"/>
        </w:rPr>
        <w:fldChar w:fldCharType="separate"/>
      </w:r>
      <w:r w:rsidR="00A35152" w:rsidRPr="00A35152">
        <w:rPr>
          <w:rFonts w:ascii="Gill Sans MT" w:hAnsi="Gill Sans MT"/>
        </w:rPr>
        <w:t>(4)</w:t>
      </w:r>
      <w:r w:rsidR="00A35152">
        <w:rPr>
          <w:rFonts w:ascii="Gill Sans MT" w:hAnsi="Gill Sans MT"/>
          <w:szCs w:val="26"/>
        </w:rPr>
        <w:fldChar w:fldCharType="end"/>
      </w:r>
      <w:r w:rsidR="00FD4F24" w:rsidRPr="00FD4F24">
        <w:rPr>
          <w:rFonts w:ascii="Gill Sans MT" w:hAnsi="Gill Sans MT"/>
          <w:szCs w:val="26"/>
        </w:rPr>
        <w:t xml:space="preserve"> </w:t>
      </w:r>
      <w:r w:rsidR="00153412">
        <w:rPr>
          <w:rFonts w:ascii="Gill Sans MT" w:hAnsi="Gill Sans MT"/>
          <w:szCs w:val="26"/>
        </w:rPr>
        <w:t>This</w:t>
      </w:r>
      <w:r w:rsidR="009D0128">
        <w:rPr>
          <w:rFonts w:ascii="Gill Sans MT" w:hAnsi="Gill Sans MT"/>
          <w:szCs w:val="26"/>
        </w:rPr>
        <w:t xml:space="preserve"> was</w:t>
      </w:r>
      <w:r w:rsidR="00FD4F24" w:rsidRPr="00FD4F24">
        <w:rPr>
          <w:rFonts w:ascii="Gill Sans MT" w:hAnsi="Gill Sans MT"/>
          <w:szCs w:val="26"/>
        </w:rPr>
        <w:t xml:space="preserve"> </w:t>
      </w:r>
      <w:r w:rsidR="00153412">
        <w:rPr>
          <w:rFonts w:ascii="Gill Sans MT" w:hAnsi="Gill Sans MT"/>
          <w:szCs w:val="26"/>
        </w:rPr>
        <w:t>achieved</w:t>
      </w:r>
      <w:r w:rsidR="00FD4F24" w:rsidRPr="00FD4F24">
        <w:rPr>
          <w:rFonts w:ascii="Gill Sans MT" w:hAnsi="Gill Sans MT"/>
          <w:szCs w:val="26"/>
        </w:rPr>
        <w:t xml:space="preserve"> using a suite of indicators developed by the NDA and approved by the CES Implementation Grou</w:t>
      </w:r>
      <w:r w:rsidR="0071189B">
        <w:rPr>
          <w:rFonts w:ascii="Gill Sans MT" w:hAnsi="Gill Sans MT"/>
          <w:szCs w:val="26"/>
        </w:rPr>
        <w:t>p</w:t>
      </w:r>
      <w:r w:rsidR="003239D1">
        <w:rPr>
          <w:rFonts w:ascii="Gill Sans MT" w:hAnsi="Gill Sans MT"/>
          <w:szCs w:val="26"/>
        </w:rPr>
        <w:t xml:space="preserve"> (CESIG)</w:t>
      </w:r>
      <w:r w:rsidR="0001753B">
        <w:rPr>
          <w:rFonts w:ascii="Gill Sans MT" w:hAnsi="Gill Sans MT"/>
          <w:szCs w:val="26"/>
        </w:rPr>
        <w:t xml:space="preserve"> in 2019</w:t>
      </w:r>
      <w:r w:rsidR="00FD4F24" w:rsidRPr="00FD4F24">
        <w:rPr>
          <w:rFonts w:ascii="Gill Sans MT" w:hAnsi="Gill Sans MT"/>
          <w:szCs w:val="26"/>
        </w:rPr>
        <w:t xml:space="preserve">. </w:t>
      </w:r>
      <w:r w:rsidR="00F405B9">
        <w:rPr>
          <w:rFonts w:ascii="Gill Sans MT" w:hAnsi="Gill Sans MT"/>
          <w:szCs w:val="26"/>
        </w:rPr>
        <w:t>Th</w:t>
      </w:r>
      <w:r w:rsidR="00E15599">
        <w:rPr>
          <w:rFonts w:ascii="Gill Sans MT" w:hAnsi="Gill Sans MT"/>
          <w:szCs w:val="26"/>
        </w:rPr>
        <w:t>e</w:t>
      </w:r>
      <w:r w:rsidR="006D67FC">
        <w:rPr>
          <w:rFonts w:ascii="Gill Sans MT" w:hAnsi="Gill Sans MT"/>
          <w:szCs w:val="26"/>
        </w:rPr>
        <w:t xml:space="preserve"> </w:t>
      </w:r>
      <w:r w:rsidR="0091045A">
        <w:rPr>
          <w:rFonts w:ascii="Gill Sans MT" w:hAnsi="Gill Sans MT"/>
          <w:szCs w:val="26"/>
        </w:rPr>
        <w:t>midterm</w:t>
      </w:r>
      <w:r w:rsidR="00E15599">
        <w:rPr>
          <w:rFonts w:ascii="Gill Sans MT" w:hAnsi="Gill Sans MT"/>
          <w:szCs w:val="26"/>
        </w:rPr>
        <w:t xml:space="preserve"> indicators</w:t>
      </w:r>
      <w:r w:rsidR="00F405B9">
        <w:rPr>
          <w:rFonts w:ascii="Gill Sans MT" w:hAnsi="Gill Sans MT"/>
          <w:szCs w:val="26"/>
        </w:rPr>
        <w:t xml:space="preserve"> report </w:t>
      </w:r>
      <w:r w:rsidR="00E15599">
        <w:rPr>
          <w:rFonts w:ascii="Gill Sans MT" w:hAnsi="Gill Sans MT"/>
          <w:szCs w:val="26"/>
        </w:rPr>
        <w:t>revealed a mixed picture</w:t>
      </w:r>
      <w:r w:rsidR="00695C38">
        <w:rPr>
          <w:rFonts w:ascii="Gill Sans MT" w:hAnsi="Gill Sans MT"/>
          <w:szCs w:val="26"/>
        </w:rPr>
        <w:t xml:space="preserve"> in terms of the strategy’s impact</w:t>
      </w:r>
      <w:r w:rsidR="00E15599">
        <w:rPr>
          <w:rFonts w:ascii="Gill Sans MT" w:hAnsi="Gill Sans MT"/>
          <w:szCs w:val="26"/>
        </w:rPr>
        <w:t xml:space="preserve">. Progress was identified across </w:t>
      </w:r>
      <w:r w:rsidR="0060223F">
        <w:rPr>
          <w:rFonts w:ascii="Gill Sans MT" w:hAnsi="Gill Sans MT"/>
          <w:szCs w:val="26"/>
        </w:rPr>
        <w:t xml:space="preserve">several </w:t>
      </w:r>
      <w:r w:rsidR="00E15599" w:rsidRPr="00E15599">
        <w:rPr>
          <w:rFonts w:ascii="Gill Sans MT" w:hAnsi="Gill Sans MT"/>
          <w:szCs w:val="26"/>
        </w:rPr>
        <w:t>areas re</w:t>
      </w:r>
      <w:r w:rsidR="00E15599">
        <w:rPr>
          <w:rFonts w:ascii="Gill Sans MT" w:hAnsi="Gill Sans MT"/>
          <w:szCs w:val="26"/>
        </w:rPr>
        <w:t>lating to</w:t>
      </w:r>
      <w:r w:rsidR="00E15599" w:rsidRPr="00E15599">
        <w:rPr>
          <w:rFonts w:ascii="Gill Sans MT" w:hAnsi="Gill Sans MT"/>
          <w:szCs w:val="26"/>
        </w:rPr>
        <w:t xml:space="preserve"> the education, skills, and employment of </w:t>
      </w:r>
      <w:r w:rsidR="00E15599">
        <w:rPr>
          <w:rFonts w:ascii="Gill Sans MT" w:hAnsi="Gill Sans MT"/>
          <w:szCs w:val="26"/>
        </w:rPr>
        <w:t>disabled people</w:t>
      </w:r>
      <w:r w:rsidR="00DF37AC">
        <w:rPr>
          <w:rFonts w:ascii="Gill Sans MT" w:hAnsi="Gill Sans MT"/>
          <w:szCs w:val="26"/>
        </w:rPr>
        <w:t>. Positive developments were identified in relation to</w:t>
      </w:r>
      <w:r w:rsidR="00695C38">
        <w:rPr>
          <w:rFonts w:ascii="Gill Sans MT" w:hAnsi="Gill Sans MT"/>
          <w:szCs w:val="26"/>
        </w:rPr>
        <w:t xml:space="preserve"> </w:t>
      </w:r>
      <w:r w:rsidR="00E15599" w:rsidRPr="00E15599">
        <w:rPr>
          <w:rFonts w:ascii="Gill Sans MT" w:hAnsi="Gill Sans MT"/>
          <w:szCs w:val="26"/>
        </w:rPr>
        <w:t xml:space="preserve">supports provided to </w:t>
      </w:r>
      <w:r w:rsidR="00695C38">
        <w:rPr>
          <w:rFonts w:ascii="Gill Sans MT" w:hAnsi="Gill Sans MT"/>
          <w:szCs w:val="26"/>
        </w:rPr>
        <w:t xml:space="preserve">persons with disabilities to </w:t>
      </w:r>
      <w:r w:rsidR="00E15599" w:rsidRPr="00E15599">
        <w:rPr>
          <w:rFonts w:ascii="Gill Sans MT" w:hAnsi="Gill Sans MT"/>
          <w:szCs w:val="26"/>
        </w:rPr>
        <w:t xml:space="preserve">facilitate them </w:t>
      </w:r>
      <w:r w:rsidR="00E15599">
        <w:rPr>
          <w:rFonts w:ascii="Gill Sans MT" w:hAnsi="Gill Sans MT"/>
          <w:szCs w:val="26"/>
        </w:rPr>
        <w:t>to obtain work</w:t>
      </w:r>
      <w:r w:rsidR="006A6E5C">
        <w:rPr>
          <w:rFonts w:ascii="Gill Sans MT" w:hAnsi="Gill Sans MT"/>
          <w:szCs w:val="26"/>
        </w:rPr>
        <w:t>, as well as</w:t>
      </w:r>
      <w:r w:rsidR="00695C38">
        <w:rPr>
          <w:rFonts w:ascii="Gill Sans MT" w:hAnsi="Gill Sans MT"/>
          <w:szCs w:val="26"/>
        </w:rPr>
        <w:t xml:space="preserve"> to</w:t>
      </w:r>
      <w:r w:rsidR="00E15599">
        <w:rPr>
          <w:rFonts w:ascii="Gill Sans MT" w:hAnsi="Gill Sans MT"/>
          <w:szCs w:val="26"/>
        </w:rPr>
        <w:t xml:space="preserve"> </w:t>
      </w:r>
      <w:r w:rsidR="00695C38">
        <w:rPr>
          <w:rFonts w:ascii="Gill Sans MT" w:hAnsi="Gill Sans MT"/>
          <w:szCs w:val="26"/>
        </w:rPr>
        <w:t>employer supports provided</w:t>
      </w:r>
      <w:r w:rsidR="00E15599" w:rsidRPr="00E15599">
        <w:rPr>
          <w:rFonts w:ascii="Gill Sans MT" w:hAnsi="Gill Sans MT"/>
          <w:szCs w:val="26"/>
        </w:rPr>
        <w:t xml:space="preserve"> to </w:t>
      </w:r>
      <w:r w:rsidR="00695C38">
        <w:rPr>
          <w:rFonts w:ascii="Gill Sans MT" w:hAnsi="Gill Sans MT"/>
          <w:szCs w:val="26"/>
        </w:rPr>
        <w:t xml:space="preserve">promote the </w:t>
      </w:r>
      <w:r w:rsidR="00E15599" w:rsidRPr="00E15599">
        <w:rPr>
          <w:rFonts w:ascii="Gill Sans MT" w:hAnsi="Gill Sans MT"/>
          <w:szCs w:val="26"/>
        </w:rPr>
        <w:t>recrui</w:t>
      </w:r>
      <w:r w:rsidR="00695C38">
        <w:rPr>
          <w:rFonts w:ascii="Gill Sans MT" w:hAnsi="Gill Sans MT"/>
          <w:szCs w:val="26"/>
        </w:rPr>
        <w:t>tment</w:t>
      </w:r>
      <w:r w:rsidR="00E15599" w:rsidRPr="00E15599">
        <w:rPr>
          <w:rFonts w:ascii="Gill Sans MT" w:hAnsi="Gill Sans MT"/>
          <w:szCs w:val="26"/>
        </w:rPr>
        <w:t xml:space="preserve"> and </w:t>
      </w:r>
      <w:r w:rsidR="00695C38">
        <w:rPr>
          <w:rFonts w:ascii="Gill Sans MT" w:hAnsi="Gill Sans MT"/>
          <w:szCs w:val="26"/>
        </w:rPr>
        <w:t>retention of</w:t>
      </w:r>
      <w:r w:rsidR="00E15599" w:rsidRPr="00E15599">
        <w:rPr>
          <w:rFonts w:ascii="Gill Sans MT" w:hAnsi="Gill Sans MT"/>
          <w:szCs w:val="26"/>
        </w:rPr>
        <w:t xml:space="preserve"> employees with disabilities.</w:t>
      </w:r>
      <w:r w:rsidR="00E15599">
        <w:rPr>
          <w:rFonts w:ascii="Gill Sans MT" w:hAnsi="Gill Sans MT"/>
          <w:szCs w:val="26"/>
        </w:rPr>
        <w:t xml:space="preserve"> However, </w:t>
      </w:r>
      <w:r w:rsidR="000E0C34">
        <w:rPr>
          <w:rFonts w:ascii="Gill Sans MT" w:hAnsi="Gill Sans MT"/>
          <w:szCs w:val="26"/>
        </w:rPr>
        <w:t xml:space="preserve">the report also </w:t>
      </w:r>
      <w:r w:rsidR="002B3E1C">
        <w:rPr>
          <w:rFonts w:ascii="Gill Sans MT" w:hAnsi="Gill Sans MT"/>
          <w:szCs w:val="26"/>
        </w:rPr>
        <w:t>highlighted</w:t>
      </w:r>
      <w:r w:rsidR="000E0C34">
        <w:rPr>
          <w:rFonts w:ascii="Gill Sans MT" w:hAnsi="Gill Sans MT"/>
          <w:szCs w:val="26"/>
        </w:rPr>
        <w:t xml:space="preserve"> </w:t>
      </w:r>
      <w:r w:rsidR="0060223F">
        <w:rPr>
          <w:rFonts w:ascii="Gill Sans MT" w:hAnsi="Gill Sans MT"/>
          <w:szCs w:val="26"/>
        </w:rPr>
        <w:t xml:space="preserve">that </w:t>
      </w:r>
      <w:r w:rsidR="006A6E5C">
        <w:rPr>
          <w:rFonts w:ascii="Gill Sans MT" w:hAnsi="Gill Sans MT"/>
          <w:szCs w:val="26"/>
        </w:rPr>
        <w:t>the gap</w:t>
      </w:r>
      <w:r w:rsidR="00E15599" w:rsidRPr="00E15599">
        <w:rPr>
          <w:rFonts w:ascii="Gill Sans MT" w:hAnsi="Gill Sans MT"/>
          <w:szCs w:val="26"/>
        </w:rPr>
        <w:t xml:space="preserve"> in employment </w:t>
      </w:r>
      <w:r w:rsidR="006A6E5C">
        <w:rPr>
          <w:rFonts w:ascii="Gill Sans MT" w:hAnsi="Gill Sans MT"/>
          <w:szCs w:val="26"/>
        </w:rPr>
        <w:t xml:space="preserve">rates </w:t>
      </w:r>
      <w:r w:rsidR="00E15599" w:rsidRPr="00E15599">
        <w:rPr>
          <w:rFonts w:ascii="Gill Sans MT" w:hAnsi="Gill Sans MT"/>
          <w:szCs w:val="26"/>
        </w:rPr>
        <w:t>between persons with and without disabilities ha</w:t>
      </w:r>
      <w:r w:rsidR="000E0C34">
        <w:rPr>
          <w:rFonts w:ascii="Gill Sans MT" w:hAnsi="Gill Sans MT"/>
          <w:szCs w:val="26"/>
        </w:rPr>
        <w:t xml:space="preserve">d </w:t>
      </w:r>
      <w:r w:rsidR="00E15599" w:rsidRPr="00E15599">
        <w:rPr>
          <w:rFonts w:ascii="Gill Sans MT" w:hAnsi="Gill Sans MT"/>
          <w:szCs w:val="26"/>
        </w:rPr>
        <w:t xml:space="preserve">widened, </w:t>
      </w:r>
      <w:r w:rsidR="006A6E5C">
        <w:rPr>
          <w:rFonts w:ascii="Gill Sans MT" w:hAnsi="Gill Sans MT"/>
          <w:szCs w:val="26"/>
        </w:rPr>
        <w:t xml:space="preserve">that there were </w:t>
      </w:r>
      <w:r w:rsidR="0060223F">
        <w:rPr>
          <w:rFonts w:ascii="Gill Sans MT" w:hAnsi="Gill Sans MT"/>
          <w:szCs w:val="26"/>
        </w:rPr>
        <w:t>areas in which</w:t>
      </w:r>
      <w:r w:rsidR="00E15599" w:rsidRPr="00E15599">
        <w:rPr>
          <w:rFonts w:ascii="Gill Sans MT" w:hAnsi="Gill Sans MT"/>
          <w:szCs w:val="26"/>
        </w:rPr>
        <w:t xml:space="preserve"> progress </w:t>
      </w:r>
      <w:r w:rsidR="000E0C34">
        <w:rPr>
          <w:rFonts w:ascii="Gill Sans MT" w:hAnsi="Gill Sans MT"/>
          <w:szCs w:val="26"/>
        </w:rPr>
        <w:t>had</w:t>
      </w:r>
      <w:r w:rsidR="00E15599" w:rsidRPr="00E15599">
        <w:rPr>
          <w:rFonts w:ascii="Gill Sans MT" w:hAnsi="Gill Sans MT"/>
          <w:szCs w:val="26"/>
        </w:rPr>
        <w:t xml:space="preserve"> stalled</w:t>
      </w:r>
      <w:r w:rsidR="007D2DFC">
        <w:rPr>
          <w:rFonts w:ascii="Gill Sans MT" w:hAnsi="Gill Sans MT"/>
          <w:szCs w:val="26"/>
        </w:rPr>
        <w:t xml:space="preserve">, </w:t>
      </w:r>
      <w:r w:rsidR="0001753B">
        <w:rPr>
          <w:rFonts w:ascii="Gill Sans MT" w:hAnsi="Gill Sans MT"/>
          <w:szCs w:val="26"/>
        </w:rPr>
        <w:t>and that there were several</w:t>
      </w:r>
      <w:r w:rsidR="002B3E1C">
        <w:rPr>
          <w:rFonts w:ascii="Gill Sans MT" w:hAnsi="Gill Sans MT"/>
          <w:szCs w:val="26"/>
        </w:rPr>
        <w:t xml:space="preserve"> </w:t>
      </w:r>
      <w:r w:rsidR="0060223F">
        <w:rPr>
          <w:rFonts w:ascii="Gill Sans MT" w:hAnsi="Gill Sans MT"/>
          <w:szCs w:val="26"/>
        </w:rPr>
        <w:t xml:space="preserve">areas </w:t>
      </w:r>
      <w:r w:rsidR="0010244B">
        <w:rPr>
          <w:rFonts w:ascii="Gill Sans MT" w:hAnsi="Gill Sans MT"/>
          <w:szCs w:val="26"/>
        </w:rPr>
        <w:t>in which</w:t>
      </w:r>
      <w:r w:rsidR="00E15599" w:rsidRPr="00E15599">
        <w:rPr>
          <w:rFonts w:ascii="Gill Sans MT" w:hAnsi="Gill Sans MT"/>
          <w:szCs w:val="26"/>
        </w:rPr>
        <w:t xml:space="preserve"> there </w:t>
      </w:r>
      <w:r w:rsidR="000E0C34">
        <w:rPr>
          <w:rFonts w:ascii="Gill Sans MT" w:hAnsi="Gill Sans MT"/>
          <w:szCs w:val="26"/>
        </w:rPr>
        <w:t xml:space="preserve">was </w:t>
      </w:r>
      <w:r w:rsidR="00E15599" w:rsidRPr="00E15599">
        <w:rPr>
          <w:rFonts w:ascii="Gill Sans MT" w:hAnsi="Gill Sans MT"/>
          <w:szCs w:val="26"/>
        </w:rPr>
        <w:t>room for improvement</w:t>
      </w:r>
      <w:r w:rsidR="00962543">
        <w:rPr>
          <w:rFonts w:ascii="Gill Sans MT" w:hAnsi="Gill Sans MT"/>
          <w:szCs w:val="26"/>
        </w:rPr>
        <w:t>.</w:t>
      </w:r>
      <w:r w:rsidR="000837CF">
        <w:rPr>
          <w:rFonts w:ascii="Gill Sans MT" w:hAnsi="Gill Sans MT"/>
          <w:szCs w:val="26"/>
        </w:rPr>
        <w:t xml:space="preserve"> </w:t>
      </w:r>
      <w:r w:rsidR="000837CF">
        <w:rPr>
          <w:rFonts w:ascii="Gill Sans MT" w:hAnsi="Gill Sans MT"/>
          <w:szCs w:val="26"/>
        </w:rPr>
        <w:fldChar w:fldCharType="begin"/>
      </w:r>
      <w:r w:rsidR="00003C69">
        <w:rPr>
          <w:rFonts w:ascii="Gill Sans MT" w:hAnsi="Gill Sans MT"/>
          <w:szCs w:val="26"/>
        </w:rPr>
        <w:instrText xml:space="preserve"> ADDIN ZOTERO_ITEM CSL_CITATION {"citationID":"JGb9G5fj","properties":{"formattedCitation":"(4)","plainCitation":"(4)","noteIndex":0},"citationItems":[{"id":189,"uris":["http://zotero.org/users/local/kvLunvBP/items/GF4CIXZT"],"itemData":{"id":189,"type":"report","abstract":"Provides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sidR="000837CF">
        <w:rPr>
          <w:rFonts w:ascii="Gill Sans MT" w:hAnsi="Gill Sans MT"/>
          <w:szCs w:val="26"/>
        </w:rPr>
        <w:fldChar w:fldCharType="separate"/>
      </w:r>
      <w:r w:rsidR="000837CF" w:rsidRPr="00A35152">
        <w:rPr>
          <w:rFonts w:ascii="Gill Sans MT" w:hAnsi="Gill Sans MT"/>
        </w:rPr>
        <w:t>(4)</w:t>
      </w:r>
      <w:r w:rsidR="000837CF">
        <w:rPr>
          <w:rFonts w:ascii="Gill Sans MT" w:hAnsi="Gill Sans MT"/>
          <w:szCs w:val="26"/>
        </w:rPr>
        <w:fldChar w:fldCharType="end"/>
      </w:r>
    </w:p>
    <w:p w14:paraId="1DA61783" w14:textId="3EE664B6" w:rsidR="00054DE1" w:rsidRDefault="00054DE1" w:rsidP="00FD4F24">
      <w:pPr>
        <w:autoSpaceDE w:val="0"/>
        <w:autoSpaceDN w:val="0"/>
        <w:adjustRightInd w:val="0"/>
        <w:rPr>
          <w:rFonts w:ascii="Gill Sans MT" w:hAnsi="Gill Sans MT"/>
          <w:szCs w:val="26"/>
        </w:rPr>
      </w:pPr>
      <w:r>
        <w:rPr>
          <w:rFonts w:ascii="Gill Sans MT" w:hAnsi="Gill Sans MT"/>
          <w:szCs w:val="26"/>
        </w:rPr>
        <w:t xml:space="preserve"> The</w:t>
      </w:r>
      <w:r w:rsidR="00F405B9">
        <w:rPr>
          <w:rFonts w:ascii="Gill Sans MT" w:hAnsi="Gill Sans MT"/>
          <w:szCs w:val="26"/>
        </w:rPr>
        <w:t xml:space="preserve"> purpose of </w:t>
      </w:r>
      <w:r w:rsidR="0071189B">
        <w:rPr>
          <w:rFonts w:ascii="Gill Sans MT" w:hAnsi="Gill Sans MT"/>
          <w:szCs w:val="26"/>
        </w:rPr>
        <w:t>this final CES report</w:t>
      </w:r>
      <w:r w:rsidR="00F405B9">
        <w:rPr>
          <w:rFonts w:ascii="Gill Sans MT" w:hAnsi="Gill Sans MT"/>
          <w:szCs w:val="26"/>
        </w:rPr>
        <w:t xml:space="preserve"> is</w:t>
      </w:r>
      <w:r>
        <w:rPr>
          <w:rFonts w:ascii="Gill Sans MT" w:hAnsi="Gill Sans MT"/>
          <w:szCs w:val="26"/>
        </w:rPr>
        <w:t>:</w:t>
      </w:r>
    </w:p>
    <w:p w14:paraId="727FA8FD" w14:textId="7A329FF9" w:rsidR="00054DE1" w:rsidRPr="00C172AB" w:rsidRDefault="00CD7DF0" w:rsidP="00FD0C3F">
      <w:pPr>
        <w:pStyle w:val="ListParagraph"/>
        <w:numPr>
          <w:ilvl w:val="0"/>
          <w:numId w:val="13"/>
        </w:numPr>
        <w:autoSpaceDE w:val="0"/>
        <w:autoSpaceDN w:val="0"/>
        <w:adjustRightInd w:val="0"/>
        <w:rPr>
          <w:rFonts w:ascii="Gill Sans MT" w:hAnsi="Gill Sans MT"/>
          <w:szCs w:val="26"/>
        </w:rPr>
      </w:pPr>
      <w:r>
        <w:rPr>
          <w:rFonts w:ascii="Gill Sans MT" w:hAnsi="Gill Sans MT"/>
          <w:szCs w:val="26"/>
        </w:rPr>
        <w:t xml:space="preserve">to </w:t>
      </w:r>
      <w:r w:rsidR="0071189B">
        <w:rPr>
          <w:rFonts w:ascii="Gill Sans MT" w:hAnsi="Gill Sans MT"/>
          <w:szCs w:val="26"/>
        </w:rPr>
        <w:t>p</w:t>
      </w:r>
      <w:r w:rsidR="00054DE1" w:rsidRPr="00C172AB">
        <w:rPr>
          <w:rFonts w:ascii="Gill Sans MT" w:hAnsi="Gill Sans MT"/>
          <w:szCs w:val="26"/>
        </w:rPr>
        <w:t>resent an independent assessment of the</w:t>
      </w:r>
      <w:r w:rsidR="00C172AB">
        <w:rPr>
          <w:rFonts w:ascii="Gill Sans MT" w:hAnsi="Gill Sans MT"/>
          <w:szCs w:val="26"/>
        </w:rPr>
        <w:t xml:space="preserve"> implementation of the</w:t>
      </w:r>
      <w:r w:rsidR="00054DE1" w:rsidRPr="00C172AB">
        <w:rPr>
          <w:rFonts w:ascii="Gill Sans MT" w:hAnsi="Gill Sans MT"/>
          <w:szCs w:val="26"/>
        </w:rPr>
        <w:t xml:space="preserve"> CES over the past 10 years</w:t>
      </w:r>
      <w:r w:rsidR="0071189B">
        <w:rPr>
          <w:rFonts w:ascii="Gill Sans MT" w:hAnsi="Gill Sans MT"/>
          <w:szCs w:val="26"/>
        </w:rPr>
        <w:t>,</w:t>
      </w:r>
    </w:p>
    <w:p w14:paraId="791A313C" w14:textId="62BBDF8B" w:rsidR="00C172AB" w:rsidRDefault="00CD7DF0" w:rsidP="00FD0C3F">
      <w:pPr>
        <w:pStyle w:val="ListParagraph"/>
        <w:numPr>
          <w:ilvl w:val="0"/>
          <w:numId w:val="13"/>
        </w:numPr>
        <w:autoSpaceDE w:val="0"/>
        <w:autoSpaceDN w:val="0"/>
        <w:adjustRightInd w:val="0"/>
        <w:rPr>
          <w:rFonts w:ascii="Gill Sans MT" w:hAnsi="Gill Sans MT"/>
          <w:szCs w:val="26"/>
        </w:rPr>
      </w:pPr>
      <w:r>
        <w:rPr>
          <w:rFonts w:ascii="Gill Sans MT" w:hAnsi="Gill Sans MT"/>
          <w:szCs w:val="26"/>
        </w:rPr>
        <w:t xml:space="preserve">to </w:t>
      </w:r>
      <w:r w:rsidR="007F667A" w:rsidRPr="00C172AB">
        <w:rPr>
          <w:rFonts w:ascii="Gill Sans MT" w:hAnsi="Gill Sans MT"/>
          <w:szCs w:val="26"/>
        </w:rPr>
        <w:t>examine</w:t>
      </w:r>
      <w:r w:rsidR="00F743D8" w:rsidRPr="00C172AB">
        <w:rPr>
          <w:rFonts w:ascii="Gill Sans MT" w:hAnsi="Gill Sans MT"/>
          <w:szCs w:val="26"/>
        </w:rPr>
        <w:t xml:space="preserve"> the</w:t>
      </w:r>
      <w:r w:rsidR="00F405B9" w:rsidRPr="00C172AB">
        <w:rPr>
          <w:rFonts w:ascii="Gill Sans MT" w:hAnsi="Gill Sans MT"/>
          <w:szCs w:val="26"/>
        </w:rPr>
        <w:t xml:space="preserve"> </w:t>
      </w:r>
      <w:r w:rsidR="00A13820" w:rsidRPr="00C172AB">
        <w:rPr>
          <w:rFonts w:ascii="Gill Sans MT" w:hAnsi="Gill Sans MT"/>
          <w:szCs w:val="26"/>
        </w:rPr>
        <w:t>suite of indicators</w:t>
      </w:r>
      <w:r w:rsidR="00F405B9" w:rsidRPr="00C172AB">
        <w:rPr>
          <w:rFonts w:ascii="Gill Sans MT" w:hAnsi="Gill Sans MT"/>
          <w:szCs w:val="26"/>
        </w:rPr>
        <w:t xml:space="preserve"> a final time in order to assess progress over the </w:t>
      </w:r>
      <w:r w:rsidR="00873878" w:rsidRPr="00C172AB">
        <w:rPr>
          <w:rFonts w:ascii="Gill Sans MT" w:hAnsi="Gill Sans MT"/>
          <w:szCs w:val="26"/>
        </w:rPr>
        <w:t>lifetime</w:t>
      </w:r>
      <w:r w:rsidR="00F743D8" w:rsidRPr="00C172AB">
        <w:rPr>
          <w:rFonts w:ascii="Gill Sans MT" w:hAnsi="Gill Sans MT"/>
          <w:szCs w:val="26"/>
        </w:rPr>
        <w:t xml:space="preserve"> of the</w:t>
      </w:r>
      <w:r w:rsidR="00F405B9" w:rsidRPr="00C172AB">
        <w:rPr>
          <w:rFonts w:ascii="Gill Sans MT" w:hAnsi="Gill Sans MT"/>
          <w:szCs w:val="26"/>
        </w:rPr>
        <w:t xml:space="preserve"> </w:t>
      </w:r>
      <w:r w:rsidR="00F743D8" w:rsidRPr="00C172AB">
        <w:rPr>
          <w:rFonts w:ascii="Gill Sans MT" w:hAnsi="Gill Sans MT"/>
          <w:szCs w:val="26"/>
        </w:rPr>
        <w:t>s</w:t>
      </w:r>
      <w:r w:rsidR="00F405B9" w:rsidRPr="00C172AB">
        <w:rPr>
          <w:rFonts w:ascii="Gill Sans MT" w:hAnsi="Gill Sans MT"/>
          <w:szCs w:val="26"/>
        </w:rPr>
        <w:t>trategy</w:t>
      </w:r>
      <w:r w:rsidR="0071189B">
        <w:rPr>
          <w:rFonts w:ascii="Gill Sans MT" w:hAnsi="Gill Sans MT"/>
          <w:szCs w:val="26"/>
        </w:rPr>
        <w:t>, and</w:t>
      </w:r>
    </w:p>
    <w:p w14:paraId="4A2FE241" w14:textId="5B69935E" w:rsidR="002B009E" w:rsidRPr="00C172AB" w:rsidRDefault="00CD7DF0" w:rsidP="00FD0C3F">
      <w:pPr>
        <w:pStyle w:val="ListParagraph"/>
        <w:numPr>
          <w:ilvl w:val="0"/>
          <w:numId w:val="13"/>
        </w:numPr>
        <w:autoSpaceDE w:val="0"/>
        <w:autoSpaceDN w:val="0"/>
        <w:adjustRightInd w:val="0"/>
        <w:rPr>
          <w:rFonts w:ascii="Gill Sans MT" w:hAnsi="Gill Sans MT"/>
          <w:szCs w:val="26"/>
        </w:rPr>
      </w:pPr>
      <w:r>
        <w:rPr>
          <w:rFonts w:ascii="Gill Sans MT" w:hAnsi="Gill Sans MT"/>
          <w:szCs w:val="26"/>
        </w:rPr>
        <w:t xml:space="preserve">to </w:t>
      </w:r>
      <w:r w:rsidR="0071189B">
        <w:rPr>
          <w:rFonts w:ascii="Gill Sans MT" w:hAnsi="Gill Sans MT"/>
          <w:szCs w:val="26"/>
        </w:rPr>
        <w:t>i</w:t>
      </w:r>
      <w:r w:rsidR="00054DE1" w:rsidRPr="00C172AB">
        <w:rPr>
          <w:rFonts w:ascii="Gill Sans MT" w:hAnsi="Gill Sans MT"/>
          <w:szCs w:val="26"/>
        </w:rPr>
        <w:t>dentify areas that still need to be progressed</w:t>
      </w:r>
      <w:r>
        <w:rPr>
          <w:rFonts w:ascii="Gill Sans MT" w:hAnsi="Gill Sans MT"/>
          <w:szCs w:val="26"/>
        </w:rPr>
        <w:t>,</w:t>
      </w:r>
      <w:r w:rsidR="00AE345D">
        <w:rPr>
          <w:rFonts w:ascii="Gill Sans MT" w:hAnsi="Gill Sans MT"/>
          <w:szCs w:val="26"/>
        </w:rPr>
        <w:t xml:space="preserve"> in order </w:t>
      </w:r>
      <w:r w:rsidR="00054DE1" w:rsidRPr="00C172AB">
        <w:rPr>
          <w:rFonts w:ascii="Gill Sans MT" w:hAnsi="Gill Sans MT"/>
          <w:szCs w:val="26"/>
        </w:rPr>
        <w:t>to inform</w:t>
      </w:r>
      <w:r w:rsidR="00C172AB" w:rsidRPr="00C172AB">
        <w:rPr>
          <w:rFonts w:ascii="Gill Sans MT" w:hAnsi="Gill Sans MT"/>
          <w:szCs w:val="26"/>
        </w:rPr>
        <w:t xml:space="preserve"> </w:t>
      </w:r>
      <w:r w:rsidR="002B009E" w:rsidRPr="00C172AB">
        <w:rPr>
          <w:rFonts w:ascii="Gill Sans MT" w:hAnsi="Gill Sans MT"/>
          <w:szCs w:val="26"/>
        </w:rPr>
        <w:t xml:space="preserve">the work </w:t>
      </w:r>
      <w:r w:rsidR="00AB2CFA">
        <w:rPr>
          <w:rFonts w:ascii="Gill Sans MT" w:hAnsi="Gill Sans MT"/>
          <w:szCs w:val="26"/>
        </w:rPr>
        <w:t>on employment in the</w:t>
      </w:r>
      <w:r w:rsidR="002B009E" w:rsidRPr="00C172AB">
        <w:rPr>
          <w:rFonts w:ascii="Gill Sans MT" w:hAnsi="Gill Sans MT"/>
          <w:szCs w:val="26"/>
        </w:rPr>
        <w:t xml:space="preserve"> </w:t>
      </w:r>
      <w:r w:rsidR="0071189B">
        <w:rPr>
          <w:rFonts w:ascii="Gill Sans MT" w:hAnsi="Gill Sans MT"/>
          <w:szCs w:val="26"/>
        </w:rPr>
        <w:t>forthcoming</w:t>
      </w:r>
      <w:r w:rsidR="002B009E" w:rsidRPr="00C172AB">
        <w:rPr>
          <w:rFonts w:ascii="Gill Sans MT" w:hAnsi="Gill Sans MT"/>
          <w:szCs w:val="26"/>
        </w:rPr>
        <w:t xml:space="preserve"> National Disability Strategy</w:t>
      </w:r>
      <w:r w:rsidR="0071189B">
        <w:rPr>
          <w:rFonts w:ascii="Gill Sans MT" w:hAnsi="Gill Sans MT"/>
          <w:szCs w:val="26"/>
        </w:rPr>
        <w:t xml:space="preserve"> (NDS). The NDS will be the </w:t>
      </w:r>
      <w:r w:rsidR="002B009E" w:rsidRPr="00C172AB">
        <w:rPr>
          <w:rFonts w:ascii="Gill Sans MT" w:hAnsi="Gill Sans MT"/>
          <w:szCs w:val="26"/>
        </w:rPr>
        <w:t xml:space="preserve">government’s approach to improving employment outcomes of </w:t>
      </w:r>
      <w:r w:rsidR="00B14C0F" w:rsidRPr="00C172AB">
        <w:rPr>
          <w:rFonts w:ascii="Gill Sans MT" w:hAnsi="Gill Sans MT"/>
          <w:szCs w:val="26"/>
        </w:rPr>
        <w:t>disabled people</w:t>
      </w:r>
      <w:r w:rsidR="002B009E" w:rsidRPr="00C172AB">
        <w:rPr>
          <w:rFonts w:ascii="Gill Sans MT" w:hAnsi="Gill Sans MT"/>
          <w:szCs w:val="26"/>
        </w:rPr>
        <w:t xml:space="preserve"> in Ireland</w:t>
      </w:r>
      <w:r w:rsidR="0071189B">
        <w:rPr>
          <w:rFonts w:ascii="Gill Sans MT" w:hAnsi="Gill Sans MT"/>
          <w:szCs w:val="26"/>
        </w:rPr>
        <w:t xml:space="preserve"> </w:t>
      </w:r>
      <w:r w:rsidR="00940F28">
        <w:rPr>
          <w:rFonts w:ascii="Gill Sans MT" w:hAnsi="Gill Sans MT"/>
          <w:szCs w:val="26"/>
        </w:rPr>
        <w:t>over the</w:t>
      </w:r>
      <w:r w:rsidR="0071189B">
        <w:rPr>
          <w:rFonts w:ascii="Gill Sans MT" w:hAnsi="Gill Sans MT"/>
          <w:szCs w:val="26"/>
        </w:rPr>
        <w:t xml:space="preserve"> coming years</w:t>
      </w:r>
      <w:r w:rsidR="002B009E" w:rsidRPr="00C172AB">
        <w:rPr>
          <w:rFonts w:ascii="Gill Sans MT" w:hAnsi="Gill Sans MT"/>
          <w:szCs w:val="26"/>
        </w:rPr>
        <w:t>.</w:t>
      </w:r>
    </w:p>
    <w:p w14:paraId="6C0E9710" w14:textId="34024E1C" w:rsidR="00481DDB" w:rsidRDefault="00481DDB" w:rsidP="00481DDB">
      <w:pPr>
        <w:pStyle w:val="Heading2"/>
      </w:pPr>
      <w:bookmarkStart w:id="53" w:name="_Toc182555534"/>
      <w:bookmarkStart w:id="54" w:name="_Toc182555700"/>
      <w:r>
        <w:t>Contextual factors</w:t>
      </w:r>
      <w:bookmarkEnd w:id="53"/>
      <w:bookmarkEnd w:id="54"/>
    </w:p>
    <w:p w14:paraId="1DB2131B" w14:textId="32AB396B" w:rsidR="004D0AC5" w:rsidRDefault="00522E82" w:rsidP="00481DDB">
      <w:r>
        <w:t xml:space="preserve">The </w:t>
      </w:r>
      <w:r w:rsidR="00A7252B">
        <w:t xml:space="preserve">disability employment </w:t>
      </w:r>
      <w:r>
        <w:t xml:space="preserve">policy </w:t>
      </w:r>
      <w:r w:rsidR="00AD7961">
        <w:t>environment</w:t>
      </w:r>
      <w:r w:rsidR="00A7252B">
        <w:t xml:space="preserve"> has</w:t>
      </w:r>
      <w:r w:rsidR="00AD7961">
        <w:t xml:space="preserve"> </w:t>
      </w:r>
      <w:r>
        <w:t xml:space="preserve">changed significantly over the 10-year </w:t>
      </w:r>
      <w:r w:rsidR="00940F28">
        <w:t>lifetime</w:t>
      </w:r>
      <w:r>
        <w:t xml:space="preserve"> of the CES. </w:t>
      </w:r>
      <w:r w:rsidR="004C63C8">
        <w:t xml:space="preserve">During this period, in 2018, Ireland ratified the United Nations Convention on the Rights of Persons with Disabilities (UNCRPD). Article 27 of this Convention recognises the right of persons with disabilities to work on an equal basis with others. </w:t>
      </w:r>
      <w:r w:rsidR="00953936">
        <w:t>The</w:t>
      </w:r>
      <w:r>
        <w:t xml:space="preserve"> </w:t>
      </w:r>
      <w:r w:rsidR="00AD7961">
        <w:t xml:space="preserve">global financial crisis had prolonged </w:t>
      </w:r>
      <w:r w:rsidR="004D0AC5">
        <w:t>aftereffects</w:t>
      </w:r>
      <w:r>
        <w:t xml:space="preserve"> </w:t>
      </w:r>
      <w:r w:rsidR="00AD7961">
        <w:t>in Ireland</w:t>
      </w:r>
      <w:r>
        <w:t xml:space="preserve"> </w:t>
      </w:r>
      <w:r w:rsidR="00AD7961">
        <w:t xml:space="preserve">during the early years </w:t>
      </w:r>
      <w:r>
        <w:t>of the strategy</w:t>
      </w:r>
      <w:r w:rsidR="00AD7961">
        <w:t>. By 2020,</w:t>
      </w:r>
      <w:r>
        <w:t xml:space="preserve"> </w:t>
      </w:r>
      <w:r w:rsidR="00940F28">
        <w:t xml:space="preserve">the </w:t>
      </w:r>
      <w:r>
        <w:t>C</w:t>
      </w:r>
      <w:r w:rsidR="00703626">
        <w:t>OVID</w:t>
      </w:r>
      <w:r w:rsidR="00940F28">
        <w:t>-</w:t>
      </w:r>
      <w:r w:rsidR="004D0AC5">
        <w:t xml:space="preserve">19 </w:t>
      </w:r>
      <w:r w:rsidR="00940F28">
        <w:t xml:space="preserve">pandemic </w:t>
      </w:r>
      <w:r w:rsidR="009B519A">
        <w:t xml:space="preserve">had </w:t>
      </w:r>
      <w:r w:rsidR="004D0AC5">
        <w:t>impact</w:t>
      </w:r>
      <w:r w:rsidR="00AD7961">
        <w:t>ed all levels of lived experience of disab</w:t>
      </w:r>
      <w:r w:rsidR="00C73500">
        <w:t>led people</w:t>
      </w:r>
      <w:r w:rsidR="00533790">
        <w:t xml:space="preserve">. While employment was one domain affected, impacts relating to reduced </w:t>
      </w:r>
      <w:r w:rsidR="004D0AC5">
        <w:t>service provision</w:t>
      </w:r>
      <w:r w:rsidR="00533790">
        <w:t xml:space="preserve">, increasing </w:t>
      </w:r>
      <w:r w:rsidR="004D3F6A">
        <w:t>isolation</w:t>
      </w:r>
      <w:r w:rsidR="00940F28">
        <w:t>,</w:t>
      </w:r>
      <w:r w:rsidR="004D3F6A">
        <w:t xml:space="preserve"> </w:t>
      </w:r>
      <w:r w:rsidR="002F5D58">
        <w:t>and</w:t>
      </w:r>
      <w:r w:rsidR="00940F28">
        <w:t xml:space="preserve"> more</w:t>
      </w:r>
      <w:r w:rsidR="002F5D58">
        <w:t xml:space="preserve"> limited </w:t>
      </w:r>
      <w:r w:rsidR="00AD7961">
        <w:t>participation in society</w:t>
      </w:r>
      <w:r w:rsidR="00533790">
        <w:t xml:space="preserve"> were also experienced widely</w:t>
      </w:r>
      <w:r w:rsidR="00AD7961">
        <w:t xml:space="preserve">. However, </w:t>
      </w:r>
      <w:r w:rsidR="00B54EC5">
        <w:t>it is also a feature of this</w:t>
      </w:r>
      <w:r w:rsidR="00AD7961">
        <w:t xml:space="preserve"> strategy</w:t>
      </w:r>
      <w:r w:rsidR="00A7252B">
        <w:t>’s</w:t>
      </w:r>
      <w:r w:rsidR="00F3069F">
        <w:t xml:space="preserve"> timeline</w:t>
      </w:r>
      <w:r w:rsidR="00A7252B">
        <w:t xml:space="preserve"> </w:t>
      </w:r>
      <w:r w:rsidR="00B54EC5">
        <w:t>that</w:t>
      </w:r>
      <w:r w:rsidR="00B40A9A">
        <w:t xml:space="preserve"> </w:t>
      </w:r>
      <w:r w:rsidR="00AD7961">
        <w:t xml:space="preserve">innovations in </w:t>
      </w:r>
      <w:r w:rsidR="009B519A">
        <w:t>further education</w:t>
      </w:r>
      <w:r w:rsidR="00AD7961">
        <w:t xml:space="preserve"> provision, types of employment support</w:t>
      </w:r>
      <w:r w:rsidR="00533790">
        <w:t>,</w:t>
      </w:r>
      <w:r w:rsidR="00B54EC5">
        <w:t xml:space="preserve"> and </w:t>
      </w:r>
      <w:r w:rsidR="00AD7961">
        <w:t>approaches to remote working were initiated</w:t>
      </w:r>
      <w:r w:rsidR="00533790">
        <w:t xml:space="preserve"> as a result of the pandemic</w:t>
      </w:r>
      <w:r w:rsidR="00AD7961">
        <w:t>.</w:t>
      </w:r>
      <w:r w:rsidR="00540657">
        <w:t xml:space="preserve"> </w:t>
      </w:r>
      <w:r w:rsidR="00540657" w:rsidRPr="00540657">
        <w:t>The right to request remote working became legislation in 2024</w:t>
      </w:r>
      <w:r w:rsidR="00852CC6">
        <w:t>, for example,</w:t>
      </w:r>
      <w:r w:rsidR="00540657">
        <w:t xml:space="preserve"> a</w:t>
      </w:r>
      <w:r w:rsidR="00540657" w:rsidRPr="00540657">
        <w:t xml:space="preserve">nd this </w:t>
      </w:r>
      <w:r w:rsidR="00570D8D">
        <w:t>provides an</w:t>
      </w:r>
      <w:r w:rsidR="00540657" w:rsidRPr="00540657">
        <w:t xml:space="preserve"> important new </w:t>
      </w:r>
      <w:r w:rsidR="00570D8D">
        <w:t>opportunity</w:t>
      </w:r>
      <w:r w:rsidR="00540657" w:rsidRPr="00540657">
        <w:t xml:space="preserve"> for disabled people who want to work remotely. Practical guidance for employers and employees on how to make and handle requests for remote </w:t>
      </w:r>
      <w:r w:rsidR="00540657">
        <w:t xml:space="preserve">and flexible </w:t>
      </w:r>
      <w:r w:rsidR="00540657" w:rsidRPr="00540657">
        <w:t>working was prepared by the Workplace Relations Commission (WRC)</w:t>
      </w:r>
      <w:r w:rsidR="00540657">
        <w:t xml:space="preserve">. </w:t>
      </w:r>
      <w:r w:rsidR="00540657">
        <w:fldChar w:fldCharType="begin"/>
      </w:r>
      <w:r w:rsidR="00540657">
        <w:instrText xml:space="preserve"> ADDIN ZOTERO_ITEM CSL_CITATION {"citationID":"JPbLOdu3","properties":{"formattedCitation":"(5)","plainCitation":"(5)","noteIndex":0},"citationItems":[{"id":342,"uris":["http://zotero.org/users/local/kvLunvBP/items/MKNT7N6Z"],"itemData":{"id":342,"type":"webpage","abstract":"Code of Practice for Employers and Employees Right to Request Flexible Working and Right to Request Remote Working.","container-title":"Workplace Relations Commission","language":"en","title":"Code of Practice for Employers and Employees Right to Request Flexible Working and Right to Request Remote Working","URL":"https://www.workplacerelations.ie/en/what_you_should_know/codes_practice/code-of-practice-for-employers-and-employees-right-to-request-flexible-working-and-right-to-request-remote-working/","accessed":{"date-parts":[["2024",11,7]]}}}],"schema":"https://github.com/citation-style-language/schema/raw/master/csl-citation.json"} </w:instrText>
      </w:r>
      <w:r w:rsidR="00540657">
        <w:fldChar w:fldCharType="separate"/>
      </w:r>
      <w:r w:rsidR="00540657" w:rsidRPr="00540657">
        <w:t>(5)</w:t>
      </w:r>
      <w:r w:rsidR="00540657">
        <w:fldChar w:fldCharType="end"/>
      </w:r>
    </w:p>
    <w:p w14:paraId="5456D642" w14:textId="3BF601C3" w:rsidR="00AD1673" w:rsidRDefault="00953936" w:rsidP="00481DDB">
      <w:r>
        <w:t xml:space="preserve">Post-pandemic, </w:t>
      </w:r>
      <w:r w:rsidR="00AD1673" w:rsidRPr="00AD1673">
        <w:t>Ireland is now experiencing full employmen</w:t>
      </w:r>
      <w:r w:rsidR="00AD1673">
        <w:t xml:space="preserve">t, meaning that most people who are willing and have capacity to work have jobs, with overall unemployment rates being very low. While increased demand for labour should </w:t>
      </w:r>
      <w:r w:rsidR="00104EA3">
        <w:t xml:space="preserve">theoretically </w:t>
      </w:r>
      <w:r w:rsidR="00AD1673">
        <w:t xml:space="preserve">provide increased </w:t>
      </w:r>
      <w:r>
        <w:t xml:space="preserve">employment </w:t>
      </w:r>
      <w:r w:rsidR="00AD1673">
        <w:t>opportunities for disabled people who wish to work, Ireland continues to have one of the largest disability employment gaps in the European Union</w:t>
      </w:r>
      <w:r w:rsidR="00724F73">
        <w:t>.</w:t>
      </w:r>
      <w:r w:rsidR="00BB69D6">
        <w:t xml:space="preserve"> </w:t>
      </w:r>
      <w:r w:rsidR="00BB69D6">
        <w:fldChar w:fldCharType="begin"/>
      </w:r>
      <w:r w:rsidR="00540657">
        <w:instrText xml:space="preserve"> ADDIN ZOTERO_ITEM CSL_CITATION {"citationID":"VdcZurQl","properties":{"formattedCitation":"(6)","plainCitation":"(6)","noteIndex":0},"citationItems":[{"id":293,"uris":["http://zotero.org/users/local/kvLunvBP/items/LXXBCRRX"],"itemData":{"id":293,"type":"book","abstract":"Across OECD countries, one in seven working-age adults identifies as having a disability. This report proposes policy recommendations to the Irish government to improve the participation of persons with disabilities.","event-place":"Paris","language":"en","publisher":"Organisation for Economic Co-operation and Development","publisher-place":"Paris","source":"OECD iLibrary","title":"Disability, Work and Inclusion in Ireland: Engaging and Supporting Employers","title-short":"Disability, Work and Inclusion in Ireland","URL":"https://www.oecd-ilibrary.org/employment/disability-work-and-inclusion-in-ireland_74b45baa-en","author":[{"literal":"OECD"}],"accessed":{"date-parts":[["2024",10,18]]},"issued":{"date-parts":[["2021"]]}}}],"schema":"https://github.com/citation-style-language/schema/raw/master/csl-citation.json"} </w:instrText>
      </w:r>
      <w:r w:rsidR="00BB69D6">
        <w:fldChar w:fldCharType="separate"/>
      </w:r>
      <w:r w:rsidR="00540657" w:rsidRPr="00540657">
        <w:t>(6)</w:t>
      </w:r>
      <w:r w:rsidR="00BB69D6">
        <w:fldChar w:fldCharType="end"/>
      </w:r>
      <w:r w:rsidR="00AD1673">
        <w:t xml:space="preserve"> </w:t>
      </w:r>
      <w:r w:rsidR="00AD1673" w:rsidRPr="00AD1673">
        <w:t>Strong reaction from stakeholders to proposals contained in a Green Paper on reform of disability payments</w:t>
      </w:r>
      <w:r w:rsidR="00AD1673">
        <w:t xml:space="preserve"> (</w:t>
      </w:r>
      <w:r w:rsidR="00AD1673" w:rsidRPr="00AD1673">
        <w:t>published in 2023 and later withdrawn</w:t>
      </w:r>
      <w:r w:rsidR="00AD1673">
        <w:t xml:space="preserve">) </w:t>
      </w:r>
      <w:r w:rsidR="00C0772E">
        <w:fldChar w:fldCharType="begin"/>
      </w:r>
      <w:r w:rsidR="00C0772E">
        <w:instrText xml:space="preserve"> ADDIN ZOTERO_ITEM CSL_CITATION {"citationID":"fI8qTPGL","properties":{"formattedCitation":"(7)","plainCitation":"(7)","noteIndex":0},"citationItems":[{"id":343,"uris":["http://zotero.org/users/local/kvLunvBP/items/C2PIVTRK"],"itemData":{"id":343,"type":"report","abstract":"Disability Reform to restructure long-term disability payments. Individuals and stakeholder organisations are invited to share their views with us.","language":"en","title":"Green Paper on Disability Reform: A Public Consultation to Reform Disability Payments in Ireland","title-short":"Green Paper on Disability Reform","URL":"https://www.gov.ie/en/consultation/3b001-green-paper-on-disability-reform-a-public-consultation-to-reform-disability-payments-in-ireland/","author":[{"family":"Department of Social Protection","given":""}],"accessed":{"date-parts":[["2024",11,11]]},"issued":{"date-parts":[["2023",9,20]]}}}],"schema":"https://github.com/citation-style-language/schema/raw/master/csl-citation.json"} </w:instrText>
      </w:r>
      <w:r w:rsidR="00C0772E">
        <w:fldChar w:fldCharType="separate"/>
      </w:r>
      <w:r w:rsidR="00C0772E" w:rsidRPr="00C0772E">
        <w:t>(7)</w:t>
      </w:r>
      <w:r w:rsidR="00C0772E">
        <w:fldChar w:fldCharType="end"/>
      </w:r>
      <w:r w:rsidR="00C0772E">
        <w:t xml:space="preserve"> </w:t>
      </w:r>
      <w:r w:rsidR="00AD1673" w:rsidRPr="00AD1673">
        <w:t xml:space="preserve">illustrated that the concept of ‘capacity to work’ is a complex issue in the context of disability, and one that requires further research </w:t>
      </w:r>
      <w:r w:rsidR="0001753B">
        <w:t>centring</w:t>
      </w:r>
      <w:r w:rsidR="00570D8D">
        <w:t xml:space="preserve"> on</w:t>
      </w:r>
      <w:r w:rsidR="00AD1673" w:rsidRPr="00AD1673">
        <w:t xml:space="preserve"> the experiences of disabled people. While having a job can provide an individual with economic independence, social inclusion, and personal fulfilment, it is</w:t>
      </w:r>
      <w:r w:rsidR="00AD1673">
        <w:t xml:space="preserve"> also</w:t>
      </w:r>
      <w:r w:rsidR="00AD1673" w:rsidRPr="00AD1673">
        <w:t xml:space="preserve"> clear that access to employment is not a panacea for poverty among disabled people, particularly given the high additional costs associated with having a disability that exist in Ireland.</w:t>
      </w:r>
      <w:r w:rsidR="000500A2">
        <w:t xml:space="preserve"> A report on the costs of disability in Ireland by the consultants Indecon emphasised that employment was one potential means of reducing the impact of the cost of disability, but that it should not be the sole area of policy focus.</w:t>
      </w:r>
      <w:r w:rsidR="00AD1673" w:rsidRPr="00AD1673">
        <w:t xml:space="preserve"> </w:t>
      </w:r>
      <w:r w:rsidR="00BB69D6">
        <w:fldChar w:fldCharType="begin"/>
      </w:r>
      <w:r w:rsidR="00C0772E">
        <w:instrText xml:space="preserve"> ADDIN ZOTERO_ITEM CSL_CITATION {"citationID":"xxV9JTcC","properties":{"formattedCitation":"(8)","plainCitation":"(8)","noteIndex":0},"citationItems":[{"id":100,"uris":["http://zotero.org/users/local/kvLunvBP/items/3PINK7QW"],"itemData":{"id":100,"type":"report","abstract":"A research report by Indecon International Research Economists about the cost of disability in Ireland.","language":"en","title":"The Cost of Disability in Ireland – Research Report","URL":"https://www.gov.ie/en/publication/1d84e-the-cost-of-disability-in-ireland-research-report/","author":[{"family":"Indecon","given":""}],"accessed":{"date-parts":[["2024",1,10]]},"issued":{"date-parts":[["2021",12,7]]}}}],"schema":"https://github.com/citation-style-language/schema/raw/master/csl-citation.json"} </w:instrText>
      </w:r>
      <w:r w:rsidR="00BB69D6">
        <w:fldChar w:fldCharType="separate"/>
      </w:r>
      <w:r w:rsidR="00C0772E" w:rsidRPr="00C0772E">
        <w:t>(8)</w:t>
      </w:r>
      <w:r w:rsidR="00BB69D6">
        <w:fldChar w:fldCharType="end"/>
      </w:r>
    </w:p>
    <w:p w14:paraId="45CF3CF2" w14:textId="34015D1A" w:rsidR="00605A57" w:rsidRDefault="00953936" w:rsidP="009E01C3">
      <w:pPr>
        <w:pStyle w:val="ListBullet"/>
        <w:numPr>
          <w:ilvl w:val="0"/>
          <w:numId w:val="0"/>
        </w:numPr>
      </w:pPr>
      <w:r>
        <w:t>While a</w:t>
      </w:r>
      <w:r w:rsidR="001A13C7">
        <w:t xml:space="preserve"> central</w:t>
      </w:r>
      <w:r w:rsidR="00605A57">
        <w:t xml:space="preserve"> objective of the CES was to ensure that s</w:t>
      </w:r>
      <w:r w:rsidR="00605A57" w:rsidRPr="002C3231">
        <w:t xml:space="preserve">upport systems </w:t>
      </w:r>
      <w:r w:rsidR="001A13C7">
        <w:t>which traverse</w:t>
      </w:r>
      <w:r w:rsidR="00605A57" w:rsidRPr="002C3231">
        <w:t xml:space="preserve"> departmental or agency boundaries </w:t>
      </w:r>
      <w:r w:rsidR="001A13C7">
        <w:t>‘</w:t>
      </w:r>
      <w:r w:rsidR="00605A57" w:rsidRPr="002C3231">
        <w:t xml:space="preserve">are mutually coherent and provide a </w:t>
      </w:r>
      <w:r w:rsidR="00605A57" w:rsidRPr="00EF550E">
        <w:rPr>
          <w:bCs/>
        </w:rPr>
        <w:t>joined-up</w:t>
      </w:r>
      <w:r w:rsidR="00605A57" w:rsidRPr="002C3231">
        <w:t xml:space="preserve"> system and joined-up pathways</w:t>
      </w:r>
      <w:r w:rsidR="00605A57">
        <w:t>’</w:t>
      </w:r>
      <w:r w:rsidR="009E01C3">
        <w:t xml:space="preserve"> </w:t>
      </w:r>
      <w:r w:rsidR="009E01C3">
        <w:fldChar w:fldCharType="begin"/>
      </w:r>
      <w:r w:rsidR="00677CE3">
        <w:instrText xml:space="preserve"> ADDIN ZOTERO_ITEM CSL_CITATION {"citationID":"WevhAcZ4","properties":{"formattedCitation":"(1)","plainCitation":"(1)","dontUpdate":true,"noteIndex":0},"citationItems":[{"id":155,"uris":["http://zotero.org/users/local/kvLunvBP/items/67YBNVMH"],"itemData":{"id":155,"type":"report","abstract":"Explaining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9E01C3">
        <w:fldChar w:fldCharType="separate"/>
      </w:r>
      <w:r w:rsidR="009E01C3" w:rsidRPr="009E01C3">
        <w:t>(1</w:t>
      </w:r>
      <w:r w:rsidR="009E01C3">
        <w:t>, p.4</w:t>
      </w:r>
      <w:r w:rsidR="009E01C3" w:rsidRPr="009E01C3">
        <w:t>)</w:t>
      </w:r>
      <w:r w:rsidR="009E01C3">
        <w:fldChar w:fldCharType="end"/>
      </w:r>
      <w:r>
        <w:t xml:space="preserve">, </w:t>
      </w:r>
      <w:r w:rsidR="009E01C3" w:rsidRPr="009E01C3">
        <w:t>disabled people have continued to experience fragmentation of services and supports to access employment</w:t>
      </w:r>
      <w:r>
        <w:t xml:space="preserve"> over the lifetime of the CES</w:t>
      </w:r>
      <w:r w:rsidR="009E01C3" w:rsidRPr="009E01C3">
        <w:t>.</w:t>
      </w:r>
      <w:r w:rsidR="009E01C3">
        <w:t xml:space="preserve"> This has been reported frequently to the NDA by people with disabilities over a series of consultation activities</w:t>
      </w:r>
      <w:r w:rsidR="00DB2579">
        <w:t xml:space="preserve"> in recent years</w:t>
      </w:r>
      <w:r w:rsidR="009E01C3">
        <w:t>.</w:t>
      </w:r>
    </w:p>
    <w:p w14:paraId="009E34E2" w14:textId="041153FC" w:rsidR="00481DDB" w:rsidRDefault="004D3F6A" w:rsidP="004D3F6A">
      <w:r>
        <w:t xml:space="preserve">While the Department of Children, </w:t>
      </w:r>
      <w:r w:rsidR="00B54EC5">
        <w:t>E</w:t>
      </w:r>
      <w:r>
        <w:t>quality</w:t>
      </w:r>
      <w:r w:rsidR="00533790">
        <w:t>,</w:t>
      </w:r>
      <w:r>
        <w:t xml:space="preserve"> Disability</w:t>
      </w:r>
      <w:r w:rsidR="00533790">
        <w:t xml:space="preserve">, </w:t>
      </w:r>
      <w:r>
        <w:t>Integration and Youth</w:t>
      </w:r>
      <w:r w:rsidR="00533790">
        <w:t xml:space="preserve"> (DCEDIY)</w:t>
      </w:r>
      <w:r w:rsidR="00115B50" w:rsidRPr="00233BC4">
        <w:rPr>
          <w:rStyle w:val="FootnoteReference"/>
        </w:rPr>
        <w:footnoteReference w:id="1"/>
      </w:r>
      <w:r>
        <w:t xml:space="preserve"> ha</w:t>
      </w:r>
      <w:r w:rsidR="00C73500">
        <w:t>s</w:t>
      </w:r>
      <w:r>
        <w:t xml:space="preserve"> shown commitment to </w:t>
      </w:r>
      <w:r w:rsidR="00533790">
        <w:t xml:space="preserve">both </w:t>
      </w:r>
      <w:r>
        <w:t xml:space="preserve">the CES and the </w:t>
      </w:r>
      <w:r w:rsidR="00C73500">
        <w:t xml:space="preserve">National Disability Inclusion Strategy </w:t>
      </w:r>
      <w:r w:rsidR="00BF2755">
        <w:t>2017</w:t>
      </w:r>
      <w:r w:rsidR="003A5A1E">
        <w:t>-</w:t>
      </w:r>
      <w:r w:rsidR="00BF2755">
        <w:t>202</w:t>
      </w:r>
      <w:r w:rsidR="003A5A1E">
        <w:t>1</w:t>
      </w:r>
      <w:r w:rsidR="00BF2755">
        <w:t xml:space="preserve"> </w:t>
      </w:r>
      <w:r w:rsidR="00C73500">
        <w:t>(NDIS) with which it overlapped</w:t>
      </w:r>
      <w:r>
        <w:t>, managing</w:t>
      </w:r>
      <w:r w:rsidR="00533790">
        <w:t xml:space="preserve"> the</w:t>
      </w:r>
      <w:r>
        <w:t xml:space="preserve"> parallel monitoring systems</w:t>
      </w:r>
      <w:r w:rsidR="003177C9">
        <w:t xml:space="preserve"> of the strategies</w:t>
      </w:r>
      <w:r>
        <w:t xml:space="preserve"> </w:t>
      </w:r>
      <w:r w:rsidR="002F5D58">
        <w:t>appears to have led</w:t>
      </w:r>
      <w:r>
        <w:t xml:space="preserve"> to challenges in consistent engagement. </w:t>
      </w:r>
      <w:r w:rsidR="009C604C">
        <w:t>An evaluation of the processes of implementation of three other national equality strategies</w:t>
      </w:r>
      <w:r w:rsidR="009C604C" w:rsidRPr="00233BC4">
        <w:rPr>
          <w:rStyle w:val="FootnoteReference"/>
        </w:rPr>
        <w:footnoteReference w:id="2"/>
      </w:r>
      <w:r w:rsidR="009C604C">
        <w:t xml:space="preserve"> for which DCEDIY had responsibility found that </w:t>
      </w:r>
      <w:r w:rsidR="00FF28DB">
        <w:t xml:space="preserve">maintaining momentum and </w:t>
      </w:r>
      <w:r w:rsidR="009C604C">
        <w:t xml:space="preserve">ensuring </w:t>
      </w:r>
      <w:r w:rsidR="009C604C" w:rsidRPr="009C604C">
        <w:t xml:space="preserve">commitment and buy-in from government departments and state agencies assigned responsibility for actions </w:t>
      </w:r>
      <w:r w:rsidR="00FF28DB">
        <w:t xml:space="preserve">across multiple strategies </w:t>
      </w:r>
      <w:r w:rsidR="009C604C" w:rsidRPr="009C604C">
        <w:t>ha</w:t>
      </w:r>
      <w:r w:rsidR="00FF28DB">
        <w:t>d</w:t>
      </w:r>
      <w:r w:rsidR="009C604C" w:rsidRPr="009C604C">
        <w:t xml:space="preserve"> been a major challenge. </w:t>
      </w:r>
      <w:r w:rsidR="00724F73">
        <w:t>‘</w:t>
      </w:r>
      <w:r w:rsidR="009C604C" w:rsidRPr="009C604C">
        <w:t>Strategy fatigue</w:t>
      </w:r>
      <w:r w:rsidR="00724F73">
        <w:t>’</w:t>
      </w:r>
      <w:r w:rsidR="009C604C" w:rsidRPr="009C604C">
        <w:t xml:space="preserve"> was reported by </w:t>
      </w:r>
      <w:r w:rsidR="009C604C">
        <w:t>officials</w:t>
      </w:r>
      <w:r w:rsidR="009C604C" w:rsidRPr="009C604C">
        <w:t xml:space="preserve"> who </w:t>
      </w:r>
      <w:r w:rsidR="009C604C">
        <w:t xml:space="preserve">were </w:t>
      </w:r>
      <w:r w:rsidR="009C604C" w:rsidRPr="009C604C">
        <w:t>committed to delivering multiple actions across multiple</w:t>
      </w:r>
      <w:r w:rsidR="003A5A1E">
        <w:t xml:space="preserve"> whole-of-government</w:t>
      </w:r>
      <w:r w:rsidR="009C604C" w:rsidRPr="009C604C">
        <w:t xml:space="preserve"> initiatives </w:t>
      </w:r>
      <w:r w:rsidR="003A5A1E">
        <w:t xml:space="preserve">and this </w:t>
      </w:r>
      <w:r w:rsidR="009C604C">
        <w:t>was reported to constrain</w:t>
      </w:r>
      <w:r w:rsidR="009C604C" w:rsidRPr="009C604C">
        <w:t xml:space="preserve"> their capacity to deliver</w:t>
      </w:r>
      <w:r w:rsidR="003A5A1E">
        <w:t xml:space="preserve">. </w:t>
      </w:r>
      <w:r w:rsidR="001A13C7">
        <w:fldChar w:fldCharType="begin"/>
      </w:r>
      <w:r w:rsidR="00C0772E">
        <w:instrText xml:space="preserve"> ADDIN ZOTERO_ITEM CSL_CITATION {"citationID":"XyRq51ep","properties":{"formattedCitation":"(9)","plainCitation":"(9)","noteIndex":0},"citationItems":[{"id":319,"uris":["http://zotero.org/users/local/kvLunvBP/items/MRX4GXT9"],"itemData":{"id":319,"type":"report","publisher":"Centre for Effective Services","title":"Realising the promise of national equality  policy. An evaluation of the processes of implementation of  three national equality strategies","URL":"https://www.gov.ie/pdf/?file=https://assets.gov.ie/263523/64481c7e-eeb8-46a0-b09f-8c27e3864978.pdf#page=null","author":[{"family":"Kavanagh","given":"Lauren"},{"family":"Sweeny","given":"Lorna"},{"family":"Farahani","given":"Zahra"},{"family":"Radomska","given":"Apolonia"},{"family":"Bailey","given":"Inez"}],"issued":{"date-parts":[["2023"]]}}}],"schema":"https://github.com/citation-style-language/schema/raw/master/csl-citation.json"} </w:instrText>
      </w:r>
      <w:r w:rsidR="001A13C7">
        <w:fldChar w:fldCharType="separate"/>
      </w:r>
      <w:r w:rsidR="00C0772E" w:rsidRPr="00C0772E">
        <w:t>(9)</w:t>
      </w:r>
      <w:r w:rsidR="001A13C7">
        <w:fldChar w:fldCharType="end"/>
      </w:r>
      <w:r w:rsidR="001A13C7">
        <w:t xml:space="preserve"> </w:t>
      </w:r>
      <w:r w:rsidR="003A5A1E">
        <w:t>This</w:t>
      </w:r>
      <w:r w:rsidR="009C604C">
        <w:t xml:space="preserve"> in turn made it difficult for </w:t>
      </w:r>
      <w:r w:rsidR="003A5A1E">
        <w:t>DCEDIY</w:t>
      </w:r>
      <w:r w:rsidR="009C604C">
        <w:t xml:space="preserve"> to maintain</w:t>
      </w:r>
      <w:r w:rsidR="003A5A1E">
        <w:t xml:space="preserve"> strong coordination and</w:t>
      </w:r>
      <w:r w:rsidR="009C604C">
        <w:t xml:space="preserve"> momentum in implementation. In relation to the CES, </w:t>
      </w:r>
      <w:r w:rsidR="003A5A1E">
        <w:t>a similar stall in</w:t>
      </w:r>
      <w:r w:rsidR="009C604C">
        <w:t xml:space="preserve"> momentum was </w:t>
      </w:r>
      <w:r>
        <w:t xml:space="preserve">clearly seen in the </w:t>
      </w:r>
      <w:r w:rsidR="002F5D58">
        <w:t>absence</w:t>
      </w:r>
      <w:r>
        <w:t xml:space="preserve"> of CESIG meetings and ongoing communications </w:t>
      </w:r>
      <w:r w:rsidR="003177C9">
        <w:t xml:space="preserve">from DCEDIY since </w:t>
      </w:r>
      <w:r w:rsidR="00735661">
        <w:t>2022</w:t>
      </w:r>
      <w:r w:rsidR="00724F73">
        <w:t xml:space="preserve"> and in the resignation of the independent Chairperson</w:t>
      </w:r>
      <w:r>
        <w:t xml:space="preserve">. </w:t>
      </w:r>
      <w:r w:rsidR="003A5A1E">
        <w:t>More recently, work</w:t>
      </w:r>
      <w:r>
        <w:t xml:space="preserve"> in </w:t>
      </w:r>
      <w:r w:rsidR="00533790">
        <w:t>DCEDIY</w:t>
      </w:r>
      <w:r>
        <w:t xml:space="preserve"> </w:t>
      </w:r>
      <w:r w:rsidR="003177C9">
        <w:t xml:space="preserve">on disability employment </w:t>
      </w:r>
      <w:r>
        <w:t xml:space="preserve">has </w:t>
      </w:r>
      <w:r w:rsidR="00115B50">
        <w:t>focused on the</w:t>
      </w:r>
      <w:r>
        <w:t xml:space="preserve"> development of a new </w:t>
      </w:r>
      <w:r w:rsidR="00115B50">
        <w:t>N</w:t>
      </w:r>
      <w:r>
        <w:t xml:space="preserve">ational </w:t>
      </w:r>
      <w:r w:rsidR="00115B50">
        <w:t>D</w:t>
      </w:r>
      <w:r>
        <w:t xml:space="preserve">isability </w:t>
      </w:r>
      <w:r w:rsidR="00115B50">
        <w:t>S</w:t>
      </w:r>
      <w:r>
        <w:t>trategy</w:t>
      </w:r>
      <w:r w:rsidR="00533790">
        <w:t>, the design of which has had a focus on</w:t>
      </w:r>
      <w:r>
        <w:t xml:space="preserve"> co</w:t>
      </w:r>
      <w:r w:rsidR="002F5D58">
        <w:t>-creation</w:t>
      </w:r>
      <w:r>
        <w:t xml:space="preserve"> and capturing lived experience.  From work currently underway, it is </w:t>
      </w:r>
      <w:r w:rsidR="00533790">
        <w:t>understood</w:t>
      </w:r>
      <w:r>
        <w:t xml:space="preserve"> that the new strategy will continue to 20</w:t>
      </w:r>
      <w:r w:rsidR="00533790">
        <w:t>30</w:t>
      </w:r>
      <w:r w:rsidR="00C414CE">
        <w:t xml:space="preserve"> </w:t>
      </w:r>
      <w:r w:rsidR="003177C9">
        <w:t xml:space="preserve">and </w:t>
      </w:r>
      <w:r w:rsidR="00C414CE">
        <w:t xml:space="preserve">will have a </w:t>
      </w:r>
      <w:r w:rsidR="00680EE6">
        <w:t>dedicated</w:t>
      </w:r>
      <w:r w:rsidR="00C414CE">
        <w:t xml:space="preserve"> employment</w:t>
      </w:r>
      <w:r w:rsidR="00680EE6">
        <w:t xml:space="preserve"> pillar</w:t>
      </w:r>
      <w:r w:rsidR="00C414CE">
        <w:t xml:space="preserve">. </w:t>
      </w:r>
    </w:p>
    <w:p w14:paraId="7E1739C4" w14:textId="1E38316E" w:rsidR="00B54EC5" w:rsidRDefault="005E3AA6" w:rsidP="00EF69CB">
      <w:bookmarkStart w:id="55" w:name="_Hlk179201629"/>
      <w:r>
        <w:t xml:space="preserve">Stakeholders </w:t>
      </w:r>
      <w:r w:rsidR="003177C9">
        <w:t xml:space="preserve">of the CES have reported to the NDA </w:t>
      </w:r>
      <w:r>
        <w:t>that</w:t>
      </w:r>
      <w:r w:rsidR="00EF69CB">
        <w:t xml:space="preserve"> personnel </w:t>
      </w:r>
      <w:r>
        <w:t xml:space="preserve">changes </w:t>
      </w:r>
      <w:r w:rsidR="00EF69CB">
        <w:t>across government departments and agencies</w:t>
      </w:r>
      <w:r>
        <w:t xml:space="preserve"> impacted on the delivery of the CES</w:t>
      </w:r>
      <w:r w:rsidR="00EF69CB">
        <w:t>. While</w:t>
      </w:r>
      <w:r>
        <w:t xml:space="preserve"> turnover of this kind</w:t>
      </w:r>
      <w:r w:rsidR="00EF69CB">
        <w:t xml:space="preserve"> is a feature of any working environment</w:t>
      </w:r>
      <w:r>
        <w:t>,</w:t>
      </w:r>
      <w:r w:rsidR="00EF69CB">
        <w:t xml:space="preserve"> the </w:t>
      </w:r>
      <w:r>
        <w:t>manner in which</w:t>
      </w:r>
      <w:r w:rsidR="00EF69CB">
        <w:t xml:space="preserve"> handover</w:t>
      </w:r>
      <w:r>
        <w:t xml:space="preserve"> was managed</w:t>
      </w:r>
      <w:r w:rsidR="00EF69CB">
        <w:t xml:space="preserve"> to ensure continuity of objectives and maintain corporate knowledge across the strategy goals</w:t>
      </w:r>
      <w:r>
        <w:t xml:space="preserve"> was criticised</w:t>
      </w:r>
      <w:r w:rsidR="00EF69CB">
        <w:t xml:space="preserve">. </w:t>
      </w:r>
      <w:r>
        <w:t xml:space="preserve">With the </w:t>
      </w:r>
      <w:r w:rsidR="00EF69CB">
        <w:t xml:space="preserve">establishment of new departments </w:t>
      </w:r>
      <w:r w:rsidR="003177C9">
        <w:t xml:space="preserve">in 2020 </w:t>
      </w:r>
      <w:r w:rsidR="00EF69CB">
        <w:t>and</w:t>
      </w:r>
      <w:r w:rsidR="0057063C">
        <w:t xml:space="preserve"> the</w:t>
      </w:r>
      <w:r w:rsidR="00EF69CB">
        <w:t xml:space="preserve"> handover of</w:t>
      </w:r>
      <w:r>
        <w:t xml:space="preserve"> responsibility for disability from the former Department of</w:t>
      </w:r>
      <w:r w:rsidR="00EF69CB">
        <w:t xml:space="preserve"> </w:t>
      </w:r>
      <w:r>
        <w:t>J</w:t>
      </w:r>
      <w:r w:rsidR="00EF69CB">
        <w:t xml:space="preserve">ustice and </w:t>
      </w:r>
      <w:r>
        <w:t>E</w:t>
      </w:r>
      <w:r w:rsidR="00EF69CB">
        <w:t>quality to</w:t>
      </w:r>
      <w:r>
        <w:t xml:space="preserve"> a</w:t>
      </w:r>
      <w:r w:rsidR="00EF69CB">
        <w:t xml:space="preserve"> </w:t>
      </w:r>
      <w:r>
        <w:t>new</w:t>
      </w:r>
      <w:r w:rsidR="00EF69CB">
        <w:t xml:space="preserve"> departmen</w:t>
      </w:r>
      <w:r>
        <w:t>t with a much broader remit</w:t>
      </w:r>
      <w:r w:rsidR="00055F2F">
        <w:t xml:space="preserve"> (DECEDIY)</w:t>
      </w:r>
      <w:r>
        <w:t xml:space="preserve">, </w:t>
      </w:r>
      <w:r w:rsidR="003177C9">
        <w:t xml:space="preserve">some </w:t>
      </w:r>
      <w:r w:rsidR="00EF69CB">
        <w:t>stakeholders</w:t>
      </w:r>
      <w:r w:rsidR="003177C9">
        <w:t xml:space="preserve"> have</w:t>
      </w:r>
      <w:r w:rsidR="00EF69CB">
        <w:t xml:space="preserve"> felt</w:t>
      </w:r>
      <w:r>
        <w:t xml:space="preserve"> that the</w:t>
      </w:r>
      <w:r w:rsidR="00EF69CB">
        <w:t xml:space="preserve"> disability agenda</w:t>
      </w:r>
      <w:r w:rsidR="006079C4">
        <w:t>, including that of disability employment,</w:t>
      </w:r>
      <w:r w:rsidR="00EF69CB">
        <w:t xml:space="preserve"> </w:t>
      </w:r>
      <w:r w:rsidR="003177C9">
        <w:t xml:space="preserve">has been </w:t>
      </w:r>
      <w:r w:rsidR="00EF69CB">
        <w:t>diminished.</w:t>
      </w:r>
      <w:bookmarkEnd w:id="55"/>
    </w:p>
    <w:p w14:paraId="511A8789" w14:textId="5C4A70FA" w:rsidR="00F3465E" w:rsidRDefault="00F3465E" w:rsidP="00EF69CB">
      <w:r>
        <w:t>Each of these contextual factors have influenced the implementation of the CES and should be borne in mind when reading the remainder of this report.</w:t>
      </w:r>
    </w:p>
    <w:p w14:paraId="02ABCE25" w14:textId="50B65CAD" w:rsidR="008517F5" w:rsidRDefault="008517F5" w:rsidP="008517F5">
      <w:pPr>
        <w:pStyle w:val="Heading2"/>
      </w:pPr>
      <w:bookmarkStart w:id="56" w:name="_Toc182555535"/>
      <w:bookmarkStart w:id="57" w:name="_Toc182555701"/>
      <w:r>
        <w:t>Structure of the report</w:t>
      </w:r>
      <w:bookmarkEnd w:id="56"/>
      <w:bookmarkEnd w:id="57"/>
    </w:p>
    <w:p w14:paraId="7CE45F3A" w14:textId="4804917F" w:rsidR="006F2EC2" w:rsidRDefault="006F2EC2" w:rsidP="006F2EC2">
      <w:r>
        <w:t xml:space="preserve">In the next section, the methodological approach to this final review of </w:t>
      </w:r>
      <w:r w:rsidR="00857A7B">
        <w:t xml:space="preserve">progress under </w:t>
      </w:r>
      <w:r>
        <w:t xml:space="preserve">the CES is described. Next, </w:t>
      </w:r>
      <w:r w:rsidR="001268CE">
        <w:t xml:space="preserve">two major outcome indicators relating to the strategy as a whole are examined, before </w:t>
      </w:r>
      <w:r>
        <w:t xml:space="preserve">each of the six strategic priority areas of the CES is considered </w:t>
      </w:r>
      <w:r w:rsidR="00DF5900">
        <w:t>in</w:t>
      </w:r>
      <w:r>
        <w:t xml:space="preserve"> turn. For each priority area, data relating to core indicators of progress are presented, followed by an assessment of key achievements</w:t>
      </w:r>
      <w:r w:rsidR="00AB2CFA">
        <w:t xml:space="preserve"> related to that strategic priority</w:t>
      </w:r>
      <w:r>
        <w:t xml:space="preserve"> and </w:t>
      </w:r>
      <w:r w:rsidR="00DF5900">
        <w:t>an analysis</w:t>
      </w:r>
      <w:r>
        <w:t xml:space="preserve"> of </w:t>
      </w:r>
      <w:r w:rsidR="00857A7B">
        <w:t>remaining gaps</w:t>
      </w:r>
      <w:r>
        <w:t>.</w:t>
      </w:r>
      <w:r w:rsidR="0047118C">
        <w:t xml:space="preserve"> </w:t>
      </w:r>
    </w:p>
    <w:p w14:paraId="508557E3" w14:textId="19536930" w:rsidR="006F2EC2" w:rsidRPr="006F2EC2" w:rsidRDefault="006F2EC2" w:rsidP="003613B1">
      <w:r>
        <w:t xml:space="preserve">The report concludes with an account of the key lessons learned from the implementation and monitoring of the CES, as well as </w:t>
      </w:r>
      <w:r w:rsidR="003E4439">
        <w:t>a series of</w:t>
      </w:r>
      <w:r>
        <w:t xml:space="preserve"> recommendations for</w:t>
      </w:r>
      <w:r w:rsidR="00B513A8">
        <w:t xml:space="preserve"> any</w:t>
      </w:r>
      <w:r>
        <w:t xml:space="preserve"> future national strategies </w:t>
      </w:r>
      <w:r w:rsidR="003E4439">
        <w:t>that include</w:t>
      </w:r>
      <w:r>
        <w:t xml:space="preserve"> a focus on the employment of people with disabilities in Ireland.</w:t>
      </w:r>
    </w:p>
    <w:p w14:paraId="7DC9E98F" w14:textId="5EC4D162" w:rsidR="008517F5" w:rsidRPr="008517F5" w:rsidRDefault="008517F5" w:rsidP="007B091E">
      <w:pPr>
        <w:pStyle w:val="Heading1"/>
      </w:pPr>
      <w:bookmarkStart w:id="58" w:name="_Toc182555536"/>
      <w:bookmarkStart w:id="59" w:name="_Toc182555702"/>
      <w:r>
        <w:t>Methodology</w:t>
      </w:r>
      <w:bookmarkEnd w:id="58"/>
      <w:bookmarkEnd w:id="59"/>
    </w:p>
    <w:p w14:paraId="11E59071" w14:textId="241DE2CA" w:rsidR="009A6749" w:rsidRDefault="009A6749" w:rsidP="009A6749">
      <w:pPr>
        <w:pStyle w:val="Heading2"/>
      </w:pPr>
      <w:bookmarkStart w:id="60" w:name="_Toc182555537"/>
      <w:bookmarkStart w:id="61" w:name="_Toc182555703"/>
      <w:r>
        <w:t>Collecting views</w:t>
      </w:r>
      <w:r w:rsidR="006C6FF7">
        <w:t xml:space="preserve"> of stakeholders involved in </w:t>
      </w:r>
      <w:r w:rsidR="001720CA">
        <w:t xml:space="preserve">CES </w:t>
      </w:r>
      <w:r w:rsidR="006C6FF7">
        <w:t>delivery and monitoring</w:t>
      </w:r>
      <w:bookmarkEnd w:id="60"/>
      <w:bookmarkEnd w:id="61"/>
    </w:p>
    <w:p w14:paraId="0A1A4149" w14:textId="241ED2D6" w:rsidR="00BD2DA7" w:rsidRPr="009A6749" w:rsidRDefault="00BD2DA7" w:rsidP="009A6749">
      <w:pPr>
        <w:jc w:val="both"/>
      </w:pPr>
      <w:r>
        <w:t xml:space="preserve">For the purposes of </w:t>
      </w:r>
      <w:r w:rsidR="009A6749">
        <w:t>producing</w:t>
      </w:r>
      <w:r>
        <w:t xml:space="preserve"> this report</w:t>
      </w:r>
      <w:r w:rsidR="009A6749">
        <w:t>,</w:t>
      </w:r>
      <w:r>
        <w:t xml:space="preserve"> the NDA </w:t>
      </w:r>
      <w:r w:rsidR="009A6749">
        <w:t>contacted</w:t>
      </w:r>
      <w:r>
        <w:t xml:space="preserve"> senior officials in government departments and agencies </w:t>
      </w:r>
      <w:r w:rsidR="009A6749">
        <w:t>whose</w:t>
      </w:r>
      <w:r>
        <w:t xml:space="preserve"> remit </w:t>
      </w:r>
      <w:r w:rsidR="009A6749">
        <w:t>contained</w:t>
      </w:r>
      <w:r>
        <w:t xml:space="preserve"> specific and</w:t>
      </w:r>
      <w:r w:rsidR="0047118C">
        <w:t>/or</w:t>
      </w:r>
      <w:r>
        <w:t xml:space="preserve"> collaborative actions </w:t>
      </w:r>
      <w:r w:rsidR="009A6749">
        <w:t>under the CES</w:t>
      </w:r>
      <w:r>
        <w:t>.</w:t>
      </w:r>
      <w:r w:rsidR="009A6749">
        <w:t xml:space="preserve"> Two major questions were posed to these officials:</w:t>
      </w:r>
      <w:r>
        <w:t xml:space="preserve"> </w:t>
      </w:r>
    </w:p>
    <w:p w14:paraId="1F902499" w14:textId="50BADC0D" w:rsidR="009A6749" w:rsidRPr="0047118C" w:rsidRDefault="00BD2DA7" w:rsidP="0047118C">
      <w:pPr>
        <w:pStyle w:val="ListParagraph"/>
        <w:numPr>
          <w:ilvl w:val="0"/>
          <w:numId w:val="22"/>
        </w:numPr>
        <w:jc w:val="both"/>
        <w:rPr>
          <w:rFonts w:ascii="Gill Sans MT" w:hAnsi="Gill Sans MT"/>
          <w:szCs w:val="26"/>
        </w:rPr>
      </w:pPr>
      <w:r w:rsidRPr="000C3BE9">
        <w:rPr>
          <w:rFonts w:ascii="Gill Sans MT" w:hAnsi="Gill Sans MT"/>
          <w:szCs w:val="26"/>
        </w:rPr>
        <w:t xml:space="preserve">Question 1: What do you think were the main achievements of the </w:t>
      </w:r>
      <w:r w:rsidR="009A6749" w:rsidRPr="000C3BE9">
        <w:rPr>
          <w:rFonts w:ascii="Gill Sans MT" w:hAnsi="Gill Sans MT"/>
          <w:szCs w:val="26"/>
        </w:rPr>
        <w:t>Comprehensive Employment S</w:t>
      </w:r>
      <w:r w:rsidRPr="000C3BE9">
        <w:rPr>
          <w:rFonts w:ascii="Gill Sans MT" w:hAnsi="Gill Sans MT"/>
          <w:szCs w:val="26"/>
        </w:rPr>
        <w:t>trategy</w:t>
      </w:r>
      <w:r w:rsidR="009A6749" w:rsidRPr="000C3BE9">
        <w:rPr>
          <w:rFonts w:ascii="Gill Sans MT" w:hAnsi="Gill Sans MT"/>
          <w:szCs w:val="26"/>
        </w:rPr>
        <w:t xml:space="preserve"> for People with Disabilities 2015-2024</w:t>
      </w:r>
      <w:r w:rsidRPr="000C3BE9">
        <w:rPr>
          <w:rFonts w:ascii="Gill Sans MT" w:hAnsi="Gill Sans MT"/>
          <w:szCs w:val="26"/>
        </w:rPr>
        <w:t xml:space="preserve">? </w:t>
      </w:r>
    </w:p>
    <w:p w14:paraId="5D1C9B2D" w14:textId="51B42C80" w:rsidR="00C76258" w:rsidRPr="0047118C" w:rsidRDefault="00BD2DA7" w:rsidP="0047118C">
      <w:pPr>
        <w:pStyle w:val="ListParagraph"/>
        <w:numPr>
          <w:ilvl w:val="0"/>
          <w:numId w:val="22"/>
        </w:numPr>
        <w:jc w:val="both"/>
        <w:rPr>
          <w:rFonts w:ascii="Gill Sans MT" w:hAnsi="Gill Sans MT"/>
          <w:szCs w:val="26"/>
        </w:rPr>
      </w:pPr>
      <w:r w:rsidRPr="000C3BE9">
        <w:rPr>
          <w:rFonts w:ascii="Gill Sans MT" w:hAnsi="Gill Sans MT"/>
          <w:szCs w:val="26"/>
        </w:rPr>
        <w:t xml:space="preserve">Question 2: What areas do you think require further focus and development? </w:t>
      </w:r>
    </w:p>
    <w:p w14:paraId="243EEFAF" w14:textId="370D2050" w:rsidR="006C6FF7" w:rsidRDefault="00C76258" w:rsidP="006C6FF7">
      <w:r>
        <w:t>The perspectives</w:t>
      </w:r>
      <w:r w:rsidR="006C6FF7">
        <w:t xml:space="preserve"> of those who </w:t>
      </w:r>
      <w:r>
        <w:t>are</w:t>
      </w:r>
      <w:r w:rsidR="006C6FF7">
        <w:t xml:space="preserve"> n</w:t>
      </w:r>
      <w:r w:rsidR="005718F0">
        <w:t>o</w:t>
      </w:r>
      <w:r w:rsidR="006C6FF7">
        <w:t xml:space="preserve">t officials but </w:t>
      </w:r>
      <w:r w:rsidR="00673C8F">
        <w:t>sat on</w:t>
      </w:r>
      <w:r w:rsidR="006C6FF7">
        <w:t xml:space="preserve"> the CES</w:t>
      </w:r>
      <w:r w:rsidR="00F3465E">
        <w:t xml:space="preserve"> Implementation Group (CESIG)</w:t>
      </w:r>
      <w:r>
        <w:t xml:space="preserve"> were also collected</w:t>
      </w:r>
      <w:r w:rsidR="00701F82" w:rsidRPr="00701F82">
        <w:t xml:space="preserve"> </w:t>
      </w:r>
      <w:r w:rsidR="00701F82">
        <w:t>on the two questions posed above</w:t>
      </w:r>
      <w:r w:rsidR="006C6FF7">
        <w:t>.</w:t>
      </w:r>
      <w:r w:rsidR="00D9230A">
        <w:t xml:space="preserve"> These include people with lived experience</w:t>
      </w:r>
      <w:r w:rsidR="005718F0">
        <w:t xml:space="preserve"> of disability</w:t>
      </w:r>
      <w:r w:rsidR="00A57827">
        <w:t>,</w:t>
      </w:r>
      <w:r w:rsidR="00701F82">
        <w:t xml:space="preserve"> including a member of a Disabled Persons’ Organisation (DPO)</w:t>
      </w:r>
      <w:r w:rsidR="00D9230A">
        <w:t xml:space="preserve">, those working to support people into employment, </w:t>
      </w:r>
      <w:r w:rsidR="009D03F5">
        <w:t>unions,</w:t>
      </w:r>
      <w:r w:rsidR="00D9230A">
        <w:t xml:space="preserve"> </w:t>
      </w:r>
      <w:r w:rsidR="009D03F5">
        <w:t>and employer groups</w:t>
      </w:r>
      <w:r w:rsidR="00AC3F58">
        <w:t xml:space="preserve">. </w:t>
      </w:r>
      <w:r w:rsidR="00701F82">
        <w:t xml:space="preserve">They were invited to submit their views in </w:t>
      </w:r>
      <w:r>
        <w:t xml:space="preserve">written form or </w:t>
      </w:r>
      <w:r w:rsidR="00096F5D">
        <w:t>through a</w:t>
      </w:r>
      <w:r>
        <w:t xml:space="preserve"> bilateral meeting with the NDA</w:t>
      </w:r>
      <w:r w:rsidR="006C6FF7">
        <w:t xml:space="preserve">. </w:t>
      </w:r>
    </w:p>
    <w:p w14:paraId="05E7724F" w14:textId="31FA072B" w:rsidR="008517F5" w:rsidRDefault="008517F5" w:rsidP="00EA0EFD">
      <w:pPr>
        <w:pStyle w:val="Heading2"/>
      </w:pPr>
      <w:bookmarkStart w:id="62" w:name="_Toc182555538"/>
      <w:bookmarkStart w:id="63" w:name="_Toc182555704"/>
      <w:r>
        <w:t>Capturing lived experience</w:t>
      </w:r>
      <w:r w:rsidR="00E56B0D">
        <w:t xml:space="preserve"> of people with disabilities</w:t>
      </w:r>
      <w:bookmarkEnd w:id="62"/>
      <w:bookmarkEnd w:id="63"/>
    </w:p>
    <w:p w14:paraId="1EA804FC" w14:textId="161C0949" w:rsidR="00E111F1" w:rsidRPr="00E111F1" w:rsidRDefault="004730E9" w:rsidP="00EA0EFD">
      <w:pPr>
        <w:autoSpaceDE w:val="0"/>
        <w:autoSpaceDN w:val="0"/>
        <w:adjustRightInd w:val="0"/>
        <w:rPr>
          <w:rFonts w:ascii="Gill Sans MT" w:hAnsi="Gill Sans MT"/>
          <w:szCs w:val="26"/>
        </w:rPr>
      </w:pPr>
      <w:r>
        <w:rPr>
          <w:rFonts w:ascii="Gill Sans MT" w:hAnsi="Gill Sans MT"/>
          <w:szCs w:val="26"/>
        </w:rPr>
        <w:t>The</w:t>
      </w:r>
      <w:r w:rsidR="000C3BE9">
        <w:rPr>
          <w:rFonts w:ascii="Gill Sans MT" w:hAnsi="Gill Sans MT"/>
          <w:szCs w:val="26"/>
        </w:rPr>
        <w:t xml:space="preserve"> </w:t>
      </w:r>
      <w:r w:rsidR="008517F5" w:rsidRPr="00EA0EFD">
        <w:rPr>
          <w:rFonts w:ascii="Gill Sans MT" w:hAnsi="Gill Sans MT"/>
          <w:szCs w:val="26"/>
        </w:rPr>
        <w:t>NDA and others ha</w:t>
      </w:r>
      <w:r w:rsidR="00EA0EFD" w:rsidRPr="00EA0EFD">
        <w:rPr>
          <w:rFonts w:ascii="Gill Sans MT" w:hAnsi="Gill Sans MT"/>
          <w:szCs w:val="26"/>
        </w:rPr>
        <w:t>ve</w:t>
      </w:r>
      <w:r w:rsidR="008517F5" w:rsidRPr="00EA0EFD">
        <w:rPr>
          <w:rFonts w:ascii="Gill Sans MT" w:hAnsi="Gill Sans MT"/>
          <w:szCs w:val="26"/>
        </w:rPr>
        <w:t xml:space="preserve"> conducted a number of consultations over the course of the </w:t>
      </w:r>
      <w:r w:rsidR="00A57827">
        <w:rPr>
          <w:rFonts w:ascii="Gill Sans MT" w:hAnsi="Gill Sans MT"/>
          <w:szCs w:val="26"/>
        </w:rPr>
        <w:t>CES</w:t>
      </w:r>
      <w:r w:rsidR="00AC3F58" w:rsidRPr="00EA0EFD">
        <w:rPr>
          <w:rFonts w:ascii="Gill Sans MT" w:hAnsi="Gill Sans MT"/>
          <w:szCs w:val="26"/>
        </w:rPr>
        <w:t>,</w:t>
      </w:r>
      <w:r w:rsidR="00096F5D">
        <w:rPr>
          <w:rFonts w:ascii="Gill Sans MT" w:hAnsi="Gill Sans MT"/>
          <w:szCs w:val="26"/>
        </w:rPr>
        <w:t xml:space="preserve"> and the</w:t>
      </w:r>
      <w:r w:rsidR="00445892">
        <w:rPr>
          <w:rFonts w:ascii="Gill Sans MT" w:hAnsi="Gill Sans MT"/>
          <w:szCs w:val="26"/>
        </w:rPr>
        <w:t xml:space="preserve"> findings of these</w:t>
      </w:r>
      <w:r w:rsidR="00096F5D">
        <w:rPr>
          <w:rFonts w:ascii="Gill Sans MT" w:hAnsi="Gill Sans MT"/>
          <w:szCs w:val="26"/>
        </w:rPr>
        <w:t xml:space="preserve"> have been drawn </w:t>
      </w:r>
      <w:r w:rsidR="009102DA">
        <w:rPr>
          <w:rFonts w:ascii="Gill Sans MT" w:hAnsi="Gill Sans MT"/>
          <w:szCs w:val="26"/>
        </w:rPr>
        <w:t>on for</w:t>
      </w:r>
      <w:r w:rsidR="00096F5D">
        <w:rPr>
          <w:rFonts w:ascii="Gill Sans MT" w:hAnsi="Gill Sans MT"/>
          <w:szCs w:val="26"/>
        </w:rPr>
        <w:t xml:space="preserve"> this report</w:t>
      </w:r>
      <w:r>
        <w:rPr>
          <w:rFonts w:ascii="Gill Sans MT" w:hAnsi="Gill Sans MT"/>
          <w:szCs w:val="26"/>
        </w:rPr>
        <w:t>. During</w:t>
      </w:r>
      <w:r w:rsidR="00E111F1" w:rsidRPr="00EA0EFD">
        <w:rPr>
          <w:rFonts w:ascii="Gill Sans MT" w:hAnsi="Gill Sans MT"/>
          <w:szCs w:val="26"/>
        </w:rPr>
        <w:t xml:space="preserve"> late 2023 and early </w:t>
      </w:r>
      <w:r w:rsidR="00EA0EFD" w:rsidRPr="00EA0EFD">
        <w:rPr>
          <w:rFonts w:ascii="Gill Sans MT" w:hAnsi="Gill Sans MT"/>
          <w:szCs w:val="26"/>
        </w:rPr>
        <w:t>20</w:t>
      </w:r>
      <w:r w:rsidR="00E111F1" w:rsidRPr="00EA0EFD">
        <w:rPr>
          <w:rFonts w:ascii="Gill Sans MT" w:hAnsi="Gill Sans MT"/>
          <w:szCs w:val="26"/>
        </w:rPr>
        <w:t>24</w:t>
      </w:r>
      <w:r w:rsidR="00EA0EFD">
        <w:rPr>
          <w:rFonts w:ascii="Gill Sans MT" w:hAnsi="Gill Sans MT"/>
          <w:szCs w:val="26"/>
        </w:rPr>
        <w:t>,</w:t>
      </w:r>
      <w:r w:rsidR="00E111F1" w:rsidRPr="00EA0EFD">
        <w:rPr>
          <w:rFonts w:ascii="Gill Sans MT" w:hAnsi="Gill Sans MT"/>
          <w:szCs w:val="26"/>
        </w:rPr>
        <w:t xml:space="preserve"> the NDA engaged in a detailed consultation on behalf of DCEDIY to inform the</w:t>
      </w:r>
      <w:r w:rsidR="008517F5" w:rsidRPr="00EA0EFD">
        <w:rPr>
          <w:rFonts w:ascii="Gill Sans MT" w:hAnsi="Gill Sans MT"/>
          <w:szCs w:val="26"/>
        </w:rPr>
        <w:t xml:space="preserve"> new National Disability Strategy</w:t>
      </w:r>
      <w:r w:rsidR="00E111F1" w:rsidRPr="00EA0EFD">
        <w:rPr>
          <w:rFonts w:ascii="Gill Sans MT" w:hAnsi="Gill Sans MT"/>
          <w:szCs w:val="26"/>
        </w:rPr>
        <w:t>.</w:t>
      </w:r>
      <w:r w:rsidR="008517F5">
        <w:rPr>
          <w:rFonts w:ascii="Gill Sans MT" w:hAnsi="Gill Sans MT"/>
          <w:szCs w:val="26"/>
        </w:rPr>
        <w:t xml:space="preserve"> </w:t>
      </w:r>
      <w:r>
        <w:rPr>
          <w:rFonts w:ascii="Gill Sans MT" w:hAnsi="Gill Sans MT"/>
          <w:szCs w:val="26"/>
        </w:rPr>
        <w:t>This consultation consisted of:</w:t>
      </w:r>
    </w:p>
    <w:p w14:paraId="2ED3FB0F" w14:textId="1CEB62F7" w:rsidR="00E111F1" w:rsidRPr="00E111F1" w:rsidRDefault="00E111F1" w:rsidP="00B10B95">
      <w:pPr>
        <w:numPr>
          <w:ilvl w:val="1"/>
          <w:numId w:val="23"/>
        </w:numPr>
        <w:autoSpaceDE w:val="0"/>
        <w:autoSpaceDN w:val="0"/>
        <w:adjustRightInd w:val="0"/>
        <w:spacing w:after="0"/>
        <w:rPr>
          <w:rFonts w:ascii="Gill Sans MT" w:hAnsi="Gill Sans MT"/>
          <w:szCs w:val="26"/>
        </w:rPr>
      </w:pPr>
      <w:r w:rsidRPr="00E111F1">
        <w:rPr>
          <w:rFonts w:ascii="Gill Sans MT" w:hAnsi="Gill Sans MT"/>
          <w:szCs w:val="26"/>
          <w:lang w:val="en-US"/>
        </w:rPr>
        <w:t xml:space="preserve">34 </w:t>
      </w:r>
      <w:r w:rsidR="004730E9">
        <w:rPr>
          <w:rFonts w:ascii="Gill Sans MT" w:hAnsi="Gill Sans MT"/>
          <w:szCs w:val="26"/>
          <w:lang w:val="en-US"/>
        </w:rPr>
        <w:t xml:space="preserve">themed and targeted </w:t>
      </w:r>
      <w:r w:rsidRPr="00E111F1">
        <w:rPr>
          <w:rFonts w:ascii="Gill Sans MT" w:hAnsi="Gill Sans MT"/>
          <w:szCs w:val="26"/>
          <w:lang w:val="en-US"/>
        </w:rPr>
        <w:t>focus groups (211</w:t>
      </w:r>
      <w:r w:rsidR="004730E9">
        <w:rPr>
          <w:rFonts w:ascii="Gill Sans MT" w:hAnsi="Gill Sans MT"/>
          <w:szCs w:val="26"/>
          <w:lang w:val="en-US"/>
        </w:rPr>
        <w:t xml:space="preserve"> participants</w:t>
      </w:r>
      <w:r w:rsidRPr="00E111F1">
        <w:rPr>
          <w:rFonts w:ascii="Gill Sans MT" w:hAnsi="Gill Sans MT"/>
          <w:szCs w:val="26"/>
          <w:lang w:val="en-US"/>
        </w:rPr>
        <w:t>)</w:t>
      </w:r>
      <w:r w:rsidR="004730E9">
        <w:rPr>
          <w:rFonts w:ascii="Gill Sans MT" w:hAnsi="Gill Sans MT"/>
          <w:szCs w:val="26"/>
          <w:lang w:val="en-US"/>
        </w:rPr>
        <w:t xml:space="preserve">, </w:t>
      </w:r>
    </w:p>
    <w:p w14:paraId="15533B2E" w14:textId="0D406CB5" w:rsidR="00E111F1" w:rsidRPr="00E111F1" w:rsidRDefault="00E111F1" w:rsidP="00B10B95">
      <w:pPr>
        <w:numPr>
          <w:ilvl w:val="1"/>
          <w:numId w:val="23"/>
        </w:numPr>
        <w:autoSpaceDE w:val="0"/>
        <w:autoSpaceDN w:val="0"/>
        <w:adjustRightInd w:val="0"/>
        <w:spacing w:after="0"/>
        <w:rPr>
          <w:rFonts w:ascii="Gill Sans MT" w:hAnsi="Gill Sans MT"/>
          <w:szCs w:val="26"/>
        </w:rPr>
      </w:pPr>
      <w:r w:rsidRPr="00E111F1">
        <w:rPr>
          <w:rFonts w:ascii="Gill Sans MT" w:hAnsi="Gill Sans MT"/>
          <w:szCs w:val="26"/>
          <w:lang w:val="en-US"/>
        </w:rPr>
        <w:t>18 interviews</w:t>
      </w:r>
      <w:r w:rsidR="004730E9">
        <w:rPr>
          <w:rFonts w:ascii="Gill Sans MT" w:hAnsi="Gill Sans MT"/>
          <w:szCs w:val="26"/>
          <w:lang w:val="en-US"/>
        </w:rPr>
        <w:t>,</w:t>
      </w:r>
    </w:p>
    <w:p w14:paraId="35120730" w14:textId="06A7C8DF" w:rsidR="00E111F1" w:rsidRPr="00E111F1" w:rsidRDefault="00E111F1" w:rsidP="00B10B95">
      <w:pPr>
        <w:numPr>
          <w:ilvl w:val="1"/>
          <w:numId w:val="23"/>
        </w:numPr>
        <w:autoSpaceDE w:val="0"/>
        <w:autoSpaceDN w:val="0"/>
        <w:adjustRightInd w:val="0"/>
        <w:spacing w:after="0"/>
        <w:rPr>
          <w:rFonts w:ascii="Gill Sans MT" w:hAnsi="Gill Sans MT"/>
          <w:szCs w:val="26"/>
        </w:rPr>
      </w:pPr>
      <w:r w:rsidRPr="00E111F1">
        <w:rPr>
          <w:rFonts w:ascii="Gill Sans MT" w:hAnsi="Gill Sans MT"/>
          <w:szCs w:val="26"/>
          <w:lang w:val="en-US"/>
        </w:rPr>
        <w:t xml:space="preserve">81 written and </w:t>
      </w:r>
      <w:r w:rsidR="004730E9">
        <w:rPr>
          <w:rFonts w:ascii="Gill Sans MT" w:hAnsi="Gill Sans MT"/>
          <w:szCs w:val="26"/>
          <w:lang w:val="en-US"/>
        </w:rPr>
        <w:t>four</w:t>
      </w:r>
      <w:r w:rsidRPr="00E111F1">
        <w:rPr>
          <w:rFonts w:ascii="Gill Sans MT" w:hAnsi="Gill Sans MT"/>
          <w:szCs w:val="26"/>
          <w:lang w:val="en-US"/>
        </w:rPr>
        <w:t xml:space="preserve"> video submissions</w:t>
      </w:r>
      <w:r w:rsidR="004730E9">
        <w:rPr>
          <w:rFonts w:ascii="Gill Sans MT" w:hAnsi="Gill Sans MT"/>
          <w:szCs w:val="26"/>
          <w:lang w:val="en-US"/>
        </w:rPr>
        <w:t>,</w:t>
      </w:r>
    </w:p>
    <w:p w14:paraId="0FAA8E1D" w14:textId="78A28F67" w:rsidR="00E111F1" w:rsidRPr="00E111F1" w:rsidRDefault="004730E9" w:rsidP="00B10B95">
      <w:pPr>
        <w:numPr>
          <w:ilvl w:val="1"/>
          <w:numId w:val="23"/>
        </w:numPr>
        <w:autoSpaceDE w:val="0"/>
        <w:autoSpaceDN w:val="0"/>
        <w:adjustRightInd w:val="0"/>
        <w:spacing w:after="0"/>
        <w:rPr>
          <w:rFonts w:ascii="Gill Sans MT" w:hAnsi="Gill Sans MT"/>
          <w:szCs w:val="26"/>
        </w:rPr>
      </w:pPr>
      <w:r>
        <w:rPr>
          <w:rFonts w:ascii="Gill Sans MT" w:hAnsi="Gill Sans MT"/>
          <w:szCs w:val="26"/>
          <w:lang w:val="en-US"/>
        </w:rPr>
        <w:t>Four</w:t>
      </w:r>
      <w:r w:rsidR="00E111F1" w:rsidRPr="00E111F1">
        <w:rPr>
          <w:rFonts w:ascii="Gill Sans MT" w:hAnsi="Gill Sans MT"/>
          <w:szCs w:val="26"/>
          <w:lang w:val="en-US"/>
        </w:rPr>
        <w:t xml:space="preserve"> town hall events (n=166)</w:t>
      </w:r>
    </w:p>
    <w:p w14:paraId="7974BF41" w14:textId="0DFA154B" w:rsidR="00445892" w:rsidRPr="00701F82" w:rsidRDefault="00E111F1" w:rsidP="00701F82">
      <w:pPr>
        <w:numPr>
          <w:ilvl w:val="1"/>
          <w:numId w:val="23"/>
        </w:numPr>
        <w:autoSpaceDE w:val="0"/>
        <w:autoSpaceDN w:val="0"/>
        <w:adjustRightInd w:val="0"/>
        <w:spacing w:after="120"/>
        <w:ind w:left="1434" w:hanging="357"/>
        <w:rPr>
          <w:rFonts w:ascii="Gill Sans MT" w:hAnsi="Gill Sans MT"/>
          <w:szCs w:val="26"/>
        </w:rPr>
      </w:pPr>
      <w:r w:rsidRPr="00E111F1">
        <w:rPr>
          <w:rFonts w:ascii="Gill Sans MT" w:hAnsi="Gill Sans MT"/>
          <w:szCs w:val="26"/>
          <w:lang w:val="en-US"/>
        </w:rPr>
        <w:t>~ 500 responses to a national questionnaire</w:t>
      </w:r>
    </w:p>
    <w:p w14:paraId="341206BE" w14:textId="77777777" w:rsidR="00810BAD" w:rsidRDefault="00096F5D" w:rsidP="00EA0EFD">
      <w:pPr>
        <w:autoSpaceDE w:val="0"/>
        <w:autoSpaceDN w:val="0"/>
        <w:adjustRightInd w:val="0"/>
        <w:rPr>
          <w:rFonts w:ascii="Gill Sans MT" w:hAnsi="Gill Sans MT"/>
          <w:szCs w:val="26"/>
        </w:rPr>
      </w:pPr>
      <w:r>
        <w:rPr>
          <w:rFonts w:ascii="Gill Sans MT" w:hAnsi="Gill Sans MT"/>
          <w:szCs w:val="26"/>
        </w:rPr>
        <w:t>Employment was a specific focus of a number of the thematic focus groups</w:t>
      </w:r>
      <w:r w:rsidR="00701F82">
        <w:rPr>
          <w:rFonts w:ascii="Gill Sans MT" w:hAnsi="Gill Sans MT"/>
          <w:szCs w:val="26"/>
        </w:rPr>
        <w:t>,</w:t>
      </w:r>
      <w:r>
        <w:rPr>
          <w:rFonts w:ascii="Gill Sans MT" w:hAnsi="Gill Sans MT"/>
          <w:szCs w:val="26"/>
        </w:rPr>
        <w:t xml:space="preserve"> was included as a key topic in all the town hall events</w:t>
      </w:r>
      <w:r w:rsidR="00810BAD">
        <w:rPr>
          <w:rFonts w:ascii="Gill Sans MT" w:hAnsi="Gill Sans MT"/>
          <w:szCs w:val="26"/>
        </w:rPr>
        <w:t>,</w:t>
      </w:r>
      <w:r>
        <w:rPr>
          <w:rFonts w:ascii="Gill Sans MT" w:hAnsi="Gill Sans MT"/>
          <w:szCs w:val="26"/>
        </w:rPr>
        <w:t xml:space="preserve"> and came up frequently in other groups. </w:t>
      </w:r>
    </w:p>
    <w:p w14:paraId="15F1A55E" w14:textId="0533ECD9" w:rsidR="00096F5D" w:rsidRDefault="00096F5D" w:rsidP="00EA0EFD">
      <w:pPr>
        <w:autoSpaceDE w:val="0"/>
        <w:autoSpaceDN w:val="0"/>
        <w:adjustRightInd w:val="0"/>
        <w:rPr>
          <w:rFonts w:ascii="Gill Sans MT" w:hAnsi="Gill Sans MT"/>
          <w:szCs w:val="26"/>
        </w:rPr>
      </w:pPr>
      <w:r>
        <w:rPr>
          <w:rFonts w:ascii="Gill Sans MT" w:hAnsi="Gill Sans MT"/>
          <w:szCs w:val="26"/>
        </w:rPr>
        <w:t>Other specific engagement processes</w:t>
      </w:r>
      <w:r w:rsidR="00445892">
        <w:rPr>
          <w:rFonts w:ascii="Gill Sans MT" w:hAnsi="Gill Sans MT"/>
          <w:szCs w:val="26"/>
        </w:rPr>
        <w:t xml:space="preserve"> throughout the lifetime of the CES</w:t>
      </w:r>
      <w:r>
        <w:rPr>
          <w:rFonts w:ascii="Gill Sans MT" w:hAnsi="Gill Sans MT"/>
          <w:szCs w:val="26"/>
        </w:rPr>
        <w:t xml:space="preserve"> </w:t>
      </w:r>
      <w:r w:rsidR="00766EAC">
        <w:rPr>
          <w:rFonts w:ascii="Gill Sans MT" w:hAnsi="Gill Sans MT"/>
          <w:szCs w:val="26"/>
        </w:rPr>
        <w:t>included:</w:t>
      </w:r>
    </w:p>
    <w:p w14:paraId="4B362414" w14:textId="79FA4D12" w:rsidR="00096F5D" w:rsidRDefault="00096F5D" w:rsidP="00096F5D">
      <w:pPr>
        <w:pStyle w:val="ListParagraph"/>
        <w:numPr>
          <w:ilvl w:val="0"/>
          <w:numId w:val="23"/>
        </w:numPr>
        <w:spacing w:after="0"/>
      </w:pPr>
      <w:r>
        <w:t>focus group discussions with young disabled school leavers on career guidance</w:t>
      </w:r>
      <w:r w:rsidR="00B10B95">
        <w:t xml:space="preserve"> </w:t>
      </w:r>
      <w:r w:rsidR="00B10B95">
        <w:fldChar w:fldCharType="begin"/>
      </w:r>
      <w:r w:rsidR="00C0772E">
        <w:instrText xml:space="preserve"> ADDIN ZOTERO_ITEM CSL_CITATION {"citationID":"D10P8Gau","properties":{"formattedCitation":"(10)","plainCitation":"(10)","noteIndex":0},"citationItems":[{"id":214,"uris":["http://zotero.org/users/local/kvLunvBP/items/Y9Y95KM7"],"itemData":{"id":214,"type":"report","title":"NDA Independent advice on the provision of Career Guidance in schools for learners with disabilities in Ireland","URL":"https://nda.ie/publications/nda-independent-advice-on-the-provision-of-career-guidance-in-schools-for-learners-with-disabilities-in-ireland","author":[{"family":"National Disability Authority","given":""}],"issued":{"date-parts":[["2023"]]}}}],"schema":"https://github.com/citation-style-language/schema/raw/master/csl-citation.json"} </w:instrText>
      </w:r>
      <w:r w:rsidR="00B10B95">
        <w:fldChar w:fldCharType="separate"/>
      </w:r>
      <w:r w:rsidR="00C0772E" w:rsidRPr="00C0772E">
        <w:t>(10)</w:t>
      </w:r>
      <w:r w:rsidR="00B10B95">
        <w:fldChar w:fldCharType="end"/>
      </w:r>
      <w:r>
        <w:t>,</w:t>
      </w:r>
    </w:p>
    <w:p w14:paraId="12A08FC8" w14:textId="316D823B" w:rsidR="003F5A46" w:rsidRDefault="00B62309" w:rsidP="00096F5D">
      <w:pPr>
        <w:pStyle w:val="ListParagraph"/>
        <w:numPr>
          <w:ilvl w:val="0"/>
          <w:numId w:val="23"/>
        </w:numPr>
        <w:spacing w:after="0"/>
      </w:pPr>
      <w:r>
        <w:t xml:space="preserve">consultation </w:t>
      </w:r>
      <w:r w:rsidR="003F5A46">
        <w:t>on wellbeing and social inclusion</w:t>
      </w:r>
      <w:r w:rsidR="00766EAC">
        <w:t xml:space="preserve"> that </w:t>
      </w:r>
      <w:r>
        <w:t xml:space="preserve">included the topic of </w:t>
      </w:r>
      <w:r w:rsidR="00766EAC">
        <w:t>employment</w:t>
      </w:r>
      <w:r w:rsidR="0074758F">
        <w:t xml:space="preserve"> </w:t>
      </w:r>
      <w:r w:rsidR="0074758F">
        <w:fldChar w:fldCharType="begin"/>
      </w:r>
      <w:r w:rsidR="00C0772E">
        <w:instrText xml:space="preserve"> ADDIN ZOTERO_ITEM CSL_CITATION {"citationID":"M9R7xtxx","properties":{"formattedCitation":"(11)","plainCitation":"(11)","noteIndex":0},"citationItems":[{"id":320,"uris":["http://zotero.org/users/local/kvLunvBP/items/5ID84Z6J"],"itemData":{"id":320,"type":"report","language":"en-IE","title":"Narrative Analysis of Wellbeing and Social Inclusion Consultations","URL":"https://nda.ie/publications/narrative-analysis-of-wellbeing-and-social-inclusion-consultations","author":[{"family":"National Disability Authority","given":""}],"accessed":{"date-parts":[["2024",11,6]]},"issued":{"date-parts":[["2023"]]}}}],"schema":"https://github.com/citation-style-language/schema/raw/master/csl-citation.json"} </w:instrText>
      </w:r>
      <w:r w:rsidR="0074758F">
        <w:fldChar w:fldCharType="separate"/>
      </w:r>
      <w:r w:rsidR="00C0772E" w:rsidRPr="00C0772E">
        <w:t>(11)</w:t>
      </w:r>
      <w:r w:rsidR="0074758F">
        <w:fldChar w:fldCharType="end"/>
      </w:r>
      <w:r w:rsidR="0074758F">
        <w:t>,</w:t>
      </w:r>
    </w:p>
    <w:p w14:paraId="7712DD97" w14:textId="7181E8C2" w:rsidR="00096F5D" w:rsidRDefault="00096F5D" w:rsidP="00096F5D">
      <w:pPr>
        <w:pStyle w:val="ListParagraph"/>
        <w:numPr>
          <w:ilvl w:val="0"/>
          <w:numId w:val="23"/>
        </w:numPr>
        <w:spacing w:after="0"/>
      </w:pPr>
      <w:r>
        <w:t>case studies and individual discussions on role of vocational rehabilitation and return to work</w:t>
      </w:r>
      <w:r w:rsidR="007E06E7">
        <w:t xml:space="preserve"> </w:t>
      </w:r>
      <w:r w:rsidR="007E06E7">
        <w:fldChar w:fldCharType="begin"/>
      </w:r>
      <w:r w:rsidR="00C0772E">
        <w:instrText xml:space="preserve"> ADDIN ZOTERO_ITEM CSL_CITATION {"citationID":"e5F7G5J9","properties":{"formattedCitation":"(12)","plainCitation":"(12)","noteIndex":0},"citationItems":[{"id":322,"uris":["http://zotero.org/users/local/kvLunvBP/items/7QB7E7NH"],"itemData":{"id":322,"type":"report","language":"en-IE","title":"Experiences of Support for Return to Work among people with Acquired Disabilities or Conditions","title-short":"https","URL":"https://nda.ie/publications/experiences-of-support-for-return-to-work-among-people-with-acquired-disabilities-or-conditions","author":[{"family":"National Disability Authority","given":""}],"accessed":{"date-parts":[["2024",11,6]]},"issued":{"date-parts":[["2021"]]}}}],"schema":"https://github.com/citation-style-language/schema/raw/master/csl-citation.json"} </w:instrText>
      </w:r>
      <w:r w:rsidR="007E06E7">
        <w:fldChar w:fldCharType="separate"/>
      </w:r>
      <w:r w:rsidR="00C0772E" w:rsidRPr="00C0772E">
        <w:t>(12)</w:t>
      </w:r>
      <w:r w:rsidR="007E06E7">
        <w:fldChar w:fldCharType="end"/>
      </w:r>
      <w:r>
        <w:t>, and</w:t>
      </w:r>
    </w:p>
    <w:p w14:paraId="63F5130B" w14:textId="11F1908A" w:rsidR="00766EAC" w:rsidRDefault="00766EAC" w:rsidP="00096F5D">
      <w:pPr>
        <w:pStyle w:val="ListParagraph"/>
        <w:numPr>
          <w:ilvl w:val="0"/>
          <w:numId w:val="23"/>
        </w:numPr>
        <w:spacing w:after="0"/>
      </w:pPr>
      <w:r>
        <w:t>extensive consultations by the Department of Social Protection on the Green Paper on disability payments reforms</w:t>
      </w:r>
      <w:r w:rsidR="005C0EF7">
        <w:t>.</w:t>
      </w:r>
      <w:r w:rsidR="00373B15" w:rsidRPr="00233BC4">
        <w:rPr>
          <w:rStyle w:val="FootnoteReference"/>
        </w:rPr>
        <w:footnoteReference w:id="3"/>
      </w:r>
    </w:p>
    <w:p w14:paraId="307CC538" w14:textId="77777777" w:rsidR="0084335E" w:rsidRDefault="0084335E" w:rsidP="00B62309">
      <w:pPr>
        <w:spacing w:after="0"/>
        <w:rPr>
          <w:rFonts w:ascii="Gill Sans MT" w:hAnsi="Gill Sans MT"/>
          <w:szCs w:val="26"/>
        </w:rPr>
      </w:pPr>
    </w:p>
    <w:p w14:paraId="31EB38DB" w14:textId="6C3F7EE6" w:rsidR="000C3BE9" w:rsidRDefault="00E111F1" w:rsidP="00701F82">
      <w:r w:rsidRPr="00B62309">
        <w:rPr>
          <w:rFonts w:ascii="Gill Sans MT" w:hAnsi="Gill Sans MT"/>
          <w:szCs w:val="26"/>
        </w:rPr>
        <w:t>The NDA is aware of the time and resourc</w:t>
      </w:r>
      <w:r w:rsidR="00440ABC" w:rsidRPr="00B62309">
        <w:rPr>
          <w:rFonts w:ascii="Gill Sans MT" w:hAnsi="Gill Sans MT"/>
          <w:szCs w:val="26"/>
        </w:rPr>
        <w:t>es</w:t>
      </w:r>
      <w:r w:rsidRPr="00B62309">
        <w:rPr>
          <w:rFonts w:ascii="Gill Sans MT" w:hAnsi="Gill Sans MT"/>
          <w:szCs w:val="26"/>
        </w:rPr>
        <w:t xml:space="preserve"> that </w:t>
      </w:r>
      <w:r w:rsidR="00EA0EFD" w:rsidRPr="00B62309">
        <w:rPr>
          <w:rFonts w:ascii="Gill Sans MT" w:hAnsi="Gill Sans MT"/>
          <w:szCs w:val="26"/>
        </w:rPr>
        <w:t xml:space="preserve">are required for organisations and individuals to participate in consultations of this kind, and conducting another consultation so soon after </w:t>
      </w:r>
      <w:r w:rsidR="00445892">
        <w:rPr>
          <w:rFonts w:ascii="Gill Sans MT" w:hAnsi="Gill Sans MT"/>
          <w:szCs w:val="26"/>
        </w:rPr>
        <w:t>the</w:t>
      </w:r>
      <w:r w:rsidR="00EA0EFD" w:rsidRPr="00B62309">
        <w:rPr>
          <w:rFonts w:ascii="Gill Sans MT" w:hAnsi="Gill Sans MT"/>
          <w:szCs w:val="26"/>
        </w:rPr>
        <w:t xml:space="preserve"> large-scale consultative exercise</w:t>
      </w:r>
      <w:r w:rsidR="00445892">
        <w:rPr>
          <w:rFonts w:ascii="Gill Sans MT" w:hAnsi="Gill Sans MT"/>
          <w:szCs w:val="26"/>
        </w:rPr>
        <w:t xml:space="preserve"> for the National Disability Strategy</w:t>
      </w:r>
      <w:r w:rsidR="00EA0EFD" w:rsidRPr="00B62309">
        <w:rPr>
          <w:rFonts w:ascii="Gill Sans MT" w:hAnsi="Gill Sans MT"/>
          <w:szCs w:val="26"/>
        </w:rPr>
        <w:t xml:space="preserve"> was not deemed to be appropriate. </w:t>
      </w:r>
      <w:r w:rsidR="00D9230A" w:rsidRPr="00B62309">
        <w:rPr>
          <w:rFonts w:ascii="Gill Sans MT" w:hAnsi="Gill Sans MT"/>
          <w:szCs w:val="26"/>
        </w:rPr>
        <w:t>Therefore, a specific consultation with disabled people was not conducted as part of this review.</w:t>
      </w:r>
      <w:r w:rsidR="00B62309">
        <w:t xml:space="preserve"> </w:t>
      </w:r>
      <w:r w:rsidR="00EA0EFD">
        <w:rPr>
          <w:rFonts w:ascii="Gill Sans MT" w:hAnsi="Gill Sans MT"/>
          <w:szCs w:val="26"/>
        </w:rPr>
        <w:t>However,</w:t>
      </w:r>
      <w:r w:rsidR="00530BA9">
        <w:rPr>
          <w:rFonts w:ascii="Gill Sans MT" w:hAnsi="Gill Sans MT"/>
          <w:szCs w:val="26"/>
        </w:rPr>
        <w:t xml:space="preserve"> as mentioned, the review draws on the findings of previous consultations. Also, </w:t>
      </w:r>
      <w:r w:rsidR="00766EAC">
        <w:rPr>
          <w:szCs w:val="26"/>
        </w:rPr>
        <w:t xml:space="preserve">a draft of this report </w:t>
      </w:r>
      <w:r w:rsidR="00D65436">
        <w:rPr>
          <w:szCs w:val="26"/>
        </w:rPr>
        <w:t>was</w:t>
      </w:r>
      <w:r w:rsidR="00766EAC">
        <w:rPr>
          <w:szCs w:val="26"/>
        </w:rPr>
        <w:t xml:space="preserve"> shared with Disabled Persons Organisations </w:t>
      </w:r>
      <w:r w:rsidR="00530BA9">
        <w:rPr>
          <w:szCs w:val="26"/>
        </w:rPr>
        <w:t xml:space="preserve">to identify whether anything significant </w:t>
      </w:r>
      <w:r w:rsidR="00D65436">
        <w:rPr>
          <w:szCs w:val="26"/>
        </w:rPr>
        <w:t>was</w:t>
      </w:r>
      <w:r w:rsidR="00530BA9">
        <w:rPr>
          <w:szCs w:val="26"/>
        </w:rPr>
        <w:t xml:space="preserve"> missed in the review. Any necessary changes </w:t>
      </w:r>
      <w:r w:rsidR="00D65436">
        <w:rPr>
          <w:szCs w:val="26"/>
        </w:rPr>
        <w:t>were</w:t>
      </w:r>
      <w:r w:rsidR="00530BA9">
        <w:rPr>
          <w:szCs w:val="26"/>
        </w:rPr>
        <w:t xml:space="preserve"> made </w:t>
      </w:r>
      <w:r w:rsidR="004E59EB">
        <w:rPr>
          <w:szCs w:val="26"/>
        </w:rPr>
        <w:t>in line with the</w:t>
      </w:r>
      <w:r w:rsidR="00530BA9">
        <w:rPr>
          <w:szCs w:val="26"/>
        </w:rPr>
        <w:t xml:space="preserve"> feedback received.</w:t>
      </w:r>
    </w:p>
    <w:p w14:paraId="015F289B" w14:textId="4C9CAED0" w:rsidR="006C6FF7" w:rsidRDefault="006C6FF7" w:rsidP="006C6FF7">
      <w:pPr>
        <w:pStyle w:val="Heading2"/>
      </w:pPr>
      <w:bookmarkStart w:id="64" w:name="_Toc182555539"/>
      <w:bookmarkStart w:id="65" w:name="_Toc182555705"/>
      <w:r>
        <w:t>Examining indicators of progress</w:t>
      </w:r>
      <w:bookmarkEnd w:id="64"/>
      <w:bookmarkEnd w:id="65"/>
    </w:p>
    <w:p w14:paraId="3AA57E67" w14:textId="36C150EF" w:rsidR="006C6FF7" w:rsidRDefault="006C6FF7" w:rsidP="006C6FF7">
      <w:pPr>
        <w:rPr>
          <w:rFonts w:ascii="Gill Sans MT" w:hAnsi="Gill Sans MT"/>
          <w:szCs w:val="26"/>
        </w:rPr>
      </w:pPr>
      <w:r>
        <w:rPr>
          <w:rFonts w:ascii="Gill Sans MT" w:hAnsi="Gill Sans MT"/>
          <w:szCs w:val="26"/>
        </w:rPr>
        <w:t>As mentioned</w:t>
      </w:r>
      <w:r w:rsidR="00440ABC">
        <w:rPr>
          <w:rFonts w:ascii="Gill Sans MT" w:hAnsi="Gill Sans MT"/>
          <w:szCs w:val="26"/>
        </w:rPr>
        <w:t xml:space="preserve"> above</w:t>
      </w:r>
      <w:r>
        <w:rPr>
          <w:rFonts w:ascii="Gill Sans MT" w:hAnsi="Gill Sans MT"/>
          <w:szCs w:val="26"/>
        </w:rPr>
        <w:t xml:space="preserve">, </w:t>
      </w:r>
      <w:r w:rsidR="00440ABC">
        <w:rPr>
          <w:rFonts w:ascii="Gill Sans MT" w:hAnsi="Gill Sans MT"/>
          <w:szCs w:val="26"/>
        </w:rPr>
        <w:t>a</w:t>
      </w:r>
      <w:r>
        <w:rPr>
          <w:rFonts w:ascii="Gill Sans MT" w:hAnsi="Gill Sans MT"/>
          <w:szCs w:val="26"/>
        </w:rPr>
        <w:t xml:space="preserve"> suite of indicators</w:t>
      </w:r>
      <w:r w:rsidR="00440ABC">
        <w:rPr>
          <w:rFonts w:ascii="Gill Sans MT" w:hAnsi="Gill Sans MT"/>
          <w:szCs w:val="26"/>
        </w:rPr>
        <w:t xml:space="preserve"> to monitor progress under the CES</w:t>
      </w:r>
      <w:r>
        <w:rPr>
          <w:rFonts w:ascii="Gill Sans MT" w:hAnsi="Gill Sans MT"/>
          <w:szCs w:val="26"/>
        </w:rPr>
        <w:t xml:space="preserve"> was developed by the NDA </w:t>
      </w:r>
      <w:r w:rsidR="00771ED5">
        <w:rPr>
          <w:rFonts w:ascii="Gill Sans MT" w:hAnsi="Gill Sans MT"/>
          <w:szCs w:val="26"/>
        </w:rPr>
        <w:t xml:space="preserve">and </w:t>
      </w:r>
      <w:r>
        <w:rPr>
          <w:rFonts w:ascii="Gill Sans MT" w:hAnsi="Gill Sans MT"/>
          <w:szCs w:val="26"/>
        </w:rPr>
        <w:t xml:space="preserve">then approved by the CESIG. </w:t>
      </w:r>
      <w:r w:rsidR="00F541C1">
        <w:rPr>
          <w:rFonts w:ascii="Gill Sans MT" w:hAnsi="Gill Sans MT"/>
          <w:szCs w:val="26"/>
        </w:rPr>
        <w:t>T</w:t>
      </w:r>
      <w:r w:rsidR="00701F82">
        <w:rPr>
          <w:rFonts w:ascii="Gill Sans MT" w:hAnsi="Gill Sans MT"/>
          <w:szCs w:val="26"/>
        </w:rPr>
        <w:t>he</w:t>
      </w:r>
      <w:r w:rsidRPr="001A1AE5">
        <w:rPr>
          <w:rFonts w:ascii="Gill Sans MT" w:hAnsi="Gill Sans MT"/>
          <w:szCs w:val="26"/>
        </w:rPr>
        <w:t xml:space="preserve"> indicators </w:t>
      </w:r>
      <w:r>
        <w:rPr>
          <w:rFonts w:ascii="Gill Sans MT" w:hAnsi="Gill Sans MT"/>
          <w:szCs w:val="26"/>
        </w:rPr>
        <w:t>were selected to align with the strategic priorities of the CES</w:t>
      </w:r>
      <w:r w:rsidR="00A46047">
        <w:rPr>
          <w:rFonts w:ascii="Gill Sans MT" w:hAnsi="Gill Sans MT"/>
          <w:szCs w:val="26"/>
        </w:rPr>
        <w:t xml:space="preserve"> and are, </w:t>
      </w:r>
      <w:r>
        <w:rPr>
          <w:rFonts w:ascii="Gill Sans MT" w:hAnsi="Gill Sans MT"/>
          <w:szCs w:val="26"/>
        </w:rPr>
        <w:t xml:space="preserve">by design, higher in level and fewer in number than </w:t>
      </w:r>
      <w:r w:rsidR="00B33C19">
        <w:rPr>
          <w:rFonts w:ascii="Gill Sans MT" w:hAnsi="Gill Sans MT"/>
          <w:szCs w:val="26"/>
        </w:rPr>
        <w:t xml:space="preserve">strategy </w:t>
      </w:r>
      <w:r>
        <w:rPr>
          <w:rFonts w:ascii="Gill Sans MT" w:hAnsi="Gill Sans MT"/>
          <w:szCs w:val="26"/>
        </w:rPr>
        <w:t>actions. As in the midterm</w:t>
      </w:r>
      <w:r w:rsidR="006230C5">
        <w:rPr>
          <w:rFonts w:ascii="Gill Sans MT" w:hAnsi="Gill Sans MT"/>
          <w:szCs w:val="26"/>
        </w:rPr>
        <w:t xml:space="preserve"> CES</w:t>
      </w:r>
      <w:r>
        <w:rPr>
          <w:rFonts w:ascii="Gill Sans MT" w:hAnsi="Gill Sans MT"/>
          <w:szCs w:val="26"/>
        </w:rPr>
        <w:t xml:space="preserve"> indicators report, three indicator types are distinguished in this report, in line with the human rights indicators framework. </w:t>
      </w:r>
      <w:r>
        <w:rPr>
          <w:rFonts w:ascii="Gill Sans MT" w:hAnsi="Gill Sans MT"/>
          <w:szCs w:val="26"/>
        </w:rPr>
        <w:fldChar w:fldCharType="begin"/>
      </w:r>
      <w:r w:rsidR="00C0772E">
        <w:rPr>
          <w:rFonts w:ascii="Gill Sans MT" w:hAnsi="Gill Sans MT"/>
          <w:szCs w:val="26"/>
        </w:rPr>
        <w:instrText xml:space="preserve"> ADDIN ZOTERO_ITEM CSL_CITATION {"citationID":"nGsJN0HT","properties":{"formattedCitation":"(13)","plainCitation":"(13)","noteIndex":0},"citationItems":[{"id":192,"uris":["http://zotero.org/users/local/kvLunvBP/items/V6QA5H9X"],"itemData":{"id":192,"type":"report","event-place":"New York and Geneva","publisher-place":"New York and Geneva","title":"Human rights indicators. A guide to measurement and implementation.","URL":"https://www.ohchr.org/Documents/Publications/Human_rights_indicators_en.pdf","author":[{"family":"United Nations Human Rights, Office of the High Commission","given":""}],"issued":{"date-parts":[["2012"]]}}}],"schema":"https://github.com/citation-style-language/schema/raw/master/csl-citation.json"} </w:instrText>
      </w:r>
      <w:r>
        <w:rPr>
          <w:rFonts w:ascii="Gill Sans MT" w:hAnsi="Gill Sans MT"/>
          <w:szCs w:val="26"/>
        </w:rPr>
        <w:fldChar w:fldCharType="separate"/>
      </w:r>
      <w:r w:rsidR="00C0772E" w:rsidRPr="00C0772E">
        <w:rPr>
          <w:rFonts w:ascii="Gill Sans MT" w:hAnsi="Gill Sans MT"/>
        </w:rPr>
        <w:t>(13)</w:t>
      </w:r>
      <w:r>
        <w:rPr>
          <w:rFonts w:ascii="Gill Sans MT" w:hAnsi="Gill Sans MT"/>
          <w:szCs w:val="26"/>
        </w:rPr>
        <w:fldChar w:fldCharType="end"/>
      </w:r>
      <w:r>
        <w:rPr>
          <w:rFonts w:ascii="Gill Sans MT" w:hAnsi="Gill Sans MT"/>
          <w:szCs w:val="26"/>
        </w:rPr>
        <w:t xml:space="preserve"> First, structural indicators represent the ratification and implementation of legal instruments, along with the establishment of fundamental institutional mechanisms essential for promoting and protecting human rights. These indicators help to gauge the State’s acceptance of and its intent and commitment to fulfilling its human rights obligations. Process indicators assess a state’s efforts by evaluating its implementation of policy measures and programmes aimed at translating human rights commitments into tangible results. Outcome indicators evaluate the extent to which individuals and groups enjoy human rights in a given setting</w:t>
      </w:r>
      <w:r w:rsidR="00B33C19">
        <w:rPr>
          <w:rFonts w:ascii="Gill Sans MT" w:hAnsi="Gill Sans MT"/>
          <w:szCs w:val="26"/>
        </w:rPr>
        <w:t>,</w:t>
      </w:r>
      <w:r>
        <w:rPr>
          <w:rFonts w:ascii="Gill Sans MT" w:hAnsi="Gill Sans MT"/>
          <w:szCs w:val="26"/>
        </w:rPr>
        <w:t xml:space="preserve"> and </w:t>
      </w:r>
      <w:r w:rsidR="00B33C19">
        <w:rPr>
          <w:rFonts w:ascii="Gill Sans MT" w:hAnsi="Gill Sans MT"/>
          <w:szCs w:val="26"/>
        </w:rPr>
        <w:t xml:space="preserve">these </w:t>
      </w:r>
      <w:r>
        <w:rPr>
          <w:rFonts w:ascii="Gill Sans MT" w:hAnsi="Gill Sans MT"/>
          <w:szCs w:val="26"/>
        </w:rPr>
        <w:t>are helpful in determining how successful state efforts have been in promoting and protecting those rights. An outcome indicator can be thought of as a consolidation over time of the impact of various underlying processes (which can be measured by one or several process indicators). Outcome indicators are, therefore, typically more slow-moving indicators, less sensitive to capturing immediate changes than process indicators.</w:t>
      </w:r>
    </w:p>
    <w:p w14:paraId="79EF02D1" w14:textId="71960886" w:rsidR="006C6FF7" w:rsidRDefault="006C6FF7" w:rsidP="006C6FF7">
      <w:pPr>
        <w:autoSpaceDE w:val="0"/>
        <w:autoSpaceDN w:val="0"/>
        <w:adjustRightInd w:val="0"/>
        <w:rPr>
          <w:rFonts w:ascii="Gill Sans MT" w:hAnsi="Gill Sans MT"/>
          <w:szCs w:val="26"/>
        </w:rPr>
      </w:pPr>
      <w:r>
        <w:rPr>
          <w:rFonts w:ascii="Gill Sans MT" w:hAnsi="Gill Sans MT"/>
          <w:szCs w:val="26"/>
        </w:rPr>
        <w:t>At the time</w:t>
      </w:r>
      <w:r w:rsidRPr="00FD4F24">
        <w:rPr>
          <w:rFonts w:ascii="Gill Sans MT" w:hAnsi="Gill Sans MT"/>
          <w:szCs w:val="26"/>
        </w:rPr>
        <w:t xml:space="preserve"> </w:t>
      </w:r>
      <w:r>
        <w:rPr>
          <w:rFonts w:ascii="Gill Sans MT" w:hAnsi="Gill Sans MT"/>
          <w:szCs w:val="26"/>
        </w:rPr>
        <w:t xml:space="preserve">of its initial development, </w:t>
      </w:r>
      <w:r w:rsidRPr="00FD4F24">
        <w:rPr>
          <w:rFonts w:ascii="Gill Sans MT" w:hAnsi="Gill Sans MT"/>
          <w:szCs w:val="26"/>
        </w:rPr>
        <w:t xml:space="preserve">it was </w:t>
      </w:r>
      <w:r>
        <w:rPr>
          <w:rFonts w:ascii="Gill Sans MT" w:hAnsi="Gill Sans MT"/>
          <w:szCs w:val="26"/>
        </w:rPr>
        <w:t>recognised</w:t>
      </w:r>
      <w:r w:rsidRPr="00FD4F24">
        <w:rPr>
          <w:rFonts w:ascii="Gill Sans MT" w:hAnsi="Gill Sans MT"/>
          <w:szCs w:val="26"/>
        </w:rPr>
        <w:t xml:space="preserve"> </w:t>
      </w:r>
      <w:r>
        <w:rPr>
          <w:rFonts w:ascii="Gill Sans MT" w:hAnsi="Gill Sans MT"/>
          <w:szCs w:val="26"/>
        </w:rPr>
        <w:t>that the CES indicator set would</w:t>
      </w:r>
      <w:r w:rsidR="006230C5">
        <w:rPr>
          <w:rFonts w:ascii="Gill Sans MT" w:hAnsi="Gill Sans MT"/>
          <w:szCs w:val="26"/>
        </w:rPr>
        <w:t xml:space="preserve"> need to</w:t>
      </w:r>
      <w:r>
        <w:rPr>
          <w:rFonts w:ascii="Gill Sans MT" w:hAnsi="Gill Sans MT"/>
          <w:szCs w:val="26"/>
        </w:rPr>
        <w:t xml:space="preserve"> be </w:t>
      </w:r>
      <w:r w:rsidRPr="00FD4F24">
        <w:rPr>
          <w:rFonts w:ascii="Gill Sans MT" w:hAnsi="Gill Sans MT"/>
          <w:szCs w:val="26"/>
        </w:rPr>
        <w:t>subject to change over time</w:t>
      </w:r>
      <w:r>
        <w:rPr>
          <w:rFonts w:ascii="Gill Sans MT" w:hAnsi="Gill Sans MT"/>
          <w:szCs w:val="26"/>
        </w:rPr>
        <w:t>.</w:t>
      </w:r>
      <w:r>
        <w:rPr>
          <w:sz w:val="22"/>
          <w:szCs w:val="26"/>
          <w:vertAlign w:val="superscript"/>
        </w:rPr>
        <w:t xml:space="preserve">  </w:t>
      </w:r>
      <w:r>
        <w:rPr>
          <w:rFonts w:ascii="Gill Sans MT" w:hAnsi="Gill Sans MT"/>
          <w:szCs w:val="26"/>
        </w:rPr>
        <w:t>Several</w:t>
      </w:r>
      <w:r w:rsidRPr="00FD4F24">
        <w:rPr>
          <w:rFonts w:ascii="Gill Sans MT" w:hAnsi="Gill Sans MT"/>
          <w:szCs w:val="26"/>
        </w:rPr>
        <w:t xml:space="preserve"> amendments </w:t>
      </w:r>
      <w:r>
        <w:rPr>
          <w:rFonts w:ascii="Gill Sans MT" w:hAnsi="Gill Sans MT"/>
          <w:szCs w:val="26"/>
        </w:rPr>
        <w:t xml:space="preserve">were </w:t>
      </w:r>
      <w:r w:rsidR="006230C5">
        <w:rPr>
          <w:rFonts w:ascii="Gill Sans MT" w:hAnsi="Gill Sans MT"/>
          <w:szCs w:val="26"/>
        </w:rPr>
        <w:t xml:space="preserve">then </w:t>
      </w:r>
      <w:r w:rsidRPr="00FD4F24">
        <w:rPr>
          <w:rFonts w:ascii="Gill Sans MT" w:hAnsi="Gill Sans MT"/>
          <w:szCs w:val="26"/>
        </w:rPr>
        <w:t xml:space="preserve">made to the indicators </w:t>
      </w:r>
      <w:r w:rsidR="005F44AF">
        <w:rPr>
          <w:rFonts w:ascii="Gill Sans MT" w:hAnsi="Gill Sans MT"/>
          <w:szCs w:val="26"/>
        </w:rPr>
        <w:t xml:space="preserve">at the time of the </w:t>
      </w:r>
      <w:r w:rsidR="0091045A">
        <w:rPr>
          <w:rFonts w:ascii="Gill Sans MT" w:hAnsi="Gill Sans MT"/>
          <w:szCs w:val="26"/>
        </w:rPr>
        <w:t>midterm</w:t>
      </w:r>
      <w:r w:rsidR="005F44AF">
        <w:rPr>
          <w:rFonts w:ascii="Gill Sans MT" w:hAnsi="Gill Sans MT"/>
          <w:szCs w:val="26"/>
        </w:rPr>
        <w:t xml:space="preserve"> review</w:t>
      </w:r>
      <w:r>
        <w:rPr>
          <w:rFonts w:ascii="Gill Sans MT" w:hAnsi="Gill Sans MT"/>
          <w:szCs w:val="26"/>
        </w:rPr>
        <w:t xml:space="preserve">. </w:t>
      </w:r>
      <w:r>
        <w:rPr>
          <w:rFonts w:ascii="Gill Sans MT" w:hAnsi="Gill Sans MT"/>
          <w:szCs w:val="26"/>
        </w:rPr>
        <w:fldChar w:fldCharType="begin"/>
      </w:r>
      <w:r>
        <w:rPr>
          <w:rFonts w:ascii="Gill Sans MT" w:hAnsi="Gill Sans MT"/>
          <w:szCs w:val="26"/>
        </w:rPr>
        <w:instrText xml:space="preserve"> ADDIN ZOTERO_ITEM CSL_CITATION {"citationID":"XtYZlZeb","properties":{"formattedCitation":"(4)","plainCitation":"(4)","noteIndex":0},"citationItems":[{"id":189,"uris":["http://zotero.org/users/local/kvLunvBP/items/GF4CIXZT"],"itemData":{"id":189,"type":"report","abstract":"Provides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Pr>
          <w:rFonts w:ascii="Gill Sans MT" w:hAnsi="Gill Sans MT"/>
          <w:szCs w:val="26"/>
        </w:rPr>
        <w:fldChar w:fldCharType="separate"/>
      </w:r>
      <w:r w:rsidRPr="00A35152">
        <w:rPr>
          <w:rFonts w:ascii="Gill Sans MT" w:hAnsi="Gill Sans MT"/>
        </w:rPr>
        <w:t>(4)</w:t>
      </w:r>
      <w:r>
        <w:rPr>
          <w:rFonts w:ascii="Gill Sans MT" w:hAnsi="Gill Sans MT"/>
          <w:szCs w:val="26"/>
        </w:rPr>
        <w:fldChar w:fldCharType="end"/>
      </w:r>
      <w:r>
        <w:rPr>
          <w:rFonts w:ascii="Gill Sans MT" w:hAnsi="Gill Sans MT"/>
          <w:szCs w:val="26"/>
        </w:rPr>
        <w:t xml:space="preserve"> </w:t>
      </w:r>
      <w:r w:rsidR="00771ED5">
        <w:rPr>
          <w:rFonts w:ascii="Gill Sans MT" w:hAnsi="Gill Sans MT"/>
          <w:szCs w:val="26"/>
        </w:rPr>
        <w:t xml:space="preserve">These changes, and the rationale for these, are presented in </w:t>
      </w:r>
      <w:r w:rsidR="00771ED5" w:rsidRPr="00FD4F24">
        <w:rPr>
          <w:rFonts w:ascii="Gill Sans MT" w:hAnsi="Gill Sans MT"/>
          <w:szCs w:val="26"/>
        </w:rPr>
        <w:t xml:space="preserve">Appendix </w:t>
      </w:r>
      <w:r w:rsidR="00771ED5">
        <w:rPr>
          <w:rFonts w:ascii="Gill Sans MT" w:hAnsi="Gill Sans MT"/>
          <w:szCs w:val="26"/>
        </w:rPr>
        <w:t>1</w:t>
      </w:r>
      <w:r w:rsidR="00771ED5" w:rsidRPr="00FD4F24">
        <w:rPr>
          <w:rFonts w:ascii="Gill Sans MT" w:hAnsi="Gill Sans MT"/>
          <w:szCs w:val="26"/>
        </w:rPr>
        <w:t xml:space="preserve">. </w:t>
      </w:r>
      <w:r w:rsidR="00771ED5" w:rsidRPr="006B5289">
        <w:rPr>
          <w:rFonts w:ascii="Gill Sans MT" w:hAnsi="Gill Sans MT"/>
          <w:szCs w:val="26"/>
        </w:rPr>
        <w:t xml:space="preserve">Appendix II </w:t>
      </w:r>
      <w:r w:rsidR="00771ED5">
        <w:rPr>
          <w:rFonts w:ascii="Gill Sans MT" w:hAnsi="Gill Sans MT"/>
          <w:szCs w:val="26"/>
        </w:rPr>
        <w:t>provides information on</w:t>
      </w:r>
      <w:r w:rsidR="00771ED5" w:rsidRPr="006B5289">
        <w:rPr>
          <w:rFonts w:ascii="Gill Sans MT" w:hAnsi="Gill Sans MT"/>
          <w:szCs w:val="26"/>
        </w:rPr>
        <w:t xml:space="preserve"> any new indicators included </w:t>
      </w:r>
      <w:r w:rsidR="00771ED5">
        <w:rPr>
          <w:rFonts w:ascii="Gill Sans MT" w:hAnsi="Gill Sans MT"/>
          <w:szCs w:val="26"/>
        </w:rPr>
        <w:t xml:space="preserve">since the set was originally developed </w:t>
      </w:r>
      <w:r w:rsidR="00771ED5" w:rsidRPr="006B5289">
        <w:rPr>
          <w:rFonts w:ascii="Gill Sans MT" w:hAnsi="Gill Sans MT"/>
          <w:szCs w:val="26"/>
        </w:rPr>
        <w:t xml:space="preserve">and the rationale for their </w:t>
      </w:r>
      <w:r w:rsidR="00771ED5">
        <w:rPr>
          <w:rFonts w:ascii="Gill Sans MT" w:hAnsi="Gill Sans MT"/>
          <w:szCs w:val="26"/>
        </w:rPr>
        <w:t>selection</w:t>
      </w:r>
      <w:r w:rsidR="00771ED5" w:rsidRPr="006B5289">
        <w:rPr>
          <w:rFonts w:ascii="Gill Sans MT" w:hAnsi="Gill Sans MT"/>
          <w:szCs w:val="26"/>
        </w:rPr>
        <w:t xml:space="preserve">. </w:t>
      </w:r>
      <w:r>
        <w:rPr>
          <w:rFonts w:ascii="Gill Sans MT" w:hAnsi="Gill Sans MT"/>
          <w:szCs w:val="26"/>
        </w:rPr>
        <w:t>Some further modifications to the indicator set have been made for this final report</w:t>
      </w:r>
      <w:r w:rsidR="00771ED5">
        <w:rPr>
          <w:rFonts w:ascii="Gill Sans MT" w:hAnsi="Gill Sans MT"/>
          <w:szCs w:val="26"/>
        </w:rPr>
        <w:t>, and these are captured in Appendix III</w:t>
      </w:r>
      <w:r>
        <w:rPr>
          <w:rFonts w:ascii="Gill Sans MT" w:hAnsi="Gill Sans MT"/>
          <w:szCs w:val="26"/>
        </w:rPr>
        <w:t>.</w:t>
      </w:r>
      <w:r w:rsidRPr="00FD4F24">
        <w:rPr>
          <w:rFonts w:ascii="Gill Sans MT" w:hAnsi="Gill Sans MT"/>
          <w:szCs w:val="26"/>
        </w:rPr>
        <w:t xml:space="preserve"> </w:t>
      </w:r>
      <w:r>
        <w:rPr>
          <w:rFonts w:ascii="Gill Sans MT" w:hAnsi="Gill Sans MT"/>
          <w:szCs w:val="26"/>
        </w:rPr>
        <w:t xml:space="preserve">In short, reasons for amending indicators </w:t>
      </w:r>
      <w:r w:rsidR="006230C5">
        <w:rPr>
          <w:rFonts w:ascii="Gill Sans MT" w:hAnsi="Gill Sans MT"/>
          <w:szCs w:val="26"/>
        </w:rPr>
        <w:t xml:space="preserve">have </w:t>
      </w:r>
      <w:r>
        <w:rPr>
          <w:rFonts w:ascii="Gill Sans MT" w:hAnsi="Gill Sans MT"/>
          <w:szCs w:val="26"/>
        </w:rPr>
        <w:t>include</w:t>
      </w:r>
      <w:r w:rsidR="006230C5">
        <w:rPr>
          <w:rFonts w:ascii="Gill Sans MT" w:hAnsi="Gill Sans MT"/>
          <w:szCs w:val="26"/>
        </w:rPr>
        <w:t>d</w:t>
      </w:r>
      <w:r>
        <w:rPr>
          <w:rFonts w:ascii="Gill Sans MT" w:hAnsi="Gill Sans MT"/>
          <w:szCs w:val="26"/>
        </w:rPr>
        <w:t xml:space="preserve"> a need to</w:t>
      </w:r>
      <w:r w:rsidRPr="00FD4F24">
        <w:rPr>
          <w:rFonts w:ascii="Gill Sans MT" w:hAnsi="Gill Sans MT"/>
          <w:szCs w:val="26"/>
        </w:rPr>
        <w:t xml:space="preserve"> </w:t>
      </w:r>
      <w:r>
        <w:rPr>
          <w:rFonts w:ascii="Gill Sans MT" w:hAnsi="Gill Sans MT"/>
          <w:szCs w:val="26"/>
        </w:rPr>
        <w:t>reduce</w:t>
      </w:r>
      <w:r w:rsidRPr="00FD4F24">
        <w:rPr>
          <w:rFonts w:ascii="Gill Sans MT" w:hAnsi="Gill Sans MT"/>
          <w:szCs w:val="26"/>
        </w:rPr>
        <w:t xml:space="preserve"> duplication,</w:t>
      </w:r>
      <w:r>
        <w:rPr>
          <w:rFonts w:ascii="Gill Sans MT" w:hAnsi="Gill Sans MT"/>
          <w:szCs w:val="26"/>
        </w:rPr>
        <w:t xml:space="preserve"> </w:t>
      </w:r>
      <w:r w:rsidR="005F44AF">
        <w:rPr>
          <w:rFonts w:ascii="Gill Sans MT" w:hAnsi="Gill Sans MT"/>
          <w:szCs w:val="26"/>
        </w:rPr>
        <w:t>unavailability</w:t>
      </w:r>
      <w:r w:rsidR="006230C5">
        <w:rPr>
          <w:rFonts w:ascii="Gill Sans MT" w:hAnsi="Gill Sans MT"/>
          <w:szCs w:val="26"/>
        </w:rPr>
        <w:t xml:space="preserve"> of </w:t>
      </w:r>
      <w:r>
        <w:rPr>
          <w:rFonts w:ascii="Gill Sans MT" w:hAnsi="Gill Sans MT"/>
          <w:szCs w:val="26"/>
        </w:rPr>
        <w:t>data originally intended for use for particular indicators,</w:t>
      </w:r>
      <w:r w:rsidRPr="00FD4F24">
        <w:rPr>
          <w:rFonts w:ascii="Gill Sans MT" w:hAnsi="Gill Sans MT"/>
          <w:szCs w:val="26"/>
        </w:rPr>
        <w:t xml:space="preserve"> and</w:t>
      </w:r>
      <w:r>
        <w:rPr>
          <w:rFonts w:ascii="Gill Sans MT" w:hAnsi="Gill Sans MT"/>
          <w:szCs w:val="26"/>
        </w:rPr>
        <w:t xml:space="preserve"> the</w:t>
      </w:r>
      <w:r w:rsidRPr="00FD4F24">
        <w:rPr>
          <w:rFonts w:ascii="Gill Sans MT" w:hAnsi="Gill Sans MT"/>
          <w:szCs w:val="26"/>
        </w:rPr>
        <w:t xml:space="preserve"> renaming</w:t>
      </w:r>
      <w:r>
        <w:rPr>
          <w:rFonts w:ascii="Gill Sans MT" w:hAnsi="Gill Sans MT"/>
          <w:szCs w:val="26"/>
        </w:rPr>
        <w:t xml:space="preserve"> or reorientation of</w:t>
      </w:r>
      <w:r w:rsidRPr="00FD4F24">
        <w:rPr>
          <w:rFonts w:ascii="Gill Sans MT" w:hAnsi="Gill Sans MT"/>
          <w:szCs w:val="26"/>
        </w:rPr>
        <w:t xml:space="preserve"> indicators to match</w:t>
      </w:r>
      <w:r>
        <w:rPr>
          <w:rFonts w:ascii="Gill Sans MT" w:hAnsi="Gill Sans MT"/>
          <w:szCs w:val="26"/>
        </w:rPr>
        <w:t xml:space="preserve"> </w:t>
      </w:r>
      <w:r w:rsidRPr="00FD4F24">
        <w:rPr>
          <w:rFonts w:ascii="Gill Sans MT" w:hAnsi="Gill Sans MT"/>
          <w:szCs w:val="26"/>
        </w:rPr>
        <w:t>data</w:t>
      </w:r>
      <w:r>
        <w:rPr>
          <w:rFonts w:ascii="Gill Sans MT" w:hAnsi="Gill Sans MT"/>
          <w:szCs w:val="26"/>
        </w:rPr>
        <w:t xml:space="preserve"> which could be accessed instead</w:t>
      </w:r>
      <w:r w:rsidRPr="00FD4F24">
        <w:rPr>
          <w:rFonts w:ascii="Gill Sans MT" w:hAnsi="Gill Sans MT"/>
          <w:szCs w:val="26"/>
        </w:rPr>
        <w:t xml:space="preserve">. </w:t>
      </w:r>
    </w:p>
    <w:p w14:paraId="614C0994" w14:textId="29CDAB19" w:rsidR="006C6FF7" w:rsidRDefault="006C6FF7" w:rsidP="006C6FF7">
      <w:pPr>
        <w:autoSpaceDE w:val="0"/>
        <w:autoSpaceDN w:val="0"/>
        <w:adjustRightInd w:val="0"/>
        <w:rPr>
          <w:rFonts w:ascii="Gill Sans MT" w:hAnsi="Gill Sans MT"/>
          <w:szCs w:val="26"/>
        </w:rPr>
      </w:pPr>
      <w:r>
        <w:rPr>
          <w:rFonts w:ascii="Gill Sans MT" w:hAnsi="Gill Sans MT"/>
          <w:szCs w:val="26"/>
        </w:rPr>
        <w:t xml:space="preserve">One major reason why it was necessary to adapt indicators for this final monitoring report relates to changes in how disability was assessed in Census 2022. The Census of Population of Ireland was a major source of data for the indicator set as originally developed. The midterm indicators report presented data from Census 2016 with the intention that this final report could examine </w:t>
      </w:r>
      <w:r w:rsidR="00927F78">
        <w:rPr>
          <w:rFonts w:ascii="Gill Sans MT" w:hAnsi="Gill Sans MT"/>
          <w:szCs w:val="26"/>
        </w:rPr>
        <w:t>changes over time</w:t>
      </w:r>
      <w:r>
        <w:rPr>
          <w:rFonts w:ascii="Gill Sans MT" w:hAnsi="Gill Sans MT"/>
          <w:szCs w:val="26"/>
        </w:rPr>
        <w:t xml:space="preserve"> once the next round of census data</w:t>
      </w:r>
      <w:r w:rsidRPr="00233BC4">
        <w:rPr>
          <w:rStyle w:val="FootnoteReference"/>
        </w:rPr>
        <w:footnoteReference w:id="4"/>
      </w:r>
      <w:r>
        <w:rPr>
          <w:rFonts w:ascii="Gill Sans MT" w:hAnsi="Gill Sans MT"/>
          <w:szCs w:val="26"/>
        </w:rPr>
        <w:t xml:space="preserve"> was available. However, changes to the disability questions in Census 2022</w:t>
      </w:r>
      <w:r w:rsidR="00927F78" w:rsidRPr="00233BC4">
        <w:rPr>
          <w:rStyle w:val="FootnoteReference"/>
        </w:rPr>
        <w:footnoteReference w:id="5"/>
      </w:r>
      <w:r w:rsidR="00927F78">
        <w:rPr>
          <w:rFonts w:ascii="Gill Sans MT" w:hAnsi="Gill Sans MT"/>
          <w:szCs w:val="26"/>
        </w:rPr>
        <w:t xml:space="preserve"> </w:t>
      </w:r>
      <w:r>
        <w:rPr>
          <w:rFonts w:ascii="Gill Sans MT" w:hAnsi="Gill Sans MT"/>
          <w:szCs w:val="26"/>
        </w:rPr>
        <w:t>mean that it is not possible to meaningfully compare disability information from Census 2022 with that from previous censuses.</w:t>
      </w:r>
      <w:r w:rsidR="004171B5">
        <w:rPr>
          <w:rFonts w:ascii="Gill Sans MT" w:hAnsi="Gill Sans MT"/>
          <w:szCs w:val="26"/>
        </w:rPr>
        <w:t xml:space="preserve"> Alternative data sources have been identified for some indicators</w:t>
      </w:r>
      <w:r w:rsidR="005F3766">
        <w:rPr>
          <w:rFonts w:ascii="Gill Sans MT" w:hAnsi="Gill Sans MT"/>
          <w:szCs w:val="26"/>
        </w:rPr>
        <w:t>;</w:t>
      </w:r>
      <w:r w:rsidR="004171B5">
        <w:rPr>
          <w:rFonts w:ascii="Gill Sans MT" w:hAnsi="Gill Sans MT"/>
          <w:szCs w:val="26"/>
        </w:rPr>
        <w:t xml:space="preserve"> for others, it has not been possible to do so.</w:t>
      </w:r>
    </w:p>
    <w:p w14:paraId="20F29EEA" w14:textId="020BDF75" w:rsidR="005F3766" w:rsidRDefault="006C6FF7" w:rsidP="009C4192">
      <w:pPr>
        <w:sectPr w:rsidR="005F3766" w:rsidSect="007D2DFC">
          <w:pgSz w:w="12240" w:h="15840"/>
          <w:pgMar w:top="1440" w:right="1797" w:bottom="1440" w:left="1797" w:header="709" w:footer="709" w:gutter="0"/>
          <w:cols w:space="708"/>
          <w:docGrid w:linePitch="360"/>
        </w:sectPr>
      </w:pPr>
      <w:r>
        <w:t xml:space="preserve">In this report, information is presented on </w:t>
      </w:r>
      <w:r w:rsidR="00D2461E">
        <w:t>2</w:t>
      </w:r>
      <w:r w:rsidR="00041DF9">
        <w:t>9</w:t>
      </w:r>
      <w:r w:rsidR="00D2461E">
        <w:t xml:space="preserve"> main</w:t>
      </w:r>
      <w:r>
        <w:t xml:space="preserve"> indicators</w:t>
      </w:r>
      <w:r w:rsidR="00A97FEE">
        <w:t>.</w:t>
      </w:r>
      <w:r w:rsidR="00041DF9">
        <w:t xml:space="preserve"> </w:t>
      </w:r>
      <w:r w:rsidR="00A97FEE">
        <w:t>T</w:t>
      </w:r>
      <w:r w:rsidR="00041DF9">
        <w:t>wo</w:t>
      </w:r>
      <w:r w:rsidR="00634702">
        <w:t xml:space="preserve"> of</w:t>
      </w:r>
      <w:r w:rsidR="00041DF9">
        <w:t xml:space="preserve"> </w:t>
      </w:r>
      <w:r w:rsidR="00A97FEE">
        <w:t>these</w:t>
      </w:r>
      <w:r w:rsidR="00041DF9">
        <w:t xml:space="preserve"> </w:t>
      </w:r>
      <w:r w:rsidR="00634702">
        <w:t xml:space="preserve">are overarching indicators </w:t>
      </w:r>
      <w:r w:rsidR="00041DF9">
        <w:t>relat</w:t>
      </w:r>
      <w:r w:rsidR="00634702">
        <w:t>ing</w:t>
      </w:r>
      <w:r w:rsidR="00041DF9">
        <w:t xml:space="preserve"> to the strategy as a whole</w:t>
      </w:r>
      <w:r w:rsidR="001268CE">
        <w:t>,</w:t>
      </w:r>
      <w:r w:rsidR="00041DF9">
        <w:t xml:space="preserve"> and </w:t>
      </w:r>
      <w:r w:rsidR="00A97FEE">
        <w:t xml:space="preserve">the remaining </w:t>
      </w:r>
      <w:r w:rsidR="00041DF9">
        <w:t>27</w:t>
      </w:r>
      <w:r>
        <w:t xml:space="preserve"> </w:t>
      </w:r>
      <w:r w:rsidR="00634702">
        <w:t>relate to the</w:t>
      </w:r>
      <w:r>
        <w:t xml:space="preserve"> six strategic priorities of the CES (see </w:t>
      </w:r>
      <w:r w:rsidR="008B170E">
        <w:fldChar w:fldCharType="begin"/>
      </w:r>
      <w:r w:rsidR="008B170E">
        <w:instrText xml:space="preserve"> REF _Ref179895495 \h </w:instrText>
      </w:r>
      <w:r w:rsidR="009C4192">
        <w:instrText xml:space="preserve"> \* MERGEFORMAT </w:instrText>
      </w:r>
      <w:r w:rsidR="008B170E">
        <w:fldChar w:fldCharType="separate"/>
      </w:r>
      <w:r w:rsidR="009C4192">
        <w:t xml:space="preserve">Table </w:t>
      </w:r>
      <w:r w:rsidR="009C4192">
        <w:rPr>
          <w:noProof/>
        </w:rPr>
        <w:t>1</w:t>
      </w:r>
      <w:r w:rsidR="008B170E">
        <w:fldChar w:fldCharType="end"/>
      </w:r>
      <w:r w:rsidR="008B170E">
        <w:t xml:space="preserve">). </w:t>
      </w:r>
      <w:r>
        <w:t xml:space="preserve">The indicators comprise a mix of </w:t>
      </w:r>
      <w:r w:rsidRPr="00D2461E">
        <w:t>process (</w:t>
      </w:r>
      <w:r w:rsidR="00D2461E" w:rsidRPr="00D2461E">
        <w:t>72</w:t>
      </w:r>
      <w:r w:rsidRPr="00D2461E">
        <w:t xml:space="preserve">%, n = </w:t>
      </w:r>
      <w:r w:rsidR="00D2461E" w:rsidRPr="00D2461E">
        <w:t>21</w:t>
      </w:r>
      <w:r w:rsidRPr="00D2461E">
        <w:t>) and outcome indicators (</w:t>
      </w:r>
      <w:r w:rsidR="00D2461E" w:rsidRPr="00D2461E">
        <w:t>28</w:t>
      </w:r>
      <w:r w:rsidRPr="00D2461E">
        <w:t>%;</w:t>
      </w:r>
      <w:r>
        <w:t xml:space="preserve"> n = </w:t>
      </w:r>
      <w:r w:rsidR="001268CE">
        <w:t>8</w:t>
      </w:r>
      <w:r>
        <w:t xml:space="preserve">), and no structural indicators were identified for inclusion in the set. </w:t>
      </w:r>
      <w:r w:rsidR="00D2461E">
        <w:t xml:space="preserve">Several of the </w:t>
      </w:r>
      <w:r w:rsidR="00687E1C">
        <w:t>strategic priority</w:t>
      </w:r>
      <w:r w:rsidR="00D2461E">
        <w:t xml:space="preserve"> indicators also contain sub-indicators. </w:t>
      </w:r>
      <w:r>
        <w:t xml:space="preserve">As </w:t>
      </w:r>
      <w:r w:rsidR="00687E1C">
        <w:t xml:space="preserve">first </w:t>
      </w:r>
      <w:r>
        <w:t xml:space="preserve">discussed in the </w:t>
      </w:r>
      <w:r w:rsidR="0091045A">
        <w:t>midterm</w:t>
      </w:r>
      <w:r>
        <w:t xml:space="preserve"> indicators report, the balance of indicator types would ideally be weighted more heavily in favour of outcome indicators. Data availability limitations have meant that this has not been possible, despite NDA efforts to influence data collection and research over the lifetime of the strategy</w:t>
      </w:r>
    </w:p>
    <w:p w14:paraId="6C69EA4E" w14:textId="04202ACF" w:rsidR="008B170E" w:rsidRDefault="008B170E" w:rsidP="008B170E">
      <w:pPr>
        <w:pStyle w:val="Caption"/>
        <w:keepNext/>
      </w:pPr>
      <w:bookmarkStart w:id="66" w:name="_Ref179895495"/>
      <w:bookmarkStart w:id="67" w:name="_Ref179895488"/>
      <w:bookmarkStart w:id="68" w:name="_Toc182219705"/>
      <w:r>
        <w:t xml:space="preserve">Table </w:t>
      </w:r>
      <w:r>
        <w:fldChar w:fldCharType="begin"/>
      </w:r>
      <w:r>
        <w:instrText xml:space="preserve"> SEQ Table \* ARABIC </w:instrText>
      </w:r>
      <w:r>
        <w:fldChar w:fldCharType="separate"/>
      </w:r>
      <w:r w:rsidR="009C4192">
        <w:rPr>
          <w:noProof/>
        </w:rPr>
        <w:t>1</w:t>
      </w:r>
      <w:r>
        <w:fldChar w:fldCharType="end"/>
      </w:r>
      <w:bookmarkEnd w:id="66"/>
      <w:r>
        <w:t xml:space="preserve">: </w:t>
      </w:r>
      <w:r w:rsidRPr="00C5438E">
        <w:rPr>
          <w:rFonts w:ascii="Gill Sans MT" w:eastAsia="SimSun" w:hAnsi="Gill Sans MT" w:cs="FuturaEF-Book"/>
          <w:szCs w:val="26"/>
          <w:lang w:eastAsia="en-IE"/>
        </w:rPr>
        <w:t>Number of indicators relating to each CES strategic priority, by indicator type</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1"/>
        <w:gridCol w:w="1459"/>
        <w:gridCol w:w="1417"/>
        <w:gridCol w:w="1276"/>
        <w:gridCol w:w="872"/>
      </w:tblGrid>
      <w:tr w:rsidR="006C6FF7" w:rsidRPr="00FD4F24" w14:paraId="717A1046" w14:textId="77777777" w:rsidTr="00F80F8B">
        <w:trPr>
          <w:tblHeader/>
        </w:trPr>
        <w:tc>
          <w:tcPr>
            <w:tcW w:w="3351" w:type="dxa"/>
            <w:tcMar>
              <w:top w:w="0" w:type="dxa"/>
              <w:left w:w="108" w:type="dxa"/>
              <w:bottom w:w="0" w:type="dxa"/>
              <w:right w:w="108" w:type="dxa"/>
            </w:tcMar>
          </w:tcPr>
          <w:p w14:paraId="2F7A033E" w14:textId="77777777" w:rsidR="006C6FF7" w:rsidRPr="00FD4F24" w:rsidRDefault="006C6FF7" w:rsidP="00CC6190">
            <w:pPr>
              <w:spacing w:after="0"/>
              <w:rPr>
                <w:rFonts w:ascii="Calibri" w:hAnsi="Calibri"/>
                <w:sz w:val="22"/>
                <w:szCs w:val="22"/>
                <w:highlight w:val="yellow"/>
              </w:rPr>
            </w:pPr>
          </w:p>
        </w:tc>
        <w:tc>
          <w:tcPr>
            <w:tcW w:w="1459" w:type="dxa"/>
            <w:tcMar>
              <w:top w:w="0" w:type="dxa"/>
              <w:left w:w="108" w:type="dxa"/>
              <w:bottom w:w="0" w:type="dxa"/>
              <w:right w:w="108" w:type="dxa"/>
            </w:tcMar>
            <w:hideMark/>
          </w:tcPr>
          <w:p w14:paraId="76DB325E" w14:textId="77777777" w:rsidR="006C6FF7" w:rsidRPr="00FD4F24" w:rsidRDefault="006C6FF7" w:rsidP="00CC6190">
            <w:pPr>
              <w:spacing w:after="0"/>
              <w:jc w:val="right"/>
              <w:rPr>
                <w:rFonts w:ascii="Gill Sans MT" w:hAnsi="Gill Sans MT"/>
                <w:b/>
                <w:bCs/>
              </w:rPr>
            </w:pPr>
            <w:r w:rsidRPr="00FD4F24">
              <w:rPr>
                <w:rFonts w:ascii="Gill Sans MT" w:hAnsi="Gill Sans MT"/>
                <w:b/>
                <w:bCs/>
              </w:rPr>
              <w:t>Structural</w:t>
            </w:r>
          </w:p>
        </w:tc>
        <w:tc>
          <w:tcPr>
            <w:tcW w:w="1417" w:type="dxa"/>
            <w:tcMar>
              <w:top w:w="0" w:type="dxa"/>
              <w:left w:w="108" w:type="dxa"/>
              <w:bottom w:w="0" w:type="dxa"/>
              <w:right w:w="108" w:type="dxa"/>
            </w:tcMar>
            <w:hideMark/>
          </w:tcPr>
          <w:p w14:paraId="52283FFA" w14:textId="77777777" w:rsidR="006C6FF7" w:rsidRPr="00FD4F24" w:rsidRDefault="006C6FF7" w:rsidP="00CC6190">
            <w:pPr>
              <w:spacing w:after="0"/>
              <w:jc w:val="right"/>
              <w:rPr>
                <w:rFonts w:ascii="Gill Sans MT" w:hAnsi="Gill Sans MT"/>
                <w:b/>
                <w:bCs/>
              </w:rPr>
            </w:pPr>
            <w:r w:rsidRPr="00FD4F24">
              <w:rPr>
                <w:rFonts w:ascii="Gill Sans MT" w:hAnsi="Gill Sans MT"/>
                <w:b/>
                <w:bCs/>
              </w:rPr>
              <w:t>Process</w:t>
            </w:r>
          </w:p>
        </w:tc>
        <w:tc>
          <w:tcPr>
            <w:tcW w:w="1276" w:type="dxa"/>
          </w:tcPr>
          <w:p w14:paraId="6D2B2F29" w14:textId="77777777" w:rsidR="006C6FF7" w:rsidRPr="00FD4F24" w:rsidRDefault="006C6FF7" w:rsidP="00CC6190">
            <w:pPr>
              <w:spacing w:after="0"/>
              <w:jc w:val="right"/>
              <w:rPr>
                <w:rFonts w:ascii="Gill Sans MT" w:hAnsi="Gill Sans MT"/>
                <w:b/>
                <w:bCs/>
              </w:rPr>
            </w:pPr>
            <w:r w:rsidRPr="00FD4F24">
              <w:rPr>
                <w:rFonts w:ascii="Gill Sans MT" w:hAnsi="Gill Sans MT"/>
                <w:b/>
                <w:bCs/>
              </w:rPr>
              <w:t>Outcome</w:t>
            </w:r>
          </w:p>
        </w:tc>
        <w:tc>
          <w:tcPr>
            <w:tcW w:w="872" w:type="dxa"/>
            <w:tcMar>
              <w:top w:w="0" w:type="dxa"/>
              <w:left w:w="108" w:type="dxa"/>
              <w:bottom w:w="0" w:type="dxa"/>
              <w:right w:w="108" w:type="dxa"/>
            </w:tcMar>
            <w:hideMark/>
          </w:tcPr>
          <w:p w14:paraId="2CBD33D4" w14:textId="77777777" w:rsidR="006C6FF7" w:rsidRPr="00FD4F24" w:rsidRDefault="006C6FF7" w:rsidP="00CC6190">
            <w:pPr>
              <w:spacing w:after="0"/>
              <w:jc w:val="right"/>
              <w:rPr>
                <w:rFonts w:ascii="Gill Sans MT" w:hAnsi="Gill Sans MT"/>
                <w:b/>
                <w:bCs/>
              </w:rPr>
            </w:pPr>
            <w:r w:rsidRPr="00FD4F24">
              <w:rPr>
                <w:rFonts w:ascii="Gill Sans MT" w:hAnsi="Gill Sans MT"/>
                <w:b/>
                <w:bCs/>
              </w:rPr>
              <w:t>Total</w:t>
            </w:r>
          </w:p>
        </w:tc>
      </w:tr>
      <w:tr w:rsidR="00041DF9" w:rsidRPr="00FD4F24" w14:paraId="0EF73384" w14:textId="77777777" w:rsidTr="00F80F8B">
        <w:tc>
          <w:tcPr>
            <w:tcW w:w="3351" w:type="dxa"/>
            <w:tcMar>
              <w:top w:w="0" w:type="dxa"/>
              <w:left w:w="108" w:type="dxa"/>
              <w:bottom w:w="0" w:type="dxa"/>
              <w:right w:w="108" w:type="dxa"/>
            </w:tcMar>
          </w:tcPr>
          <w:p w14:paraId="6901FA12" w14:textId="0459A005" w:rsidR="00041DF9" w:rsidRPr="00FD4F24" w:rsidRDefault="00041DF9" w:rsidP="00CC6190">
            <w:pPr>
              <w:spacing w:after="0"/>
              <w:rPr>
                <w:rFonts w:ascii="Gill Sans MT" w:hAnsi="Gill Sans MT"/>
              </w:rPr>
            </w:pPr>
            <w:r>
              <w:rPr>
                <w:rFonts w:ascii="Gill Sans MT" w:hAnsi="Gill Sans MT"/>
              </w:rPr>
              <w:t xml:space="preserve">Overarching </w:t>
            </w:r>
            <w:r w:rsidR="001268CE">
              <w:rPr>
                <w:rFonts w:ascii="Gill Sans MT" w:hAnsi="Gill Sans MT"/>
              </w:rPr>
              <w:t xml:space="preserve">CES </w:t>
            </w:r>
            <w:r>
              <w:rPr>
                <w:rFonts w:ascii="Gill Sans MT" w:hAnsi="Gill Sans MT"/>
              </w:rPr>
              <w:t>indicators</w:t>
            </w:r>
          </w:p>
        </w:tc>
        <w:tc>
          <w:tcPr>
            <w:tcW w:w="1459" w:type="dxa"/>
            <w:tcMar>
              <w:top w:w="0" w:type="dxa"/>
              <w:left w:w="108" w:type="dxa"/>
              <w:bottom w:w="0" w:type="dxa"/>
              <w:right w:w="108" w:type="dxa"/>
            </w:tcMar>
          </w:tcPr>
          <w:p w14:paraId="0BE378E8" w14:textId="79C14B36" w:rsidR="00041DF9" w:rsidRPr="00FD4F24" w:rsidRDefault="00041DF9" w:rsidP="00CC6190">
            <w:pPr>
              <w:spacing w:after="0"/>
              <w:jc w:val="center"/>
              <w:rPr>
                <w:rFonts w:ascii="Gill Sans MT" w:hAnsi="Gill Sans MT"/>
              </w:rPr>
            </w:pPr>
            <w:r>
              <w:rPr>
                <w:rFonts w:ascii="Gill Sans MT" w:hAnsi="Gill Sans MT"/>
              </w:rPr>
              <w:t>0</w:t>
            </w:r>
          </w:p>
        </w:tc>
        <w:tc>
          <w:tcPr>
            <w:tcW w:w="1417" w:type="dxa"/>
            <w:tcMar>
              <w:top w:w="0" w:type="dxa"/>
              <w:left w:w="108" w:type="dxa"/>
              <w:bottom w:w="0" w:type="dxa"/>
              <w:right w:w="108" w:type="dxa"/>
            </w:tcMar>
          </w:tcPr>
          <w:p w14:paraId="30A21321" w14:textId="1B7F3281" w:rsidR="00041DF9" w:rsidRPr="00C12D83" w:rsidRDefault="00041DF9" w:rsidP="00CC6190">
            <w:pPr>
              <w:spacing w:after="0"/>
              <w:jc w:val="center"/>
              <w:rPr>
                <w:rFonts w:ascii="Gill Sans MT" w:hAnsi="Gill Sans MT"/>
              </w:rPr>
            </w:pPr>
            <w:r>
              <w:rPr>
                <w:rFonts w:ascii="Gill Sans MT" w:hAnsi="Gill Sans MT"/>
              </w:rPr>
              <w:t>0</w:t>
            </w:r>
          </w:p>
        </w:tc>
        <w:tc>
          <w:tcPr>
            <w:tcW w:w="1276" w:type="dxa"/>
          </w:tcPr>
          <w:p w14:paraId="54C4B154" w14:textId="55F9E48D" w:rsidR="00041DF9" w:rsidRPr="00C12D83" w:rsidRDefault="00041DF9" w:rsidP="00CC6190">
            <w:pPr>
              <w:spacing w:after="0"/>
              <w:jc w:val="center"/>
              <w:rPr>
                <w:rFonts w:ascii="Gill Sans MT" w:hAnsi="Gill Sans MT"/>
              </w:rPr>
            </w:pPr>
            <w:r>
              <w:rPr>
                <w:rFonts w:ascii="Gill Sans MT" w:hAnsi="Gill Sans MT"/>
              </w:rPr>
              <w:t>2</w:t>
            </w:r>
          </w:p>
        </w:tc>
        <w:tc>
          <w:tcPr>
            <w:tcW w:w="872" w:type="dxa"/>
            <w:tcMar>
              <w:top w:w="0" w:type="dxa"/>
              <w:left w:w="108" w:type="dxa"/>
              <w:bottom w:w="0" w:type="dxa"/>
              <w:right w:w="108" w:type="dxa"/>
            </w:tcMar>
          </w:tcPr>
          <w:p w14:paraId="18D3C347" w14:textId="6EC1CA6A" w:rsidR="00041DF9" w:rsidRPr="00C12D83" w:rsidRDefault="00041DF9" w:rsidP="00CC6190">
            <w:pPr>
              <w:spacing w:after="0"/>
              <w:jc w:val="center"/>
              <w:rPr>
                <w:rFonts w:ascii="Gill Sans MT" w:hAnsi="Gill Sans MT"/>
              </w:rPr>
            </w:pPr>
            <w:r>
              <w:rPr>
                <w:rFonts w:ascii="Gill Sans MT" w:hAnsi="Gill Sans MT"/>
              </w:rPr>
              <w:t>2</w:t>
            </w:r>
          </w:p>
        </w:tc>
      </w:tr>
      <w:tr w:rsidR="006C6FF7" w:rsidRPr="00FD4F24" w14:paraId="477F7D17" w14:textId="77777777" w:rsidTr="00F80F8B">
        <w:tc>
          <w:tcPr>
            <w:tcW w:w="3351" w:type="dxa"/>
            <w:tcMar>
              <w:top w:w="0" w:type="dxa"/>
              <w:left w:w="108" w:type="dxa"/>
              <w:bottom w:w="0" w:type="dxa"/>
              <w:right w:w="108" w:type="dxa"/>
            </w:tcMar>
            <w:hideMark/>
          </w:tcPr>
          <w:p w14:paraId="72CF3979" w14:textId="77777777" w:rsidR="006C6FF7" w:rsidRPr="00FD4F24" w:rsidRDefault="006C6FF7" w:rsidP="00CC6190">
            <w:pPr>
              <w:spacing w:after="0"/>
              <w:rPr>
                <w:rFonts w:ascii="Gill Sans MT" w:hAnsi="Gill Sans MT"/>
              </w:rPr>
            </w:pPr>
            <w:r w:rsidRPr="00FD4F24">
              <w:rPr>
                <w:rFonts w:ascii="Gill Sans MT" w:hAnsi="Gill Sans MT"/>
              </w:rPr>
              <w:t>SP1: Building skills, capacity and independence</w:t>
            </w:r>
          </w:p>
        </w:tc>
        <w:tc>
          <w:tcPr>
            <w:tcW w:w="1459" w:type="dxa"/>
            <w:tcMar>
              <w:top w:w="0" w:type="dxa"/>
              <w:left w:w="108" w:type="dxa"/>
              <w:bottom w:w="0" w:type="dxa"/>
              <w:right w:w="108" w:type="dxa"/>
            </w:tcMar>
          </w:tcPr>
          <w:p w14:paraId="12DCD477"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3CCF964C" w14:textId="68CB5113" w:rsidR="006C6FF7" w:rsidRPr="00C12D83" w:rsidRDefault="00C12D83" w:rsidP="00CC6190">
            <w:pPr>
              <w:spacing w:after="0"/>
              <w:jc w:val="center"/>
              <w:rPr>
                <w:rFonts w:ascii="Gill Sans MT" w:hAnsi="Gill Sans MT"/>
              </w:rPr>
            </w:pPr>
            <w:r w:rsidRPr="00C12D83">
              <w:rPr>
                <w:rFonts w:ascii="Gill Sans MT" w:hAnsi="Gill Sans MT"/>
              </w:rPr>
              <w:t>6</w:t>
            </w:r>
          </w:p>
        </w:tc>
        <w:tc>
          <w:tcPr>
            <w:tcW w:w="1276" w:type="dxa"/>
          </w:tcPr>
          <w:p w14:paraId="02C5BCE0" w14:textId="18986C97" w:rsidR="006C6FF7" w:rsidRPr="00C12D83" w:rsidRDefault="00C12D83" w:rsidP="00CC6190">
            <w:pPr>
              <w:spacing w:after="0"/>
              <w:jc w:val="center"/>
              <w:rPr>
                <w:rFonts w:ascii="Gill Sans MT" w:hAnsi="Gill Sans MT"/>
              </w:rPr>
            </w:pPr>
            <w:r w:rsidRPr="00C12D83">
              <w:rPr>
                <w:rFonts w:ascii="Gill Sans MT" w:hAnsi="Gill Sans MT"/>
              </w:rPr>
              <w:t>2</w:t>
            </w:r>
          </w:p>
        </w:tc>
        <w:tc>
          <w:tcPr>
            <w:tcW w:w="872" w:type="dxa"/>
            <w:tcMar>
              <w:top w:w="0" w:type="dxa"/>
              <w:left w:w="108" w:type="dxa"/>
              <w:bottom w:w="0" w:type="dxa"/>
              <w:right w:w="108" w:type="dxa"/>
            </w:tcMar>
          </w:tcPr>
          <w:p w14:paraId="76EB99FD" w14:textId="77777777" w:rsidR="006C6FF7" w:rsidRPr="00C12D83" w:rsidRDefault="006C6FF7" w:rsidP="00CC6190">
            <w:pPr>
              <w:spacing w:after="0"/>
              <w:jc w:val="center"/>
              <w:rPr>
                <w:rFonts w:ascii="Gill Sans MT" w:hAnsi="Gill Sans MT"/>
              </w:rPr>
            </w:pPr>
            <w:r w:rsidRPr="00C12D83">
              <w:rPr>
                <w:rFonts w:ascii="Gill Sans MT" w:hAnsi="Gill Sans MT"/>
              </w:rPr>
              <w:t>8</w:t>
            </w:r>
          </w:p>
        </w:tc>
      </w:tr>
      <w:tr w:rsidR="006C6FF7" w:rsidRPr="00FD4F24" w14:paraId="6C8C865C" w14:textId="77777777" w:rsidTr="00F80F8B">
        <w:tc>
          <w:tcPr>
            <w:tcW w:w="3351" w:type="dxa"/>
            <w:tcMar>
              <w:top w:w="0" w:type="dxa"/>
              <w:left w:w="108" w:type="dxa"/>
              <w:bottom w:w="0" w:type="dxa"/>
              <w:right w:w="108" w:type="dxa"/>
            </w:tcMar>
            <w:hideMark/>
          </w:tcPr>
          <w:p w14:paraId="00EEC7C8" w14:textId="77777777" w:rsidR="006C6FF7" w:rsidRPr="00FD4F24" w:rsidRDefault="006C6FF7" w:rsidP="00CC6190">
            <w:pPr>
              <w:spacing w:after="0"/>
              <w:rPr>
                <w:rFonts w:ascii="Gill Sans MT" w:hAnsi="Gill Sans MT"/>
              </w:rPr>
            </w:pPr>
            <w:r w:rsidRPr="00FD4F24">
              <w:rPr>
                <w:rFonts w:ascii="Gill Sans MT" w:hAnsi="Gill Sans MT"/>
              </w:rPr>
              <w:t>SP2: Provide bridges and supports into work</w:t>
            </w:r>
          </w:p>
        </w:tc>
        <w:tc>
          <w:tcPr>
            <w:tcW w:w="1459" w:type="dxa"/>
            <w:tcMar>
              <w:top w:w="0" w:type="dxa"/>
              <w:left w:w="108" w:type="dxa"/>
              <w:bottom w:w="0" w:type="dxa"/>
              <w:right w:w="108" w:type="dxa"/>
            </w:tcMar>
          </w:tcPr>
          <w:p w14:paraId="6372F0C3"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4B8B5004" w14:textId="2EFECA6E" w:rsidR="006C6FF7" w:rsidRPr="00AD3DD4" w:rsidRDefault="005C0785" w:rsidP="00CC6190">
            <w:pPr>
              <w:spacing w:after="0"/>
              <w:jc w:val="center"/>
              <w:rPr>
                <w:rFonts w:ascii="Gill Sans MT" w:hAnsi="Gill Sans MT"/>
              </w:rPr>
            </w:pPr>
            <w:r>
              <w:rPr>
                <w:rFonts w:ascii="Gill Sans MT" w:hAnsi="Gill Sans MT"/>
              </w:rPr>
              <w:t>4</w:t>
            </w:r>
          </w:p>
        </w:tc>
        <w:tc>
          <w:tcPr>
            <w:tcW w:w="1276" w:type="dxa"/>
          </w:tcPr>
          <w:p w14:paraId="3A899354" w14:textId="7CA488E0" w:rsidR="006C6FF7" w:rsidRPr="00AD3DD4" w:rsidRDefault="00AD3DD4" w:rsidP="00CC6190">
            <w:pPr>
              <w:spacing w:after="0"/>
              <w:jc w:val="center"/>
              <w:rPr>
                <w:rFonts w:ascii="Gill Sans MT" w:hAnsi="Gill Sans MT"/>
              </w:rPr>
            </w:pPr>
            <w:r w:rsidRPr="00AD3DD4">
              <w:rPr>
                <w:rFonts w:ascii="Gill Sans MT" w:hAnsi="Gill Sans MT"/>
              </w:rPr>
              <w:t>2</w:t>
            </w:r>
          </w:p>
        </w:tc>
        <w:tc>
          <w:tcPr>
            <w:tcW w:w="872" w:type="dxa"/>
            <w:tcMar>
              <w:top w:w="0" w:type="dxa"/>
              <w:left w:w="108" w:type="dxa"/>
              <w:bottom w:w="0" w:type="dxa"/>
              <w:right w:w="108" w:type="dxa"/>
            </w:tcMar>
          </w:tcPr>
          <w:p w14:paraId="4AE5CA3E" w14:textId="051916BD" w:rsidR="006C6FF7" w:rsidRPr="00AD3DD4" w:rsidRDefault="005C0785" w:rsidP="00CC6190">
            <w:pPr>
              <w:spacing w:after="0"/>
              <w:jc w:val="center"/>
              <w:rPr>
                <w:rFonts w:ascii="Gill Sans MT" w:hAnsi="Gill Sans MT"/>
              </w:rPr>
            </w:pPr>
            <w:r>
              <w:rPr>
                <w:rFonts w:ascii="Gill Sans MT" w:hAnsi="Gill Sans MT"/>
              </w:rPr>
              <w:t>6</w:t>
            </w:r>
          </w:p>
        </w:tc>
      </w:tr>
      <w:tr w:rsidR="006C6FF7" w:rsidRPr="00FD4F24" w14:paraId="6A4A6610" w14:textId="77777777" w:rsidTr="00F80F8B">
        <w:tc>
          <w:tcPr>
            <w:tcW w:w="3351" w:type="dxa"/>
            <w:tcMar>
              <w:top w:w="0" w:type="dxa"/>
              <w:left w:w="108" w:type="dxa"/>
              <w:bottom w:w="0" w:type="dxa"/>
              <w:right w:w="108" w:type="dxa"/>
            </w:tcMar>
            <w:hideMark/>
          </w:tcPr>
          <w:p w14:paraId="660B6F74" w14:textId="77777777" w:rsidR="006C6FF7" w:rsidRPr="00FD4F24" w:rsidRDefault="006C6FF7" w:rsidP="00CC6190">
            <w:pPr>
              <w:spacing w:after="0"/>
              <w:rPr>
                <w:rFonts w:ascii="Gill Sans MT" w:hAnsi="Gill Sans MT"/>
              </w:rPr>
            </w:pPr>
            <w:r w:rsidRPr="00FD4F24">
              <w:rPr>
                <w:rFonts w:ascii="Gill Sans MT" w:hAnsi="Gill Sans MT"/>
              </w:rPr>
              <w:t>SP3: Make work pay</w:t>
            </w:r>
          </w:p>
        </w:tc>
        <w:tc>
          <w:tcPr>
            <w:tcW w:w="1459" w:type="dxa"/>
            <w:tcMar>
              <w:top w:w="0" w:type="dxa"/>
              <w:left w:w="108" w:type="dxa"/>
              <w:bottom w:w="0" w:type="dxa"/>
              <w:right w:w="108" w:type="dxa"/>
            </w:tcMar>
          </w:tcPr>
          <w:p w14:paraId="5FBFB50B"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58914328" w14:textId="5C78EC3F" w:rsidR="006C6FF7" w:rsidRPr="00AC575C" w:rsidRDefault="00AC575C" w:rsidP="00CC6190">
            <w:pPr>
              <w:spacing w:after="0"/>
              <w:jc w:val="center"/>
              <w:rPr>
                <w:rFonts w:ascii="Gill Sans MT" w:hAnsi="Gill Sans MT"/>
              </w:rPr>
            </w:pPr>
            <w:r w:rsidRPr="00AC575C">
              <w:rPr>
                <w:rFonts w:ascii="Gill Sans MT" w:hAnsi="Gill Sans MT"/>
              </w:rPr>
              <w:t>1</w:t>
            </w:r>
          </w:p>
        </w:tc>
        <w:tc>
          <w:tcPr>
            <w:tcW w:w="1276" w:type="dxa"/>
          </w:tcPr>
          <w:p w14:paraId="57CA3F67" w14:textId="77777777" w:rsidR="006C6FF7" w:rsidRPr="00AC575C" w:rsidRDefault="006C6FF7" w:rsidP="00CC6190">
            <w:pPr>
              <w:spacing w:after="0"/>
              <w:jc w:val="center"/>
              <w:rPr>
                <w:rFonts w:ascii="Gill Sans MT" w:hAnsi="Gill Sans MT"/>
              </w:rPr>
            </w:pPr>
            <w:r w:rsidRPr="00AC575C">
              <w:rPr>
                <w:rFonts w:ascii="Gill Sans MT" w:hAnsi="Gill Sans MT"/>
              </w:rPr>
              <w:t>0</w:t>
            </w:r>
          </w:p>
        </w:tc>
        <w:tc>
          <w:tcPr>
            <w:tcW w:w="872" w:type="dxa"/>
            <w:tcMar>
              <w:top w:w="0" w:type="dxa"/>
              <w:left w:w="108" w:type="dxa"/>
              <w:bottom w:w="0" w:type="dxa"/>
              <w:right w:w="108" w:type="dxa"/>
            </w:tcMar>
          </w:tcPr>
          <w:p w14:paraId="04EF4583" w14:textId="3B3C07C3" w:rsidR="006C6FF7" w:rsidRPr="00AC575C" w:rsidRDefault="00AC575C" w:rsidP="00CC6190">
            <w:pPr>
              <w:spacing w:after="0"/>
              <w:jc w:val="center"/>
              <w:rPr>
                <w:rFonts w:ascii="Gill Sans MT" w:hAnsi="Gill Sans MT"/>
              </w:rPr>
            </w:pPr>
            <w:r w:rsidRPr="00AC575C">
              <w:rPr>
                <w:rFonts w:ascii="Gill Sans MT" w:hAnsi="Gill Sans MT"/>
              </w:rPr>
              <w:t>1</w:t>
            </w:r>
          </w:p>
        </w:tc>
      </w:tr>
      <w:tr w:rsidR="006C6FF7" w:rsidRPr="00FD4F24" w14:paraId="12DCAFC8" w14:textId="77777777" w:rsidTr="00F80F8B">
        <w:tc>
          <w:tcPr>
            <w:tcW w:w="3351" w:type="dxa"/>
            <w:tcMar>
              <w:top w:w="0" w:type="dxa"/>
              <w:left w:w="108" w:type="dxa"/>
              <w:bottom w:w="0" w:type="dxa"/>
              <w:right w:w="108" w:type="dxa"/>
            </w:tcMar>
            <w:hideMark/>
          </w:tcPr>
          <w:p w14:paraId="433A6BD9" w14:textId="77777777" w:rsidR="006C6FF7" w:rsidRPr="00FD4F24" w:rsidRDefault="006C6FF7" w:rsidP="00CC6190">
            <w:pPr>
              <w:spacing w:after="0"/>
              <w:rPr>
                <w:rFonts w:ascii="Gill Sans MT" w:hAnsi="Gill Sans MT"/>
              </w:rPr>
            </w:pPr>
            <w:r w:rsidRPr="00FD4F24">
              <w:rPr>
                <w:rFonts w:ascii="Gill Sans MT" w:hAnsi="Gill Sans MT"/>
              </w:rPr>
              <w:t>SP4: Promote job retention and re-entry to work</w:t>
            </w:r>
          </w:p>
        </w:tc>
        <w:tc>
          <w:tcPr>
            <w:tcW w:w="1459" w:type="dxa"/>
            <w:tcMar>
              <w:top w:w="0" w:type="dxa"/>
              <w:left w:w="108" w:type="dxa"/>
              <w:bottom w:w="0" w:type="dxa"/>
              <w:right w:w="108" w:type="dxa"/>
            </w:tcMar>
          </w:tcPr>
          <w:p w14:paraId="33483D39"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756181EE" w14:textId="66669096" w:rsidR="006C6FF7" w:rsidRPr="002273BF" w:rsidRDefault="002273BF" w:rsidP="00CC6190">
            <w:pPr>
              <w:spacing w:after="0"/>
              <w:jc w:val="center"/>
              <w:rPr>
                <w:rFonts w:ascii="Gill Sans MT" w:hAnsi="Gill Sans MT"/>
              </w:rPr>
            </w:pPr>
            <w:r w:rsidRPr="002273BF">
              <w:rPr>
                <w:rFonts w:ascii="Gill Sans MT" w:hAnsi="Gill Sans MT"/>
              </w:rPr>
              <w:t>3</w:t>
            </w:r>
          </w:p>
        </w:tc>
        <w:tc>
          <w:tcPr>
            <w:tcW w:w="1276" w:type="dxa"/>
          </w:tcPr>
          <w:p w14:paraId="38C27994" w14:textId="468B680A" w:rsidR="006C6FF7" w:rsidRPr="002273BF" w:rsidRDefault="002273BF" w:rsidP="00CC6190">
            <w:pPr>
              <w:spacing w:after="0"/>
              <w:jc w:val="center"/>
              <w:rPr>
                <w:rFonts w:ascii="Gill Sans MT" w:hAnsi="Gill Sans MT"/>
              </w:rPr>
            </w:pPr>
            <w:r w:rsidRPr="002273BF">
              <w:rPr>
                <w:rFonts w:ascii="Gill Sans MT" w:hAnsi="Gill Sans MT"/>
              </w:rPr>
              <w:t>1</w:t>
            </w:r>
          </w:p>
        </w:tc>
        <w:tc>
          <w:tcPr>
            <w:tcW w:w="872" w:type="dxa"/>
            <w:tcMar>
              <w:top w:w="0" w:type="dxa"/>
              <w:left w:w="108" w:type="dxa"/>
              <w:bottom w:w="0" w:type="dxa"/>
              <w:right w:w="108" w:type="dxa"/>
            </w:tcMar>
          </w:tcPr>
          <w:p w14:paraId="17BEEED2" w14:textId="779712D3" w:rsidR="006C6FF7" w:rsidRPr="002273BF" w:rsidRDefault="002273BF" w:rsidP="00CC6190">
            <w:pPr>
              <w:spacing w:after="0"/>
              <w:jc w:val="center"/>
              <w:rPr>
                <w:rFonts w:ascii="Gill Sans MT" w:hAnsi="Gill Sans MT"/>
              </w:rPr>
            </w:pPr>
            <w:r w:rsidRPr="002273BF">
              <w:rPr>
                <w:rFonts w:ascii="Gill Sans MT" w:hAnsi="Gill Sans MT"/>
              </w:rPr>
              <w:t>4</w:t>
            </w:r>
          </w:p>
        </w:tc>
      </w:tr>
      <w:tr w:rsidR="006C6FF7" w:rsidRPr="00FD4F24" w14:paraId="69CA7FA7" w14:textId="77777777" w:rsidTr="00F80F8B">
        <w:tc>
          <w:tcPr>
            <w:tcW w:w="3351" w:type="dxa"/>
            <w:tcMar>
              <w:top w:w="0" w:type="dxa"/>
              <w:left w:w="108" w:type="dxa"/>
              <w:bottom w:w="0" w:type="dxa"/>
              <w:right w:w="108" w:type="dxa"/>
            </w:tcMar>
            <w:hideMark/>
          </w:tcPr>
          <w:p w14:paraId="375035B1" w14:textId="77777777" w:rsidR="006C6FF7" w:rsidRPr="00FD4F24" w:rsidRDefault="006C6FF7" w:rsidP="00CC6190">
            <w:pPr>
              <w:spacing w:after="0"/>
              <w:rPr>
                <w:rFonts w:ascii="Gill Sans MT" w:hAnsi="Gill Sans MT"/>
              </w:rPr>
            </w:pPr>
            <w:r w:rsidRPr="00FD4F24">
              <w:rPr>
                <w:rFonts w:ascii="Gill Sans MT" w:hAnsi="Gill Sans MT"/>
              </w:rPr>
              <w:t>SP5: Provide coordinated and seamless support</w:t>
            </w:r>
          </w:p>
        </w:tc>
        <w:tc>
          <w:tcPr>
            <w:tcW w:w="1459" w:type="dxa"/>
            <w:tcMar>
              <w:top w:w="0" w:type="dxa"/>
              <w:left w:w="108" w:type="dxa"/>
              <w:bottom w:w="0" w:type="dxa"/>
              <w:right w:w="108" w:type="dxa"/>
            </w:tcMar>
          </w:tcPr>
          <w:p w14:paraId="1B289D52"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00281A5A" w14:textId="77777777" w:rsidR="006C6FF7" w:rsidRPr="00616F10" w:rsidRDefault="006C6FF7" w:rsidP="00CC6190">
            <w:pPr>
              <w:spacing w:after="0"/>
              <w:jc w:val="center"/>
              <w:rPr>
                <w:rFonts w:ascii="Gill Sans MT" w:hAnsi="Gill Sans MT"/>
              </w:rPr>
            </w:pPr>
            <w:r w:rsidRPr="00616F10">
              <w:rPr>
                <w:rFonts w:ascii="Gill Sans MT" w:hAnsi="Gill Sans MT"/>
              </w:rPr>
              <w:t>3</w:t>
            </w:r>
          </w:p>
        </w:tc>
        <w:tc>
          <w:tcPr>
            <w:tcW w:w="1276" w:type="dxa"/>
          </w:tcPr>
          <w:p w14:paraId="1D878DB8" w14:textId="77777777" w:rsidR="006C6FF7" w:rsidRPr="00616F10" w:rsidRDefault="006C6FF7" w:rsidP="00CC6190">
            <w:pPr>
              <w:spacing w:after="0"/>
              <w:jc w:val="center"/>
              <w:rPr>
                <w:rFonts w:ascii="Gill Sans MT" w:hAnsi="Gill Sans MT"/>
              </w:rPr>
            </w:pPr>
            <w:r w:rsidRPr="00616F10">
              <w:rPr>
                <w:rFonts w:ascii="Gill Sans MT" w:hAnsi="Gill Sans MT"/>
              </w:rPr>
              <w:t>1</w:t>
            </w:r>
          </w:p>
        </w:tc>
        <w:tc>
          <w:tcPr>
            <w:tcW w:w="872" w:type="dxa"/>
            <w:tcMar>
              <w:top w:w="0" w:type="dxa"/>
              <w:left w:w="108" w:type="dxa"/>
              <w:bottom w:w="0" w:type="dxa"/>
              <w:right w:w="108" w:type="dxa"/>
            </w:tcMar>
          </w:tcPr>
          <w:p w14:paraId="745486F6" w14:textId="77777777" w:rsidR="006C6FF7" w:rsidRPr="00616F10" w:rsidRDefault="006C6FF7" w:rsidP="00CC6190">
            <w:pPr>
              <w:spacing w:after="0"/>
              <w:jc w:val="center"/>
              <w:rPr>
                <w:rFonts w:ascii="Gill Sans MT" w:hAnsi="Gill Sans MT"/>
              </w:rPr>
            </w:pPr>
            <w:r w:rsidRPr="00616F10">
              <w:rPr>
                <w:rFonts w:ascii="Gill Sans MT" w:hAnsi="Gill Sans MT"/>
              </w:rPr>
              <w:t>4</w:t>
            </w:r>
          </w:p>
        </w:tc>
      </w:tr>
      <w:tr w:rsidR="006C6FF7" w:rsidRPr="00FD4F24" w14:paraId="69413AB4" w14:textId="77777777" w:rsidTr="00F80F8B">
        <w:tc>
          <w:tcPr>
            <w:tcW w:w="3351" w:type="dxa"/>
            <w:tcMar>
              <w:top w:w="0" w:type="dxa"/>
              <w:left w:w="108" w:type="dxa"/>
              <w:bottom w:w="0" w:type="dxa"/>
              <w:right w:w="108" w:type="dxa"/>
            </w:tcMar>
            <w:hideMark/>
          </w:tcPr>
          <w:p w14:paraId="18902647" w14:textId="77777777" w:rsidR="006C6FF7" w:rsidRPr="00FD4F24" w:rsidRDefault="006C6FF7" w:rsidP="00CC6190">
            <w:pPr>
              <w:spacing w:after="0"/>
              <w:rPr>
                <w:rFonts w:ascii="Gill Sans MT" w:hAnsi="Gill Sans MT"/>
              </w:rPr>
            </w:pPr>
            <w:r w:rsidRPr="00FD4F24">
              <w:rPr>
                <w:rFonts w:ascii="Gill Sans MT" w:hAnsi="Gill Sans MT"/>
              </w:rPr>
              <w:t>SP6: Engage employers</w:t>
            </w:r>
          </w:p>
        </w:tc>
        <w:tc>
          <w:tcPr>
            <w:tcW w:w="1459" w:type="dxa"/>
            <w:tcMar>
              <w:top w:w="0" w:type="dxa"/>
              <w:left w:w="108" w:type="dxa"/>
              <w:bottom w:w="0" w:type="dxa"/>
              <w:right w:w="108" w:type="dxa"/>
            </w:tcMar>
          </w:tcPr>
          <w:p w14:paraId="6D1927E4"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791C3535" w14:textId="77777777" w:rsidR="006C6FF7" w:rsidRPr="00D2461E" w:rsidRDefault="006C6FF7" w:rsidP="00CC6190">
            <w:pPr>
              <w:spacing w:after="0"/>
              <w:jc w:val="center"/>
              <w:rPr>
                <w:rFonts w:ascii="Gill Sans MT" w:hAnsi="Gill Sans MT"/>
              </w:rPr>
            </w:pPr>
            <w:r w:rsidRPr="00D2461E">
              <w:rPr>
                <w:rFonts w:ascii="Gill Sans MT" w:hAnsi="Gill Sans MT"/>
              </w:rPr>
              <w:t>4</w:t>
            </w:r>
          </w:p>
        </w:tc>
        <w:tc>
          <w:tcPr>
            <w:tcW w:w="1276" w:type="dxa"/>
          </w:tcPr>
          <w:p w14:paraId="4A323B4C" w14:textId="749D357F" w:rsidR="006C6FF7" w:rsidRPr="00D2461E" w:rsidRDefault="00041DF9" w:rsidP="00CC6190">
            <w:pPr>
              <w:spacing w:after="0"/>
              <w:jc w:val="center"/>
              <w:rPr>
                <w:rFonts w:ascii="Gill Sans MT" w:hAnsi="Gill Sans MT"/>
              </w:rPr>
            </w:pPr>
            <w:r>
              <w:rPr>
                <w:rFonts w:ascii="Gill Sans MT" w:hAnsi="Gill Sans MT"/>
              </w:rPr>
              <w:t>0</w:t>
            </w:r>
          </w:p>
        </w:tc>
        <w:tc>
          <w:tcPr>
            <w:tcW w:w="872" w:type="dxa"/>
            <w:tcMar>
              <w:top w:w="0" w:type="dxa"/>
              <w:left w:w="108" w:type="dxa"/>
              <w:bottom w:w="0" w:type="dxa"/>
              <w:right w:w="108" w:type="dxa"/>
            </w:tcMar>
          </w:tcPr>
          <w:p w14:paraId="0419B4FF" w14:textId="5FE712A9" w:rsidR="006C6FF7" w:rsidRPr="00D2461E" w:rsidRDefault="00041DF9" w:rsidP="00CC6190">
            <w:pPr>
              <w:spacing w:after="0"/>
              <w:jc w:val="center"/>
              <w:rPr>
                <w:rFonts w:ascii="Gill Sans MT" w:hAnsi="Gill Sans MT"/>
              </w:rPr>
            </w:pPr>
            <w:r>
              <w:rPr>
                <w:rFonts w:ascii="Gill Sans MT" w:hAnsi="Gill Sans MT"/>
              </w:rPr>
              <w:t>4</w:t>
            </w:r>
          </w:p>
        </w:tc>
      </w:tr>
      <w:tr w:rsidR="006C6FF7" w:rsidRPr="00FD4F24" w14:paraId="1C043AF7" w14:textId="77777777" w:rsidTr="00F80F8B">
        <w:tc>
          <w:tcPr>
            <w:tcW w:w="3351" w:type="dxa"/>
            <w:tcMar>
              <w:top w:w="0" w:type="dxa"/>
              <w:left w:w="108" w:type="dxa"/>
              <w:bottom w:w="0" w:type="dxa"/>
              <w:right w:w="108" w:type="dxa"/>
            </w:tcMar>
          </w:tcPr>
          <w:p w14:paraId="067601B5" w14:textId="77777777" w:rsidR="006C6FF7" w:rsidRPr="00FD4F24" w:rsidRDefault="006C6FF7" w:rsidP="00CC6190">
            <w:pPr>
              <w:spacing w:after="0"/>
              <w:rPr>
                <w:rFonts w:ascii="Gill Sans MT" w:hAnsi="Gill Sans MT"/>
              </w:rPr>
            </w:pPr>
            <w:r w:rsidRPr="00FD4F24">
              <w:rPr>
                <w:rFonts w:ascii="Gill Sans MT" w:hAnsi="Gill Sans MT"/>
              </w:rPr>
              <w:t xml:space="preserve">Total </w:t>
            </w:r>
          </w:p>
        </w:tc>
        <w:tc>
          <w:tcPr>
            <w:tcW w:w="1459" w:type="dxa"/>
            <w:tcMar>
              <w:top w:w="0" w:type="dxa"/>
              <w:left w:w="108" w:type="dxa"/>
              <w:bottom w:w="0" w:type="dxa"/>
              <w:right w:w="108" w:type="dxa"/>
            </w:tcMar>
          </w:tcPr>
          <w:p w14:paraId="782C28F5" w14:textId="77777777" w:rsidR="006C6FF7" w:rsidRPr="00FD4F24" w:rsidRDefault="006C6FF7" w:rsidP="00CC6190">
            <w:pPr>
              <w:spacing w:after="0"/>
              <w:jc w:val="center"/>
              <w:rPr>
                <w:rFonts w:ascii="Gill Sans MT" w:hAnsi="Gill Sans MT"/>
              </w:rPr>
            </w:pPr>
            <w:r w:rsidRPr="00FD4F24">
              <w:rPr>
                <w:rFonts w:ascii="Gill Sans MT" w:hAnsi="Gill Sans MT"/>
              </w:rPr>
              <w:t>0</w:t>
            </w:r>
          </w:p>
        </w:tc>
        <w:tc>
          <w:tcPr>
            <w:tcW w:w="1417" w:type="dxa"/>
            <w:tcMar>
              <w:top w:w="0" w:type="dxa"/>
              <w:left w:w="108" w:type="dxa"/>
              <w:bottom w:w="0" w:type="dxa"/>
              <w:right w:w="108" w:type="dxa"/>
            </w:tcMar>
          </w:tcPr>
          <w:p w14:paraId="512C45A6" w14:textId="14EF781F" w:rsidR="006C6FF7" w:rsidRPr="00FD4F24" w:rsidRDefault="006C6FF7" w:rsidP="00CC6190">
            <w:pPr>
              <w:spacing w:after="0"/>
              <w:jc w:val="center"/>
              <w:rPr>
                <w:rFonts w:ascii="Gill Sans MT" w:hAnsi="Gill Sans MT"/>
                <w:highlight w:val="yellow"/>
              </w:rPr>
            </w:pPr>
            <w:r w:rsidRPr="00D2461E">
              <w:rPr>
                <w:rFonts w:ascii="Gill Sans MT" w:hAnsi="Gill Sans MT"/>
              </w:rPr>
              <w:t>2</w:t>
            </w:r>
            <w:r w:rsidR="00D2461E" w:rsidRPr="00D2461E">
              <w:rPr>
                <w:rFonts w:ascii="Gill Sans MT" w:hAnsi="Gill Sans MT"/>
              </w:rPr>
              <w:t>1</w:t>
            </w:r>
          </w:p>
        </w:tc>
        <w:tc>
          <w:tcPr>
            <w:tcW w:w="1276" w:type="dxa"/>
          </w:tcPr>
          <w:p w14:paraId="2A78DAE1" w14:textId="169E937B" w:rsidR="006C6FF7" w:rsidRPr="00FD4F24" w:rsidRDefault="00041DF9" w:rsidP="00CC6190">
            <w:pPr>
              <w:spacing w:after="0"/>
              <w:jc w:val="center"/>
              <w:rPr>
                <w:rFonts w:ascii="Gill Sans MT" w:hAnsi="Gill Sans MT"/>
                <w:highlight w:val="yellow"/>
              </w:rPr>
            </w:pPr>
            <w:r>
              <w:rPr>
                <w:rFonts w:ascii="Gill Sans MT" w:hAnsi="Gill Sans MT"/>
              </w:rPr>
              <w:t>6</w:t>
            </w:r>
          </w:p>
        </w:tc>
        <w:tc>
          <w:tcPr>
            <w:tcW w:w="872" w:type="dxa"/>
            <w:tcMar>
              <w:top w:w="0" w:type="dxa"/>
              <w:left w:w="108" w:type="dxa"/>
              <w:bottom w:w="0" w:type="dxa"/>
              <w:right w:w="108" w:type="dxa"/>
            </w:tcMar>
          </w:tcPr>
          <w:p w14:paraId="7971C0F4" w14:textId="18CCC666" w:rsidR="006C6FF7" w:rsidRPr="00FD4F24" w:rsidRDefault="00D2461E" w:rsidP="00CC6190">
            <w:pPr>
              <w:spacing w:after="0"/>
              <w:jc w:val="center"/>
              <w:rPr>
                <w:rFonts w:ascii="Gill Sans MT" w:hAnsi="Gill Sans MT"/>
                <w:highlight w:val="yellow"/>
              </w:rPr>
            </w:pPr>
            <w:r>
              <w:rPr>
                <w:rFonts w:ascii="Gill Sans MT" w:hAnsi="Gill Sans MT"/>
              </w:rPr>
              <w:t>2</w:t>
            </w:r>
            <w:r w:rsidR="00041DF9">
              <w:rPr>
                <w:rFonts w:ascii="Gill Sans MT" w:hAnsi="Gill Sans MT"/>
              </w:rPr>
              <w:t>9</w:t>
            </w:r>
          </w:p>
        </w:tc>
      </w:tr>
    </w:tbl>
    <w:p w14:paraId="6956E5FA" w14:textId="77777777" w:rsidR="006C6FF7" w:rsidRPr="00FD4F24" w:rsidRDefault="006C6FF7" w:rsidP="006C6FF7">
      <w:pPr>
        <w:spacing w:after="120"/>
        <w:rPr>
          <w:rFonts w:ascii="Gill Sans MT" w:hAnsi="Gill Sans MT"/>
          <w:szCs w:val="26"/>
          <w:highlight w:val="yellow"/>
        </w:rPr>
      </w:pPr>
    </w:p>
    <w:p w14:paraId="45C19644" w14:textId="7F1CEB9B" w:rsidR="006C6FF7" w:rsidRDefault="006C6FF7" w:rsidP="006C6FF7">
      <w:pPr>
        <w:spacing w:after="120"/>
        <w:rPr>
          <w:rFonts w:ascii="Gill Sans MT" w:hAnsi="Gill Sans MT"/>
          <w:szCs w:val="26"/>
        </w:rPr>
      </w:pPr>
      <w:r>
        <w:rPr>
          <w:rFonts w:ascii="Gill Sans MT" w:hAnsi="Gill Sans MT"/>
          <w:szCs w:val="26"/>
        </w:rPr>
        <w:t>In this report, t</w:t>
      </w:r>
      <w:r w:rsidRPr="005770D6">
        <w:rPr>
          <w:rFonts w:ascii="Gill Sans MT" w:hAnsi="Gill Sans MT"/>
          <w:szCs w:val="26"/>
        </w:rPr>
        <w:t>he indicators are used to he</w:t>
      </w:r>
      <w:r>
        <w:rPr>
          <w:rFonts w:ascii="Gill Sans MT" w:hAnsi="Gill Sans MT"/>
          <w:szCs w:val="26"/>
        </w:rPr>
        <w:t>l</w:t>
      </w:r>
      <w:r w:rsidRPr="005770D6">
        <w:rPr>
          <w:rFonts w:ascii="Gill Sans MT" w:hAnsi="Gill Sans MT"/>
          <w:szCs w:val="26"/>
        </w:rPr>
        <w:t xml:space="preserve">p to construct </w:t>
      </w:r>
      <w:r>
        <w:rPr>
          <w:rFonts w:ascii="Gill Sans MT" w:hAnsi="Gill Sans MT"/>
          <w:szCs w:val="26"/>
        </w:rPr>
        <w:t xml:space="preserve">an </w:t>
      </w:r>
      <w:r w:rsidRPr="005770D6">
        <w:rPr>
          <w:rFonts w:ascii="Gill Sans MT" w:hAnsi="Gill Sans MT"/>
          <w:szCs w:val="26"/>
        </w:rPr>
        <w:t xml:space="preserve">overall </w:t>
      </w:r>
      <w:r>
        <w:rPr>
          <w:rFonts w:ascii="Gill Sans MT" w:hAnsi="Gill Sans MT"/>
          <w:szCs w:val="26"/>
        </w:rPr>
        <w:t>understanding of Ireland’s current position with respect to the employment of disabled people and to ascertain what progress, if any, has been made under each of the strategic priority areas of the CES. It is acknowledged that a more comprehensive picture could be drawn were more high-quality quantitative data available and if there were a mechanism in the strategy for collecting direct data on the lived experience of persons with disabilities</w:t>
      </w:r>
      <w:r w:rsidR="00FD05B6">
        <w:rPr>
          <w:rFonts w:ascii="Gill Sans MT" w:hAnsi="Gill Sans MT"/>
          <w:szCs w:val="26"/>
        </w:rPr>
        <w:t xml:space="preserve"> throughout its lifetime</w:t>
      </w:r>
      <w:r>
        <w:rPr>
          <w:rFonts w:ascii="Gill Sans MT" w:hAnsi="Gill Sans MT"/>
          <w:szCs w:val="26"/>
        </w:rPr>
        <w:t xml:space="preserve">. </w:t>
      </w:r>
    </w:p>
    <w:p w14:paraId="1E3B4B88" w14:textId="38317AD2" w:rsidR="00962EBD" w:rsidRPr="00C76258" w:rsidRDefault="00962EBD" w:rsidP="00962EBD">
      <w:pPr>
        <w:jc w:val="both"/>
        <w:rPr>
          <w:rFonts w:ascii="Gill Sans MT" w:hAnsi="Gill Sans MT"/>
          <w:szCs w:val="26"/>
        </w:rPr>
      </w:pPr>
      <w:r>
        <w:rPr>
          <w:rFonts w:ascii="Gill Sans MT" w:hAnsi="Gill Sans MT"/>
          <w:szCs w:val="26"/>
        </w:rPr>
        <w:t xml:space="preserve">Data for indicators were obtained from annual reports and other published reports </w:t>
      </w:r>
      <w:r w:rsidR="00CD2D46">
        <w:rPr>
          <w:rFonts w:ascii="Gill Sans MT" w:hAnsi="Gill Sans MT"/>
          <w:szCs w:val="26"/>
        </w:rPr>
        <w:t>containing</w:t>
      </w:r>
      <w:r>
        <w:rPr>
          <w:rFonts w:ascii="Gill Sans MT" w:hAnsi="Gill Sans MT"/>
          <w:szCs w:val="26"/>
        </w:rPr>
        <w:t xml:space="preserve"> data, through specific requests to the CSO, through analysis of different data</w:t>
      </w:r>
      <w:r w:rsidR="00CD2D46">
        <w:rPr>
          <w:rFonts w:ascii="Gill Sans MT" w:hAnsi="Gill Sans MT"/>
          <w:szCs w:val="26"/>
        </w:rPr>
        <w:t>bases,</w:t>
      </w:r>
      <w:r>
        <w:rPr>
          <w:rFonts w:ascii="Gill Sans MT" w:hAnsi="Gill Sans MT"/>
          <w:szCs w:val="26"/>
        </w:rPr>
        <w:t xml:space="preserve"> and through requests submitted to departments and agencies.</w:t>
      </w:r>
    </w:p>
    <w:p w14:paraId="2EAE7E81" w14:textId="53105A34" w:rsidR="006C6FF7" w:rsidRDefault="006C6FF7" w:rsidP="006C6FF7">
      <w:pPr>
        <w:spacing w:after="120"/>
        <w:rPr>
          <w:rFonts w:ascii="Gill Sans MT" w:hAnsi="Gill Sans MT"/>
          <w:szCs w:val="26"/>
        </w:rPr>
      </w:pPr>
      <w:r>
        <w:rPr>
          <w:rFonts w:ascii="Gill Sans MT" w:hAnsi="Gill Sans MT"/>
          <w:szCs w:val="26"/>
        </w:rPr>
        <w:t>It should also be noted that</w:t>
      </w:r>
      <w:r w:rsidR="00962EBD">
        <w:rPr>
          <w:rFonts w:ascii="Gill Sans MT" w:hAnsi="Gill Sans MT"/>
          <w:szCs w:val="26"/>
        </w:rPr>
        <w:t xml:space="preserve"> apart from the percentage of disabled people in employment, no targets were set for the agreed indicators. W</w:t>
      </w:r>
      <w:r>
        <w:rPr>
          <w:rFonts w:ascii="Gill Sans MT" w:hAnsi="Gill Sans MT"/>
          <w:szCs w:val="26"/>
        </w:rPr>
        <w:t xml:space="preserve">hile positive change in any given indicator may be interpreted as progress with respect to the employment situation of people with disabilities in Ireland, the extent to which this can be directly attributed to the CES is unclear. Other policy initiatives in Ireland, as well as developments at European and international levels also shape employment outcomes for given populations. Drawing direct causal links between trends reported here and the CES actions is challenging in some instances, particularly given the halted coordination and implementation of the strategy </w:t>
      </w:r>
      <w:r w:rsidR="00DA0C9C">
        <w:rPr>
          <w:rFonts w:ascii="Gill Sans MT" w:hAnsi="Gill Sans MT"/>
          <w:szCs w:val="26"/>
        </w:rPr>
        <w:t>already described</w:t>
      </w:r>
      <w:r>
        <w:rPr>
          <w:rFonts w:ascii="Gill Sans MT" w:hAnsi="Gill Sans MT"/>
          <w:szCs w:val="26"/>
        </w:rPr>
        <w:t>.</w:t>
      </w:r>
    </w:p>
    <w:p w14:paraId="3585F3AA" w14:textId="77777777" w:rsidR="006C6FF7" w:rsidRDefault="006C6FF7" w:rsidP="006C6FF7">
      <w:pPr>
        <w:spacing w:after="120"/>
        <w:rPr>
          <w:rFonts w:ascii="Gill Sans MT" w:hAnsi="Gill Sans MT"/>
          <w:szCs w:val="26"/>
        </w:rPr>
      </w:pPr>
      <w:r>
        <w:rPr>
          <w:rFonts w:ascii="Gill Sans MT" w:hAnsi="Gill Sans MT"/>
          <w:szCs w:val="26"/>
        </w:rPr>
        <w:t xml:space="preserve">Finally, it should be noted that unavailability of some data has necessarily limited the conclusions that can be drawn from this report. Ideally, data for each indicator would be available from the start of the lifetime of the strategy (2015) and at the end of the strategy (2024). This is not the case for many indicators in the set, and the most recent data presented might relate to 2023, 2022, 2021 or, in some cases, even earlier. The decision was taken to proceed with this report at the end of 2024 rather than to delay by a period of years until 2024 data might be available for inclusion. It was deemed important that learnings from the CES be available to be incorporated into the development and early implementation of the National Disability Strategy and that delay in publishing this report might lessen its potential impact. </w:t>
      </w:r>
    </w:p>
    <w:p w14:paraId="5EB155BB" w14:textId="77777777" w:rsidR="0045592E" w:rsidRDefault="0045592E" w:rsidP="005770D6">
      <w:pPr>
        <w:autoSpaceDE w:val="0"/>
        <w:autoSpaceDN w:val="0"/>
        <w:adjustRightInd w:val="0"/>
        <w:rPr>
          <w:rFonts w:ascii="Gill Sans MT" w:hAnsi="Gill Sans MT"/>
          <w:szCs w:val="26"/>
        </w:rPr>
        <w:sectPr w:rsidR="0045592E" w:rsidSect="007D2DFC">
          <w:pgSz w:w="12240" w:h="15840"/>
          <w:pgMar w:top="1440" w:right="1797" w:bottom="1440" w:left="1797" w:header="709" w:footer="709" w:gutter="0"/>
          <w:cols w:space="708"/>
          <w:docGrid w:linePitch="360"/>
        </w:sectPr>
      </w:pPr>
    </w:p>
    <w:p w14:paraId="29EF9B31" w14:textId="1451713C" w:rsidR="006C6FF7" w:rsidRDefault="0045592E" w:rsidP="0045592E">
      <w:pPr>
        <w:pStyle w:val="Heading1"/>
        <w:tabs>
          <w:tab w:val="left" w:pos="3760"/>
        </w:tabs>
        <w:jc w:val="both"/>
      </w:pPr>
      <w:bookmarkStart w:id="69" w:name="_Toc182555540"/>
      <w:bookmarkStart w:id="70" w:name="_Toc182555706"/>
      <w:r>
        <w:t>Primary indicators of progress</w:t>
      </w:r>
      <w:r w:rsidR="004C1206">
        <w:t xml:space="preserve"> under the CES</w:t>
      </w:r>
      <w:bookmarkEnd w:id="69"/>
      <w:bookmarkEnd w:id="70"/>
    </w:p>
    <w:p w14:paraId="5E9F7486" w14:textId="3DED52A0" w:rsidR="0045592E" w:rsidRDefault="0045592E" w:rsidP="0045592E">
      <w:pPr>
        <w:tabs>
          <w:tab w:val="left" w:pos="3760"/>
        </w:tabs>
      </w:pPr>
      <w:r>
        <w:t>Before examining indicators specific to each of the six</w:t>
      </w:r>
      <w:r w:rsidR="00520A64">
        <w:t xml:space="preserve"> CES</w:t>
      </w:r>
      <w:r>
        <w:t xml:space="preserve"> strategic priority areas, what can be considered </w:t>
      </w:r>
      <w:r w:rsidR="00520A64">
        <w:t xml:space="preserve">as </w:t>
      </w:r>
      <w:r>
        <w:t>two main or overarching</w:t>
      </w:r>
      <w:r w:rsidR="00B00CD8">
        <w:t xml:space="preserve"> outcomes</w:t>
      </w:r>
      <w:r>
        <w:t xml:space="preserve"> indicators of progress under the </w:t>
      </w:r>
      <w:r w:rsidR="00520A64">
        <w:t xml:space="preserve">strategy </w:t>
      </w:r>
      <w:r>
        <w:t xml:space="preserve">are </w:t>
      </w:r>
      <w:r w:rsidR="004C1206">
        <w:t>examined</w:t>
      </w:r>
      <w:r>
        <w:t>.</w:t>
      </w:r>
      <w:r w:rsidR="004C1206">
        <w:t xml:space="preserve"> These relate to the employment rates of people with disabilities in Ireland which were targeted to increase over the course of the strategy.</w:t>
      </w:r>
    </w:p>
    <w:p w14:paraId="4C8991F4" w14:textId="4DA748BA" w:rsidR="00CC6190" w:rsidRDefault="0045592E" w:rsidP="0045592E">
      <w:pPr>
        <w:pStyle w:val="Heading2"/>
      </w:pPr>
      <w:bookmarkStart w:id="71" w:name="_Toc182555541"/>
      <w:bookmarkStart w:id="72" w:name="_Toc182555707"/>
      <w:r>
        <w:t>Primary indicator A</w:t>
      </w:r>
      <w:bookmarkEnd w:id="71"/>
      <w:bookmarkEnd w:id="72"/>
      <w:r w:rsidRPr="00532B70">
        <w:t xml:space="preserve"> </w:t>
      </w:r>
    </w:p>
    <w:p w14:paraId="270EDC5B" w14:textId="788606BE" w:rsidR="0045592E" w:rsidRDefault="0045592E" w:rsidP="00CC6190">
      <w:pPr>
        <w:pStyle w:val="Heading3"/>
      </w:pPr>
      <w:bookmarkStart w:id="73" w:name="_Toc182555542"/>
      <w:r w:rsidRPr="00532B70">
        <w:t>Principal economic status of persons with and without disabilities age 20-64 (Outcome)</w:t>
      </w:r>
      <w:bookmarkEnd w:id="73"/>
      <w:r w:rsidRPr="00532B70">
        <w:t xml:space="preserve"> </w:t>
      </w:r>
    </w:p>
    <w:p w14:paraId="002859EB" w14:textId="00EC92EF" w:rsidR="0045592E" w:rsidRDefault="0045592E" w:rsidP="0045592E">
      <w:r w:rsidRPr="00532B70">
        <w:t>A target was set in the CES to increase the proportion of people aged 20-64 years with disabilities who are in employment from 33% in 2011 to 38% by 2024, a 15% or five percentage point increase.</w:t>
      </w:r>
      <w:r>
        <w:t xml:space="preserve"> </w:t>
      </w:r>
      <w:r w:rsidRPr="00A67F31">
        <w:t>The proportion of people with disabilities aged 20-64 in employment rose from 33% in Census 2011 to 36.5% in Census 2016, and the overall employment target for 2024 looked set to be achieved. While Census 2022 theoretically offered the next opportunity to monitor progress towards this target,</w:t>
      </w:r>
      <w:r>
        <w:t xml:space="preserve"> the</w:t>
      </w:r>
      <w:r w:rsidRPr="00A67F31">
        <w:t xml:space="preserve"> changes to the census questions from which data on disability are derived mean that a direct comparison between the employment levels of people with disabilities in 2022 and 2016 is not possible.</w:t>
      </w:r>
    </w:p>
    <w:p w14:paraId="270E2B18" w14:textId="6207471A" w:rsidR="0045592E" w:rsidRPr="00532B70" w:rsidRDefault="0045592E" w:rsidP="0045592E">
      <w:r>
        <w:t>What is clear is that there remains a substantial gap between the employment rates of people with and without disability (</w:t>
      </w:r>
      <w:r>
        <w:fldChar w:fldCharType="begin"/>
      </w:r>
      <w:r>
        <w:instrText xml:space="preserve"> REF _Ref180500248 \h </w:instrText>
      </w:r>
      <w:r>
        <w:fldChar w:fldCharType="separate"/>
      </w:r>
      <w:r w:rsidR="009C4192">
        <w:t xml:space="preserve">Figure </w:t>
      </w:r>
      <w:r w:rsidR="009C4192">
        <w:rPr>
          <w:noProof/>
        </w:rPr>
        <w:t>1</w:t>
      </w:r>
      <w:r>
        <w:fldChar w:fldCharType="end"/>
      </w:r>
      <w:r>
        <w:t>). In 2022, 63.1% of people without disabilities aged 20-64 were at work, compared to 44.3% of people with a disability to some extent and just 17.1% of people with a disability to a great extent. Close to one third (32.3%) of people with a disability to a great extent were unable to work due to permanent sickness or disability, and a further 39.6% were outside the labour force for another reason (including retirement or taking care of home or family).</w:t>
      </w:r>
    </w:p>
    <w:p w14:paraId="6597FD54" w14:textId="4C611371" w:rsidR="0045592E" w:rsidRDefault="0045592E" w:rsidP="0045592E">
      <w:pPr>
        <w:pStyle w:val="Caption"/>
        <w:keepNext/>
        <w:jc w:val="left"/>
      </w:pPr>
      <w:bookmarkStart w:id="74" w:name="_Ref180500248"/>
      <w:bookmarkStart w:id="75" w:name="_Toc182219897"/>
      <w:r>
        <w:t xml:space="preserve">Figure </w:t>
      </w:r>
      <w:r>
        <w:fldChar w:fldCharType="begin"/>
      </w:r>
      <w:r>
        <w:instrText xml:space="preserve"> SEQ Figure \* ARABIC </w:instrText>
      </w:r>
      <w:r>
        <w:fldChar w:fldCharType="separate"/>
      </w:r>
      <w:r w:rsidR="009C4192">
        <w:rPr>
          <w:noProof/>
        </w:rPr>
        <w:t>1</w:t>
      </w:r>
      <w:r>
        <w:fldChar w:fldCharType="end"/>
      </w:r>
      <w:bookmarkEnd w:id="74"/>
      <w:r>
        <w:t xml:space="preserve">: </w:t>
      </w:r>
      <w:r>
        <w:rPr>
          <w:szCs w:val="26"/>
        </w:rPr>
        <w:t>P</w:t>
      </w:r>
      <w:r w:rsidRPr="00EE2862">
        <w:rPr>
          <w:szCs w:val="26"/>
        </w:rPr>
        <w:t xml:space="preserve">rincipal economic status </w:t>
      </w:r>
      <w:r>
        <w:rPr>
          <w:szCs w:val="26"/>
        </w:rPr>
        <w:t>of people aged 20-64 in 2022, by disability status</w:t>
      </w:r>
      <w:bookmarkEnd w:id="75"/>
    </w:p>
    <w:p w14:paraId="12DE5DEE" w14:textId="77777777" w:rsidR="0045592E" w:rsidRDefault="0045592E" w:rsidP="0045592E">
      <w:pPr>
        <w:keepNext/>
        <w:rPr>
          <w:b/>
          <w:szCs w:val="26"/>
        </w:rPr>
      </w:pPr>
      <w:r>
        <w:rPr>
          <w:noProof/>
        </w:rPr>
        <w:drawing>
          <wp:inline distT="0" distB="0" distL="0" distR="0" wp14:anchorId="5D81E7D9" wp14:editId="16E8AC6D">
            <wp:extent cx="4785360" cy="3017520"/>
            <wp:effectExtent l="0" t="0" r="15240" b="11430"/>
            <wp:docPr id="21" name="Chart 21" descr="This bar chart shows the principal economic status of people aged 20-64 with no disability, with a disability to some extent and with a disability to a great extent, according to Census 2022.&#10;&#10; 63.1% of people without a disability were at work, compared to 44.3% of people with a disability to some extent and 17.1% of people with a disability to a great extent.&#10;&#10;5% of people without a disability were unemployed and seeking work, compared to 5.6% of people with a disability to some extent and 4.8% of people with a disability to a great extent.&#10;&#10;12.1% of people aged 20-64 without a disability were students or pupils, compared to 9.1% of people with a disability to some extent and 6.2% of people with a disability to a great extent.&#10;&#10;1% of people without a disability were unable to work due to permanent sickness or disability, compared to 5.8% of people with a disability to some extent and 32.2% of people with a disability to a great extent. &#10;&#10;Finally, 18.7% of people without a disability had another principal economic status (including retired and looking after home or family), compared to 35.2% of people with a disability to some extent and 39.6% of people with a disability to a great extent.&#10; &#10;">
              <a:extLst xmlns:a="http://schemas.openxmlformats.org/drawingml/2006/main">
                <a:ext uri="{FF2B5EF4-FFF2-40B4-BE49-F238E27FC236}">
                  <a16:creationId xmlns:a16="http://schemas.microsoft.com/office/drawing/2014/main" id="{3AAC1CDD-9CF9-13F9-7C37-FD0AFF1EA9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0D1FA8" w14:textId="140914CA" w:rsidR="0045592E" w:rsidRPr="00B00CD8" w:rsidRDefault="0045592E" w:rsidP="00B00CD8">
      <w:pPr>
        <w:keepNext/>
        <w:jc w:val="center"/>
        <w:rPr>
          <w:sz w:val="22"/>
          <w:szCs w:val="22"/>
        </w:rPr>
      </w:pPr>
      <w:r>
        <w:rPr>
          <w:sz w:val="22"/>
          <w:szCs w:val="22"/>
        </w:rPr>
        <w:t>Source: Census 2022</w:t>
      </w:r>
    </w:p>
    <w:p w14:paraId="344159CA" w14:textId="281EEB71" w:rsidR="00B00CD8" w:rsidRDefault="0045592E" w:rsidP="0045592E">
      <w:r w:rsidRPr="00D62A13">
        <w:t>Information</w:t>
      </w:r>
      <w:r>
        <w:t xml:space="preserve"> from the Survey on Income and Living Conditions (SILC) also allows us to examine trends in the disability employment gap (DEG) over the lifetime of the CES, i.e., the gap in employment rates between people with and without disabilities.</w:t>
      </w:r>
      <w:r w:rsidR="00856A29">
        <w:t xml:space="preserve"> </w:t>
      </w:r>
      <w:r w:rsidR="00856A29" w:rsidRPr="00D62A13">
        <w:t xml:space="preserve">The </w:t>
      </w:r>
      <w:r w:rsidR="00856A29">
        <w:t>DEG</w:t>
      </w:r>
      <w:r w:rsidR="00856A29" w:rsidRPr="00D62A13">
        <w:t xml:space="preserve"> in Ireland has been described as </w:t>
      </w:r>
      <w:r w:rsidR="00856A29">
        <w:t>‘</w:t>
      </w:r>
      <w:r w:rsidR="00856A29" w:rsidRPr="00D62A13">
        <w:t>exceptionally large</w:t>
      </w:r>
      <w:r w:rsidR="00856A29">
        <w:t xml:space="preserve">’ </w:t>
      </w:r>
      <w:r w:rsidR="00856A29">
        <w:fldChar w:fldCharType="begin"/>
      </w:r>
      <w:r w:rsidR="00856A29">
        <w:instrText xml:space="preserve"> ADDIN ZOTERO_ITEM CSL_CITATION {"citationID":"jwmZR7ym","properties":{"formattedCitation":"(14)","plainCitation":"(14)","noteIndex":0},"citationItems":[{"id":8,"uris":["http://zotero.org/users/local/kvLunvBP/items/SA37LCCZ"],"itemData":{"id":8,"type":"book","ISBN":"978-92-64-59659-7","language":"en","note":"DOI: 10.1787/1eaa5e9c-en","publisher":"OECD","source":"DOI.org (Crossref)","title":"Disability, Work and Inclusion: Mainstreaming in All Policies and Practices","title-short":"Disability, Work and Inclusion","URL":"https://www.oecd-ilibrary.org/employment/disability-work-and-inclusion_1eaa5e9c-en","author":[{"literal":"OECD"}],"accessed":{"date-parts":[["2023",9,14]]},"issued":{"date-parts":[["2022",10,11]]}}}],"schema":"https://github.com/citation-style-language/schema/raw/master/csl-citation.json"} </w:instrText>
      </w:r>
      <w:r w:rsidR="00856A29">
        <w:fldChar w:fldCharType="separate"/>
      </w:r>
      <w:r w:rsidR="00856A29" w:rsidRPr="00C0772E">
        <w:t>(14)</w:t>
      </w:r>
      <w:r w:rsidR="00856A29">
        <w:fldChar w:fldCharType="end"/>
      </w:r>
      <w:r w:rsidR="00856A29" w:rsidRPr="00D62A13">
        <w:t xml:space="preserve">. </w:t>
      </w:r>
      <w:r>
        <w:t xml:space="preserve"> </w:t>
      </w:r>
      <w:r w:rsidR="00856A29">
        <w:t>I</w:t>
      </w:r>
      <w:r w:rsidR="00856A29" w:rsidRPr="00D62A13">
        <w:t>n SILC, disability status is defined as a longstanding health condition that limits daily activities, as self-reported by respondents. Employment data are collected from individuals aged 16 and over</w:t>
      </w:r>
      <w:r w:rsidR="00856A29">
        <w:t xml:space="preserve">. </w:t>
      </w:r>
      <w:r w:rsidR="00856A29">
        <w:fldChar w:fldCharType="begin"/>
      </w:r>
      <w:r w:rsidR="00856A29">
        <w:instrText xml:space="preserve"> ADDIN ZOTERO_ITEM CSL_CITATION {"citationID":"1RnLQpIy","properties":{"formattedCitation":"(15)","plainCitation":"(15)","noteIndex":0},"citationItems":[{"id":36,"uris":["http://zotero.org/users/local/kvLunvBP/items/R3PTNL7H"],"itemData":{"id":36,"type":"webpage","abstract":"description","language":"en","title":"Disability statistics introduced","URL":"https://ec.europa.eu/eurostat/statistics-explained/index.php?title=Disability_statistics_introduced","author":[{"family":"Eurostat","given":""}],"accessed":{"date-parts":[["2023",9,21]]},"issued":{"date-parts":[["2021"]]}}}],"schema":"https://github.com/citation-style-language/schema/raw/master/csl-citation.json"} </w:instrText>
      </w:r>
      <w:r w:rsidR="00856A29">
        <w:fldChar w:fldCharType="separate"/>
      </w:r>
      <w:r w:rsidR="00856A29" w:rsidRPr="00C0772E">
        <w:t>(15)</w:t>
      </w:r>
      <w:r w:rsidR="00856A29">
        <w:fldChar w:fldCharType="end"/>
      </w:r>
      <w:r w:rsidR="00856A29">
        <w:t xml:space="preserve"> </w:t>
      </w:r>
      <w:r w:rsidRPr="00D62A13">
        <w:t xml:space="preserve">In cross-country comparisons using </w:t>
      </w:r>
      <w:r>
        <w:t xml:space="preserve">SILC data, </w:t>
      </w:r>
      <w:r w:rsidRPr="00D62A13">
        <w:t>Ireland had the largest DEG of all 27 Member States in 2022, at 37 percentage points</w:t>
      </w:r>
      <w:r>
        <w:t xml:space="preserve"> (</w:t>
      </w:r>
      <w:r>
        <w:fldChar w:fldCharType="begin"/>
      </w:r>
      <w:r>
        <w:instrText xml:space="preserve"> REF _Ref180578108 \h </w:instrText>
      </w:r>
      <w:r>
        <w:fldChar w:fldCharType="separate"/>
      </w:r>
      <w:r w:rsidR="009C4192">
        <w:t xml:space="preserve">Figure </w:t>
      </w:r>
      <w:r w:rsidR="009C4192">
        <w:rPr>
          <w:noProof/>
        </w:rPr>
        <w:t>2</w:t>
      </w:r>
      <w:r>
        <w:fldChar w:fldCharType="end"/>
      </w:r>
      <w:r>
        <w:t>)</w:t>
      </w:r>
      <w:r w:rsidRPr="00D62A13">
        <w:t xml:space="preserve">. The average disability employment gap across the EU was 21 percentage points. </w:t>
      </w:r>
      <w:r>
        <w:t>There has been no substantial reduction in the disability employment gap over the lifetime of the CES. While lower in 2022 than in 2015, year-on-year fluctuations mean this should not be considered as evidence of a sustained downward trend. As an example, the gap was larger in 2021 than it was in 2014 (</w:t>
      </w:r>
      <w:r>
        <w:fldChar w:fldCharType="begin"/>
      </w:r>
      <w:r>
        <w:instrText xml:space="preserve"> REF _Ref180578296 \h </w:instrText>
      </w:r>
      <w:r>
        <w:fldChar w:fldCharType="separate"/>
      </w:r>
      <w:r w:rsidR="009C4192">
        <w:t xml:space="preserve">Figure </w:t>
      </w:r>
      <w:r w:rsidR="009C4192">
        <w:rPr>
          <w:noProof/>
        </w:rPr>
        <w:t>3</w:t>
      </w:r>
      <w:r>
        <w:fldChar w:fldCharType="end"/>
      </w:r>
      <w:r>
        <w:t>).</w:t>
      </w:r>
    </w:p>
    <w:p w14:paraId="22BCB2EF" w14:textId="7D75816E" w:rsidR="0045592E" w:rsidRDefault="00B00CD8" w:rsidP="00B00CD8">
      <w:pPr>
        <w:spacing w:after="0"/>
      </w:pPr>
      <w:r>
        <w:br w:type="page"/>
      </w:r>
    </w:p>
    <w:p w14:paraId="4A1E7007" w14:textId="18E59DA2" w:rsidR="0045592E" w:rsidRDefault="0045592E" w:rsidP="0045592E">
      <w:pPr>
        <w:pStyle w:val="Caption"/>
        <w:keepNext/>
        <w:jc w:val="left"/>
      </w:pPr>
      <w:bookmarkStart w:id="76" w:name="_Ref180578108"/>
      <w:bookmarkStart w:id="77" w:name="_Ref180578101"/>
      <w:bookmarkStart w:id="78" w:name="_Toc182219898"/>
      <w:r>
        <w:t xml:space="preserve">Figure </w:t>
      </w:r>
      <w:r>
        <w:fldChar w:fldCharType="begin"/>
      </w:r>
      <w:r>
        <w:instrText xml:space="preserve"> SEQ Figure \* ARABIC </w:instrText>
      </w:r>
      <w:r>
        <w:fldChar w:fldCharType="separate"/>
      </w:r>
      <w:r w:rsidR="009C4192">
        <w:rPr>
          <w:noProof/>
        </w:rPr>
        <w:t>2</w:t>
      </w:r>
      <w:r>
        <w:fldChar w:fldCharType="end"/>
      </w:r>
      <w:bookmarkEnd w:id="76"/>
      <w:r>
        <w:t xml:space="preserve">: </w:t>
      </w:r>
      <w:r w:rsidRPr="00D62A13">
        <w:t>Disability employment gap for EU member states, 2022</w:t>
      </w:r>
      <w:bookmarkEnd w:id="77"/>
      <w:bookmarkEnd w:id="78"/>
    </w:p>
    <w:p w14:paraId="0CBC87A0" w14:textId="77777777" w:rsidR="0045592E" w:rsidRDefault="0045592E" w:rsidP="0045592E">
      <w:pPr>
        <w:jc w:val="center"/>
        <w:rPr>
          <w:b/>
          <w:bCs/>
        </w:rPr>
      </w:pPr>
      <w:r w:rsidRPr="00D62A13">
        <w:rPr>
          <w:b/>
          <w:bCs/>
          <w:noProof/>
        </w:rPr>
        <w:drawing>
          <wp:inline distT="0" distB="0" distL="0" distR="0" wp14:anchorId="6640ED90" wp14:editId="4D08762C">
            <wp:extent cx="4572000" cy="2743200"/>
            <wp:effectExtent l="0" t="0" r="0" b="0"/>
            <wp:docPr id="1210045230" name="Chart 1210045230" descr="This chart shows the disability employment gap across all EU member states in 2022. The lowest gap is in Luxembourg, at 8.5 percentage points. The highest gap is in Ireland, at 37 percentage points. The average gap across the EU is 21 percentage points.">
              <a:extLst xmlns:a="http://schemas.openxmlformats.org/drawingml/2006/main">
                <a:ext uri="{FF2B5EF4-FFF2-40B4-BE49-F238E27FC236}">
                  <a16:creationId xmlns:a16="http://schemas.microsoft.com/office/drawing/2014/main" id="{2527EE27-3B11-4618-BBE7-08D6CD8E6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ABB8C0" w14:textId="77777777" w:rsidR="0045592E" w:rsidRPr="00D62A13" w:rsidRDefault="0045592E" w:rsidP="0045592E">
      <w:pPr>
        <w:jc w:val="center"/>
        <w:rPr>
          <w:b/>
          <w:bCs/>
          <w:sz w:val="22"/>
          <w:szCs w:val="22"/>
        </w:rPr>
      </w:pPr>
      <w:r w:rsidRPr="00D62A13">
        <w:rPr>
          <w:sz w:val="22"/>
          <w:szCs w:val="22"/>
        </w:rPr>
        <w:t>Source: EU-SILC</w:t>
      </w:r>
    </w:p>
    <w:p w14:paraId="51DB7D5C" w14:textId="39234DA5" w:rsidR="0045592E" w:rsidRDefault="0045592E" w:rsidP="0045592E">
      <w:pPr>
        <w:pStyle w:val="Caption"/>
        <w:keepNext/>
        <w:jc w:val="left"/>
      </w:pPr>
      <w:bookmarkStart w:id="79" w:name="_Ref180578296"/>
      <w:bookmarkStart w:id="80" w:name="_Toc182219899"/>
      <w:r>
        <w:t xml:space="preserve">Figure </w:t>
      </w:r>
      <w:r>
        <w:fldChar w:fldCharType="begin"/>
      </w:r>
      <w:r>
        <w:instrText xml:space="preserve"> SEQ Figure \* ARABIC </w:instrText>
      </w:r>
      <w:r>
        <w:fldChar w:fldCharType="separate"/>
      </w:r>
      <w:r w:rsidR="009C4192">
        <w:rPr>
          <w:noProof/>
        </w:rPr>
        <w:t>3</w:t>
      </w:r>
      <w:r>
        <w:fldChar w:fldCharType="end"/>
      </w:r>
      <w:bookmarkEnd w:id="79"/>
      <w:r>
        <w:t xml:space="preserve">: </w:t>
      </w:r>
      <w:r w:rsidRPr="00D62A13">
        <w:t>Disability employment gap in Ireland and in the EU overall, 2014-2022</w:t>
      </w:r>
      <w:bookmarkEnd w:id="80"/>
    </w:p>
    <w:p w14:paraId="6C650391" w14:textId="77777777" w:rsidR="0045592E" w:rsidRPr="00D62A13" w:rsidRDefault="0045592E" w:rsidP="0045592E">
      <w:pPr>
        <w:jc w:val="center"/>
      </w:pPr>
      <w:r w:rsidRPr="00D62A13">
        <w:rPr>
          <w:noProof/>
        </w:rPr>
        <w:drawing>
          <wp:inline distT="0" distB="0" distL="0" distR="0" wp14:anchorId="207C5694" wp14:editId="58AA50B9">
            <wp:extent cx="4572000" cy="2743200"/>
            <wp:effectExtent l="0" t="0" r="0" b="0"/>
            <wp:docPr id="452415470" name="Chart 452415470" descr="This figure shows the disability employment gap in Ireland and the EU for each year from 2014 to 2022. At each year, the gap is considerably higher in Ireland than the EU average. In 2014, the gap was 40 percentage points in Ireland and 23 percentage points across the EU. In 2022, the gap was 37 percentage points in Ireland and 21 percentage points across the EU. ">
              <a:extLst xmlns:a="http://schemas.openxmlformats.org/drawingml/2006/main">
                <a:ext uri="{FF2B5EF4-FFF2-40B4-BE49-F238E27FC236}">
                  <a16:creationId xmlns:a16="http://schemas.microsoft.com/office/drawing/2014/main" id="{593BEF38-249C-4C28-8473-2BC6F92537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46C703" w14:textId="795997AC" w:rsidR="00B00CD8" w:rsidRDefault="0045592E" w:rsidP="0045592E">
      <w:pPr>
        <w:jc w:val="center"/>
        <w:rPr>
          <w:sz w:val="22"/>
          <w:szCs w:val="22"/>
        </w:rPr>
      </w:pPr>
      <w:r w:rsidRPr="00D62A13">
        <w:rPr>
          <w:sz w:val="22"/>
          <w:szCs w:val="22"/>
        </w:rPr>
        <w:t>Source: EU-SILC</w:t>
      </w:r>
    </w:p>
    <w:p w14:paraId="7D1CAD26" w14:textId="77777777" w:rsidR="00B00CD8" w:rsidRDefault="00B00CD8">
      <w:pPr>
        <w:spacing w:after="0"/>
        <w:rPr>
          <w:sz w:val="22"/>
          <w:szCs w:val="22"/>
        </w:rPr>
      </w:pPr>
      <w:r>
        <w:rPr>
          <w:sz w:val="22"/>
          <w:szCs w:val="22"/>
        </w:rPr>
        <w:br w:type="page"/>
      </w:r>
    </w:p>
    <w:p w14:paraId="084DA951" w14:textId="66AD441A" w:rsidR="0045592E" w:rsidRPr="00D62A13" w:rsidRDefault="00AF574B" w:rsidP="0045592E">
      <w:r>
        <w:rPr>
          <w:szCs w:val="26"/>
        </w:rPr>
        <w:t xml:space="preserve">The NDA advises that new targets need to be set relating to increasing the employment rate of disabled people in Ireland and to reducing the disability employment gap. A discussion paper relating to the establishment of these targets was published by the NDA in </w:t>
      </w:r>
      <w:r w:rsidR="00F5220A">
        <w:rPr>
          <w:szCs w:val="26"/>
        </w:rPr>
        <w:t>March</w:t>
      </w:r>
      <w:r>
        <w:rPr>
          <w:szCs w:val="26"/>
        </w:rPr>
        <w:t xml:space="preserve"> 2024. </w:t>
      </w:r>
      <w:r>
        <w:rPr>
          <w:szCs w:val="26"/>
        </w:rPr>
        <w:fldChar w:fldCharType="begin"/>
      </w:r>
      <w:r w:rsidR="00C0772E">
        <w:rPr>
          <w:szCs w:val="26"/>
        </w:rPr>
        <w:instrText xml:space="preserve"> ADDIN ZOTERO_ITEM CSL_CITATION {"citationID":"OZg3K5A4","properties":{"formattedCitation":"(16)","plainCitation":"(16)","noteIndex":0},"citationItems":[{"id":315,"uris":["http://zotero.org/users/local/kvLunvBP/items/2VE9QWZM"],"itemData":{"id":315,"type":"webpage","container-title":"National Disability Authority","language":"en-IE","title":"Discussion paper on new disability employment targets","URL":"https://nda.ie/publications/discussion-paper-on-new-disability-employment-targets","author":[{"family":"National Disability Authority","given":""}],"accessed":{"date-parts":[["2024",10,22]]},"issued":{"date-parts":[["2024"]]}}}],"schema":"https://github.com/citation-style-language/schema/raw/master/csl-citation.json"} </w:instrText>
      </w:r>
      <w:r>
        <w:rPr>
          <w:szCs w:val="26"/>
        </w:rPr>
        <w:fldChar w:fldCharType="separate"/>
      </w:r>
      <w:r w:rsidR="00C0772E" w:rsidRPr="00C0772E">
        <w:t>(16)</w:t>
      </w:r>
      <w:r>
        <w:rPr>
          <w:szCs w:val="26"/>
        </w:rPr>
        <w:fldChar w:fldCharType="end"/>
      </w:r>
      <w:r w:rsidR="008B5C0C">
        <w:rPr>
          <w:szCs w:val="26"/>
        </w:rPr>
        <w:t xml:space="preserve"> </w:t>
      </w:r>
      <w:r w:rsidR="008B5C0C">
        <w:t>This paper recommended setting targets both for a reduction in the disability employment gap and for an increase in employment rates of disabled people, rather than a sole focus on increasing the proportion of disabled people employed. This approach is deemed to be preferable in terms of assessing equity in employment and also for accounting in fluctuations in the employment landscape over time.</w:t>
      </w:r>
    </w:p>
    <w:p w14:paraId="3D13551D" w14:textId="73E90665" w:rsidR="00CC6190" w:rsidRDefault="004C1206" w:rsidP="0045592E">
      <w:pPr>
        <w:pStyle w:val="Heading2"/>
        <w:rPr>
          <w:lang w:eastAsia="en-IE"/>
        </w:rPr>
      </w:pPr>
      <w:bookmarkStart w:id="81" w:name="_Toc182555543"/>
      <w:bookmarkStart w:id="82" w:name="_Toc182555708"/>
      <w:r>
        <w:rPr>
          <w:lang w:eastAsia="en-IE"/>
        </w:rPr>
        <w:t>Primary Indicator B</w:t>
      </w:r>
      <w:bookmarkEnd w:id="81"/>
      <w:bookmarkEnd w:id="82"/>
      <w:r w:rsidR="0045592E" w:rsidRPr="00532B70">
        <w:rPr>
          <w:lang w:eastAsia="en-IE"/>
        </w:rPr>
        <w:t xml:space="preserve"> </w:t>
      </w:r>
    </w:p>
    <w:p w14:paraId="26653935" w14:textId="4C2EDE4F" w:rsidR="0045592E" w:rsidRDefault="0045592E" w:rsidP="00CC6190">
      <w:pPr>
        <w:pStyle w:val="Heading3"/>
        <w:rPr>
          <w:lang w:eastAsia="en-IE"/>
        </w:rPr>
      </w:pPr>
      <w:bookmarkStart w:id="83" w:name="_Toc182555544"/>
      <w:r w:rsidRPr="00532B70">
        <w:rPr>
          <w:lang w:eastAsia="en-IE"/>
        </w:rPr>
        <w:t>Percentage of people with a disability employed in the public sector (Outcome)</w:t>
      </w:r>
      <w:bookmarkEnd w:id="83"/>
    </w:p>
    <w:p w14:paraId="14506340" w14:textId="77777777" w:rsidR="0045592E" w:rsidRDefault="0045592E" w:rsidP="0045592E">
      <w:pPr>
        <w:rPr>
          <w:lang w:eastAsia="en-IE"/>
        </w:rPr>
      </w:pPr>
      <w:r>
        <w:rPr>
          <w:lang w:eastAsia="en-IE"/>
        </w:rPr>
        <w:t>Since 2006</w:t>
      </w:r>
      <w:r w:rsidRPr="00377697">
        <w:rPr>
          <w:lang w:eastAsia="en-IE"/>
        </w:rPr>
        <w:t xml:space="preserve">, public bodies have pursued a positive action measure </w:t>
      </w:r>
      <w:r>
        <w:rPr>
          <w:lang w:eastAsia="en-IE"/>
        </w:rPr>
        <w:t xml:space="preserve">under the Disability Act Part 5 </w:t>
      </w:r>
      <w:r w:rsidRPr="00377697">
        <w:rPr>
          <w:lang w:eastAsia="en-IE"/>
        </w:rPr>
        <w:t xml:space="preserve">which set a 3% target for the employment of people with disabilities in the public service. </w:t>
      </w:r>
      <w:r>
        <w:rPr>
          <w:lang w:eastAsia="en-IE"/>
        </w:rPr>
        <w:t>Relevant p</w:t>
      </w:r>
      <w:r w:rsidRPr="00377697">
        <w:rPr>
          <w:lang w:eastAsia="en-IE"/>
        </w:rPr>
        <w:t>ublic bodies</w:t>
      </w:r>
      <w:r w:rsidRPr="00233BC4">
        <w:rPr>
          <w:rStyle w:val="FootnoteReference"/>
        </w:rPr>
        <w:footnoteReference w:id="6"/>
      </w:r>
      <w:r w:rsidRPr="00377697">
        <w:rPr>
          <w:lang w:eastAsia="en-IE"/>
        </w:rPr>
        <w:t xml:space="preserve"> are </w:t>
      </w:r>
      <w:r>
        <w:rPr>
          <w:lang w:eastAsia="en-IE"/>
        </w:rPr>
        <w:t>mandated</w:t>
      </w:r>
      <w:r w:rsidRPr="00377697">
        <w:rPr>
          <w:lang w:eastAsia="en-IE"/>
        </w:rPr>
        <w:t xml:space="preserve"> to report annually to the NDA on </w:t>
      </w:r>
      <w:r>
        <w:rPr>
          <w:lang w:eastAsia="en-IE"/>
        </w:rPr>
        <w:t>their compliance with this target</w:t>
      </w:r>
      <w:r w:rsidRPr="00377697">
        <w:rPr>
          <w:lang w:eastAsia="en-IE"/>
        </w:rPr>
        <w:t xml:space="preserve">. </w:t>
      </w:r>
    </w:p>
    <w:p w14:paraId="6AFC3C2E" w14:textId="00857967" w:rsidR="0045592E" w:rsidRPr="00D85E69" w:rsidRDefault="0045592E" w:rsidP="0045592E">
      <w:pPr>
        <w:rPr>
          <w:color w:val="000000" w:themeColor="text1"/>
          <w:szCs w:val="26"/>
          <w:lang w:eastAsia="en-IE"/>
        </w:rPr>
      </w:pPr>
      <w:r w:rsidRPr="00377697">
        <w:rPr>
          <w:szCs w:val="26"/>
          <w:lang w:eastAsia="en-IE"/>
        </w:rPr>
        <w:t>The percentage of employees in relevant</w:t>
      </w:r>
      <w:r>
        <w:rPr>
          <w:szCs w:val="26"/>
          <w:lang w:eastAsia="en-IE"/>
        </w:rPr>
        <w:t xml:space="preserve"> bodies</w:t>
      </w:r>
      <w:r w:rsidRPr="00377697">
        <w:rPr>
          <w:szCs w:val="26"/>
          <w:lang w:eastAsia="en-IE"/>
        </w:rPr>
        <w:t xml:space="preserve"> reporting a disability </w:t>
      </w:r>
      <w:r>
        <w:rPr>
          <w:szCs w:val="26"/>
          <w:lang w:eastAsia="en-IE"/>
        </w:rPr>
        <w:t xml:space="preserve">decreased between 2015 and 2018, before increasing in 2021 and again in 2022 </w:t>
      </w:r>
      <w:r w:rsidRPr="00377697">
        <w:rPr>
          <w:color w:val="000000" w:themeColor="text1"/>
          <w:szCs w:val="26"/>
          <w:lang w:eastAsia="en-IE"/>
        </w:rPr>
        <w:t>(</w:t>
      </w:r>
      <w:r>
        <w:rPr>
          <w:color w:val="000000" w:themeColor="text1"/>
          <w:szCs w:val="26"/>
          <w:highlight w:val="yellow"/>
          <w:lang w:eastAsia="en-IE"/>
        </w:rPr>
        <w:fldChar w:fldCharType="begin"/>
      </w:r>
      <w:r>
        <w:rPr>
          <w:color w:val="000000" w:themeColor="text1"/>
          <w:szCs w:val="26"/>
          <w:lang w:eastAsia="en-IE"/>
        </w:rPr>
        <w:instrText xml:space="preserve"> REF _Ref180500574 \h </w:instrText>
      </w:r>
      <w:r>
        <w:rPr>
          <w:color w:val="000000" w:themeColor="text1"/>
          <w:szCs w:val="26"/>
          <w:highlight w:val="yellow"/>
          <w:lang w:eastAsia="en-IE"/>
        </w:rPr>
      </w:r>
      <w:r>
        <w:rPr>
          <w:color w:val="000000" w:themeColor="text1"/>
          <w:szCs w:val="26"/>
          <w:highlight w:val="yellow"/>
          <w:lang w:eastAsia="en-IE"/>
        </w:rPr>
        <w:fldChar w:fldCharType="separate"/>
      </w:r>
      <w:r w:rsidR="009C4192">
        <w:t xml:space="preserve">Figure </w:t>
      </w:r>
      <w:r w:rsidR="009C4192">
        <w:rPr>
          <w:noProof/>
        </w:rPr>
        <w:t>4</w:t>
      </w:r>
      <w:r>
        <w:rPr>
          <w:color w:val="000000" w:themeColor="text1"/>
          <w:szCs w:val="26"/>
          <w:highlight w:val="yellow"/>
          <w:lang w:eastAsia="en-IE"/>
        </w:rPr>
        <w:fldChar w:fldCharType="end"/>
      </w:r>
      <w:r w:rsidRPr="00377697">
        <w:rPr>
          <w:color w:val="000000" w:themeColor="text1"/>
          <w:szCs w:val="26"/>
          <w:lang w:eastAsia="en-IE"/>
        </w:rPr>
        <w:t>)</w:t>
      </w:r>
      <w:r>
        <w:rPr>
          <w:szCs w:val="26"/>
          <w:lang w:eastAsia="en-IE"/>
        </w:rPr>
        <w:t xml:space="preserve">. Overall, the proportion has increased </w:t>
      </w:r>
      <w:r w:rsidRPr="00377697">
        <w:rPr>
          <w:color w:val="000000" w:themeColor="text1"/>
          <w:szCs w:val="26"/>
          <w:lang w:eastAsia="en-IE"/>
        </w:rPr>
        <w:t>from 3.6% in 2015 (n=7,245) to 4.1%</w:t>
      </w:r>
      <w:r>
        <w:rPr>
          <w:color w:val="000000" w:themeColor="text1"/>
          <w:szCs w:val="26"/>
          <w:lang w:eastAsia="en-IE"/>
        </w:rPr>
        <w:t xml:space="preserve"> </w:t>
      </w:r>
      <w:r w:rsidRPr="00377697">
        <w:rPr>
          <w:color w:val="000000" w:themeColor="text1"/>
          <w:szCs w:val="26"/>
          <w:lang w:eastAsia="en-IE"/>
        </w:rPr>
        <w:t>(n=10,641) in 2022</w:t>
      </w:r>
      <w:r>
        <w:rPr>
          <w:color w:val="000000" w:themeColor="text1"/>
          <w:szCs w:val="26"/>
          <w:lang w:eastAsia="en-IE"/>
        </w:rPr>
        <w:t xml:space="preserve">, the most recent year for which data are available. </w:t>
      </w:r>
      <w:r>
        <w:rPr>
          <w:color w:val="000000" w:themeColor="text1"/>
          <w:szCs w:val="26"/>
          <w:lang w:eastAsia="en-IE"/>
        </w:rPr>
        <w:fldChar w:fldCharType="begin"/>
      </w:r>
      <w:r w:rsidR="00C0772E">
        <w:rPr>
          <w:color w:val="000000" w:themeColor="text1"/>
          <w:szCs w:val="26"/>
          <w:lang w:eastAsia="en-IE"/>
        </w:rPr>
        <w:instrText xml:space="preserve"> ADDIN ZOTERO_ITEM CSL_CITATION {"citationID":"BMZFmknJ","properties":{"formattedCitation":"(17)","plainCitation":"(17)","noteIndex":0},"citationItems":[{"id":44,"uris":["http://zotero.org/users/local/kvLunvBP/items/TCJVLQ2V"],"itemData":{"id":44,"type":"webpage","abstract":"Read up on the compliance reports for Part 5 of the Disability Act 2005 on the employment of people with disabilities in the public sector prepared by the National Disability Authority.","container-title":"National Disability Authority","language":"en-IE","title":"Compliance Reports | Reports On Compliance | Disability Act 2005 | The National Disability Authority","URL":"https://nda.ie/monitoring/monitoring-2-2/employment-of-persons-with-disabilities-in-the-public-sector/part-5-compliance-reports","accessed":{"date-parts":[["2023",9,21]]}}}],"schema":"https://github.com/citation-style-language/schema/raw/master/csl-citation.json"} </w:instrText>
      </w:r>
      <w:r>
        <w:rPr>
          <w:color w:val="000000" w:themeColor="text1"/>
          <w:szCs w:val="26"/>
          <w:lang w:eastAsia="en-IE"/>
        </w:rPr>
        <w:fldChar w:fldCharType="separate"/>
      </w:r>
      <w:r w:rsidR="00C0772E" w:rsidRPr="00C0772E">
        <w:t>(17)</w:t>
      </w:r>
      <w:r>
        <w:rPr>
          <w:color w:val="000000" w:themeColor="text1"/>
          <w:szCs w:val="26"/>
          <w:lang w:eastAsia="en-IE"/>
        </w:rPr>
        <w:fldChar w:fldCharType="end"/>
      </w:r>
      <w:r>
        <w:rPr>
          <w:color w:val="000000" w:themeColor="text1"/>
          <w:szCs w:val="26"/>
          <w:lang w:eastAsia="en-IE"/>
        </w:rPr>
        <w:t xml:space="preserve"> </w:t>
      </w:r>
      <w:r w:rsidRPr="00377697">
        <w:rPr>
          <w:color w:val="000000" w:themeColor="text1"/>
          <w:szCs w:val="26"/>
          <w:lang w:eastAsia="en-IE"/>
        </w:rPr>
        <w:t xml:space="preserve">The number of employees reporting a disability </w:t>
      </w:r>
      <w:r>
        <w:rPr>
          <w:color w:val="000000" w:themeColor="text1"/>
          <w:szCs w:val="26"/>
          <w:lang w:eastAsia="en-IE"/>
        </w:rPr>
        <w:t>increased by</w:t>
      </w:r>
      <w:r w:rsidRPr="00377697">
        <w:rPr>
          <w:color w:val="000000" w:themeColor="text1"/>
          <w:szCs w:val="26"/>
          <w:lang w:eastAsia="en-IE"/>
        </w:rPr>
        <w:t xml:space="preserve"> </w:t>
      </w:r>
      <w:r>
        <w:rPr>
          <w:color w:val="000000" w:themeColor="text1"/>
          <w:szCs w:val="26"/>
          <w:lang w:eastAsia="en-IE"/>
        </w:rPr>
        <w:t>31.9</w:t>
      </w:r>
      <w:r w:rsidRPr="00377697">
        <w:rPr>
          <w:color w:val="000000" w:themeColor="text1"/>
          <w:szCs w:val="26"/>
          <w:lang w:eastAsia="en-IE"/>
        </w:rPr>
        <w:t>%</w:t>
      </w:r>
      <w:r>
        <w:rPr>
          <w:color w:val="000000" w:themeColor="text1"/>
          <w:szCs w:val="26"/>
          <w:lang w:eastAsia="en-IE"/>
        </w:rPr>
        <w:t xml:space="preserve">, or 3396 people, over this period. Additionally, the proportion of relevant public sector bodies meeting or exceeding the target </w:t>
      </w:r>
      <w:r w:rsidRPr="00067B0A">
        <w:rPr>
          <w:color w:val="000000" w:themeColor="text1"/>
          <w:szCs w:val="26"/>
          <w:lang w:eastAsia="en-IE"/>
        </w:rPr>
        <w:t xml:space="preserve">increased over time, from 73.6% in 2015, to 90.6% in 2022. </w:t>
      </w:r>
      <w:r w:rsidRPr="001307B5">
        <w:rPr>
          <w:color w:val="000000" w:themeColor="text1"/>
          <w:szCs w:val="26"/>
          <w:lang w:eastAsia="en-IE"/>
        </w:rPr>
        <w:t>All five types of public bodies (Commercial Bodies, Government Departments, Local Government, Non-Commercial Bodies, and Public Bodies staffed by Civil Servants)</w:t>
      </w:r>
      <w:r>
        <w:rPr>
          <w:color w:val="000000" w:themeColor="text1"/>
          <w:szCs w:val="26"/>
          <w:lang w:eastAsia="en-IE"/>
        </w:rPr>
        <w:t xml:space="preserve"> </w:t>
      </w:r>
      <w:r w:rsidRPr="001307B5">
        <w:rPr>
          <w:color w:val="000000" w:themeColor="text1"/>
          <w:szCs w:val="26"/>
          <w:lang w:eastAsia="en-IE"/>
        </w:rPr>
        <w:t xml:space="preserve">achieved the minimum 3% target </w:t>
      </w:r>
      <w:r>
        <w:rPr>
          <w:color w:val="000000" w:themeColor="text1"/>
          <w:szCs w:val="26"/>
          <w:lang w:eastAsia="en-IE"/>
        </w:rPr>
        <w:t xml:space="preserve">in 2022, as did employers in each of four size categories (0-99 employees, 100-999, 1000-4,999, and 5,000 employees or more). The HSE is the largest body in the public sector and has not achieved the target since monitoring began. However, </w:t>
      </w:r>
      <w:r w:rsidRPr="00AF09C2">
        <w:rPr>
          <w:color w:val="000000" w:themeColor="text1"/>
          <w:szCs w:val="26"/>
          <w:lang w:eastAsia="en-IE"/>
        </w:rPr>
        <w:t xml:space="preserve">the HSE stated that </w:t>
      </w:r>
      <w:r>
        <w:rPr>
          <w:color w:val="000000" w:themeColor="text1"/>
          <w:szCs w:val="26"/>
          <w:lang w:eastAsia="en-IE"/>
        </w:rPr>
        <w:t xml:space="preserve">2.3% of employees </w:t>
      </w:r>
      <w:r w:rsidRPr="00AF09C2">
        <w:rPr>
          <w:color w:val="000000" w:themeColor="text1"/>
          <w:szCs w:val="26"/>
          <w:lang w:eastAsia="en-IE"/>
        </w:rPr>
        <w:t>reported a disability</w:t>
      </w:r>
      <w:r>
        <w:rPr>
          <w:color w:val="000000" w:themeColor="text1"/>
          <w:szCs w:val="26"/>
          <w:lang w:eastAsia="en-IE"/>
        </w:rPr>
        <w:t xml:space="preserve"> in 2022, which is the</w:t>
      </w:r>
      <w:r w:rsidRPr="00AF09C2">
        <w:rPr>
          <w:color w:val="000000" w:themeColor="text1"/>
          <w:szCs w:val="26"/>
          <w:lang w:eastAsia="en-IE"/>
        </w:rPr>
        <w:t xml:space="preserve"> </w:t>
      </w:r>
      <w:r>
        <w:rPr>
          <w:color w:val="000000" w:themeColor="text1"/>
          <w:szCs w:val="26"/>
          <w:lang w:eastAsia="en-IE"/>
        </w:rPr>
        <w:t xml:space="preserve">highest </w:t>
      </w:r>
      <w:r w:rsidRPr="00AF09C2">
        <w:rPr>
          <w:color w:val="000000" w:themeColor="text1"/>
          <w:szCs w:val="26"/>
          <w:lang w:eastAsia="en-IE"/>
        </w:rPr>
        <w:t>percentage of employees with a disability reported by the HSE to date</w:t>
      </w:r>
      <w:r>
        <w:rPr>
          <w:color w:val="000000" w:themeColor="text1"/>
          <w:szCs w:val="26"/>
          <w:lang w:eastAsia="en-IE"/>
        </w:rPr>
        <w:t>.</w:t>
      </w:r>
    </w:p>
    <w:p w14:paraId="699D97CF" w14:textId="653161CE" w:rsidR="0045592E" w:rsidRDefault="0045592E" w:rsidP="0045592E">
      <w:pPr>
        <w:pStyle w:val="Caption"/>
        <w:keepNext/>
        <w:jc w:val="left"/>
      </w:pPr>
      <w:bookmarkStart w:id="84" w:name="_Ref180500574"/>
      <w:bookmarkStart w:id="85" w:name="_Toc182219900"/>
      <w:r>
        <w:t xml:space="preserve">Figure </w:t>
      </w:r>
      <w:r>
        <w:fldChar w:fldCharType="begin"/>
      </w:r>
      <w:r>
        <w:instrText xml:space="preserve"> SEQ Figure \* ARABIC </w:instrText>
      </w:r>
      <w:r>
        <w:fldChar w:fldCharType="separate"/>
      </w:r>
      <w:r w:rsidR="009C4192">
        <w:rPr>
          <w:noProof/>
        </w:rPr>
        <w:t>4</w:t>
      </w:r>
      <w:r>
        <w:fldChar w:fldCharType="end"/>
      </w:r>
      <w:bookmarkEnd w:id="84"/>
      <w:r>
        <w:t xml:space="preserve">: </w:t>
      </w:r>
      <w:r w:rsidRPr="00ED02A9">
        <w:rPr>
          <w:color w:val="000000" w:themeColor="text1"/>
          <w:lang w:eastAsia="en-IE"/>
        </w:rPr>
        <w:t>Percentage of public sector employees reporting a disability 2015-20</w:t>
      </w:r>
      <w:r>
        <w:rPr>
          <w:color w:val="000000" w:themeColor="text1"/>
          <w:lang w:eastAsia="en-IE"/>
        </w:rPr>
        <w:t>22</w:t>
      </w:r>
      <w:bookmarkEnd w:id="85"/>
    </w:p>
    <w:p w14:paraId="5DD5DE01" w14:textId="77777777" w:rsidR="0045592E" w:rsidRDefault="0045592E" w:rsidP="0045592E">
      <w:pPr>
        <w:keepNext/>
        <w:rPr>
          <w:b/>
          <w:color w:val="000000" w:themeColor="text1"/>
          <w:lang w:eastAsia="en-IE"/>
        </w:rPr>
      </w:pPr>
      <w:r>
        <w:rPr>
          <w:b/>
          <w:noProof/>
          <w:color w:val="000000" w:themeColor="text1"/>
          <w:lang w:eastAsia="en-IE"/>
        </w:rPr>
        <w:drawing>
          <wp:inline distT="0" distB="0" distL="0" distR="0" wp14:anchorId="202AA6D0" wp14:editId="086A4A2E">
            <wp:extent cx="5486400" cy="3200400"/>
            <wp:effectExtent l="0" t="0" r="0" b="0"/>
            <wp:docPr id="16" name="Chart 16" descr="This bar chart shows the percentage of public sector employees reporting a disability in each year from 2015 to 2022. &#10;&#10;In 2015, 3.6% of public sector employees reported having a disability. In 2016, the percentage was 3.5%. In 2017, it was 3.5%. In 2018, it was 3.3%. In 2019, it was 3.1%. In 2020, the percentage was 3.1%. In 2021, the percentage was 3.6% and in 2022, the percentage wa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B2A53A" w14:textId="77777777" w:rsidR="0045592E" w:rsidRPr="00AA16B5" w:rsidRDefault="0045592E" w:rsidP="0045592E">
      <w:pPr>
        <w:jc w:val="center"/>
        <w:rPr>
          <w:sz w:val="22"/>
          <w:szCs w:val="22"/>
        </w:rPr>
      </w:pPr>
      <w:r w:rsidRPr="00AA16B5">
        <w:rPr>
          <w:sz w:val="22"/>
          <w:szCs w:val="22"/>
        </w:rPr>
        <w:t>Source: National Disability Authority</w:t>
      </w:r>
    </w:p>
    <w:p w14:paraId="10798C3F" w14:textId="77777777" w:rsidR="0045592E" w:rsidRDefault="0045592E" w:rsidP="0045592E">
      <w:pPr>
        <w:rPr>
          <w:szCs w:val="26"/>
        </w:rPr>
      </w:pPr>
      <w:r w:rsidRPr="00067B0A">
        <w:rPr>
          <w:szCs w:val="26"/>
        </w:rPr>
        <w:t>A commitment was also made in the CES to increase</w:t>
      </w:r>
      <w:r>
        <w:rPr>
          <w:szCs w:val="26"/>
        </w:rPr>
        <w:t xml:space="preserve"> </w:t>
      </w:r>
      <w:r w:rsidRPr="00067B0A">
        <w:rPr>
          <w:szCs w:val="26"/>
        </w:rPr>
        <w:t xml:space="preserve">the </w:t>
      </w:r>
      <w:r>
        <w:rPr>
          <w:szCs w:val="26"/>
        </w:rPr>
        <w:t xml:space="preserve">3% target on a phased basis over the lifetime of the strategy. </w:t>
      </w:r>
      <w:r w:rsidRPr="00397607">
        <w:rPr>
          <w:szCs w:val="26"/>
        </w:rPr>
        <w:t>The</w:t>
      </w:r>
      <w:r>
        <w:rPr>
          <w:szCs w:val="26"/>
        </w:rPr>
        <w:t xml:space="preserve"> </w:t>
      </w:r>
      <w:r w:rsidRPr="00397607">
        <w:rPr>
          <w:szCs w:val="26"/>
        </w:rPr>
        <w:t xml:space="preserve">Assisted Decision-Making (Capacity) (Amendment) Act 2022 outlined that the statutory employment target </w:t>
      </w:r>
      <w:r>
        <w:rPr>
          <w:szCs w:val="26"/>
        </w:rPr>
        <w:t>would increase</w:t>
      </w:r>
      <w:r w:rsidRPr="00397607">
        <w:rPr>
          <w:szCs w:val="26"/>
        </w:rPr>
        <w:t xml:space="preserve"> to 6% by 2025</w:t>
      </w:r>
      <w:r>
        <w:rPr>
          <w:szCs w:val="26"/>
        </w:rPr>
        <w:t>.</w:t>
      </w:r>
      <w:r w:rsidRPr="00397607">
        <w:rPr>
          <w:szCs w:val="26"/>
        </w:rPr>
        <w:t xml:space="preserve"> Increasing the minimum statutory employment target to 6% </w:t>
      </w:r>
      <w:r>
        <w:rPr>
          <w:szCs w:val="26"/>
        </w:rPr>
        <w:t xml:space="preserve">was </w:t>
      </w:r>
      <w:r w:rsidRPr="00397607">
        <w:rPr>
          <w:szCs w:val="26"/>
        </w:rPr>
        <w:t xml:space="preserve">also a commitment under the Programme for Government 2020. </w:t>
      </w:r>
      <w:r>
        <w:rPr>
          <w:szCs w:val="26"/>
        </w:rPr>
        <w:t xml:space="preserve">The increase is happening on a phased basis, with the target increasing to 4.5% in 2024. </w:t>
      </w:r>
      <w:r w:rsidRPr="00067B0A">
        <w:rPr>
          <w:szCs w:val="26"/>
        </w:rPr>
        <w:t xml:space="preserve">In 2022, </w:t>
      </w:r>
      <w:r>
        <w:rPr>
          <w:szCs w:val="26"/>
        </w:rPr>
        <w:t>just under half (48.4%) of</w:t>
      </w:r>
      <w:r w:rsidRPr="00067B0A">
        <w:rPr>
          <w:szCs w:val="26"/>
        </w:rPr>
        <w:t xml:space="preserve"> public bodies reported that a minimum of 6% of their employees were persons with disabilities.</w:t>
      </w:r>
    </w:p>
    <w:p w14:paraId="329C3C88" w14:textId="264F6DF7" w:rsidR="0045592E" w:rsidRPr="0045592E" w:rsidRDefault="0045592E" w:rsidP="00982A67">
      <w:pPr>
        <w:sectPr w:rsidR="0045592E" w:rsidRPr="0045592E" w:rsidSect="007D2DFC">
          <w:pgSz w:w="12240" w:h="15840"/>
          <w:pgMar w:top="1440" w:right="1797" w:bottom="1440" w:left="1797" w:header="709" w:footer="709" w:gutter="0"/>
          <w:cols w:space="708"/>
          <w:docGrid w:linePitch="360"/>
        </w:sectPr>
      </w:pPr>
      <w:r w:rsidRPr="00F62130">
        <w:rPr>
          <w:color w:val="000000"/>
          <w:szCs w:val="26"/>
        </w:rPr>
        <w:t>The NDA has consistently emphasised that the</w:t>
      </w:r>
      <w:r w:rsidR="00A73774">
        <w:rPr>
          <w:color w:val="000000"/>
          <w:szCs w:val="26"/>
        </w:rPr>
        <w:t xml:space="preserve"> Part 5</w:t>
      </w:r>
      <w:r w:rsidRPr="00F62130">
        <w:rPr>
          <w:color w:val="000000"/>
          <w:szCs w:val="26"/>
        </w:rPr>
        <w:t xml:space="preserve"> target is a statutory minimum compliance target and that it is important for public bodies to focus on exceeding it</w:t>
      </w:r>
      <w:r w:rsidRPr="00F62130">
        <w:rPr>
          <w:szCs w:val="26"/>
        </w:rPr>
        <w:t xml:space="preserve"> by creating inclusive workplaces. The NDA continues to work closely with and advise public bodies on measures they can implement to create work environment</w:t>
      </w:r>
      <w:r w:rsidR="003A3DF0">
        <w:rPr>
          <w:szCs w:val="26"/>
        </w:rPr>
        <w:t xml:space="preserve">s </w:t>
      </w:r>
      <w:r w:rsidRPr="00F62130">
        <w:rPr>
          <w:szCs w:val="26"/>
        </w:rPr>
        <w:t xml:space="preserve">that promote and support the recruitment and retention of persons with disabilities and </w:t>
      </w:r>
      <w:r w:rsidR="003A3DF0">
        <w:rPr>
          <w:szCs w:val="26"/>
        </w:rPr>
        <w:t>in which</w:t>
      </w:r>
      <w:r w:rsidRPr="00F62130">
        <w:rPr>
          <w:szCs w:val="26"/>
        </w:rPr>
        <w:t xml:space="preserve"> employees feel supported and comfortable in disclosing a disability. </w:t>
      </w:r>
      <w:r w:rsidR="00982A67">
        <w:rPr>
          <w:szCs w:val="26"/>
        </w:rPr>
        <w:t>A review of th</w:t>
      </w:r>
      <w:r w:rsidR="00A13EBF">
        <w:rPr>
          <w:szCs w:val="26"/>
        </w:rPr>
        <w:t>e Part 5</w:t>
      </w:r>
      <w:r w:rsidR="00982A67">
        <w:rPr>
          <w:szCs w:val="26"/>
        </w:rPr>
        <w:t xml:space="preserve"> monitoring system led to the development of new questions</w:t>
      </w:r>
      <w:r w:rsidR="00A13EBF">
        <w:rPr>
          <w:szCs w:val="26"/>
        </w:rPr>
        <w:t xml:space="preserve"> </w:t>
      </w:r>
      <w:r w:rsidR="00982A67">
        <w:rPr>
          <w:szCs w:val="26"/>
        </w:rPr>
        <w:t>about the processes public sector organisations have in place to support the employment of disabled people</w:t>
      </w:r>
      <w:r w:rsidR="00A13EBF">
        <w:rPr>
          <w:szCs w:val="26"/>
        </w:rPr>
        <w:t>, and these were first asked in relation to activities in 2023</w:t>
      </w:r>
      <w:r w:rsidR="00982A67">
        <w:rPr>
          <w:szCs w:val="26"/>
        </w:rPr>
        <w:t xml:space="preserve">. These questions have generated new data and insights that will be used to provide guidance in reaching and exceeding the statutory minimum target. These data will be published in early 2025. </w:t>
      </w:r>
      <w:r>
        <w:tab/>
      </w:r>
    </w:p>
    <w:p w14:paraId="631892C2" w14:textId="795243AE" w:rsidR="00180D03" w:rsidRDefault="00180D03" w:rsidP="00180D03">
      <w:pPr>
        <w:pStyle w:val="Heading1"/>
        <w:rPr>
          <w:rFonts w:ascii="MS Mincho" w:eastAsia="MS Mincho" w:hAnsi="MS Mincho" w:cs="MS Mincho"/>
          <w:lang w:eastAsia="en-IE"/>
        </w:rPr>
      </w:pPr>
      <w:bookmarkStart w:id="86" w:name="_Toc36809786"/>
      <w:bookmarkStart w:id="87" w:name="_Toc55492189"/>
      <w:bookmarkStart w:id="88" w:name="_Toc182555545"/>
      <w:bookmarkStart w:id="89" w:name="_Toc182555709"/>
      <w:r>
        <w:rPr>
          <w:lang w:eastAsia="en-IE"/>
        </w:rPr>
        <w:t xml:space="preserve">Strategic Priority 1: </w:t>
      </w:r>
      <w:bookmarkEnd w:id="86"/>
      <w:r>
        <w:rPr>
          <w:lang w:eastAsia="en-IE"/>
        </w:rPr>
        <w:t xml:space="preserve">Building skills, capacity and </w:t>
      </w:r>
      <w:bookmarkEnd w:id="87"/>
      <w:r w:rsidR="00D742B6">
        <w:rPr>
          <w:lang w:eastAsia="en-IE"/>
        </w:rPr>
        <w:t>independence.</w:t>
      </w:r>
      <w:bookmarkEnd w:id="88"/>
      <w:bookmarkEnd w:id="89"/>
      <w:r>
        <w:rPr>
          <w:lang w:eastAsia="en-IE"/>
        </w:rPr>
        <w:t xml:space="preserve"> </w:t>
      </w:r>
    </w:p>
    <w:p w14:paraId="3E1BB878" w14:textId="2F597D2D" w:rsidR="001B4FF5" w:rsidRDefault="00576D1C" w:rsidP="00180D03">
      <w:pPr>
        <w:pStyle w:val="NormalAfterList"/>
        <w:rPr>
          <w:rFonts w:ascii="Gill Sans MT" w:hAnsi="Gill Sans MT"/>
          <w:szCs w:val="26"/>
        </w:rPr>
      </w:pPr>
      <w:r w:rsidRPr="00576D1C">
        <w:rPr>
          <w:szCs w:val="26"/>
        </w:rPr>
        <w:t xml:space="preserve">The </w:t>
      </w:r>
      <w:r w:rsidR="001B4FF5">
        <w:rPr>
          <w:szCs w:val="26"/>
        </w:rPr>
        <w:t xml:space="preserve">statement of intent for </w:t>
      </w:r>
      <w:r w:rsidR="00110C24">
        <w:rPr>
          <w:szCs w:val="26"/>
        </w:rPr>
        <w:t xml:space="preserve">the CES </w:t>
      </w:r>
      <w:r w:rsidR="000C083D">
        <w:rPr>
          <w:szCs w:val="26"/>
        </w:rPr>
        <w:t>Strategic Priority 1</w:t>
      </w:r>
      <w:r w:rsidRPr="00576D1C">
        <w:rPr>
          <w:szCs w:val="26"/>
        </w:rPr>
        <w:t xml:space="preserve"> was </w:t>
      </w:r>
      <w:r w:rsidR="00180D03" w:rsidRPr="00576D1C">
        <w:rPr>
          <w:szCs w:val="26"/>
        </w:rPr>
        <w:t xml:space="preserve">that </w:t>
      </w:r>
      <w:r w:rsidR="00CB7183">
        <w:rPr>
          <w:szCs w:val="26"/>
        </w:rPr>
        <w:t>‘</w:t>
      </w:r>
      <w:r w:rsidR="00180D03" w:rsidRPr="00576D1C">
        <w:rPr>
          <w:szCs w:val="26"/>
        </w:rPr>
        <w:t>Each person with a disability will have the education, skills, competence and independence to obtain employment</w:t>
      </w:r>
      <w:r w:rsidR="00CB7183">
        <w:rPr>
          <w:szCs w:val="26"/>
        </w:rPr>
        <w:t>’</w:t>
      </w:r>
      <w:r w:rsidR="00252BE6">
        <w:rPr>
          <w:rFonts w:ascii="Gill Sans MT" w:hAnsi="Gill Sans MT"/>
          <w:szCs w:val="26"/>
        </w:rPr>
        <w:t>.</w:t>
      </w:r>
      <w:r w:rsidR="00C172AB">
        <w:rPr>
          <w:rFonts w:ascii="Gill Sans MT" w:hAnsi="Gill Sans MT"/>
          <w:szCs w:val="26"/>
        </w:rPr>
        <w:t xml:space="preserve"> </w:t>
      </w:r>
      <w:r w:rsidR="001B4FF5">
        <w:rPr>
          <w:rFonts w:ascii="Gill Sans MT" w:hAnsi="Gill Sans MT"/>
          <w:szCs w:val="26"/>
        </w:rPr>
        <w:fldChar w:fldCharType="begin"/>
      </w:r>
      <w:r w:rsidR="001B4FF5">
        <w:rPr>
          <w:rFonts w:ascii="Gill Sans MT" w:hAnsi="Gill Sans MT"/>
          <w:szCs w:val="26"/>
        </w:rPr>
        <w:instrText xml:space="preserve"> ADDIN ZOTERO_ITEM CSL_CITATION {"citationID":"SPzSzBNe","properties":{"formattedCitation":"(1)","plainCitation":"(1)","noteIndex":0},"citationItems":[{"id":155,"uris":["http://zotero.org/users/local/kvLunvBP/items/67YBNVMH"],"itemData":{"id":155,"type":"report","abstract":"Explaining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1B4FF5">
        <w:rPr>
          <w:rFonts w:ascii="Gill Sans MT" w:hAnsi="Gill Sans MT"/>
          <w:szCs w:val="26"/>
        </w:rPr>
        <w:fldChar w:fldCharType="separate"/>
      </w:r>
      <w:r w:rsidR="001B4FF5" w:rsidRPr="001B4FF5">
        <w:rPr>
          <w:rFonts w:ascii="Gill Sans MT" w:hAnsi="Gill Sans MT"/>
        </w:rPr>
        <w:t>(1)</w:t>
      </w:r>
      <w:r w:rsidR="001B4FF5">
        <w:rPr>
          <w:rFonts w:ascii="Gill Sans MT" w:hAnsi="Gill Sans MT"/>
          <w:szCs w:val="26"/>
        </w:rPr>
        <w:fldChar w:fldCharType="end"/>
      </w:r>
      <w:r w:rsidR="001B4FF5">
        <w:rPr>
          <w:rFonts w:ascii="Gill Sans MT" w:hAnsi="Gill Sans MT"/>
          <w:szCs w:val="26"/>
        </w:rPr>
        <w:t xml:space="preserve"> </w:t>
      </w:r>
      <w:r w:rsidR="0005641A" w:rsidRPr="00F2109D">
        <w:rPr>
          <w:rFonts w:ascii="Gill Sans MT" w:hAnsi="Gill Sans MT"/>
          <w:szCs w:val="26"/>
        </w:rPr>
        <w:t>Eight</w:t>
      </w:r>
      <w:r w:rsidR="001B4FF5">
        <w:rPr>
          <w:rFonts w:ascii="Gill Sans MT" w:hAnsi="Gill Sans MT"/>
          <w:szCs w:val="26"/>
        </w:rPr>
        <w:t xml:space="preserve"> indicators of progress</w:t>
      </w:r>
      <w:r w:rsidR="00082DD9">
        <w:rPr>
          <w:rFonts w:ascii="Gill Sans MT" w:hAnsi="Gill Sans MT"/>
          <w:szCs w:val="26"/>
        </w:rPr>
        <w:t xml:space="preserve"> were</w:t>
      </w:r>
      <w:r w:rsidR="001B4FF5">
        <w:rPr>
          <w:rFonts w:ascii="Gill Sans MT" w:hAnsi="Gill Sans MT"/>
          <w:szCs w:val="26"/>
        </w:rPr>
        <w:t xml:space="preserve"> </w:t>
      </w:r>
      <w:r w:rsidR="002273BF">
        <w:rPr>
          <w:rFonts w:ascii="Gill Sans MT" w:hAnsi="Gill Sans MT"/>
          <w:szCs w:val="26"/>
        </w:rPr>
        <w:t>examined</w:t>
      </w:r>
      <w:r w:rsidR="001B4FF5">
        <w:rPr>
          <w:rFonts w:ascii="Gill Sans MT" w:hAnsi="Gill Sans MT"/>
          <w:szCs w:val="26"/>
        </w:rPr>
        <w:t xml:space="preserve"> for this strategic priority.</w:t>
      </w:r>
    </w:p>
    <w:p w14:paraId="16CFF0C4" w14:textId="6C0FA1B5" w:rsidR="00180D03" w:rsidRDefault="00180D03" w:rsidP="00180D03">
      <w:pPr>
        <w:pStyle w:val="Heading2"/>
        <w:rPr>
          <w:lang w:eastAsia="en-IE"/>
        </w:rPr>
      </w:pPr>
      <w:bookmarkStart w:id="90" w:name="_Toc182219495"/>
      <w:bookmarkStart w:id="91" w:name="_Toc182220198"/>
      <w:bookmarkStart w:id="92" w:name="_Toc182555546"/>
      <w:bookmarkStart w:id="93" w:name="_Toc182555710"/>
      <w:r>
        <w:rPr>
          <w:lang w:eastAsia="en-IE"/>
        </w:rPr>
        <w:t xml:space="preserve">1.1 </w:t>
      </w:r>
      <w:r w:rsidRPr="00E44373">
        <w:rPr>
          <w:lang w:eastAsia="en-IE"/>
        </w:rPr>
        <w:t>Number of children receiving targeted pre-school</w:t>
      </w:r>
      <w:r>
        <w:rPr>
          <w:lang w:eastAsia="en-IE"/>
        </w:rPr>
        <w:t xml:space="preserve"> support (levels 4-7 of the A</w:t>
      </w:r>
      <w:r w:rsidR="0044130B">
        <w:rPr>
          <w:lang w:eastAsia="en-IE"/>
        </w:rPr>
        <w:t xml:space="preserve">ccess and </w:t>
      </w:r>
      <w:r>
        <w:rPr>
          <w:lang w:eastAsia="en-IE"/>
        </w:rPr>
        <w:t>I</w:t>
      </w:r>
      <w:r w:rsidR="0044130B">
        <w:rPr>
          <w:lang w:eastAsia="en-IE"/>
        </w:rPr>
        <w:t>nclusion M</w:t>
      </w:r>
      <w:r w:rsidRPr="00E44373">
        <w:rPr>
          <w:lang w:eastAsia="en-IE"/>
        </w:rPr>
        <w:t>odel)</w:t>
      </w:r>
      <w:r>
        <w:rPr>
          <w:lang w:eastAsia="en-IE"/>
        </w:rPr>
        <w:t xml:space="preserve"> (Process)</w:t>
      </w:r>
      <w:bookmarkEnd w:id="90"/>
      <w:bookmarkEnd w:id="91"/>
      <w:bookmarkEnd w:id="92"/>
      <w:bookmarkEnd w:id="93"/>
    </w:p>
    <w:p w14:paraId="25D1F62E" w14:textId="72DB42BF" w:rsidR="00C51253" w:rsidRDefault="003F040D" w:rsidP="00180D03">
      <w:pPr>
        <w:rPr>
          <w:rFonts w:cs="Arial"/>
          <w:szCs w:val="26"/>
        </w:rPr>
      </w:pPr>
      <w:r w:rsidRPr="003F040D">
        <w:rPr>
          <w:rFonts w:cs="Arial"/>
          <w:szCs w:val="26"/>
        </w:rPr>
        <w:t>The Access and Inclusion Model (AIM) is a program</w:t>
      </w:r>
      <w:r>
        <w:rPr>
          <w:rFonts w:cs="Arial"/>
          <w:szCs w:val="26"/>
        </w:rPr>
        <w:t>me</w:t>
      </w:r>
      <w:r w:rsidRPr="003F040D">
        <w:rPr>
          <w:rFonts w:cs="Arial"/>
          <w:szCs w:val="26"/>
        </w:rPr>
        <w:t xml:space="preserve"> designed to support the inclusion of children with disabilities in early childhood care and education (ECCE) settings. Launched in 2016 by the Department of Children, Equality, Disability, Integration, and Youth (DCEDIY), AIM aims to ensure that all children, regardless of ability, can participate in and benefit from the ECCE program</w:t>
      </w:r>
      <w:r>
        <w:rPr>
          <w:rFonts w:cs="Arial"/>
          <w:szCs w:val="26"/>
        </w:rPr>
        <w:t>me</w:t>
      </w:r>
      <w:r w:rsidRPr="003F040D">
        <w:rPr>
          <w:rFonts w:cs="Arial"/>
          <w:szCs w:val="26"/>
        </w:rPr>
        <w:t>.</w:t>
      </w:r>
      <w:r>
        <w:rPr>
          <w:rFonts w:cs="Arial"/>
          <w:szCs w:val="26"/>
        </w:rPr>
        <w:t xml:space="preserve"> </w:t>
      </w:r>
      <w:r w:rsidR="00576D1C">
        <w:rPr>
          <w:rFonts w:cs="Arial"/>
          <w:szCs w:val="26"/>
        </w:rPr>
        <w:t xml:space="preserve">Through the model, </w:t>
      </w:r>
      <w:r w:rsidR="00581174">
        <w:rPr>
          <w:rFonts w:cs="Arial"/>
          <w:szCs w:val="26"/>
        </w:rPr>
        <w:t xml:space="preserve">both </w:t>
      </w:r>
      <w:r w:rsidR="00576D1C">
        <w:rPr>
          <w:rFonts w:cs="Arial"/>
          <w:szCs w:val="26"/>
        </w:rPr>
        <w:t>universal (Levels 1-3) and targeted supports (Levels 4-7) are provided to create inclusive preschool environments</w:t>
      </w:r>
      <w:r w:rsidR="00962543">
        <w:rPr>
          <w:rFonts w:cs="Arial"/>
          <w:szCs w:val="26"/>
        </w:rPr>
        <w:t>.</w:t>
      </w:r>
      <w:r w:rsidR="000F7F76">
        <w:rPr>
          <w:rFonts w:cs="Arial"/>
          <w:szCs w:val="26"/>
        </w:rPr>
        <w:t xml:space="preserve"> </w:t>
      </w:r>
      <w:r w:rsidR="000F7F76">
        <w:rPr>
          <w:rFonts w:cs="Arial"/>
          <w:szCs w:val="26"/>
        </w:rPr>
        <w:fldChar w:fldCharType="begin"/>
      </w:r>
      <w:r w:rsidR="00C0772E">
        <w:rPr>
          <w:rFonts w:cs="Arial"/>
          <w:szCs w:val="26"/>
        </w:rPr>
        <w:instrText xml:space="preserve"> ADDIN ZOTERO_ITEM CSL_CITATION {"citationID":"BWtYIkPo","properties":{"formattedCitation":"(18)","plainCitation":"(18)","noteIndex":0},"citationItems":[{"id":198,"uris":["http://zotero.org/users/local/kvLunvBP/items/FIIK99I2"],"itemData":{"id":198,"type":"report","title":"Policy on the Operation of the Access and Inclusion Model","URL":"https://aim.gov.ie/app/uploads/2016/06/AIM-Policy.pdf","author":[{"family":"Government of Ireland","given":""}],"issued":{"date-parts":[["2016"]]}}}],"schema":"https://github.com/citation-style-language/schema/raw/master/csl-citation.json"} </w:instrText>
      </w:r>
      <w:r w:rsidR="000F7F76">
        <w:rPr>
          <w:rFonts w:cs="Arial"/>
          <w:szCs w:val="26"/>
        </w:rPr>
        <w:fldChar w:fldCharType="separate"/>
      </w:r>
      <w:r w:rsidR="00C0772E" w:rsidRPr="00C0772E">
        <w:t>(18)</w:t>
      </w:r>
      <w:r w:rsidR="000F7F76">
        <w:rPr>
          <w:rFonts w:cs="Arial"/>
          <w:szCs w:val="26"/>
        </w:rPr>
        <w:fldChar w:fldCharType="end"/>
      </w:r>
    </w:p>
    <w:p w14:paraId="27B9A83F" w14:textId="285242F2" w:rsidR="002121D3" w:rsidRPr="00A55404" w:rsidRDefault="00A55404" w:rsidP="00A55404">
      <w:pPr>
        <w:rPr>
          <w:szCs w:val="26"/>
          <w:lang w:eastAsia="en-IE"/>
        </w:rPr>
      </w:pPr>
      <w:r>
        <w:t>In total, 42,821 children were supported under AIM Levels 4, 5, 6 and 7 between 2016 and 2022</w:t>
      </w:r>
      <w:r w:rsidR="00517DB5">
        <w:t xml:space="preserve">, with the number rising </w:t>
      </w:r>
      <w:r w:rsidR="00FD05B6">
        <w:t>annually</w:t>
      </w:r>
      <w:r w:rsidR="002121D3">
        <w:t>.</w:t>
      </w:r>
      <w:r w:rsidR="008B170E">
        <w:t xml:space="preserve"> </w:t>
      </w:r>
      <w:r w:rsidR="008B170E">
        <w:fldChar w:fldCharType="begin"/>
      </w:r>
      <w:r w:rsidR="008B170E">
        <w:instrText xml:space="preserve"> REF _Ref179895555 \h </w:instrText>
      </w:r>
      <w:r w:rsidR="008B170E">
        <w:fldChar w:fldCharType="separate"/>
      </w:r>
      <w:r w:rsidR="009C4192">
        <w:t xml:space="preserve">Table </w:t>
      </w:r>
      <w:r w:rsidR="009C4192">
        <w:rPr>
          <w:noProof/>
        </w:rPr>
        <w:t>2</w:t>
      </w:r>
      <w:r w:rsidR="008B170E">
        <w:fldChar w:fldCharType="end"/>
      </w:r>
      <w:r>
        <w:t xml:space="preserve"> </w:t>
      </w:r>
      <w:r w:rsidR="002121D3">
        <w:t>shows</w:t>
      </w:r>
      <w:r>
        <w:t xml:space="preserve"> the total number of children supported </w:t>
      </w:r>
      <w:r w:rsidR="00C12D83">
        <w:t xml:space="preserve">in </w:t>
      </w:r>
      <w:r>
        <w:t xml:space="preserve">each </w:t>
      </w:r>
      <w:r w:rsidR="00517DB5">
        <w:t xml:space="preserve">calendar </w:t>
      </w:r>
      <w:r>
        <w:t>yea</w:t>
      </w:r>
      <w:r w:rsidR="002121D3">
        <w:t xml:space="preserve">r, with the number </w:t>
      </w:r>
      <w:r w:rsidRPr="004C36A7">
        <w:rPr>
          <w:szCs w:val="26"/>
          <w:lang w:eastAsia="en-IE"/>
        </w:rPr>
        <w:t>of children receiving targeted pre-school support at levels 4, 5, 6 and 7 of AIM increas</w:t>
      </w:r>
      <w:r w:rsidR="002121D3">
        <w:rPr>
          <w:szCs w:val="26"/>
          <w:lang w:eastAsia="en-IE"/>
        </w:rPr>
        <w:t xml:space="preserve">ing </w:t>
      </w:r>
      <w:r w:rsidRPr="004C36A7">
        <w:rPr>
          <w:szCs w:val="26"/>
          <w:lang w:eastAsia="en-IE"/>
        </w:rPr>
        <w:t xml:space="preserve">from </w:t>
      </w:r>
      <w:r>
        <w:rPr>
          <w:szCs w:val="26"/>
          <w:lang w:eastAsia="en-IE"/>
        </w:rPr>
        <w:t>1,558</w:t>
      </w:r>
      <w:r w:rsidRPr="004C36A7">
        <w:rPr>
          <w:szCs w:val="26"/>
          <w:lang w:eastAsia="en-IE"/>
        </w:rPr>
        <w:t xml:space="preserve"> in 201</w:t>
      </w:r>
      <w:r>
        <w:rPr>
          <w:szCs w:val="26"/>
          <w:lang w:eastAsia="en-IE"/>
        </w:rPr>
        <w:t>6</w:t>
      </w:r>
      <w:r w:rsidRPr="004C36A7">
        <w:rPr>
          <w:szCs w:val="26"/>
          <w:lang w:eastAsia="en-IE"/>
        </w:rPr>
        <w:t xml:space="preserve"> to </w:t>
      </w:r>
      <w:r>
        <w:rPr>
          <w:szCs w:val="26"/>
          <w:lang w:eastAsia="en-IE"/>
        </w:rPr>
        <w:t>8,874</w:t>
      </w:r>
      <w:r w:rsidRPr="004C36A7">
        <w:rPr>
          <w:szCs w:val="26"/>
          <w:lang w:eastAsia="en-IE"/>
        </w:rPr>
        <w:t xml:space="preserve"> in 20</w:t>
      </w:r>
      <w:r w:rsidR="00267C04">
        <w:rPr>
          <w:szCs w:val="26"/>
          <w:lang w:eastAsia="en-IE"/>
        </w:rPr>
        <w:t>22</w:t>
      </w:r>
      <w:r w:rsidR="00110C24">
        <w:rPr>
          <w:szCs w:val="26"/>
          <w:lang w:eastAsia="en-IE"/>
        </w:rPr>
        <w:t>.</w:t>
      </w:r>
    </w:p>
    <w:p w14:paraId="335439DA" w14:textId="7BC24B2D" w:rsidR="00397A9E" w:rsidRDefault="008B170E" w:rsidP="00397A9E">
      <w:pPr>
        <w:pStyle w:val="Caption"/>
        <w:keepNext/>
        <w:rPr>
          <w:color w:val="000000"/>
          <w:lang w:eastAsia="en-IE"/>
        </w:rPr>
      </w:pPr>
      <w:bookmarkStart w:id="94" w:name="_Ref179895555"/>
      <w:bookmarkStart w:id="95" w:name="_Toc182219706"/>
      <w:r>
        <w:t xml:space="preserve">Table </w:t>
      </w:r>
      <w:r>
        <w:fldChar w:fldCharType="begin"/>
      </w:r>
      <w:r>
        <w:instrText xml:space="preserve"> SEQ Table \* ARABIC </w:instrText>
      </w:r>
      <w:r>
        <w:fldChar w:fldCharType="separate"/>
      </w:r>
      <w:r w:rsidR="009C4192">
        <w:rPr>
          <w:noProof/>
        </w:rPr>
        <w:t>2</w:t>
      </w:r>
      <w:r>
        <w:fldChar w:fldCharType="end"/>
      </w:r>
      <w:bookmarkEnd w:id="94"/>
      <w:r>
        <w:t xml:space="preserve">: </w:t>
      </w:r>
      <w:r>
        <w:rPr>
          <w:color w:val="000000"/>
          <w:lang w:eastAsia="en-IE"/>
        </w:rPr>
        <w:t>Number of children supported under AIM Levels 4</w:t>
      </w:r>
      <w:r w:rsidR="00E52014">
        <w:rPr>
          <w:color w:val="000000"/>
          <w:lang w:eastAsia="en-IE"/>
        </w:rPr>
        <w:t>-</w:t>
      </w:r>
      <w:r>
        <w:rPr>
          <w:color w:val="000000"/>
          <w:lang w:eastAsia="en-IE"/>
        </w:rPr>
        <w:t>7</w:t>
      </w:r>
      <w:bookmarkEnd w:id="95"/>
      <w:r w:rsidR="00E52014">
        <w:rPr>
          <w:color w:val="000000"/>
          <w:lang w:eastAsia="en-IE"/>
        </w:rPr>
        <w:t xml:space="preserve"> by year</w:t>
      </w:r>
    </w:p>
    <w:tbl>
      <w:tblPr>
        <w:tblW w:w="62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04"/>
        <w:gridCol w:w="3543"/>
      </w:tblGrid>
      <w:tr w:rsidR="00E52014" w:rsidRPr="000A52BC" w14:paraId="24D811A3" w14:textId="77777777" w:rsidTr="00153A11">
        <w:trPr>
          <w:tblHeader/>
        </w:trPr>
        <w:tc>
          <w:tcPr>
            <w:tcW w:w="2704" w:type="dxa"/>
            <w:shd w:val="clear" w:color="auto" w:fill="auto"/>
          </w:tcPr>
          <w:p w14:paraId="7AC03541" w14:textId="77777777" w:rsidR="00E52014" w:rsidRPr="000A52BC" w:rsidRDefault="00E52014" w:rsidP="00153A11">
            <w:pPr>
              <w:spacing w:after="0"/>
              <w:rPr>
                <w:rFonts w:ascii="Gill Sans MT" w:hAnsi="Gill Sans MT"/>
                <w:b/>
                <w:szCs w:val="26"/>
              </w:rPr>
            </w:pPr>
            <w:r w:rsidRPr="000A52BC">
              <w:rPr>
                <w:rFonts w:ascii="Gill Sans MT" w:hAnsi="Gill Sans MT"/>
                <w:b/>
                <w:szCs w:val="26"/>
              </w:rPr>
              <w:t>Year</w:t>
            </w:r>
          </w:p>
        </w:tc>
        <w:tc>
          <w:tcPr>
            <w:tcW w:w="3543" w:type="dxa"/>
            <w:shd w:val="clear" w:color="auto" w:fill="auto"/>
          </w:tcPr>
          <w:p w14:paraId="3AC7FA3F" w14:textId="29239A3B" w:rsidR="00E52014" w:rsidRPr="000A52BC" w:rsidRDefault="00E52014" w:rsidP="00153A11">
            <w:pPr>
              <w:spacing w:after="0"/>
              <w:rPr>
                <w:rFonts w:ascii="Gill Sans MT" w:hAnsi="Gill Sans MT"/>
                <w:b/>
                <w:szCs w:val="26"/>
              </w:rPr>
            </w:pPr>
            <w:r w:rsidRPr="000A52BC">
              <w:rPr>
                <w:rFonts w:ascii="Gill Sans MT" w:hAnsi="Gill Sans MT"/>
                <w:b/>
                <w:szCs w:val="26"/>
              </w:rPr>
              <w:t xml:space="preserve">Number of </w:t>
            </w:r>
            <w:r>
              <w:rPr>
                <w:rFonts w:ascii="Gill Sans MT" w:hAnsi="Gill Sans MT"/>
                <w:b/>
                <w:szCs w:val="26"/>
              </w:rPr>
              <w:t>children</w:t>
            </w:r>
          </w:p>
        </w:tc>
      </w:tr>
      <w:tr w:rsidR="00E52014" w:rsidRPr="000A52BC" w14:paraId="58E7DF8C" w14:textId="77777777" w:rsidTr="00153A11">
        <w:tc>
          <w:tcPr>
            <w:tcW w:w="2704" w:type="dxa"/>
            <w:shd w:val="clear" w:color="auto" w:fill="auto"/>
          </w:tcPr>
          <w:p w14:paraId="379615F0"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2016</w:t>
            </w:r>
          </w:p>
        </w:tc>
        <w:tc>
          <w:tcPr>
            <w:tcW w:w="3543" w:type="dxa"/>
            <w:shd w:val="clear" w:color="auto" w:fill="auto"/>
          </w:tcPr>
          <w:p w14:paraId="13D4770D" w14:textId="105B7FC6" w:rsidR="00E52014" w:rsidRPr="000A52BC" w:rsidRDefault="00E52014" w:rsidP="00E52014">
            <w:pPr>
              <w:spacing w:after="0"/>
              <w:jc w:val="right"/>
              <w:rPr>
                <w:rFonts w:ascii="Gill Sans MT" w:hAnsi="Gill Sans MT"/>
                <w:szCs w:val="26"/>
              </w:rPr>
            </w:pPr>
            <w:r>
              <w:rPr>
                <w:rFonts w:ascii="Gill Sans MT" w:hAnsi="Gill Sans MT"/>
                <w:szCs w:val="26"/>
              </w:rPr>
              <w:t>1,558</w:t>
            </w:r>
          </w:p>
        </w:tc>
      </w:tr>
      <w:tr w:rsidR="00E52014" w:rsidRPr="000A52BC" w14:paraId="731E9522" w14:textId="77777777" w:rsidTr="00153A11">
        <w:tc>
          <w:tcPr>
            <w:tcW w:w="2704" w:type="dxa"/>
            <w:shd w:val="clear" w:color="auto" w:fill="auto"/>
          </w:tcPr>
          <w:p w14:paraId="5277F60B"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2017</w:t>
            </w:r>
          </w:p>
        </w:tc>
        <w:tc>
          <w:tcPr>
            <w:tcW w:w="3543" w:type="dxa"/>
            <w:shd w:val="clear" w:color="auto" w:fill="auto"/>
          </w:tcPr>
          <w:p w14:paraId="5F26EB52" w14:textId="21418B40" w:rsidR="00E52014" w:rsidRPr="000A52BC" w:rsidRDefault="00E52014" w:rsidP="00153A11">
            <w:pPr>
              <w:spacing w:after="0"/>
              <w:jc w:val="right"/>
              <w:rPr>
                <w:rFonts w:ascii="Gill Sans MT" w:hAnsi="Gill Sans MT"/>
                <w:szCs w:val="26"/>
              </w:rPr>
            </w:pPr>
            <w:r>
              <w:rPr>
                <w:rFonts w:ascii="Gill Sans MT" w:hAnsi="Gill Sans MT"/>
                <w:szCs w:val="26"/>
              </w:rPr>
              <w:t>4,004</w:t>
            </w:r>
          </w:p>
        </w:tc>
      </w:tr>
      <w:tr w:rsidR="00E52014" w:rsidRPr="000A52BC" w14:paraId="512AD2C6" w14:textId="77777777" w:rsidTr="00153A11">
        <w:tc>
          <w:tcPr>
            <w:tcW w:w="2704" w:type="dxa"/>
            <w:shd w:val="clear" w:color="auto" w:fill="auto"/>
          </w:tcPr>
          <w:p w14:paraId="774C2C37"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2018</w:t>
            </w:r>
          </w:p>
        </w:tc>
        <w:tc>
          <w:tcPr>
            <w:tcW w:w="3543" w:type="dxa"/>
            <w:shd w:val="clear" w:color="auto" w:fill="auto"/>
          </w:tcPr>
          <w:p w14:paraId="4049255A" w14:textId="6A87D231" w:rsidR="00E52014" w:rsidRPr="000A52BC" w:rsidRDefault="00E52014" w:rsidP="00153A11">
            <w:pPr>
              <w:spacing w:after="0"/>
              <w:jc w:val="right"/>
              <w:rPr>
                <w:rFonts w:ascii="Gill Sans MT" w:hAnsi="Gill Sans MT"/>
                <w:szCs w:val="26"/>
              </w:rPr>
            </w:pPr>
            <w:r>
              <w:rPr>
                <w:rFonts w:ascii="Gill Sans MT" w:hAnsi="Gill Sans MT"/>
                <w:szCs w:val="26"/>
              </w:rPr>
              <w:t>6,399</w:t>
            </w:r>
          </w:p>
        </w:tc>
      </w:tr>
      <w:tr w:rsidR="00E52014" w:rsidRPr="000A52BC" w14:paraId="288827C4" w14:textId="77777777" w:rsidTr="00153A11">
        <w:tc>
          <w:tcPr>
            <w:tcW w:w="2704" w:type="dxa"/>
            <w:shd w:val="clear" w:color="auto" w:fill="auto"/>
          </w:tcPr>
          <w:p w14:paraId="72E4D10A"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2019</w:t>
            </w:r>
          </w:p>
        </w:tc>
        <w:tc>
          <w:tcPr>
            <w:tcW w:w="3543" w:type="dxa"/>
            <w:shd w:val="clear" w:color="auto" w:fill="auto"/>
          </w:tcPr>
          <w:p w14:paraId="4F34680A" w14:textId="779787A0" w:rsidR="00E52014" w:rsidRPr="000A52BC" w:rsidRDefault="00E52014" w:rsidP="00153A11">
            <w:pPr>
              <w:spacing w:after="0"/>
              <w:jc w:val="right"/>
              <w:rPr>
                <w:rFonts w:ascii="Gill Sans MT" w:hAnsi="Gill Sans MT"/>
                <w:szCs w:val="26"/>
              </w:rPr>
            </w:pPr>
            <w:r>
              <w:rPr>
                <w:rFonts w:ascii="Gill Sans MT" w:hAnsi="Gill Sans MT"/>
                <w:szCs w:val="26"/>
              </w:rPr>
              <w:t>7,581</w:t>
            </w:r>
          </w:p>
        </w:tc>
      </w:tr>
      <w:tr w:rsidR="00E52014" w:rsidRPr="000A52BC" w14:paraId="52C1BBFF" w14:textId="77777777" w:rsidTr="00153A11">
        <w:tc>
          <w:tcPr>
            <w:tcW w:w="2704" w:type="dxa"/>
            <w:shd w:val="clear" w:color="auto" w:fill="auto"/>
          </w:tcPr>
          <w:p w14:paraId="0A6A65C5"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2020</w:t>
            </w:r>
          </w:p>
        </w:tc>
        <w:tc>
          <w:tcPr>
            <w:tcW w:w="3543" w:type="dxa"/>
            <w:shd w:val="clear" w:color="auto" w:fill="auto"/>
          </w:tcPr>
          <w:p w14:paraId="2ECEE8B2" w14:textId="0B3AFF90" w:rsidR="00E52014" w:rsidRPr="000A52BC" w:rsidRDefault="00E52014" w:rsidP="00153A11">
            <w:pPr>
              <w:spacing w:after="0"/>
              <w:jc w:val="right"/>
              <w:rPr>
                <w:rFonts w:ascii="Gill Sans MT" w:hAnsi="Gill Sans MT"/>
                <w:szCs w:val="26"/>
              </w:rPr>
            </w:pPr>
            <w:r>
              <w:rPr>
                <w:rFonts w:ascii="Gill Sans MT" w:hAnsi="Gill Sans MT"/>
                <w:szCs w:val="26"/>
              </w:rPr>
              <w:t>7,205</w:t>
            </w:r>
          </w:p>
        </w:tc>
      </w:tr>
      <w:tr w:rsidR="00E52014" w:rsidRPr="000A52BC" w14:paraId="6EFCAA2F" w14:textId="77777777" w:rsidTr="00153A11">
        <w:tc>
          <w:tcPr>
            <w:tcW w:w="2704" w:type="dxa"/>
            <w:shd w:val="clear" w:color="auto" w:fill="auto"/>
          </w:tcPr>
          <w:p w14:paraId="6D55FC7A"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2021</w:t>
            </w:r>
          </w:p>
        </w:tc>
        <w:tc>
          <w:tcPr>
            <w:tcW w:w="3543" w:type="dxa"/>
            <w:shd w:val="clear" w:color="auto" w:fill="auto"/>
          </w:tcPr>
          <w:p w14:paraId="16C3C22B" w14:textId="716AE34B" w:rsidR="00E52014" w:rsidRPr="000A52BC" w:rsidRDefault="00E52014" w:rsidP="00153A11">
            <w:pPr>
              <w:spacing w:after="0"/>
              <w:jc w:val="right"/>
              <w:rPr>
                <w:rFonts w:ascii="Gill Sans MT" w:hAnsi="Gill Sans MT"/>
                <w:szCs w:val="26"/>
              </w:rPr>
            </w:pPr>
            <w:r>
              <w:rPr>
                <w:rFonts w:ascii="Gill Sans MT" w:hAnsi="Gill Sans MT"/>
                <w:szCs w:val="26"/>
              </w:rPr>
              <w:t>7,200</w:t>
            </w:r>
          </w:p>
        </w:tc>
      </w:tr>
      <w:tr w:rsidR="00E52014" w:rsidRPr="000A52BC" w14:paraId="1326FCEB" w14:textId="77777777" w:rsidTr="00153A11">
        <w:tc>
          <w:tcPr>
            <w:tcW w:w="2704" w:type="dxa"/>
            <w:shd w:val="clear" w:color="auto" w:fill="auto"/>
          </w:tcPr>
          <w:p w14:paraId="6E19C09C" w14:textId="77777777" w:rsidR="00E52014" w:rsidRPr="000A52BC" w:rsidRDefault="00E52014" w:rsidP="00153A11">
            <w:pPr>
              <w:spacing w:after="0"/>
              <w:rPr>
                <w:rFonts w:ascii="Gill Sans MT" w:hAnsi="Gill Sans MT"/>
                <w:bCs/>
                <w:szCs w:val="26"/>
              </w:rPr>
            </w:pPr>
            <w:r w:rsidRPr="000A52BC">
              <w:rPr>
                <w:rFonts w:ascii="Gill Sans MT" w:hAnsi="Gill Sans MT"/>
                <w:bCs/>
                <w:szCs w:val="26"/>
              </w:rPr>
              <w:t>2022</w:t>
            </w:r>
          </w:p>
        </w:tc>
        <w:tc>
          <w:tcPr>
            <w:tcW w:w="3543" w:type="dxa"/>
            <w:shd w:val="clear" w:color="auto" w:fill="auto"/>
          </w:tcPr>
          <w:p w14:paraId="6CFF2478" w14:textId="2C9EA5FD" w:rsidR="00E52014" w:rsidRPr="000A52BC" w:rsidRDefault="00E52014" w:rsidP="00153A11">
            <w:pPr>
              <w:spacing w:after="0"/>
              <w:jc w:val="right"/>
              <w:rPr>
                <w:rFonts w:ascii="Gill Sans MT" w:hAnsi="Gill Sans MT"/>
                <w:szCs w:val="26"/>
              </w:rPr>
            </w:pPr>
            <w:r>
              <w:rPr>
                <w:rFonts w:ascii="Gill Sans MT" w:hAnsi="Gill Sans MT"/>
                <w:szCs w:val="26"/>
              </w:rPr>
              <w:t>8,874</w:t>
            </w:r>
          </w:p>
        </w:tc>
      </w:tr>
    </w:tbl>
    <w:p w14:paraId="4A431E9C" w14:textId="50D4BE8C" w:rsidR="00A55404" w:rsidRPr="00F94859" w:rsidRDefault="00A55404" w:rsidP="00F94859">
      <w:pPr>
        <w:jc w:val="center"/>
        <w:rPr>
          <w:sz w:val="20"/>
        </w:rPr>
      </w:pPr>
      <w:r w:rsidRPr="00191565">
        <w:rPr>
          <w:sz w:val="20"/>
        </w:rPr>
        <w:t xml:space="preserve">Source: </w:t>
      </w:r>
      <w:r w:rsidRPr="00191565">
        <w:rPr>
          <w:sz w:val="20"/>
          <w:lang w:val="en-US" w:eastAsia="en-IE"/>
        </w:rPr>
        <w:t>DCEDIY</w:t>
      </w:r>
    </w:p>
    <w:p w14:paraId="27356C97" w14:textId="0551C354" w:rsidR="00576D1C" w:rsidRDefault="00576D1C" w:rsidP="004B603D">
      <w:pPr>
        <w:rPr>
          <w:szCs w:val="26"/>
        </w:rPr>
      </w:pPr>
      <w:r>
        <w:rPr>
          <w:szCs w:val="26"/>
        </w:rPr>
        <w:t xml:space="preserve">In January 2024, a report on </w:t>
      </w:r>
      <w:r w:rsidRPr="00576D1C">
        <w:rPr>
          <w:szCs w:val="26"/>
        </w:rPr>
        <w:t xml:space="preserve">findings from an independent evaluation of </w:t>
      </w:r>
      <w:r>
        <w:rPr>
          <w:szCs w:val="26"/>
        </w:rPr>
        <w:t>AIM was published</w:t>
      </w:r>
      <w:r w:rsidR="00AF5E09">
        <w:rPr>
          <w:szCs w:val="26"/>
        </w:rPr>
        <w:t xml:space="preserve">. </w:t>
      </w:r>
      <w:r w:rsidR="00AF5E09">
        <w:rPr>
          <w:szCs w:val="26"/>
        </w:rPr>
        <w:fldChar w:fldCharType="begin"/>
      </w:r>
      <w:r w:rsidR="00C0772E">
        <w:rPr>
          <w:szCs w:val="26"/>
        </w:rPr>
        <w:instrText xml:space="preserve"> ADDIN ZOTERO_ITEM CSL_CITATION {"citationID":"qyJUN9Js","properties":{"formattedCitation":"(19)","plainCitation":"(19)","noteIndex":0},"citationItems":[{"id":318,"uris":["http://zotero.org/users/local/kvLunvBP/items/WH6D9ZJW"],"itemData":{"id":318,"type":"report","language":"en","publisher":"Inclusion and SEND Research Cluster: University of  Derby, Institute of Education.","title":"End of Year Three Evaluation of the Access and Inclusion Model (AIM)","URL":"https://www.gov.ie/pdf/?file=https://assets.gov.ie/281323/204d30d4-774a-4327-a059-4f0df00fdab5.pdf#page=null","author":[{"family":"Robinson","given":"D"},{"family":"Gowers","given":"S"},{"family":"Codina","given":"G"},{"family":"Artess","given":"J"},{"family":"Delgado Fuentes","given":"M.A."},{"family":"Mycock","given":"K"},{"family":"Qureshi","given":"S"},{"family":"Shepherd","given":"R"}],"accessed":{"date-parts":[["2024",10,31]]},"issued":{"date-parts":[["2024",1,19]]}}}],"schema":"https://github.com/citation-style-language/schema/raw/master/csl-citation.json"} </w:instrText>
      </w:r>
      <w:r w:rsidR="00AF5E09">
        <w:rPr>
          <w:szCs w:val="26"/>
        </w:rPr>
        <w:fldChar w:fldCharType="separate"/>
      </w:r>
      <w:r w:rsidR="00C0772E" w:rsidRPr="00C0772E">
        <w:t>(19)</w:t>
      </w:r>
      <w:r w:rsidR="00AF5E09">
        <w:rPr>
          <w:szCs w:val="26"/>
        </w:rPr>
        <w:fldChar w:fldCharType="end"/>
      </w:r>
      <w:r>
        <w:rPr>
          <w:szCs w:val="26"/>
        </w:rPr>
        <w:t xml:space="preserve"> </w:t>
      </w:r>
      <w:r w:rsidR="004B603D">
        <w:rPr>
          <w:szCs w:val="26"/>
        </w:rPr>
        <w:t>The evaluat</w:t>
      </w:r>
      <w:r w:rsidR="00364F46">
        <w:rPr>
          <w:szCs w:val="26"/>
        </w:rPr>
        <w:t xml:space="preserve">ors </w:t>
      </w:r>
      <w:r w:rsidR="004B603D">
        <w:rPr>
          <w:szCs w:val="26"/>
        </w:rPr>
        <w:t xml:space="preserve">concluded that </w:t>
      </w:r>
      <w:r w:rsidR="004B603D" w:rsidRPr="004B603D">
        <w:rPr>
          <w:szCs w:val="26"/>
        </w:rPr>
        <w:t>AIM has been effective in achieving its intended outcomes of full inclusion and meaningful participation</w:t>
      </w:r>
      <w:r w:rsidR="004B603D">
        <w:rPr>
          <w:szCs w:val="26"/>
        </w:rPr>
        <w:t xml:space="preserve"> in preschool</w:t>
      </w:r>
      <w:r w:rsidR="004B603D" w:rsidRPr="004B603D">
        <w:rPr>
          <w:szCs w:val="26"/>
        </w:rPr>
        <w:t xml:space="preserve"> for </w:t>
      </w:r>
      <w:r w:rsidR="004B603D">
        <w:rPr>
          <w:szCs w:val="26"/>
        </w:rPr>
        <w:t xml:space="preserve">most children </w:t>
      </w:r>
      <w:r w:rsidR="004B603D" w:rsidRPr="004B603D">
        <w:rPr>
          <w:szCs w:val="26"/>
        </w:rPr>
        <w:t>it supports</w:t>
      </w:r>
      <w:r w:rsidR="004B603D">
        <w:rPr>
          <w:szCs w:val="26"/>
        </w:rPr>
        <w:t xml:space="preserve">. A survey administered as part of the evaluation found that </w:t>
      </w:r>
      <w:r w:rsidR="004B603D" w:rsidRPr="004B603D">
        <w:rPr>
          <w:szCs w:val="26"/>
        </w:rPr>
        <w:t xml:space="preserve">82% of </w:t>
      </w:r>
      <w:r w:rsidR="004B603D">
        <w:rPr>
          <w:szCs w:val="26"/>
        </w:rPr>
        <w:t xml:space="preserve">surveyed </w:t>
      </w:r>
      <w:r w:rsidR="004B603D" w:rsidRPr="004B603D">
        <w:rPr>
          <w:szCs w:val="26"/>
        </w:rPr>
        <w:t xml:space="preserve">parents </w:t>
      </w:r>
      <w:r w:rsidR="00FD05B6">
        <w:rPr>
          <w:szCs w:val="26"/>
        </w:rPr>
        <w:t>indicated</w:t>
      </w:r>
      <w:r w:rsidR="004B603D" w:rsidRPr="004B603D">
        <w:rPr>
          <w:szCs w:val="26"/>
        </w:rPr>
        <w:t xml:space="preserve"> that AIM ha</w:t>
      </w:r>
      <w:r w:rsidR="00FF3CE7">
        <w:rPr>
          <w:szCs w:val="26"/>
        </w:rPr>
        <w:t>d</w:t>
      </w:r>
      <w:r w:rsidR="004B603D" w:rsidRPr="004B603D">
        <w:rPr>
          <w:szCs w:val="26"/>
        </w:rPr>
        <w:t xml:space="preserve"> benefit</w:t>
      </w:r>
      <w:r w:rsidR="00227E7E">
        <w:rPr>
          <w:szCs w:val="26"/>
        </w:rPr>
        <w:t>t</w:t>
      </w:r>
      <w:r w:rsidR="004B603D" w:rsidRPr="004B603D">
        <w:rPr>
          <w:szCs w:val="26"/>
        </w:rPr>
        <w:t>ed their child</w:t>
      </w:r>
      <w:r w:rsidR="004B603D">
        <w:rPr>
          <w:szCs w:val="26"/>
        </w:rPr>
        <w:t xml:space="preserve">, with </w:t>
      </w:r>
      <w:r w:rsidR="004B603D" w:rsidRPr="004B603D">
        <w:rPr>
          <w:szCs w:val="26"/>
        </w:rPr>
        <w:t xml:space="preserve">69% </w:t>
      </w:r>
      <w:r w:rsidR="004B603D">
        <w:rPr>
          <w:szCs w:val="26"/>
        </w:rPr>
        <w:t>reporting</w:t>
      </w:r>
      <w:r w:rsidR="004B603D" w:rsidRPr="004B603D">
        <w:rPr>
          <w:szCs w:val="26"/>
        </w:rPr>
        <w:t xml:space="preserve"> that AIM ha</w:t>
      </w:r>
      <w:r w:rsidR="00FF3CE7">
        <w:rPr>
          <w:szCs w:val="26"/>
        </w:rPr>
        <w:t>d</w:t>
      </w:r>
      <w:r w:rsidR="004B603D" w:rsidRPr="004B603D">
        <w:rPr>
          <w:szCs w:val="26"/>
        </w:rPr>
        <w:t xml:space="preserve"> supported</w:t>
      </w:r>
      <w:r w:rsidR="002121D3">
        <w:rPr>
          <w:szCs w:val="26"/>
        </w:rPr>
        <w:t xml:space="preserve"> a)</w:t>
      </w:r>
      <w:r w:rsidR="004B603D" w:rsidRPr="004B603D">
        <w:rPr>
          <w:szCs w:val="26"/>
        </w:rPr>
        <w:t xml:space="preserve"> their child’s interaction with their peers and</w:t>
      </w:r>
      <w:r w:rsidR="002121D3">
        <w:rPr>
          <w:szCs w:val="26"/>
        </w:rPr>
        <w:t xml:space="preserve"> b)</w:t>
      </w:r>
      <w:r w:rsidR="004B603D" w:rsidRPr="004B603D">
        <w:rPr>
          <w:szCs w:val="26"/>
        </w:rPr>
        <w:t xml:space="preserve"> their child’s meaningful participation in preschool</w:t>
      </w:r>
      <w:r w:rsidR="004B603D">
        <w:rPr>
          <w:szCs w:val="26"/>
        </w:rPr>
        <w:t>. Also,</w:t>
      </w:r>
      <w:r w:rsidR="004B603D" w:rsidRPr="004B603D">
        <w:rPr>
          <w:szCs w:val="26"/>
        </w:rPr>
        <w:t xml:space="preserve"> </w:t>
      </w:r>
      <w:r w:rsidR="004B603D">
        <w:rPr>
          <w:szCs w:val="26"/>
        </w:rPr>
        <w:t>nearly all service</w:t>
      </w:r>
      <w:r w:rsidR="004B603D" w:rsidRPr="004B603D">
        <w:rPr>
          <w:szCs w:val="26"/>
        </w:rPr>
        <w:t xml:space="preserve"> providers</w:t>
      </w:r>
      <w:r w:rsidR="004B603D">
        <w:rPr>
          <w:szCs w:val="26"/>
        </w:rPr>
        <w:t xml:space="preserve"> </w:t>
      </w:r>
      <w:r w:rsidR="00FD05B6">
        <w:rPr>
          <w:szCs w:val="26"/>
        </w:rPr>
        <w:t xml:space="preserve">(approximately </w:t>
      </w:r>
      <w:r w:rsidR="00FD05B6" w:rsidRPr="004B603D">
        <w:rPr>
          <w:szCs w:val="26"/>
        </w:rPr>
        <w:t>95%</w:t>
      </w:r>
      <w:r w:rsidR="00FD05B6">
        <w:rPr>
          <w:szCs w:val="26"/>
        </w:rPr>
        <w:t xml:space="preserve">) </w:t>
      </w:r>
      <w:r w:rsidR="004B603D">
        <w:rPr>
          <w:szCs w:val="26"/>
        </w:rPr>
        <w:t>surveyed</w:t>
      </w:r>
      <w:r w:rsidR="002121D3">
        <w:rPr>
          <w:szCs w:val="26"/>
        </w:rPr>
        <w:t xml:space="preserve"> as part of the evaluation</w:t>
      </w:r>
      <w:r w:rsidR="004B603D" w:rsidRPr="004B603D">
        <w:rPr>
          <w:szCs w:val="26"/>
        </w:rPr>
        <w:t xml:space="preserve"> reported that AIM was having a positive impact on children with a disability and</w:t>
      </w:r>
      <w:r w:rsidR="00227E7E">
        <w:rPr>
          <w:szCs w:val="26"/>
        </w:rPr>
        <w:t xml:space="preserve"> on</w:t>
      </w:r>
      <w:r w:rsidR="004B603D" w:rsidRPr="004B603D">
        <w:rPr>
          <w:szCs w:val="26"/>
        </w:rPr>
        <w:t xml:space="preserve"> </w:t>
      </w:r>
      <w:r w:rsidR="002121D3">
        <w:rPr>
          <w:szCs w:val="26"/>
        </w:rPr>
        <w:t>their</w:t>
      </w:r>
      <w:r w:rsidR="004B603D" w:rsidRPr="004B603D">
        <w:rPr>
          <w:szCs w:val="26"/>
        </w:rPr>
        <w:t xml:space="preserve"> inclusion in the preschool setting</w:t>
      </w:r>
      <w:r w:rsidR="004B603D">
        <w:rPr>
          <w:szCs w:val="26"/>
        </w:rPr>
        <w:t>.</w:t>
      </w:r>
    </w:p>
    <w:p w14:paraId="70447CEF" w14:textId="57B28F24" w:rsidR="003F040D" w:rsidRDefault="003F040D" w:rsidP="004B603D">
      <w:r>
        <w:t>However, parents and caregivers report</w:t>
      </w:r>
      <w:r w:rsidR="00A619F9">
        <w:t>ed</w:t>
      </w:r>
      <w:r>
        <w:t xml:space="preserve"> that the impacts of AIM are not </w:t>
      </w:r>
      <w:r w:rsidR="00101AFD">
        <w:t>experienced equally by</w:t>
      </w:r>
      <w:r>
        <w:t xml:space="preserve"> all</w:t>
      </w:r>
      <w:r w:rsidR="00101AFD">
        <w:t xml:space="preserve"> disabled</w:t>
      </w:r>
      <w:r>
        <w:t xml:space="preserve"> children. Those with less visible disabilities (such as autism, emotional </w:t>
      </w:r>
      <w:r w:rsidR="00FF3CE7">
        <w:t>issues</w:t>
      </w:r>
      <w:r>
        <w:t xml:space="preserve">, and speech and language difficulties) and </w:t>
      </w:r>
      <w:r w:rsidR="00101AFD">
        <w:t xml:space="preserve">those with </w:t>
      </w:r>
      <w:r>
        <w:t>complex disabilities were perceived to benefit less from AIM than children with other types of disabilit</w:t>
      </w:r>
      <w:r w:rsidR="00FF3CE7">
        <w:t>y</w:t>
      </w:r>
      <w:r>
        <w:t>.</w:t>
      </w:r>
      <w:r w:rsidR="00193478" w:rsidRPr="00193478">
        <w:t xml:space="preserve"> Th</w:t>
      </w:r>
      <w:r w:rsidR="00193478">
        <w:t>e evaluators</w:t>
      </w:r>
      <w:r w:rsidR="00101AFD">
        <w:t xml:space="preserve"> emphasise</w:t>
      </w:r>
      <w:r w:rsidR="00193478">
        <w:t xml:space="preserve"> that this</w:t>
      </w:r>
      <w:r w:rsidR="00193478" w:rsidRPr="00193478">
        <w:t xml:space="preserve"> indicates a need for ongoing vigilance in </w:t>
      </w:r>
      <w:r w:rsidR="00227E7E">
        <w:t>the development of</w:t>
      </w:r>
      <w:r w:rsidR="00193478" w:rsidRPr="00193478">
        <w:t xml:space="preserve"> AIM to ensure</w:t>
      </w:r>
      <w:r w:rsidR="00227E7E">
        <w:t xml:space="preserve"> that</w:t>
      </w:r>
      <w:r w:rsidR="00193478" w:rsidRPr="00193478">
        <w:t xml:space="preserve"> it </w:t>
      </w:r>
      <w:r w:rsidR="00FA4E56">
        <w:t xml:space="preserve">effectively </w:t>
      </w:r>
      <w:r w:rsidR="00193478" w:rsidRPr="00193478">
        <w:t xml:space="preserve">supports all children. </w:t>
      </w:r>
      <w:r w:rsidR="00193478">
        <w:t xml:space="preserve">They also </w:t>
      </w:r>
      <w:r w:rsidR="00101AFD">
        <w:t>stress</w:t>
      </w:r>
      <w:r w:rsidR="00193478">
        <w:t xml:space="preserve"> the importance of continuing to </w:t>
      </w:r>
      <w:r w:rsidR="00193478" w:rsidRPr="00193478">
        <w:t>build parents' and caregivers' trust in AIM's ability to meet their child's needs and</w:t>
      </w:r>
      <w:r w:rsidR="00156A01">
        <w:t xml:space="preserve"> </w:t>
      </w:r>
      <w:r w:rsidR="00227E7E">
        <w:t xml:space="preserve">of </w:t>
      </w:r>
      <w:r w:rsidR="00193478" w:rsidRPr="00193478">
        <w:t>collaborat</w:t>
      </w:r>
      <w:r w:rsidR="00227E7E">
        <w:t>ing</w:t>
      </w:r>
      <w:r w:rsidR="00193478" w:rsidRPr="00193478">
        <w:t xml:space="preserve"> with </w:t>
      </w:r>
      <w:r w:rsidR="00FE5E0F">
        <w:t>parents and caregivers</w:t>
      </w:r>
      <w:r w:rsidR="00193478" w:rsidRPr="00193478">
        <w:t xml:space="preserve"> to enhance AIM's impact on children's inclusion. </w:t>
      </w:r>
    </w:p>
    <w:p w14:paraId="65D324A8" w14:textId="15EBE59A" w:rsidR="00A619F9" w:rsidRDefault="00193478" w:rsidP="004B603D">
      <w:pPr>
        <w:rPr>
          <w:szCs w:val="26"/>
        </w:rPr>
      </w:pPr>
      <w:r>
        <w:rPr>
          <w:szCs w:val="26"/>
        </w:rPr>
        <w:t>The evaluators</w:t>
      </w:r>
      <w:r w:rsidR="00FF3CE7">
        <w:rPr>
          <w:szCs w:val="26"/>
        </w:rPr>
        <w:t xml:space="preserve"> ultimately</w:t>
      </w:r>
      <w:r>
        <w:rPr>
          <w:szCs w:val="26"/>
        </w:rPr>
        <w:t xml:space="preserve"> recommend that </w:t>
      </w:r>
      <w:r w:rsidRPr="00193478">
        <w:rPr>
          <w:szCs w:val="26"/>
        </w:rPr>
        <w:t>AIM</w:t>
      </w:r>
      <w:r w:rsidR="00FE5E0F">
        <w:rPr>
          <w:szCs w:val="26"/>
        </w:rPr>
        <w:t xml:space="preserve"> </w:t>
      </w:r>
      <w:r w:rsidRPr="00193478">
        <w:rPr>
          <w:szCs w:val="26"/>
        </w:rPr>
        <w:t>be expanded to include younger children, Early Learning and Care (ELC) outside of ECCE hours, and School-Aged Childcare (SAC)</w:t>
      </w:r>
      <w:r w:rsidR="00FE5E0F">
        <w:rPr>
          <w:szCs w:val="26"/>
        </w:rPr>
        <w:t xml:space="preserve">. They advise that this expansion be carried out </w:t>
      </w:r>
      <w:r w:rsidRPr="00193478">
        <w:rPr>
          <w:szCs w:val="26"/>
        </w:rPr>
        <w:t>in a phased and careful manner</w:t>
      </w:r>
      <w:r w:rsidR="00364F46">
        <w:rPr>
          <w:szCs w:val="26"/>
        </w:rPr>
        <w:t xml:space="preserve"> and </w:t>
      </w:r>
      <w:r w:rsidR="00FE5E0F">
        <w:rPr>
          <w:szCs w:val="26"/>
        </w:rPr>
        <w:t xml:space="preserve">in such a way that takes account of </w:t>
      </w:r>
      <w:r w:rsidRPr="00193478">
        <w:rPr>
          <w:szCs w:val="26"/>
        </w:rPr>
        <w:t xml:space="preserve">the </w:t>
      </w:r>
      <w:r>
        <w:rPr>
          <w:szCs w:val="26"/>
        </w:rPr>
        <w:t>evaluation findings</w:t>
      </w:r>
      <w:r w:rsidRPr="00193478">
        <w:rPr>
          <w:szCs w:val="26"/>
        </w:rPr>
        <w:t xml:space="preserve"> and other projects commissioned by the DCEDIY</w:t>
      </w:r>
      <w:r w:rsidR="0097361C">
        <w:rPr>
          <w:szCs w:val="26"/>
        </w:rPr>
        <w:t>.</w:t>
      </w:r>
      <w:r w:rsidRPr="00193478">
        <w:rPr>
          <w:szCs w:val="26"/>
        </w:rPr>
        <w:t xml:space="preserve"> </w:t>
      </w:r>
      <w:r>
        <w:rPr>
          <w:szCs w:val="26"/>
        </w:rPr>
        <w:t>B</w:t>
      </w:r>
      <w:r w:rsidRPr="00193478">
        <w:rPr>
          <w:szCs w:val="26"/>
        </w:rPr>
        <w:t>road support for</w:t>
      </w:r>
      <w:r w:rsidR="008C0B4E">
        <w:rPr>
          <w:szCs w:val="26"/>
        </w:rPr>
        <w:t xml:space="preserve"> the</w:t>
      </w:r>
      <w:r w:rsidRPr="00193478">
        <w:rPr>
          <w:szCs w:val="26"/>
        </w:rPr>
        <w:t xml:space="preserve"> </w:t>
      </w:r>
      <w:r w:rsidR="00FE5E0F">
        <w:rPr>
          <w:szCs w:val="26"/>
        </w:rPr>
        <w:t>expansion</w:t>
      </w:r>
      <w:r w:rsidRPr="00193478">
        <w:rPr>
          <w:szCs w:val="26"/>
        </w:rPr>
        <w:t xml:space="preserve"> </w:t>
      </w:r>
      <w:r w:rsidR="00364F46">
        <w:rPr>
          <w:szCs w:val="26"/>
        </w:rPr>
        <w:t>of AIM</w:t>
      </w:r>
      <w:r w:rsidR="00A30496">
        <w:rPr>
          <w:szCs w:val="26"/>
        </w:rPr>
        <w:t xml:space="preserve"> </w:t>
      </w:r>
      <w:r>
        <w:rPr>
          <w:szCs w:val="26"/>
        </w:rPr>
        <w:t xml:space="preserve">has been identified </w:t>
      </w:r>
      <w:r w:rsidRPr="00193478">
        <w:rPr>
          <w:szCs w:val="26"/>
        </w:rPr>
        <w:t>among stakeholders</w:t>
      </w:r>
      <w:r>
        <w:rPr>
          <w:szCs w:val="26"/>
        </w:rPr>
        <w:t>.</w:t>
      </w:r>
    </w:p>
    <w:p w14:paraId="7F4A1D70" w14:textId="3A7D7ECF" w:rsidR="0075637D" w:rsidRDefault="0075637D" w:rsidP="004B603D">
      <w:pPr>
        <w:rPr>
          <w:szCs w:val="26"/>
        </w:rPr>
      </w:pPr>
      <w:r>
        <w:rPr>
          <w:szCs w:val="26"/>
        </w:rPr>
        <w:t>The NDA</w:t>
      </w:r>
      <w:r w:rsidR="008350D0">
        <w:rPr>
          <w:szCs w:val="26"/>
        </w:rPr>
        <w:t xml:space="preserve"> welcomes the </w:t>
      </w:r>
      <w:r w:rsidR="00FF3CE7">
        <w:rPr>
          <w:szCs w:val="26"/>
        </w:rPr>
        <w:t xml:space="preserve">broadly </w:t>
      </w:r>
      <w:r w:rsidR="008350D0">
        <w:rPr>
          <w:szCs w:val="26"/>
        </w:rPr>
        <w:t>positive findings of the independent evaluation and</w:t>
      </w:r>
      <w:r>
        <w:rPr>
          <w:szCs w:val="26"/>
        </w:rPr>
        <w:t xml:space="preserve"> echoes the recommendation for ongoing work to ensure that AIM adequately supports all children, regardless of disability type.</w:t>
      </w:r>
    </w:p>
    <w:p w14:paraId="5297D427" w14:textId="74A39D73" w:rsidR="00180D03" w:rsidRDefault="00180D03" w:rsidP="00180D03">
      <w:pPr>
        <w:pStyle w:val="Heading2"/>
      </w:pPr>
      <w:bookmarkStart w:id="96" w:name="_Toc182219496"/>
      <w:bookmarkStart w:id="97" w:name="_Toc182220199"/>
      <w:bookmarkStart w:id="98" w:name="_Toc182555547"/>
      <w:bookmarkStart w:id="99" w:name="_Toc182555711"/>
      <w:r w:rsidRPr="00C95DE1">
        <w:t xml:space="preserve">1.2 </w:t>
      </w:r>
      <w:r w:rsidR="00200AC9" w:rsidRPr="00200AC9">
        <w:t xml:space="preserve">Proportion of people with </w:t>
      </w:r>
      <w:r w:rsidR="00492EC8">
        <w:t xml:space="preserve">and without </w:t>
      </w:r>
      <w:r w:rsidR="00200AC9" w:rsidRPr="00200AC9">
        <w:t xml:space="preserve">disabilities achieving each educational attainment level (primary, secondary, tertiary, FET) by disability type </w:t>
      </w:r>
      <w:r w:rsidRPr="00C95DE1">
        <w:t>(Process)</w:t>
      </w:r>
      <w:bookmarkEnd w:id="96"/>
      <w:bookmarkEnd w:id="97"/>
      <w:bookmarkEnd w:id="98"/>
      <w:bookmarkEnd w:id="99"/>
    </w:p>
    <w:p w14:paraId="03108834" w14:textId="693FC4C2" w:rsidR="00D979DA" w:rsidRDefault="00C51AAF" w:rsidP="00D979DA">
      <w:r>
        <w:t>The</w:t>
      </w:r>
      <w:r w:rsidR="00DA1A17">
        <w:t xml:space="preserve"> planned</w:t>
      </w:r>
      <w:r>
        <w:t xml:space="preserve"> data source for this indicator was the </w:t>
      </w:r>
      <w:r w:rsidR="00F86070">
        <w:t>Census of Population</w:t>
      </w:r>
      <w:r>
        <w:t xml:space="preserve">. </w:t>
      </w:r>
      <w:r w:rsidR="00E754E5">
        <w:t>Th</w:t>
      </w:r>
      <w:r w:rsidR="00D979DA">
        <w:t>e midterm indicators report</w:t>
      </w:r>
      <w:r w:rsidR="00634899">
        <w:t xml:space="preserve"> </w:t>
      </w:r>
      <w:r w:rsidR="00F86070">
        <w:t>produced</w:t>
      </w:r>
      <w:r w:rsidR="00634899">
        <w:t xml:space="preserve"> by the NDA</w:t>
      </w:r>
      <w:r w:rsidR="00D979DA">
        <w:t xml:space="preserve"> presented the change in the educational attainment of people with and without disabilities from Census 2011 to Census 2016, with the intention that th</w:t>
      </w:r>
      <w:r w:rsidR="00634899">
        <w:t>is</w:t>
      </w:r>
      <w:r w:rsidR="00D979DA">
        <w:t xml:space="preserve"> final report </w:t>
      </w:r>
      <w:r>
        <w:t>w</w:t>
      </w:r>
      <w:r w:rsidR="00E754E5">
        <w:t>ould</w:t>
      </w:r>
      <w:r w:rsidR="00D979DA">
        <w:t xml:space="preserve"> add </w:t>
      </w:r>
      <w:r w:rsidR="00E754E5">
        <w:t xml:space="preserve">trend </w:t>
      </w:r>
      <w:r w:rsidR="00D979DA">
        <w:t xml:space="preserve">data from the next census in the hope that the educational attainment gap had narrowed over the </w:t>
      </w:r>
      <w:r w:rsidR="00E754E5">
        <w:t>lifetime</w:t>
      </w:r>
      <w:r w:rsidR="00D979DA">
        <w:t xml:space="preserve"> of the CES. As mentioned in the introduction</w:t>
      </w:r>
      <w:r w:rsidR="00634899">
        <w:t xml:space="preserve"> </w:t>
      </w:r>
      <w:r w:rsidR="00BD372E">
        <w:t>to</w:t>
      </w:r>
      <w:r w:rsidR="00634899">
        <w:t xml:space="preserve"> this report</w:t>
      </w:r>
      <w:r w:rsidR="00D979DA">
        <w:t xml:space="preserve">, however, changes to the disability questions in Census 2022 mean it is not possible to meaningfully compare disability data from 2022 with that </w:t>
      </w:r>
      <w:r w:rsidR="00634899">
        <w:t xml:space="preserve">from </w:t>
      </w:r>
      <w:r w:rsidR="00D979DA">
        <w:t xml:space="preserve">previous censuses. </w:t>
      </w:r>
    </w:p>
    <w:p w14:paraId="261901FA" w14:textId="2E4E4388" w:rsidR="006A2A06" w:rsidRDefault="00E754E5" w:rsidP="00D979DA">
      <w:r>
        <w:t>Information</w:t>
      </w:r>
      <w:r w:rsidR="002F6C67">
        <w:t xml:space="preserve"> on educational attainment and </w:t>
      </w:r>
      <w:r w:rsidR="00712F0F">
        <w:t>disability</w:t>
      </w:r>
      <w:r w:rsidR="002F6C67">
        <w:t xml:space="preserve"> is also collected in household surveys administered by the C</w:t>
      </w:r>
      <w:r>
        <w:t xml:space="preserve">entral </w:t>
      </w:r>
      <w:r w:rsidR="002F6C67">
        <w:t>S</w:t>
      </w:r>
      <w:r>
        <w:t xml:space="preserve">tatistics </w:t>
      </w:r>
      <w:r w:rsidR="002F6C67">
        <w:t>O</w:t>
      </w:r>
      <w:r>
        <w:t>ffice (CSO)</w:t>
      </w:r>
      <w:r w:rsidR="00666D91">
        <w:t xml:space="preserve">, including </w:t>
      </w:r>
      <w:r w:rsidR="00BD372E">
        <w:t xml:space="preserve">through </w:t>
      </w:r>
      <w:r w:rsidR="00666D91">
        <w:t>the Survey of Income and Living Conditions (SILC),</w:t>
      </w:r>
      <w:r w:rsidR="002F6C67">
        <w:t xml:space="preserve"> and so these data </w:t>
      </w:r>
      <w:r w:rsidR="0017003F">
        <w:t xml:space="preserve">can serve </w:t>
      </w:r>
      <w:r w:rsidR="00BD372E">
        <w:t>as an alternative for this indicator</w:t>
      </w:r>
      <w:r w:rsidR="0017003F">
        <w:t>.</w:t>
      </w:r>
      <w:r w:rsidR="002F6C67">
        <w:t xml:space="preserve"> It should be noted that there are limitations to </w:t>
      </w:r>
      <w:r w:rsidR="00C51AAF">
        <w:t>these</w:t>
      </w:r>
      <w:r w:rsidR="002F6C67">
        <w:t xml:space="preserve"> data, including that they use a less comprehensive definition of disability</w:t>
      </w:r>
      <w:r w:rsidR="00712F0F" w:rsidRPr="00233BC4">
        <w:rPr>
          <w:rStyle w:val="FootnoteReference"/>
        </w:rPr>
        <w:footnoteReference w:id="7"/>
      </w:r>
      <w:r w:rsidR="002F6C67">
        <w:t xml:space="preserve"> than</w:t>
      </w:r>
      <w:r>
        <w:t xml:space="preserve"> </w:t>
      </w:r>
      <w:r w:rsidR="002F6C67">
        <w:t xml:space="preserve">the </w:t>
      </w:r>
      <w:r w:rsidR="00634899">
        <w:t>C</w:t>
      </w:r>
      <w:r w:rsidR="002F6C67">
        <w:t xml:space="preserve">ensus and </w:t>
      </w:r>
      <w:r w:rsidR="00191F39">
        <w:t xml:space="preserve">that they </w:t>
      </w:r>
      <w:r w:rsidR="00DA1A17">
        <w:t>are derived from a</w:t>
      </w:r>
      <w:r w:rsidR="002F6C67">
        <w:t xml:space="preserve"> sample rather than a full enumeration of the population.</w:t>
      </w:r>
      <w:r w:rsidR="00CD2DAB">
        <w:t xml:space="preserve"> </w:t>
      </w:r>
      <w:r w:rsidR="00BD372E">
        <w:t>Importantly, the</w:t>
      </w:r>
      <w:r w:rsidR="00CD2DAB">
        <w:t xml:space="preserve"> sample was not </w:t>
      </w:r>
      <w:r w:rsidR="00BD372E">
        <w:t>intended</w:t>
      </w:r>
      <w:r w:rsidR="00CD2DAB">
        <w:t xml:space="preserve"> to be representative of people with disabilities</w:t>
      </w:r>
      <w:r w:rsidR="00BD372E">
        <w:t xml:space="preserve"> and so caution is advised when interpreting Table 3 below.</w:t>
      </w:r>
      <w:r w:rsidR="00C51AAF">
        <w:t xml:space="preserve"> Furthermore, the data do not allow for consideration of educational attainment by disability type, as originally intended for this indicator</w:t>
      </w:r>
      <w:r w:rsidR="00C34024">
        <w:t xml:space="preserve"> and </w:t>
      </w:r>
      <w:r w:rsidR="00BC49B4">
        <w:t xml:space="preserve">which </w:t>
      </w:r>
      <w:r w:rsidR="00C34024">
        <w:t>would have been possible with census data</w:t>
      </w:r>
      <w:r w:rsidR="00C51AAF">
        <w:t>.</w:t>
      </w:r>
      <w:r w:rsidR="002F6C67">
        <w:t xml:space="preserve"> Nonetheless, as </w:t>
      </w:r>
      <w:r w:rsidR="00712F0F">
        <w:t>the question formats in</w:t>
      </w:r>
      <w:r>
        <w:t xml:space="preserve"> SILC </w:t>
      </w:r>
      <w:r w:rsidR="002F6C67">
        <w:t>ha</w:t>
      </w:r>
      <w:r w:rsidR="00712F0F">
        <w:t>ve</w:t>
      </w:r>
      <w:r w:rsidR="002F6C67">
        <w:t xml:space="preserve"> </w:t>
      </w:r>
      <w:r w:rsidR="00EE0647">
        <w:t xml:space="preserve">remained </w:t>
      </w:r>
      <w:r w:rsidR="00C12D83">
        <w:t>unchanged</w:t>
      </w:r>
      <w:r w:rsidR="00BD372E">
        <w:t xml:space="preserve"> over time</w:t>
      </w:r>
      <w:r w:rsidR="002F6C67">
        <w:t>, these represent more appropriate data for examining trends</w:t>
      </w:r>
      <w:r w:rsidR="00C51AAF">
        <w:t xml:space="preserve"> in the overall educational attainment gap between people with and without disabilities</w:t>
      </w:r>
      <w:r w:rsidR="00F01C01">
        <w:t xml:space="preserve"> over the lifetime of the CES</w:t>
      </w:r>
      <w:r w:rsidR="002F6C67">
        <w:t>.</w:t>
      </w:r>
      <w:r w:rsidR="003704CE" w:rsidRPr="00233BC4">
        <w:rPr>
          <w:rStyle w:val="FootnoteReference"/>
        </w:rPr>
        <w:footnoteReference w:id="8"/>
      </w:r>
      <w:r w:rsidR="00CD2DAB">
        <w:t xml:space="preserve"> </w:t>
      </w:r>
    </w:p>
    <w:p w14:paraId="14BF1336" w14:textId="10303EC3" w:rsidR="00CD2DAB" w:rsidRDefault="00CD2DAB" w:rsidP="00D979DA">
      <w:r>
        <w:t xml:space="preserve">As shown in </w:t>
      </w:r>
      <w:r w:rsidR="00253FDA">
        <w:fldChar w:fldCharType="begin"/>
      </w:r>
      <w:r w:rsidR="00253FDA">
        <w:instrText xml:space="preserve"> REF _Ref179895619 \h </w:instrText>
      </w:r>
      <w:r w:rsidR="00253FDA">
        <w:fldChar w:fldCharType="separate"/>
      </w:r>
      <w:r w:rsidR="009C4192">
        <w:t xml:space="preserve">Table </w:t>
      </w:r>
      <w:r w:rsidR="009C4192">
        <w:rPr>
          <w:noProof/>
        </w:rPr>
        <w:t>3</w:t>
      </w:r>
      <w:r w:rsidR="00253FDA">
        <w:fldChar w:fldCharType="end"/>
      </w:r>
      <w:r>
        <w:t>, the gap between people ‘severely limited’ in activities as a result of a long-standing condition</w:t>
      </w:r>
      <w:r w:rsidR="00495AD0">
        <w:t xml:space="preserve"> and who had completed tertiary education and</w:t>
      </w:r>
      <w:r>
        <w:t xml:space="preserve"> those with no limitation</w:t>
      </w:r>
      <w:r w:rsidR="00495AD0">
        <w:t xml:space="preserve"> who had done so</w:t>
      </w:r>
      <w:r>
        <w:t xml:space="preserve"> was 21 percentage points</w:t>
      </w:r>
      <w:r w:rsidR="00495AD0">
        <w:t xml:space="preserve"> in 2015</w:t>
      </w:r>
      <w:r>
        <w:t xml:space="preserve"> (27% of those with a severe limitation</w:t>
      </w:r>
      <w:r w:rsidR="00495AD0">
        <w:t xml:space="preserve"> versus</w:t>
      </w:r>
      <w:r>
        <w:t xml:space="preserve"> 48% of those with no limitation having completed tertiary education). In 2023, this gap was</w:t>
      </w:r>
      <w:r w:rsidR="00495AD0">
        <w:t xml:space="preserve"> larger, at</w:t>
      </w:r>
      <w:r>
        <w:t xml:space="preserve"> 28 percentage points. </w:t>
      </w:r>
      <w:r w:rsidR="00495AD0">
        <w:t>The</w:t>
      </w:r>
      <w:r>
        <w:t xml:space="preserve"> gap between those who reported being ‘limited, but not severely’ was 18 percentage points in 2015 and 14 percentage points in 2023. </w:t>
      </w:r>
      <w:r w:rsidR="00EF5C6A">
        <w:t>Overall, there</w:t>
      </w:r>
      <w:r>
        <w:t xml:space="preserve"> is little evidence from these data that the educational attainment gap between those with and without disabilities has closed in any meaningful way over the period of the CES.</w:t>
      </w:r>
    </w:p>
    <w:p w14:paraId="2D437988" w14:textId="77777777" w:rsidR="00CD2DAB" w:rsidRDefault="00CD2DAB" w:rsidP="00D979DA"/>
    <w:p w14:paraId="43822D87" w14:textId="77777777" w:rsidR="00CD2DAB" w:rsidRDefault="00CD2DAB" w:rsidP="00D979DA"/>
    <w:p w14:paraId="5DD3E52B" w14:textId="0A82D9D8" w:rsidR="00CD2DAB" w:rsidRDefault="00CD2DAB" w:rsidP="00D979DA">
      <w:pPr>
        <w:sectPr w:rsidR="00CD2DAB" w:rsidSect="00C51AAF">
          <w:pgSz w:w="12240" w:h="15840"/>
          <w:pgMar w:top="1440" w:right="1797" w:bottom="1440" w:left="1797" w:header="709" w:footer="709" w:gutter="0"/>
          <w:cols w:space="708"/>
          <w:docGrid w:linePitch="360"/>
        </w:sectPr>
      </w:pPr>
    </w:p>
    <w:p w14:paraId="313DCE94" w14:textId="456D91D7" w:rsidR="00253FDA" w:rsidRDefault="00253FDA" w:rsidP="00253FDA">
      <w:pPr>
        <w:pStyle w:val="Caption"/>
        <w:keepNext/>
      </w:pPr>
      <w:bookmarkStart w:id="100" w:name="_Ref179895619"/>
      <w:bookmarkStart w:id="101" w:name="_Toc182219707"/>
      <w:r>
        <w:t xml:space="preserve">Table </w:t>
      </w:r>
      <w:r>
        <w:fldChar w:fldCharType="begin"/>
      </w:r>
      <w:r>
        <w:instrText xml:space="preserve"> SEQ Table \* ARABIC </w:instrText>
      </w:r>
      <w:r>
        <w:fldChar w:fldCharType="separate"/>
      </w:r>
      <w:r w:rsidR="009C4192">
        <w:rPr>
          <w:noProof/>
        </w:rPr>
        <w:t>3</w:t>
      </w:r>
      <w:r>
        <w:fldChar w:fldCharType="end"/>
      </w:r>
      <w:bookmarkEnd w:id="100"/>
      <w:r>
        <w:t xml:space="preserve">: </w:t>
      </w:r>
      <w:r w:rsidR="002F6B02">
        <w:t>Highest level of educational attainment for people grouped by</w:t>
      </w:r>
      <w:r w:rsidRPr="006A2A06">
        <w:t xml:space="preserve"> limitation status, 2015-2023</w:t>
      </w:r>
      <w:bookmarkEnd w:id="101"/>
    </w:p>
    <w:tbl>
      <w:tblPr>
        <w:tblStyle w:val="TableGrid"/>
        <w:tblW w:w="0" w:type="auto"/>
        <w:tblInd w:w="-5" w:type="dxa"/>
        <w:tblLook w:val="04A0" w:firstRow="1" w:lastRow="0" w:firstColumn="1" w:lastColumn="0" w:noHBand="0" w:noVBand="1"/>
      </w:tblPr>
      <w:tblGrid>
        <w:gridCol w:w="1512"/>
        <w:gridCol w:w="2418"/>
        <w:gridCol w:w="1210"/>
        <w:gridCol w:w="1492"/>
        <w:gridCol w:w="1227"/>
        <w:gridCol w:w="1162"/>
      </w:tblGrid>
      <w:tr w:rsidR="006A2A06" w:rsidRPr="006A2A06" w14:paraId="74A1E0D6" w14:textId="77777777" w:rsidTr="005B35F3">
        <w:trPr>
          <w:trHeight w:val="288"/>
        </w:trPr>
        <w:tc>
          <w:tcPr>
            <w:tcW w:w="1512" w:type="dxa"/>
            <w:tcBorders>
              <w:top w:val="single" w:sz="4" w:space="0" w:color="auto"/>
            </w:tcBorders>
            <w:hideMark/>
          </w:tcPr>
          <w:p w14:paraId="15250E81" w14:textId="77777777" w:rsidR="006A2A06" w:rsidRPr="006A2A06" w:rsidRDefault="006A2A06" w:rsidP="00B42243">
            <w:pPr>
              <w:spacing w:after="0"/>
              <w:rPr>
                <w:b/>
                <w:bCs/>
              </w:rPr>
            </w:pPr>
            <w:r w:rsidRPr="006A2A06">
              <w:rPr>
                <w:b/>
                <w:bCs/>
              </w:rPr>
              <w:t>Year</w:t>
            </w:r>
          </w:p>
        </w:tc>
        <w:tc>
          <w:tcPr>
            <w:tcW w:w="2418" w:type="dxa"/>
            <w:tcBorders>
              <w:top w:val="single" w:sz="4" w:space="0" w:color="auto"/>
            </w:tcBorders>
            <w:hideMark/>
          </w:tcPr>
          <w:p w14:paraId="49AA22E9" w14:textId="77777777" w:rsidR="006A2A06" w:rsidRPr="006A2A06" w:rsidRDefault="006A2A06" w:rsidP="00B42243">
            <w:pPr>
              <w:spacing w:after="0"/>
              <w:rPr>
                <w:b/>
                <w:bCs/>
              </w:rPr>
            </w:pPr>
            <w:r w:rsidRPr="006A2A06">
              <w:rPr>
                <w:b/>
                <w:bCs/>
              </w:rPr>
              <w:t>PH030</w:t>
            </w:r>
          </w:p>
        </w:tc>
        <w:tc>
          <w:tcPr>
            <w:tcW w:w="1210" w:type="dxa"/>
            <w:tcBorders>
              <w:top w:val="single" w:sz="4" w:space="0" w:color="auto"/>
            </w:tcBorders>
            <w:hideMark/>
          </w:tcPr>
          <w:p w14:paraId="79A3CB53" w14:textId="77777777" w:rsidR="006A2A06" w:rsidRDefault="006A2A06" w:rsidP="00B42243">
            <w:pPr>
              <w:spacing w:after="0"/>
              <w:jc w:val="center"/>
              <w:rPr>
                <w:b/>
                <w:bCs/>
              </w:rPr>
            </w:pPr>
            <w:r w:rsidRPr="006A2A06">
              <w:rPr>
                <w:b/>
                <w:bCs/>
              </w:rPr>
              <w:t>Primary</w:t>
            </w:r>
          </w:p>
          <w:p w14:paraId="1F0A1964" w14:textId="0D654F31" w:rsidR="00AF5E09" w:rsidRPr="006A2A06" w:rsidRDefault="00AF5E09" w:rsidP="00B42243">
            <w:pPr>
              <w:spacing w:after="0"/>
              <w:jc w:val="center"/>
              <w:rPr>
                <w:b/>
                <w:bCs/>
              </w:rPr>
            </w:pPr>
            <w:r>
              <w:rPr>
                <w:b/>
                <w:bCs/>
              </w:rPr>
              <w:t>%</w:t>
            </w:r>
          </w:p>
        </w:tc>
        <w:tc>
          <w:tcPr>
            <w:tcW w:w="1492" w:type="dxa"/>
            <w:tcBorders>
              <w:top w:val="single" w:sz="4" w:space="0" w:color="auto"/>
            </w:tcBorders>
            <w:hideMark/>
          </w:tcPr>
          <w:p w14:paraId="3C5E7F74" w14:textId="77777777" w:rsidR="006A2A06" w:rsidRDefault="006A2A06" w:rsidP="00B42243">
            <w:pPr>
              <w:spacing w:after="0"/>
              <w:jc w:val="center"/>
              <w:rPr>
                <w:b/>
                <w:bCs/>
              </w:rPr>
            </w:pPr>
            <w:r w:rsidRPr="006A2A06">
              <w:rPr>
                <w:b/>
                <w:bCs/>
              </w:rPr>
              <w:t>Secondary</w:t>
            </w:r>
          </w:p>
          <w:p w14:paraId="617CD583" w14:textId="3D8EDDE8" w:rsidR="00AF5E09" w:rsidRPr="006A2A06" w:rsidRDefault="00AF5E09" w:rsidP="00B42243">
            <w:pPr>
              <w:spacing w:after="0"/>
              <w:jc w:val="center"/>
              <w:rPr>
                <w:b/>
                <w:bCs/>
              </w:rPr>
            </w:pPr>
            <w:r>
              <w:rPr>
                <w:b/>
                <w:bCs/>
              </w:rPr>
              <w:t>%</w:t>
            </w:r>
          </w:p>
        </w:tc>
        <w:tc>
          <w:tcPr>
            <w:tcW w:w="1227" w:type="dxa"/>
            <w:tcBorders>
              <w:top w:val="single" w:sz="4" w:space="0" w:color="auto"/>
            </w:tcBorders>
            <w:hideMark/>
          </w:tcPr>
          <w:p w14:paraId="648F5FAC" w14:textId="77777777" w:rsidR="006A2A06" w:rsidRDefault="006A2A06" w:rsidP="00B42243">
            <w:pPr>
              <w:spacing w:after="0"/>
              <w:jc w:val="center"/>
              <w:rPr>
                <w:b/>
                <w:bCs/>
              </w:rPr>
            </w:pPr>
            <w:r w:rsidRPr="006A2A06">
              <w:rPr>
                <w:b/>
                <w:bCs/>
              </w:rPr>
              <w:t>Tertiary</w:t>
            </w:r>
          </w:p>
          <w:p w14:paraId="0D17E7AC" w14:textId="2F6C292F" w:rsidR="00AF5E09" w:rsidRPr="006A2A06" w:rsidRDefault="00AF5E09" w:rsidP="00B42243">
            <w:pPr>
              <w:spacing w:after="0"/>
              <w:jc w:val="center"/>
              <w:rPr>
                <w:b/>
                <w:bCs/>
              </w:rPr>
            </w:pPr>
            <w:r>
              <w:rPr>
                <w:b/>
                <w:bCs/>
              </w:rPr>
              <w:t>%</w:t>
            </w:r>
          </w:p>
        </w:tc>
        <w:tc>
          <w:tcPr>
            <w:tcW w:w="1162" w:type="dxa"/>
            <w:tcBorders>
              <w:top w:val="single" w:sz="4" w:space="0" w:color="auto"/>
            </w:tcBorders>
            <w:hideMark/>
          </w:tcPr>
          <w:p w14:paraId="3DD832EB" w14:textId="77777777" w:rsidR="006A2A06" w:rsidRDefault="006A2A06" w:rsidP="00B42243">
            <w:pPr>
              <w:spacing w:after="0"/>
              <w:rPr>
                <w:b/>
                <w:bCs/>
              </w:rPr>
            </w:pPr>
            <w:r w:rsidRPr="006A2A06">
              <w:rPr>
                <w:b/>
                <w:bCs/>
              </w:rPr>
              <w:t> </w:t>
            </w:r>
            <w:r w:rsidR="00AF5E09">
              <w:rPr>
                <w:b/>
                <w:bCs/>
              </w:rPr>
              <w:t>Total</w:t>
            </w:r>
          </w:p>
          <w:p w14:paraId="691F663B" w14:textId="1895F9E7" w:rsidR="00AF5E09" w:rsidRPr="006A2A06" w:rsidRDefault="00AF5E09" w:rsidP="00B42243">
            <w:pPr>
              <w:spacing w:after="0"/>
              <w:jc w:val="center"/>
              <w:rPr>
                <w:b/>
                <w:bCs/>
              </w:rPr>
            </w:pPr>
            <w:r>
              <w:rPr>
                <w:b/>
                <w:bCs/>
              </w:rPr>
              <w:t>%</w:t>
            </w:r>
          </w:p>
        </w:tc>
      </w:tr>
      <w:tr w:rsidR="005B35F3" w:rsidRPr="006A2A06" w14:paraId="13156A68" w14:textId="77777777" w:rsidTr="005B35F3">
        <w:trPr>
          <w:trHeight w:val="288"/>
        </w:trPr>
        <w:tc>
          <w:tcPr>
            <w:tcW w:w="1512" w:type="dxa"/>
            <w:hideMark/>
          </w:tcPr>
          <w:p w14:paraId="013B782B" w14:textId="77777777" w:rsidR="005B35F3" w:rsidRPr="006A2A06" w:rsidRDefault="005B35F3" w:rsidP="00B42243">
            <w:pPr>
              <w:spacing w:after="0"/>
            </w:pPr>
            <w:r w:rsidRPr="006A2A06">
              <w:t>2015</w:t>
            </w:r>
          </w:p>
        </w:tc>
        <w:tc>
          <w:tcPr>
            <w:tcW w:w="2418" w:type="dxa"/>
            <w:hideMark/>
          </w:tcPr>
          <w:p w14:paraId="617DB800" w14:textId="77777777" w:rsidR="005B35F3" w:rsidRPr="006A2A06" w:rsidRDefault="005B35F3" w:rsidP="00B42243">
            <w:pPr>
              <w:spacing w:after="0"/>
            </w:pPr>
            <w:r w:rsidRPr="006A2A06">
              <w:t>Severely limited</w:t>
            </w:r>
          </w:p>
        </w:tc>
        <w:tc>
          <w:tcPr>
            <w:tcW w:w="1210" w:type="dxa"/>
            <w:hideMark/>
          </w:tcPr>
          <w:p w14:paraId="2F08C28D" w14:textId="7A991865" w:rsidR="005B35F3" w:rsidRPr="006A2A06" w:rsidRDefault="005B35F3" w:rsidP="00B42243">
            <w:pPr>
              <w:spacing w:after="0"/>
              <w:jc w:val="right"/>
            </w:pPr>
            <w:r w:rsidRPr="006A2A06">
              <w:t>33</w:t>
            </w:r>
          </w:p>
        </w:tc>
        <w:tc>
          <w:tcPr>
            <w:tcW w:w="1492" w:type="dxa"/>
            <w:hideMark/>
          </w:tcPr>
          <w:p w14:paraId="7E1C6566" w14:textId="237B0C9E" w:rsidR="005B35F3" w:rsidRPr="006A2A06" w:rsidRDefault="005B35F3" w:rsidP="00B42243">
            <w:pPr>
              <w:spacing w:after="0"/>
              <w:jc w:val="right"/>
            </w:pPr>
            <w:r w:rsidRPr="006A2A06">
              <w:t>40</w:t>
            </w:r>
          </w:p>
        </w:tc>
        <w:tc>
          <w:tcPr>
            <w:tcW w:w="1227" w:type="dxa"/>
            <w:hideMark/>
          </w:tcPr>
          <w:p w14:paraId="226AF384" w14:textId="31E5B6EA" w:rsidR="005B35F3" w:rsidRPr="006A2A06" w:rsidRDefault="005B35F3" w:rsidP="00B42243">
            <w:pPr>
              <w:spacing w:after="0"/>
              <w:jc w:val="right"/>
            </w:pPr>
            <w:r w:rsidRPr="006A2A06">
              <w:t>27</w:t>
            </w:r>
          </w:p>
        </w:tc>
        <w:tc>
          <w:tcPr>
            <w:tcW w:w="1162" w:type="dxa"/>
            <w:hideMark/>
          </w:tcPr>
          <w:p w14:paraId="7C0CD35C" w14:textId="308009F2" w:rsidR="005B35F3" w:rsidRPr="006A2A06" w:rsidRDefault="005B35F3" w:rsidP="00B42243">
            <w:pPr>
              <w:spacing w:after="0"/>
              <w:jc w:val="right"/>
            </w:pPr>
            <w:r w:rsidRPr="006A2A06">
              <w:t>100</w:t>
            </w:r>
          </w:p>
        </w:tc>
      </w:tr>
      <w:tr w:rsidR="005B35F3" w:rsidRPr="006A2A06" w14:paraId="225EBA11" w14:textId="77777777" w:rsidTr="005B35F3">
        <w:trPr>
          <w:trHeight w:val="288"/>
        </w:trPr>
        <w:tc>
          <w:tcPr>
            <w:tcW w:w="1512" w:type="dxa"/>
            <w:hideMark/>
          </w:tcPr>
          <w:p w14:paraId="379FE688" w14:textId="77777777" w:rsidR="005B35F3" w:rsidRPr="006A2A06" w:rsidRDefault="005B35F3" w:rsidP="00B42243">
            <w:pPr>
              <w:spacing w:after="0"/>
            </w:pPr>
          </w:p>
        </w:tc>
        <w:tc>
          <w:tcPr>
            <w:tcW w:w="2418" w:type="dxa"/>
            <w:hideMark/>
          </w:tcPr>
          <w:p w14:paraId="0C5BC594" w14:textId="77777777" w:rsidR="005B35F3" w:rsidRPr="006A2A06" w:rsidRDefault="005B35F3" w:rsidP="00B42243">
            <w:pPr>
              <w:spacing w:after="0"/>
            </w:pPr>
            <w:r w:rsidRPr="006A2A06">
              <w:t>Limited, but not severely</w:t>
            </w:r>
          </w:p>
        </w:tc>
        <w:tc>
          <w:tcPr>
            <w:tcW w:w="1210" w:type="dxa"/>
            <w:hideMark/>
          </w:tcPr>
          <w:p w14:paraId="37B76DE5" w14:textId="7B91A139" w:rsidR="005B35F3" w:rsidRPr="006A2A06" w:rsidRDefault="005B35F3" w:rsidP="00B42243">
            <w:pPr>
              <w:spacing w:after="0"/>
              <w:jc w:val="right"/>
            </w:pPr>
            <w:r w:rsidRPr="006A2A06">
              <w:t>32</w:t>
            </w:r>
          </w:p>
        </w:tc>
        <w:tc>
          <w:tcPr>
            <w:tcW w:w="1492" w:type="dxa"/>
            <w:hideMark/>
          </w:tcPr>
          <w:p w14:paraId="12FFCDB3" w14:textId="10D777F3" w:rsidR="005B35F3" w:rsidRPr="006A2A06" w:rsidRDefault="005B35F3" w:rsidP="00B42243">
            <w:pPr>
              <w:spacing w:after="0"/>
              <w:jc w:val="right"/>
            </w:pPr>
            <w:r w:rsidRPr="006A2A06">
              <w:t>38</w:t>
            </w:r>
          </w:p>
        </w:tc>
        <w:tc>
          <w:tcPr>
            <w:tcW w:w="1227" w:type="dxa"/>
            <w:hideMark/>
          </w:tcPr>
          <w:p w14:paraId="7A8307E4" w14:textId="0B0EF863" w:rsidR="005B35F3" w:rsidRPr="006A2A06" w:rsidRDefault="005B35F3" w:rsidP="00B42243">
            <w:pPr>
              <w:spacing w:after="0"/>
              <w:jc w:val="right"/>
            </w:pPr>
            <w:r w:rsidRPr="006A2A06">
              <w:t>30</w:t>
            </w:r>
          </w:p>
        </w:tc>
        <w:tc>
          <w:tcPr>
            <w:tcW w:w="1162" w:type="dxa"/>
            <w:hideMark/>
          </w:tcPr>
          <w:p w14:paraId="0FD2BB0E" w14:textId="0B2B2551" w:rsidR="005B35F3" w:rsidRPr="006A2A06" w:rsidRDefault="005B35F3" w:rsidP="00B42243">
            <w:pPr>
              <w:spacing w:after="0"/>
              <w:jc w:val="right"/>
            </w:pPr>
            <w:r w:rsidRPr="006A2A06">
              <w:t>100</w:t>
            </w:r>
          </w:p>
        </w:tc>
      </w:tr>
      <w:tr w:rsidR="005B35F3" w:rsidRPr="006A2A06" w14:paraId="625D94C2" w14:textId="77777777" w:rsidTr="005B35F3">
        <w:trPr>
          <w:trHeight w:val="288"/>
        </w:trPr>
        <w:tc>
          <w:tcPr>
            <w:tcW w:w="1512" w:type="dxa"/>
            <w:hideMark/>
          </w:tcPr>
          <w:p w14:paraId="2714D793" w14:textId="77777777" w:rsidR="005B35F3" w:rsidRPr="006A2A06" w:rsidRDefault="005B35F3" w:rsidP="00B42243">
            <w:pPr>
              <w:spacing w:after="0"/>
            </w:pPr>
          </w:p>
        </w:tc>
        <w:tc>
          <w:tcPr>
            <w:tcW w:w="2418" w:type="dxa"/>
            <w:hideMark/>
          </w:tcPr>
          <w:p w14:paraId="659EDB1F" w14:textId="77777777" w:rsidR="005B35F3" w:rsidRPr="006A2A06" w:rsidRDefault="005B35F3" w:rsidP="00B42243">
            <w:pPr>
              <w:spacing w:after="0"/>
            </w:pPr>
            <w:r w:rsidRPr="006A2A06">
              <w:t>Not Limited</w:t>
            </w:r>
          </w:p>
        </w:tc>
        <w:tc>
          <w:tcPr>
            <w:tcW w:w="1210" w:type="dxa"/>
            <w:hideMark/>
          </w:tcPr>
          <w:p w14:paraId="1A49215C" w14:textId="7C287B2B" w:rsidR="005B35F3" w:rsidRPr="006A2A06" w:rsidRDefault="005B35F3" w:rsidP="00B42243">
            <w:pPr>
              <w:spacing w:after="0"/>
              <w:jc w:val="right"/>
            </w:pPr>
            <w:r w:rsidRPr="006A2A06">
              <w:t>11</w:t>
            </w:r>
          </w:p>
        </w:tc>
        <w:tc>
          <w:tcPr>
            <w:tcW w:w="1492" w:type="dxa"/>
            <w:hideMark/>
          </w:tcPr>
          <w:p w14:paraId="02918BE2" w14:textId="52402D6E" w:rsidR="005B35F3" w:rsidRPr="006A2A06" w:rsidRDefault="005B35F3" w:rsidP="00B42243">
            <w:pPr>
              <w:spacing w:after="0"/>
              <w:jc w:val="right"/>
            </w:pPr>
            <w:r w:rsidRPr="006A2A06">
              <w:t>41</w:t>
            </w:r>
          </w:p>
        </w:tc>
        <w:tc>
          <w:tcPr>
            <w:tcW w:w="1227" w:type="dxa"/>
            <w:hideMark/>
          </w:tcPr>
          <w:p w14:paraId="24B01F31" w14:textId="23C8F8AA" w:rsidR="005B35F3" w:rsidRPr="006A2A06" w:rsidRDefault="005B35F3" w:rsidP="00B42243">
            <w:pPr>
              <w:spacing w:after="0"/>
              <w:jc w:val="right"/>
            </w:pPr>
            <w:r w:rsidRPr="006A2A06">
              <w:t>48</w:t>
            </w:r>
          </w:p>
        </w:tc>
        <w:tc>
          <w:tcPr>
            <w:tcW w:w="1162" w:type="dxa"/>
            <w:hideMark/>
          </w:tcPr>
          <w:p w14:paraId="13A95639" w14:textId="08A15D17" w:rsidR="005B35F3" w:rsidRPr="006A2A06" w:rsidRDefault="005B35F3" w:rsidP="00B42243">
            <w:pPr>
              <w:spacing w:after="0"/>
              <w:jc w:val="right"/>
            </w:pPr>
            <w:r w:rsidRPr="006A2A06">
              <w:t>100</w:t>
            </w:r>
          </w:p>
        </w:tc>
      </w:tr>
      <w:tr w:rsidR="005B35F3" w:rsidRPr="006A2A06" w14:paraId="0F836D0B" w14:textId="77777777" w:rsidTr="005B35F3">
        <w:trPr>
          <w:trHeight w:val="288"/>
        </w:trPr>
        <w:tc>
          <w:tcPr>
            <w:tcW w:w="1512" w:type="dxa"/>
            <w:hideMark/>
          </w:tcPr>
          <w:p w14:paraId="3B20BE54" w14:textId="77777777" w:rsidR="005B35F3" w:rsidRPr="006A2A06" w:rsidRDefault="005B35F3" w:rsidP="00B42243">
            <w:pPr>
              <w:spacing w:after="0"/>
            </w:pPr>
            <w:r w:rsidRPr="006A2A06">
              <w:t>2016</w:t>
            </w:r>
          </w:p>
        </w:tc>
        <w:tc>
          <w:tcPr>
            <w:tcW w:w="2418" w:type="dxa"/>
            <w:hideMark/>
          </w:tcPr>
          <w:p w14:paraId="72326CE9" w14:textId="77777777" w:rsidR="005B35F3" w:rsidRPr="006A2A06" w:rsidRDefault="005B35F3" w:rsidP="00B42243">
            <w:pPr>
              <w:spacing w:after="0"/>
            </w:pPr>
            <w:r w:rsidRPr="006A2A06">
              <w:t>Severely limited</w:t>
            </w:r>
          </w:p>
        </w:tc>
        <w:tc>
          <w:tcPr>
            <w:tcW w:w="1210" w:type="dxa"/>
            <w:hideMark/>
          </w:tcPr>
          <w:p w14:paraId="13892307" w14:textId="23BAEBFC" w:rsidR="005B35F3" w:rsidRPr="006A2A06" w:rsidRDefault="005B35F3" w:rsidP="00B42243">
            <w:pPr>
              <w:spacing w:after="0"/>
              <w:jc w:val="right"/>
            </w:pPr>
            <w:r w:rsidRPr="006A2A06">
              <w:t>35</w:t>
            </w:r>
          </w:p>
        </w:tc>
        <w:tc>
          <w:tcPr>
            <w:tcW w:w="1492" w:type="dxa"/>
            <w:hideMark/>
          </w:tcPr>
          <w:p w14:paraId="0F118B1A" w14:textId="373169BA" w:rsidR="005B35F3" w:rsidRPr="006A2A06" w:rsidRDefault="005B35F3" w:rsidP="00B42243">
            <w:pPr>
              <w:spacing w:after="0"/>
              <w:jc w:val="right"/>
            </w:pPr>
            <w:r w:rsidRPr="006A2A06">
              <w:t>42</w:t>
            </w:r>
          </w:p>
        </w:tc>
        <w:tc>
          <w:tcPr>
            <w:tcW w:w="1227" w:type="dxa"/>
            <w:hideMark/>
          </w:tcPr>
          <w:p w14:paraId="2F1229D5" w14:textId="79A3F3C2" w:rsidR="005B35F3" w:rsidRPr="006A2A06" w:rsidRDefault="005B35F3" w:rsidP="00B42243">
            <w:pPr>
              <w:spacing w:after="0"/>
              <w:jc w:val="right"/>
            </w:pPr>
            <w:r w:rsidRPr="006A2A06">
              <w:t>23</w:t>
            </w:r>
          </w:p>
        </w:tc>
        <w:tc>
          <w:tcPr>
            <w:tcW w:w="1162" w:type="dxa"/>
            <w:hideMark/>
          </w:tcPr>
          <w:p w14:paraId="66DB8B7F" w14:textId="3DC58E72" w:rsidR="005B35F3" w:rsidRPr="006A2A06" w:rsidRDefault="005B35F3" w:rsidP="00B42243">
            <w:pPr>
              <w:spacing w:after="0"/>
              <w:jc w:val="right"/>
            </w:pPr>
            <w:r w:rsidRPr="006A2A06">
              <w:t>100</w:t>
            </w:r>
          </w:p>
        </w:tc>
      </w:tr>
      <w:tr w:rsidR="005B35F3" w:rsidRPr="006A2A06" w14:paraId="6837D4BF" w14:textId="77777777" w:rsidTr="005B35F3">
        <w:trPr>
          <w:trHeight w:val="288"/>
        </w:trPr>
        <w:tc>
          <w:tcPr>
            <w:tcW w:w="1512" w:type="dxa"/>
            <w:hideMark/>
          </w:tcPr>
          <w:p w14:paraId="3FFAF3AC" w14:textId="77777777" w:rsidR="005B35F3" w:rsidRPr="006A2A06" w:rsidRDefault="005B35F3" w:rsidP="00B42243">
            <w:pPr>
              <w:spacing w:after="0"/>
            </w:pPr>
          </w:p>
        </w:tc>
        <w:tc>
          <w:tcPr>
            <w:tcW w:w="2418" w:type="dxa"/>
            <w:hideMark/>
          </w:tcPr>
          <w:p w14:paraId="1962DB90" w14:textId="77777777" w:rsidR="005B35F3" w:rsidRPr="006A2A06" w:rsidRDefault="005B35F3" w:rsidP="00B42243">
            <w:pPr>
              <w:spacing w:after="0"/>
            </w:pPr>
            <w:r w:rsidRPr="006A2A06">
              <w:t>Limited, but not severely</w:t>
            </w:r>
          </w:p>
        </w:tc>
        <w:tc>
          <w:tcPr>
            <w:tcW w:w="1210" w:type="dxa"/>
            <w:hideMark/>
          </w:tcPr>
          <w:p w14:paraId="008DE122" w14:textId="76DC4F76" w:rsidR="005B35F3" w:rsidRPr="006A2A06" w:rsidRDefault="005B35F3" w:rsidP="00B42243">
            <w:pPr>
              <w:spacing w:after="0"/>
              <w:jc w:val="right"/>
            </w:pPr>
            <w:r w:rsidRPr="006A2A06">
              <w:t>30</w:t>
            </w:r>
          </w:p>
        </w:tc>
        <w:tc>
          <w:tcPr>
            <w:tcW w:w="1492" w:type="dxa"/>
            <w:hideMark/>
          </w:tcPr>
          <w:p w14:paraId="5E028335" w14:textId="68B47CFE" w:rsidR="005B35F3" w:rsidRPr="006A2A06" w:rsidRDefault="005B35F3" w:rsidP="00B42243">
            <w:pPr>
              <w:spacing w:after="0"/>
              <w:jc w:val="right"/>
            </w:pPr>
            <w:r w:rsidRPr="006A2A06">
              <w:t>38</w:t>
            </w:r>
          </w:p>
        </w:tc>
        <w:tc>
          <w:tcPr>
            <w:tcW w:w="1227" w:type="dxa"/>
            <w:hideMark/>
          </w:tcPr>
          <w:p w14:paraId="21706864" w14:textId="6CDDFA3C" w:rsidR="005B35F3" w:rsidRPr="006A2A06" w:rsidRDefault="005B35F3" w:rsidP="00B42243">
            <w:pPr>
              <w:spacing w:after="0"/>
              <w:jc w:val="right"/>
            </w:pPr>
            <w:r w:rsidRPr="006A2A06">
              <w:t>32</w:t>
            </w:r>
          </w:p>
        </w:tc>
        <w:tc>
          <w:tcPr>
            <w:tcW w:w="1162" w:type="dxa"/>
            <w:hideMark/>
          </w:tcPr>
          <w:p w14:paraId="706184FD" w14:textId="5EDDC3F2" w:rsidR="005B35F3" w:rsidRPr="006A2A06" w:rsidRDefault="005B35F3" w:rsidP="00B42243">
            <w:pPr>
              <w:spacing w:after="0"/>
              <w:jc w:val="right"/>
            </w:pPr>
            <w:r w:rsidRPr="006A2A06">
              <w:t>100</w:t>
            </w:r>
          </w:p>
        </w:tc>
      </w:tr>
      <w:tr w:rsidR="005B35F3" w:rsidRPr="006A2A06" w14:paraId="271269B5" w14:textId="77777777" w:rsidTr="005B35F3">
        <w:trPr>
          <w:trHeight w:val="288"/>
        </w:trPr>
        <w:tc>
          <w:tcPr>
            <w:tcW w:w="1512" w:type="dxa"/>
            <w:hideMark/>
          </w:tcPr>
          <w:p w14:paraId="40E98086" w14:textId="77777777" w:rsidR="005B35F3" w:rsidRPr="006A2A06" w:rsidRDefault="005B35F3" w:rsidP="00B42243">
            <w:pPr>
              <w:spacing w:after="0"/>
            </w:pPr>
          </w:p>
        </w:tc>
        <w:tc>
          <w:tcPr>
            <w:tcW w:w="2418" w:type="dxa"/>
            <w:hideMark/>
          </w:tcPr>
          <w:p w14:paraId="58F4660D" w14:textId="77777777" w:rsidR="005B35F3" w:rsidRPr="006A2A06" w:rsidRDefault="005B35F3" w:rsidP="00B42243">
            <w:pPr>
              <w:spacing w:after="0"/>
            </w:pPr>
            <w:r w:rsidRPr="006A2A06">
              <w:t>Not Limited</w:t>
            </w:r>
          </w:p>
        </w:tc>
        <w:tc>
          <w:tcPr>
            <w:tcW w:w="1210" w:type="dxa"/>
            <w:hideMark/>
          </w:tcPr>
          <w:p w14:paraId="32FBE49A" w14:textId="6BDA8E73" w:rsidR="005B35F3" w:rsidRPr="006A2A06" w:rsidRDefault="005B35F3" w:rsidP="00B42243">
            <w:pPr>
              <w:spacing w:after="0"/>
              <w:jc w:val="right"/>
            </w:pPr>
            <w:r w:rsidRPr="006A2A06">
              <w:t>10</w:t>
            </w:r>
          </w:p>
        </w:tc>
        <w:tc>
          <w:tcPr>
            <w:tcW w:w="1492" w:type="dxa"/>
            <w:hideMark/>
          </w:tcPr>
          <w:p w14:paraId="047DC6A9" w14:textId="54D3AB36" w:rsidR="005B35F3" w:rsidRPr="006A2A06" w:rsidRDefault="005B35F3" w:rsidP="00B42243">
            <w:pPr>
              <w:spacing w:after="0"/>
              <w:jc w:val="right"/>
            </w:pPr>
            <w:r w:rsidRPr="006A2A06">
              <w:t>41</w:t>
            </w:r>
          </w:p>
        </w:tc>
        <w:tc>
          <w:tcPr>
            <w:tcW w:w="1227" w:type="dxa"/>
            <w:hideMark/>
          </w:tcPr>
          <w:p w14:paraId="683AE548" w14:textId="14902665" w:rsidR="005B35F3" w:rsidRPr="006A2A06" w:rsidRDefault="005B35F3" w:rsidP="00B42243">
            <w:pPr>
              <w:spacing w:after="0"/>
              <w:jc w:val="right"/>
            </w:pPr>
            <w:r w:rsidRPr="006A2A06">
              <w:t>49</w:t>
            </w:r>
          </w:p>
        </w:tc>
        <w:tc>
          <w:tcPr>
            <w:tcW w:w="1162" w:type="dxa"/>
            <w:hideMark/>
          </w:tcPr>
          <w:p w14:paraId="367AFB96" w14:textId="77777777" w:rsidR="005B35F3" w:rsidRPr="006A2A06" w:rsidRDefault="005B35F3" w:rsidP="00B42243">
            <w:pPr>
              <w:spacing w:after="0"/>
              <w:jc w:val="right"/>
            </w:pPr>
            <w:r w:rsidRPr="006A2A06">
              <w:t>100%</w:t>
            </w:r>
          </w:p>
        </w:tc>
      </w:tr>
      <w:tr w:rsidR="005B35F3" w:rsidRPr="006A2A06" w14:paraId="03FC271D" w14:textId="77777777" w:rsidTr="005B35F3">
        <w:trPr>
          <w:trHeight w:val="288"/>
        </w:trPr>
        <w:tc>
          <w:tcPr>
            <w:tcW w:w="1512" w:type="dxa"/>
            <w:hideMark/>
          </w:tcPr>
          <w:p w14:paraId="086E11C9" w14:textId="77777777" w:rsidR="005B35F3" w:rsidRPr="006A2A06" w:rsidRDefault="005B35F3" w:rsidP="00B42243">
            <w:pPr>
              <w:spacing w:after="0"/>
            </w:pPr>
            <w:r w:rsidRPr="006A2A06">
              <w:t>2017</w:t>
            </w:r>
          </w:p>
        </w:tc>
        <w:tc>
          <w:tcPr>
            <w:tcW w:w="2418" w:type="dxa"/>
            <w:hideMark/>
          </w:tcPr>
          <w:p w14:paraId="01ACF502" w14:textId="77777777" w:rsidR="005B35F3" w:rsidRPr="006A2A06" w:rsidRDefault="005B35F3" w:rsidP="00B42243">
            <w:pPr>
              <w:spacing w:after="0"/>
            </w:pPr>
            <w:r w:rsidRPr="006A2A06">
              <w:t>Severely limited</w:t>
            </w:r>
          </w:p>
        </w:tc>
        <w:tc>
          <w:tcPr>
            <w:tcW w:w="1210" w:type="dxa"/>
            <w:hideMark/>
          </w:tcPr>
          <w:p w14:paraId="63400EEA" w14:textId="72DDEABB" w:rsidR="005B35F3" w:rsidRPr="006A2A06" w:rsidRDefault="005B35F3" w:rsidP="00B42243">
            <w:pPr>
              <w:spacing w:after="0"/>
              <w:jc w:val="right"/>
            </w:pPr>
            <w:r w:rsidRPr="006A2A06">
              <w:t>34</w:t>
            </w:r>
          </w:p>
        </w:tc>
        <w:tc>
          <w:tcPr>
            <w:tcW w:w="1492" w:type="dxa"/>
            <w:hideMark/>
          </w:tcPr>
          <w:p w14:paraId="2B8901E6" w14:textId="7AED5819" w:rsidR="005B35F3" w:rsidRPr="006A2A06" w:rsidRDefault="005B35F3" w:rsidP="00B42243">
            <w:pPr>
              <w:spacing w:after="0"/>
              <w:jc w:val="right"/>
            </w:pPr>
            <w:r w:rsidRPr="006A2A06">
              <w:t>37</w:t>
            </w:r>
          </w:p>
        </w:tc>
        <w:tc>
          <w:tcPr>
            <w:tcW w:w="1227" w:type="dxa"/>
            <w:hideMark/>
          </w:tcPr>
          <w:p w14:paraId="421AABB2" w14:textId="55E7F9D9" w:rsidR="005B35F3" w:rsidRPr="006A2A06" w:rsidRDefault="005B35F3" w:rsidP="00B42243">
            <w:pPr>
              <w:spacing w:after="0"/>
              <w:jc w:val="right"/>
            </w:pPr>
            <w:r w:rsidRPr="006A2A06">
              <w:t>29</w:t>
            </w:r>
          </w:p>
        </w:tc>
        <w:tc>
          <w:tcPr>
            <w:tcW w:w="1162" w:type="dxa"/>
            <w:hideMark/>
          </w:tcPr>
          <w:p w14:paraId="1439AF06" w14:textId="77777777" w:rsidR="005B35F3" w:rsidRPr="006A2A06" w:rsidRDefault="005B35F3" w:rsidP="00B42243">
            <w:pPr>
              <w:spacing w:after="0"/>
              <w:jc w:val="right"/>
            </w:pPr>
            <w:r w:rsidRPr="006A2A06">
              <w:t>100%</w:t>
            </w:r>
          </w:p>
        </w:tc>
      </w:tr>
      <w:tr w:rsidR="005B35F3" w:rsidRPr="006A2A06" w14:paraId="0F808A40" w14:textId="77777777" w:rsidTr="005B35F3">
        <w:trPr>
          <w:trHeight w:val="288"/>
        </w:trPr>
        <w:tc>
          <w:tcPr>
            <w:tcW w:w="1512" w:type="dxa"/>
            <w:hideMark/>
          </w:tcPr>
          <w:p w14:paraId="7B754445" w14:textId="77777777" w:rsidR="005B35F3" w:rsidRPr="006A2A06" w:rsidRDefault="005B35F3" w:rsidP="00B42243">
            <w:pPr>
              <w:spacing w:after="0"/>
            </w:pPr>
          </w:p>
        </w:tc>
        <w:tc>
          <w:tcPr>
            <w:tcW w:w="2418" w:type="dxa"/>
            <w:hideMark/>
          </w:tcPr>
          <w:p w14:paraId="5CC908DF" w14:textId="77777777" w:rsidR="005B35F3" w:rsidRPr="006A2A06" w:rsidRDefault="005B35F3" w:rsidP="00B42243">
            <w:pPr>
              <w:spacing w:after="0"/>
            </w:pPr>
            <w:r w:rsidRPr="006A2A06">
              <w:t>Limited, but not severely</w:t>
            </w:r>
          </w:p>
        </w:tc>
        <w:tc>
          <w:tcPr>
            <w:tcW w:w="1210" w:type="dxa"/>
            <w:hideMark/>
          </w:tcPr>
          <w:p w14:paraId="27662BF4" w14:textId="4935AD3C" w:rsidR="005B35F3" w:rsidRPr="006A2A06" w:rsidRDefault="005B35F3" w:rsidP="00B42243">
            <w:pPr>
              <w:spacing w:after="0"/>
              <w:jc w:val="right"/>
            </w:pPr>
            <w:r w:rsidRPr="006A2A06">
              <w:t>31</w:t>
            </w:r>
          </w:p>
        </w:tc>
        <w:tc>
          <w:tcPr>
            <w:tcW w:w="1492" w:type="dxa"/>
            <w:hideMark/>
          </w:tcPr>
          <w:p w14:paraId="15B0FA6C" w14:textId="647D0805" w:rsidR="005B35F3" w:rsidRPr="006A2A06" w:rsidRDefault="005B35F3" w:rsidP="00B42243">
            <w:pPr>
              <w:spacing w:after="0"/>
              <w:jc w:val="right"/>
            </w:pPr>
            <w:r w:rsidRPr="006A2A06">
              <w:t>39</w:t>
            </w:r>
          </w:p>
        </w:tc>
        <w:tc>
          <w:tcPr>
            <w:tcW w:w="1227" w:type="dxa"/>
            <w:hideMark/>
          </w:tcPr>
          <w:p w14:paraId="4183BF5A" w14:textId="1BD27E93" w:rsidR="005B35F3" w:rsidRPr="006A2A06" w:rsidRDefault="005B35F3" w:rsidP="00B42243">
            <w:pPr>
              <w:spacing w:after="0"/>
              <w:jc w:val="right"/>
            </w:pPr>
            <w:r w:rsidRPr="006A2A06">
              <w:t>31</w:t>
            </w:r>
          </w:p>
        </w:tc>
        <w:tc>
          <w:tcPr>
            <w:tcW w:w="1162" w:type="dxa"/>
            <w:hideMark/>
          </w:tcPr>
          <w:p w14:paraId="7650A96C" w14:textId="77777777" w:rsidR="005B35F3" w:rsidRPr="006A2A06" w:rsidRDefault="005B35F3" w:rsidP="00B42243">
            <w:pPr>
              <w:spacing w:after="0"/>
              <w:jc w:val="right"/>
            </w:pPr>
            <w:r w:rsidRPr="006A2A06">
              <w:t>100%</w:t>
            </w:r>
          </w:p>
        </w:tc>
      </w:tr>
      <w:tr w:rsidR="005B35F3" w:rsidRPr="006A2A06" w14:paraId="100BCD36" w14:textId="77777777" w:rsidTr="005B35F3">
        <w:trPr>
          <w:trHeight w:val="288"/>
        </w:trPr>
        <w:tc>
          <w:tcPr>
            <w:tcW w:w="1512" w:type="dxa"/>
            <w:hideMark/>
          </w:tcPr>
          <w:p w14:paraId="51447006" w14:textId="77777777" w:rsidR="005B35F3" w:rsidRPr="006A2A06" w:rsidRDefault="005B35F3" w:rsidP="00B42243">
            <w:pPr>
              <w:spacing w:after="0"/>
            </w:pPr>
          </w:p>
        </w:tc>
        <w:tc>
          <w:tcPr>
            <w:tcW w:w="2418" w:type="dxa"/>
            <w:hideMark/>
          </w:tcPr>
          <w:p w14:paraId="498A678D" w14:textId="77777777" w:rsidR="005B35F3" w:rsidRPr="006A2A06" w:rsidRDefault="005B35F3" w:rsidP="00B42243">
            <w:pPr>
              <w:spacing w:after="0"/>
            </w:pPr>
            <w:r w:rsidRPr="006A2A06">
              <w:t>Not Limited</w:t>
            </w:r>
          </w:p>
        </w:tc>
        <w:tc>
          <w:tcPr>
            <w:tcW w:w="1210" w:type="dxa"/>
            <w:hideMark/>
          </w:tcPr>
          <w:p w14:paraId="5DB3701A" w14:textId="5F411B47" w:rsidR="005B35F3" w:rsidRPr="006A2A06" w:rsidRDefault="005B35F3" w:rsidP="00B42243">
            <w:pPr>
              <w:spacing w:after="0"/>
              <w:jc w:val="right"/>
            </w:pPr>
            <w:r w:rsidRPr="006A2A06">
              <w:t>10</w:t>
            </w:r>
          </w:p>
        </w:tc>
        <w:tc>
          <w:tcPr>
            <w:tcW w:w="1492" w:type="dxa"/>
            <w:hideMark/>
          </w:tcPr>
          <w:p w14:paraId="47E07428" w14:textId="22543F15" w:rsidR="005B35F3" w:rsidRPr="006A2A06" w:rsidRDefault="005B35F3" w:rsidP="00B42243">
            <w:pPr>
              <w:spacing w:after="0"/>
              <w:jc w:val="right"/>
            </w:pPr>
            <w:r w:rsidRPr="006A2A06">
              <w:t>41</w:t>
            </w:r>
          </w:p>
        </w:tc>
        <w:tc>
          <w:tcPr>
            <w:tcW w:w="1227" w:type="dxa"/>
            <w:hideMark/>
          </w:tcPr>
          <w:p w14:paraId="08D4ECCA" w14:textId="362E04B9" w:rsidR="005B35F3" w:rsidRPr="006A2A06" w:rsidRDefault="005B35F3" w:rsidP="00B42243">
            <w:pPr>
              <w:spacing w:after="0"/>
              <w:jc w:val="right"/>
            </w:pPr>
            <w:r w:rsidRPr="006A2A06">
              <w:t>50</w:t>
            </w:r>
          </w:p>
        </w:tc>
        <w:tc>
          <w:tcPr>
            <w:tcW w:w="1162" w:type="dxa"/>
            <w:hideMark/>
          </w:tcPr>
          <w:p w14:paraId="6B8CB515" w14:textId="77777777" w:rsidR="005B35F3" w:rsidRPr="006A2A06" w:rsidRDefault="005B35F3" w:rsidP="00B42243">
            <w:pPr>
              <w:spacing w:after="0"/>
              <w:jc w:val="right"/>
            </w:pPr>
            <w:r w:rsidRPr="006A2A06">
              <w:t>100%</w:t>
            </w:r>
          </w:p>
        </w:tc>
      </w:tr>
      <w:tr w:rsidR="005B35F3" w:rsidRPr="006A2A06" w14:paraId="12C99456" w14:textId="77777777" w:rsidTr="005B35F3">
        <w:trPr>
          <w:trHeight w:val="288"/>
        </w:trPr>
        <w:tc>
          <w:tcPr>
            <w:tcW w:w="1512" w:type="dxa"/>
            <w:hideMark/>
          </w:tcPr>
          <w:p w14:paraId="2FCC375B" w14:textId="77777777" w:rsidR="005B35F3" w:rsidRPr="006A2A06" w:rsidRDefault="005B35F3" w:rsidP="00B42243">
            <w:pPr>
              <w:spacing w:after="0"/>
            </w:pPr>
            <w:r w:rsidRPr="006A2A06">
              <w:t>2018</w:t>
            </w:r>
          </w:p>
        </w:tc>
        <w:tc>
          <w:tcPr>
            <w:tcW w:w="2418" w:type="dxa"/>
            <w:hideMark/>
          </w:tcPr>
          <w:p w14:paraId="48747460" w14:textId="77777777" w:rsidR="005B35F3" w:rsidRPr="006A2A06" w:rsidRDefault="005B35F3" w:rsidP="00B42243">
            <w:pPr>
              <w:spacing w:after="0"/>
            </w:pPr>
            <w:r w:rsidRPr="006A2A06">
              <w:t>Severely limited</w:t>
            </w:r>
          </w:p>
        </w:tc>
        <w:tc>
          <w:tcPr>
            <w:tcW w:w="1210" w:type="dxa"/>
            <w:hideMark/>
          </w:tcPr>
          <w:p w14:paraId="36A16A4E" w14:textId="6069F627" w:rsidR="005B35F3" w:rsidRPr="006A2A06" w:rsidRDefault="005B35F3" w:rsidP="00B42243">
            <w:pPr>
              <w:spacing w:after="0"/>
              <w:jc w:val="right"/>
            </w:pPr>
            <w:r w:rsidRPr="006A2A06">
              <w:t>37</w:t>
            </w:r>
          </w:p>
        </w:tc>
        <w:tc>
          <w:tcPr>
            <w:tcW w:w="1492" w:type="dxa"/>
            <w:hideMark/>
          </w:tcPr>
          <w:p w14:paraId="69780D99" w14:textId="4F6E56BC" w:rsidR="005B35F3" w:rsidRPr="006A2A06" w:rsidRDefault="005B35F3" w:rsidP="00B42243">
            <w:pPr>
              <w:spacing w:after="0"/>
              <w:jc w:val="right"/>
            </w:pPr>
            <w:r w:rsidRPr="006A2A06">
              <w:t>34</w:t>
            </w:r>
          </w:p>
        </w:tc>
        <w:tc>
          <w:tcPr>
            <w:tcW w:w="1227" w:type="dxa"/>
            <w:hideMark/>
          </w:tcPr>
          <w:p w14:paraId="3DAE8990" w14:textId="2EE53B36" w:rsidR="005B35F3" w:rsidRPr="006A2A06" w:rsidRDefault="005B35F3" w:rsidP="00B42243">
            <w:pPr>
              <w:spacing w:after="0"/>
              <w:jc w:val="right"/>
            </w:pPr>
            <w:r w:rsidRPr="006A2A06">
              <w:t>29</w:t>
            </w:r>
          </w:p>
        </w:tc>
        <w:tc>
          <w:tcPr>
            <w:tcW w:w="1162" w:type="dxa"/>
            <w:hideMark/>
          </w:tcPr>
          <w:p w14:paraId="6BE03120" w14:textId="77777777" w:rsidR="005B35F3" w:rsidRPr="006A2A06" w:rsidRDefault="005B35F3" w:rsidP="00B42243">
            <w:pPr>
              <w:spacing w:after="0"/>
              <w:jc w:val="right"/>
            </w:pPr>
            <w:r w:rsidRPr="006A2A06">
              <w:t>100%</w:t>
            </w:r>
          </w:p>
        </w:tc>
      </w:tr>
      <w:tr w:rsidR="005B35F3" w:rsidRPr="006A2A06" w14:paraId="5C0E3B6F" w14:textId="77777777" w:rsidTr="005B35F3">
        <w:trPr>
          <w:trHeight w:val="288"/>
        </w:trPr>
        <w:tc>
          <w:tcPr>
            <w:tcW w:w="1512" w:type="dxa"/>
            <w:hideMark/>
          </w:tcPr>
          <w:p w14:paraId="5A4C5685" w14:textId="77777777" w:rsidR="005B35F3" w:rsidRPr="006A2A06" w:rsidRDefault="005B35F3" w:rsidP="00B42243">
            <w:pPr>
              <w:spacing w:after="0"/>
            </w:pPr>
          </w:p>
        </w:tc>
        <w:tc>
          <w:tcPr>
            <w:tcW w:w="2418" w:type="dxa"/>
            <w:hideMark/>
          </w:tcPr>
          <w:p w14:paraId="3DA01DC2" w14:textId="77777777" w:rsidR="005B35F3" w:rsidRPr="006A2A06" w:rsidRDefault="005B35F3" w:rsidP="00B42243">
            <w:pPr>
              <w:spacing w:after="0"/>
            </w:pPr>
            <w:r w:rsidRPr="006A2A06">
              <w:t>Limited, but not severely</w:t>
            </w:r>
          </w:p>
        </w:tc>
        <w:tc>
          <w:tcPr>
            <w:tcW w:w="1210" w:type="dxa"/>
            <w:hideMark/>
          </w:tcPr>
          <w:p w14:paraId="42A27577" w14:textId="0E84B51A" w:rsidR="005B35F3" w:rsidRPr="006A2A06" w:rsidRDefault="005B35F3" w:rsidP="00B42243">
            <w:pPr>
              <w:spacing w:after="0"/>
              <w:jc w:val="right"/>
            </w:pPr>
            <w:r w:rsidRPr="006A2A06">
              <w:t>24</w:t>
            </w:r>
          </w:p>
        </w:tc>
        <w:tc>
          <w:tcPr>
            <w:tcW w:w="1492" w:type="dxa"/>
            <w:hideMark/>
          </w:tcPr>
          <w:p w14:paraId="6D8135D6" w14:textId="10F500DE" w:rsidR="005B35F3" w:rsidRPr="006A2A06" w:rsidRDefault="005B35F3" w:rsidP="00B42243">
            <w:pPr>
              <w:spacing w:after="0"/>
              <w:jc w:val="right"/>
            </w:pPr>
            <w:r w:rsidRPr="006A2A06">
              <w:t>39</w:t>
            </w:r>
          </w:p>
        </w:tc>
        <w:tc>
          <w:tcPr>
            <w:tcW w:w="1227" w:type="dxa"/>
            <w:hideMark/>
          </w:tcPr>
          <w:p w14:paraId="10FB4A42" w14:textId="68AAE9C0" w:rsidR="005B35F3" w:rsidRPr="006A2A06" w:rsidRDefault="005B35F3" w:rsidP="00B42243">
            <w:pPr>
              <w:spacing w:after="0"/>
              <w:jc w:val="right"/>
            </w:pPr>
            <w:r w:rsidRPr="006A2A06">
              <w:t>37</w:t>
            </w:r>
          </w:p>
        </w:tc>
        <w:tc>
          <w:tcPr>
            <w:tcW w:w="1162" w:type="dxa"/>
            <w:hideMark/>
          </w:tcPr>
          <w:p w14:paraId="135C6EAA" w14:textId="77777777" w:rsidR="005B35F3" w:rsidRPr="006A2A06" w:rsidRDefault="005B35F3" w:rsidP="00B42243">
            <w:pPr>
              <w:spacing w:after="0"/>
              <w:jc w:val="right"/>
            </w:pPr>
            <w:r w:rsidRPr="006A2A06">
              <w:t>100%</w:t>
            </w:r>
          </w:p>
        </w:tc>
      </w:tr>
      <w:tr w:rsidR="005B35F3" w:rsidRPr="006A2A06" w14:paraId="32C2A35D" w14:textId="77777777" w:rsidTr="005B35F3">
        <w:trPr>
          <w:trHeight w:val="288"/>
        </w:trPr>
        <w:tc>
          <w:tcPr>
            <w:tcW w:w="1512" w:type="dxa"/>
            <w:hideMark/>
          </w:tcPr>
          <w:p w14:paraId="290AFCB3" w14:textId="77777777" w:rsidR="005B35F3" w:rsidRPr="006A2A06" w:rsidRDefault="005B35F3" w:rsidP="00B42243">
            <w:pPr>
              <w:spacing w:after="0"/>
            </w:pPr>
          </w:p>
        </w:tc>
        <w:tc>
          <w:tcPr>
            <w:tcW w:w="2418" w:type="dxa"/>
            <w:hideMark/>
          </w:tcPr>
          <w:p w14:paraId="258D1DAB" w14:textId="77777777" w:rsidR="005B35F3" w:rsidRPr="006A2A06" w:rsidRDefault="005B35F3" w:rsidP="00B42243">
            <w:pPr>
              <w:spacing w:after="0"/>
            </w:pPr>
            <w:r w:rsidRPr="006A2A06">
              <w:t>Not Limited</w:t>
            </w:r>
          </w:p>
        </w:tc>
        <w:tc>
          <w:tcPr>
            <w:tcW w:w="1210" w:type="dxa"/>
            <w:hideMark/>
          </w:tcPr>
          <w:p w14:paraId="31B7FD44" w14:textId="5C8E4395" w:rsidR="005B35F3" w:rsidRPr="006A2A06" w:rsidRDefault="005B35F3" w:rsidP="00B42243">
            <w:pPr>
              <w:spacing w:after="0"/>
              <w:jc w:val="right"/>
            </w:pPr>
            <w:r w:rsidRPr="006A2A06">
              <w:t>9</w:t>
            </w:r>
          </w:p>
        </w:tc>
        <w:tc>
          <w:tcPr>
            <w:tcW w:w="1492" w:type="dxa"/>
            <w:hideMark/>
          </w:tcPr>
          <w:p w14:paraId="7A7BF2DD" w14:textId="4F2A7233" w:rsidR="005B35F3" w:rsidRPr="006A2A06" w:rsidRDefault="005B35F3" w:rsidP="00B42243">
            <w:pPr>
              <w:spacing w:after="0"/>
              <w:jc w:val="right"/>
            </w:pPr>
            <w:r w:rsidRPr="006A2A06">
              <w:t>38</w:t>
            </w:r>
          </w:p>
        </w:tc>
        <w:tc>
          <w:tcPr>
            <w:tcW w:w="1227" w:type="dxa"/>
            <w:hideMark/>
          </w:tcPr>
          <w:p w14:paraId="00210E56" w14:textId="0FBC056D" w:rsidR="005B35F3" w:rsidRPr="006A2A06" w:rsidRDefault="005B35F3" w:rsidP="00B42243">
            <w:pPr>
              <w:spacing w:after="0"/>
              <w:jc w:val="right"/>
            </w:pPr>
            <w:r w:rsidRPr="006A2A06">
              <w:t>52</w:t>
            </w:r>
          </w:p>
        </w:tc>
        <w:tc>
          <w:tcPr>
            <w:tcW w:w="1162" w:type="dxa"/>
            <w:hideMark/>
          </w:tcPr>
          <w:p w14:paraId="0F2FAB13" w14:textId="77777777" w:rsidR="005B35F3" w:rsidRPr="006A2A06" w:rsidRDefault="005B35F3" w:rsidP="00B42243">
            <w:pPr>
              <w:spacing w:after="0"/>
              <w:jc w:val="right"/>
            </w:pPr>
            <w:r w:rsidRPr="006A2A06">
              <w:t>100%</w:t>
            </w:r>
          </w:p>
        </w:tc>
      </w:tr>
      <w:tr w:rsidR="005B35F3" w:rsidRPr="006A2A06" w14:paraId="56D00E3C" w14:textId="77777777" w:rsidTr="005B35F3">
        <w:trPr>
          <w:trHeight w:val="288"/>
        </w:trPr>
        <w:tc>
          <w:tcPr>
            <w:tcW w:w="1512" w:type="dxa"/>
            <w:hideMark/>
          </w:tcPr>
          <w:p w14:paraId="7001F61D" w14:textId="77777777" w:rsidR="005B35F3" w:rsidRPr="006A2A06" w:rsidRDefault="005B35F3" w:rsidP="00B42243">
            <w:pPr>
              <w:spacing w:after="0"/>
            </w:pPr>
            <w:r w:rsidRPr="006A2A06">
              <w:t>2019</w:t>
            </w:r>
          </w:p>
        </w:tc>
        <w:tc>
          <w:tcPr>
            <w:tcW w:w="2418" w:type="dxa"/>
            <w:hideMark/>
          </w:tcPr>
          <w:p w14:paraId="164BA5F5" w14:textId="77777777" w:rsidR="005B35F3" w:rsidRPr="006A2A06" w:rsidRDefault="005B35F3" w:rsidP="00B42243">
            <w:pPr>
              <w:spacing w:after="0"/>
            </w:pPr>
            <w:r w:rsidRPr="006A2A06">
              <w:t>Severely limited</w:t>
            </w:r>
          </w:p>
        </w:tc>
        <w:tc>
          <w:tcPr>
            <w:tcW w:w="1210" w:type="dxa"/>
            <w:hideMark/>
          </w:tcPr>
          <w:p w14:paraId="6F2A5F60" w14:textId="4FA7CF0D" w:rsidR="005B35F3" w:rsidRPr="006A2A06" w:rsidRDefault="005B35F3" w:rsidP="00B42243">
            <w:pPr>
              <w:spacing w:after="0"/>
              <w:jc w:val="right"/>
            </w:pPr>
            <w:r w:rsidRPr="006A2A06">
              <w:t>31</w:t>
            </w:r>
          </w:p>
        </w:tc>
        <w:tc>
          <w:tcPr>
            <w:tcW w:w="1492" w:type="dxa"/>
            <w:hideMark/>
          </w:tcPr>
          <w:p w14:paraId="4799C8A1" w14:textId="73E35604" w:rsidR="005B35F3" w:rsidRPr="006A2A06" w:rsidRDefault="005B35F3" w:rsidP="00B42243">
            <w:pPr>
              <w:spacing w:after="0"/>
              <w:jc w:val="right"/>
            </w:pPr>
            <w:r w:rsidRPr="006A2A06">
              <w:t>39</w:t>
            </w:r>
          </w:p>
        </w:tc>
        <w:tc>
          <w:tcPr>
            <w:tcW w:w="1227" w:type="dxa"/>
            <w:hideMark/>
          </w:tcPr>
          <w:p w14:paraId="71B2B1E9" w14:textId="44D783E7" w:rsidR="005B35F3" w:rsidRPr="006A2A06" w:rsidRDefault="005B35F3" w:rsidP="00B42243">
            <w:pPr>
              <w:spacing w:after="0"/>
              <w:jc w:val="right"/>
            </w:pPr>
            <w:r w:rsidRPr="006A2A06">
              <w:t>30</w:t>
            </w:r>
          </w:p>
        </w:tc>
        <w:tc>
          <w:tcPr>
            <w:tcW w:w="1162" w:type="dxa"/>
            <w:hideMark/>
          </w:tcPr>
          <w:p w14:paraId="6F602749" w14:textId="26D12535" w:rsidR="005B35F3" w:rsidRPr="006A2A06" w:rsidRDefault="005B35F3" w:rsidP="00B42243">
            <w:pPr>
              <w:spacing w:after="0"/>
              <w:jc w:val="right"/>
            </w:pPr>
            <w:r w:rsidRPr="006A2A06">
              <w:t>100</w:t>
            </w:r>
          </w:p>
        </w:tc>
      </w:tr>
      <w:tr w:rsidR="005B35F3" w:rsidRPr="006A2A06" w14:paraId="631FB4BA" w14:textId="77777777" w:rsidTr="005B35F3">
        <w:trPr>
          <w:trHeight w:val="288"/>
        </w:trPr>
        <w:tc>
          <w:tcPr>
            <w:tcW w:w="1512" w:type="dxa"/>
            <w:hideMark/>
          </w:tcPr>
          <w:p w14:paraId="06BEF13C" w14:textId="77777777" w:rsidR="005B35F3" w:rsidRPr="006A2A06" w:rsidRDefault="005B35F3" w:rsidP="00B42243">
            <w:pPr>
              <w:spacing w:after="0"/>
            </w:pPr>
          </w:p>
        </w:tc>
        <w:tc>
          <w:tcPr>
            <w:tcW w:w="2418" w:type="dxa"/>
            <w:hideMark/>
          </w:tcPr>
          <w:p w14:paraId="663951AD" w14:textId="77777777" w:rsidR="005B35F3" w:rsidRPr="006A2A06" w:rsidRDefault="005B35F3" w:rsidP="00B42243">
            <w:pPr>
              <w:spacing w:after="0"/>
            </w:pPr>
            <w:r w:rsidRPr="006A2A06">
              <w:t>Limited, but not severely</w:t>
            </w:r>
          </w:p>
        </w:tc>
        <w:tc>
          <w:tcPr>
            <w:tcW w:w="1210" w:type="dxa"/>
            <w:hideMark/>
          </w:tcPr>
          <w:p w14:paraId="3FFF539B" w14:textId="02E7F4E8" w:rsidR="005B35F3" w:rsidRPr="006A2A06" w:rsidRDefault="005B35F3" w:rsidP="00B42243">
            <w:pPr>
              <w:spacing w:after="0"/>
              <w:jc w:val="right"/>
            </w:pPr>
            <w:r w:rsidRPr="006A2A06">
              <w:t>25</w:t>
            </w:r>
          </w:p>
        </w:tc>
        <w:tc>
          <w:tcPr>
            <w:tcW w:w="1492" w:type="dxa"/>
            <w:hideMark/>
          </w:tcPr>
          <w:p w14:paraId="41374184" w14:textId="36416E3E" w:rsidR="005B35F3" w:rsidRPr="006A2A06" w:rsidRDefault="005B35F3" w:rsidP="00B42243">
            <w:pPr>
              <w:spacing w:after="0"/>
              <w:jc w:val="right"/>
            </w:pPr>
            <w:r w:rsidRPr="006A2A06">
              <w:t>40</w:t>
            </w:r>
          </w:p>
        </w:tc>
        <w:tc>
          <w:tcPr>
            <w:tcW w:w="1227" w:type="dxa"/>
            <w:hideMark/>
          </w:tcPr>
          <w:p w14:paraId="7FD9477B" w14:textId="6638A546" w:rsidR="005B35F3" w:rsidRPr="006A2A06" w:rsidRDefault="005B35F3" w:rsidP="00B42243">
            <w:pPr>
              <w:spacing w:after="0"/>
              <w:jc w:val="right"/>
            </w:pPr>
            <w:r w:rsidRPr="006A2A06">
              <w:t>35</w:t>
            </w:r>
          </w:p>
        </w:tc>
        <w:tc>
          <w:tcPr>
            <w:tcW w:w="1162" w:type="dxa"/>
            <w:hideMark/>
          </w:tcPr>
          <w:p w14:paraId="4D98346A" w14:textId="0C79CB98" w:rsidR="005B35F3" w:rsidRPr="006A2A06" w:rsidRDefault="005B35F3" w:rsidP="00B42243">
            <w:pPr>
              <w:spacing w:after="0"/>
              <w:jc w:val="right"/>
            </w:pPr>
            <w:r w:rsidRPr="006A2A06">
              <w:t>100</w:t>
            </w:r>
          </w:p>
        </w:tc>
      </w:tr>
      <w:tr w:rsidR="005B35F3" w:rsidRPr="006A2A06" w14:paraId="6C2B86CA" w14:textId="77777777" w:rsidTr="005B35F3">
        <w:trPr>
          <w:trHeight w:val="288"/>
        </w:trPr>
        <w:tc>
          <w:tcPr>
            <w:tcW w:w="1512" w:type="dxa"/>
            <w:hideMark/>
          </w:tcPr>
          <w:p w14:paraId="526524D4" w14:textId="77777777" w:rsidR="005B35F3" w:rsidRPr="006A2A06" w:rsidRDefault="005B35F3" w:rsidP="00B42243">
            <w:pPr>
              <w:spacing w:after="0"/>
            </w:pPr>
          </w:p>
        </w:tc>
        <w:tc>
          <w:tcPr>
            <w:tcW w:w="2418" w:type="dxa"/>
            <w:hideMark/>
          </w:tcPr>
          <w:p w14:paraId="0D42AA04" w14:textId="77777777" w:rsidR="005B35F3" w:rsidRPr="006A2A06" w:rsidRDefault="005B35F3" w:rsidP="00B42243">
            <w:pPr>
              <w:spacing w:after="0"/>
            </w:pPr>
            <w:r w:rsidRPr="006A2A06">
              <w:t>Not Limited</w:t>
            </w:r>
          </w:p>
        </w:tc>
        <w:tc>
          <w:tcPr>
            <w:tcW w:w="1210" w:type="dxa"/>
            <w:hideMark/>
          </w:tcPr>
          <w:p w14:paraId="51811C7D" w14:textId="464714A1" w:rsidR="005B35F3" w:rsidRPr="006A2A06" w:rsidRDefault="005B35F3" w:rsidP="00B42243">
            <w:pPr>
              <w:spacing w:after="0"/>
              <w:jc w:val="right"/>
            </w:pPr>
            <w:r w:rsidRPr="006A2A06">
              <w:t>9</w:t>
            </w:r>
          </w:p>
        </w:tc>
        <w:tc>
          <w:tcPr>
            <w:tcW w:w="1492" w:type="dxa"/>
            <w:hideMark/>
          </w:tcPr>
          <w:p w14:paraId="612EDAB9" w14:textId="767F2103" w:rsidR="005B35F3" w:rsidRPr="006A2A06" w:rsidRDefault="005B35F3" w:rsidP="00B42243">
            <w:pPr>
              <w:spacing w:after="0"/>
              <w:jc w:val="right"/>
            </w:pPr>
            <w:r w:rsidRPr="006A2A06">
              <w:t>38</w:t>
            </w:r>
          </w:p>
        </w:tc>
        <w:tc>
          <w:tcPr>
            <w:tcW w:w="1227" w:type="dxa"/>
            <w:hideMark/>
          </w:tcPr>
          <w:p w14:paraId="5D89D9F3" w14:textId="0BC39F89" w:rsidR="005B35F3" w:rsidRPr="006A2A06" w:rsidRDefault="005B35F3" w:rsidP="00B42243">
            <w:pPr>
              <w:spacing w:after="0"/>
              <w:jc w:val="right"/>
            </w:pPr>
            <w:r w:rsidRPr="006A2A06">
              <w:t>53</w:t>
            </w:r>
          </w:p>
        </w:tc>
        <w:tc>
          <w:tcPr>
            <w:tcW w:w="1162" w:type="dxa"/>
            <w:hideMark/>
          </w:tcPr>
          <w:p w14:paraId="0C7B2AF4" w14:textId="66E6F578" w:rsidR="005B35F3" w:rsidRPr="006A2A06" w:rsidRDefault="005B35F3" w:rsidP="00B42243">
            <w:pPr>
              <w:spacing w:after="0"/>
              <w:jc w:val="right"/>
            </w:pPr>
            <w:r w:rsidRPr="006A2A06">
              <w:t>100</w:t>
            </w:r>
          </w:p>
        </w:tc>
      </w:tr>
      <w:tr w:rsidR="005B35F3" w:rsidRPr="006A2A06" w14:paraId="7771677C" w14:textId="77777777" w:rsidTr="005B35F3">
        <w:trPr>
          <w:trHeight w:val="288"/>
        </w:trPr>
        <w:tc>
          <w:tcPr>
            <w:tcW w:w="1512" w:type="dxa"/>
            <w:hideMark/>
          </w:tcPr>
          <w:p w14:paraId="5CDEDD68" w14:textId="77777777" w:rsidR="005B35F3" w:rsidRPr="006A2A06" w:rsidRDefault="005B35F3" w:rsidP="00B42243">
            <w:pPr>
              <w:spacing w:after="0"/>
            </w:pPr>
            <w:r w:rsidRPr="006A2A06">
              <w:t>2020</w:t>
            </w:r>
          </w:p>
        </w:tc>
        <w:tc>
          <w:tcPr>
            <w:tcW w:w="2418" w:type="dxa"/>
            <w:hideMark/>
          </w:tcPr>
          <w:p w14:paraId="6CE0B984" w14:textId="77777777" w:rsidR="005B35F3" w:rsidRPr="006A2A06" w:rsidRDefault="005B35F3" w:rsidP="00B42243">
            <w:pPr>
              <w:spacing w:after="0"/>
            </w:pPr>
            <w:r w:rsidRPr="006A2A06">
              <w:t>Severely limited</w:t>
            </w:r>
          </w:p>
        </w:tc>
        <w:tc>
          <w:tcPr>
            <w:tcW w:w="1210" w:type="dxa"/>
            <w:hideMark/>
          </w:tcPr>
          <w:p w14:paraId="0439FBE3" w14:textId="51BA6BB5" w:rsidR="005B35F3" w:rsidRPr="006A2A06" w:rsidRDefault="005B35F3" w:rsidP="00B42243">
            <w:pPr>
              <w:spacing w:after="0"/>
              <w:jc w:val="right"/>
            </w:pPr>
            <w:r w:rsidRPr="006A2A06">
              <w:t>28</w:t>
            </w:r>
          </w:p>
        </w:tc>
        <w:tc>
          <w:tcPr>
            <w:tcW w:w="1492" w:type="dxa"/>
            <w:hideMark/>
          </w:tcPr>
          <w:p w14:paraId="3F80DB8D" w14:textId="7C098A00" w:rsidR="005B35F3" w:rsidRPr="006A2A06" w:rsidRDefault="005B35F3" w:rsidP="00B42243">
            <w:pPr>
              <w:spacing w:after="0"/>
              <w:jc w:val="right"/>
            </w:pPr>
            <w:r w:rsidRPr="006A2A06">
              <w:t>38</w:t>
            </w:r>
          </w:p>
        </w:tc>
        <w:tc>
          <w:tcPr>
            <w:tcW w:w="1227" w:type="dxa"/>
            <w:hideMark/>
          </w:tcPr>
          <w:p w14:paraId="4D7390E1" w14:textId="49D10B69" w:rsidR="005B35F3" w:rsidRPr="006A2A06" w:rsidRDefault="005B35F3" w:rsidP="00B42243">
            <w:pPr>
              <w:spacing w:after="0"/>
              <w:jc w:val="right"/>
            </w:pPr>
            <w:r w:rsidRPr="006A2A06">
              <w:t>34</w:t>
            </w:r>
          </w:p>
        </w:tc>
        <w:tc>
          <w:tcPr>
            <w:tcW w:w="1162" w:type="dxa"/>
            <w:hideMark/>
          </w:tcPr>
          <w:p w14:paraId="6589EDB7" w14:textId="41B95E9F" w:rsidR="005B35F3" w:rsidRPr="006A2A06" w:rsidRDefault="005B35F3" w:rsidP="00B42243">
            <w:pPr>
              <w:spacing w:after="0"/>
              <w:jc w:val="right"/>
            </w:pPr>
            <w:r w:rsidRPr="006A2A06">
              <w:t>100</w:t>
            </w:r>
          </w:p>
        </w:tc>
      </w:tr>
      <w:tr w:rsidR="005B35F3" w:rsidRPr="006A2A06" w14:paraId="3252D110" w14:textId="77777777" w:rsidTr="005B35F3">
        <w:trPr>
          <w:trHeight w:val="288"/>
        </w:trPr>
        <w:tc>
          <w:tcPr>
            <w:tcW w:w="1512" w:type="dxa"/>
            <w:hideMark/>
          </w:tcPr>
          <w:p w14:paraId="549BF05D" w14:textId="77777777" w:rsidR="005B35F3" w:rsidRPr="006A2A06" w:rsidRDefault="005B35F3" w:rsidP="00B42243">
            <w:pPr>
              <w:spacing w:after="0"/>
            </w:pPr>
          </w:p>
        </w:tc>
        <w:tc>
          <w:tcPr>
            <w:tcW w:w="2418" w:type="dxa"/>
            <w:hideMark/>
          </w:tcPr>
          <w:p w14:paraId="7D610469" w14:textId="77777777" w:rsidR="005B35F3" w:rsidRPr="006A2A06" w:rsidRDefault="005B35F3" w:rsidP="00B42243">
            <w:pPr>
              <w:spacing w:after="0"/>
            </w:pPr>
            <w:r w:rsidRPr="006A2A06">
              <w:t>Limited, but not severely</w:t>
            </w:r>
          </w:p>
        </w:tc>
        <w:tc>
          <w:tcPr>
            <w:tcW w:w="1210" w:type="dxa"/>
            <w:hideMark/>
          </w:tcPr>
          <w:p w14:paraId="0DF32E2D" w14:textId="01C7E1C2" w:rsidR="005B35F3" w:rsidRPr="006A2A06" w:rsidRDefault="005B35F3" w:rsidP="00B42243">
            <w:pPr>
              <w:spacing w:after="0"/>
              <w:jc w:val="right"/>
            </w:pPr>
            <w:r w:rsidRPr="006A2A06">
              <w:t>19</w:t>
            </w:r>
          </w:p>
        </w:tc>
        <w:tc>
          <w:tcPr>
            <w:tcW w:w="1492" w:type="dxa"/>
            <w:hideMark/>
          </w:tcPr>
          <w:p w14:paraId="453F3BE7" w14:textId="4C10BA7B" w:rsidR="005B35F3" w:rsidRPr="006A2A06" w:rsidRDefault="005B35F3" w:rsidP="00B42243">
            <w:pPr>
              <w:spacing w:after="0"/>
              <w:jc w:val="right"/>
            </w:pPr>
            <w:r w:rsidRPr="006A2A06">
              <w:t>35</w:t>
            </w:r>
          </w:p>
        </w:tc>
        <w:tc>
          <w:tcPr>
            <w:tcW w:w="1227" w:type="dxa"/>
            <w:hideMark/>
          </w:tcPr>
          <w:p w14:paraId="25E9F8AB" w14:textId="008F782E" w:rsidR="005B35F3" w:rsidRPr="006A2A06" w:rsidRDefault="005B35F3" w:rsidP="00B42243">
            <w:pPr>
              <w:spacing w:after="0"/>
              <w:jc w:val="right"/>
            </w:pPr>
            <w:r w:rsidRPr="006A2A06">
              <w:t>46</w:t>
            </w:r>
          </w:p>
        </w:tc>
        <w:tc>
          <w:tcPr>
            <w:tcW w:w="1162" w:type="dxa"/>
            <w:hideMark/>
          </w:tcPr>
          <w:p w14:paraId="1BF5733E" w14:textId="77A1BDD0" w:rsidR="005B35F3" w:rsidRPr="006A2A06" w:rsidRDefault="005B35F3" w:rsidP="00B42243">
            <w:pPr>
              <w:spacing w:after="0"/>
              <w:jc w:val="right"/>
            </w:pPr>
            <w:r w:rsidRPr="006A2A06">
              <w:t>100</w:t>
            </w:r>
          </w:p>
        </w:tc>
      </w:tr>
      <w:tr w:rsidR="005B35F3" w:rsidRPr="006A2A06" w14:paraId="3A611707" w14:textId="77777777" w:rsidTr="005B35F3">
        <w:trPr>
          <w:trHeight w:val="288"/>
        </w:trPr>
        <w:tc>
          <w:tcPr>
            <w:tcW w:w="1512" w:type="dxa"/>
            <w:hideMark/>
          </w:tcPr>
          <w:p w14:paraId="2E2B2DDA" w14:textId="77777777" w:rsidR="005B35F3" w:rsidRPr="006A2A06" w:rsidRDefault="005B35F3" w:rsidP="00B42243">
            <w:pPr>
              <w:spacing w:after="0"/>
            </w:pPr>
          </w:p>
        </w:tc>
        <w:tc>
          <w:tcPr>
            <w:tcW w:w="2418" w:type="dxa"/>
            <w:hideMark/>
          </w:tcPr>
          <w:p w14:paraId="498AD245" w14:textId="77777777" w:rsidR="005B35F3" w:rsidRPr="006A2A06" w:rsidRDefault="005B35F3" w:rsidP="00B42243">
            <w:pPr>
              <w:spacing w:after="0"/>
            </w:pPr>
            <w:r w:rsidRPr="006A2A06">
              <w:t>Not Limited</w:t>
            </w:r>
          </w:p>
        </w:tc>
        <w:tc>
          <w:tcPr>
            <w:tcW w:w="1210" w:type="dxa"/>
            <w:hideMark/>
          </w:tcPr>
          <w:p w14:paraId="6DB1853E" w14:textId="79CE2AB8" w:rsidR="005B35F3" w:rsidRPr="006A2A06" w:rsidRDefault="005B35F3" w:rsidP="00B42243">
            <w:pPr>
              <w:spacing w:after="0"/>
              <w:jc w:val="right"/>
            </w:pPr>
            <w:r w:rsidRPr="006A2A06">
              <w:t>5</w:t>
            </w:r>
          </w:p>
        </w:tc>
        <w:tc>
          <w:tcPr>
            <w:tcW w:w="1492" w:type="dxa"/>
            <w:hideMark/>
          </w:tcPr>
          <w:p w14:paraId="4E51961B" w14:textId="5EB573FE" w:rsidR="005B35F3" w:rsidRPr="006A2A06" w:rsidRDefault="005B35F3" w:rsidP="00B42243">
            <w:pPr>
              <w:spacing w:after="0"/>
              <w:jc w:val="right"/>
            </w:pPr>
            <w:r w:rsidRPr="006A2A06">
              <w:t>35</w:t>
            </w:r>
          </w:p>
        </w:tc>
        <w:tc>
          <w:tcPr>
            <w:tcW w:w="1227" w:type="dxa"/>
            <w:hideMark/>
          </w:tcPr>
          <w:p w14:paraId="2AF869F1" w14:textId="50A984BD" w:rsidR="005B35F3" w:rsidRPr="006A2A06" w:rsidRDefault="005B35F3" w:rsidP="00B42243">
            <w:pPr>
              <w:spacing w:after="0"/>
              <w:jc w:val="right"/>
            </w:pPr>
            <w:r w:rsidRPr="006A2A06">
              <w:t>59</w:t>
            </w:r>
          </w:p>
        </w:tc>
        <w:tc>
          <w:tcPr>
            <w:tcW w:w="1162" w:type="dxa"/>
            <w:hideMark/>
          </w:tcPr>
          <w:p w14:paraId="17051E1E" w14:textId="325BF642" w:rsidR="005B35F3" w:rsidRPr="006A2A06" w:rsidRDefault="005B35F3" w:rsidP="00B42243">
            <w:pPr>
              <w:spacing w:after="0"/>
              <w:jc w:val="right"/>
            </w:pPr>
            <w:r w:rsidRPr="006A2A06">
              <w:t>100</w:t>
            </w:r>
          </w:p>
        </w:tc>
      </w:tr>
      <w:tr w:rsidR="005B35F3" w:rsidRPr="006A2A06" w14:paraId="6352A4AA" w14:textId="77777777" w:rsidTr="005B35F3">
        <w:trPr>
          <w:trHeight w:val="288"/>
        </w:trPr>
        <w:tc>
          <w:tcPr>
            <w:tcW w:w="1512" w:type="dxa"/>
            <w:hideMark/>
          </w:tcPr>
          <w:p w14:paraId="39BD2EE0" w14:textId="77777777" w:rsidR="005B35F3" w:rsidRPr="006A2A06" w:rsidRDefault="005B35F3" w:rsidP="00B42243">
            <w:pPr>
              <w:spacing w:after="0"/>
            </w:pPr>
            <w:r w:rsidRPr="006A2A06">
              <w:t>2021</w:t>
            </w:r>
          </w:p>
        </w:tc>
        <w:tc>
          <w:tcPr>
            <w:tcW w:w="2418" w:type="dxa"/>
            <w:hideMark/>
          </w:tcPr>
          <w:p w14:paraId="29BC1E38" w14:textId="77777777" w:rsidR="005B35F3" w:rsidRPr="006A2A06" w:rsidRDefault="005B35F3" w:rsidP="00B42243">
            <w:pPr>
              <w:spacing w:after="0"/>
            </w:pPr>
            <w:r w:rsidRPr="006A2A06">
              <w:t>Severely limited</w:t>
            </w:r>
          </w:p>
        </w:tc>
        <w:tc>
          <w:tcPr>
            <w:tcW w:w="1210" w:type="dxa"/>
            <w:hideMark/>
          </w:tcPr>
          <w:p w14:paraId="30E011D4" w14:textId="5EB7F853" w:rsidR="005B35F3" w:rsidRPr="006A2A06" w:rsidRDefault="005B35F3" w:rsidP="00B42243">
            <w:pPr>
              <w:spacing w:after="0"/>
              <w:jc w:val="right"/>
            </w:pPr>
            <w:r w:rsidRPr="006A2A06">
              <w:t>30</w:t>
            </w:r>
          </w:p>
        </w:tc>
        <w:tc>
          <w:tcPr>
            <w:tcW w:w="1492" w:type="dxa"/>
            <w:hideMark/>
          </w:tcPr>
          <w:p w14:paraId="1F18B06F" w14:textId="2BE80968" w:rsidR="005B35F3" w:rsidRPr="006A2A06" w:rsidRDefault="005B35F3" w:rsidP="00B42243">
            <w:pPr>
              <w:spacing w:after="0"/>
              <w:jc w:val="right"/>
            </w:pPr>
            <w:r w:rsidRPr="006A2A06">
              <w:t>41</w:t>
            </w:r>
          </w:p>
        </w:tc>
        <w:tc>
          <w:tcPr>
            <w:tcW w:w="1227" w:type="dxa"/>
            <w:hideMark/>
          </w:tcPr>
          <w:p w14:paraId="11355191" w14:textId="2DE183CA" w:rsidR="005B35F3" w:rsidRPr="006A2A06" w:rsidRDefault="005B35F3" w:rsidP="00B42243">
            <w:pPr>
              <w:spacing w:after="0"/>
              <w:jc w:val="right"/>
            </w:pPr>
            <w:r w:rsidRPr="006A2A06">
              <w:t>29</w:t>
            </w:r>
          </w:p>
        </w:tc>
        <w:tc>
          <w:tcPr>
            <w:tcW w:w="1162" w:type="dxa"/>
            <w:hideMark/>
          </w:tcPr>
          <w:p w14:paraId="4586E6D7" w14:textId="199DB6D4" w:rsidR="005B35F3" w:rsidRPr="006A2A06" w:rsidRDefault="005B35F3" w:rsidP="00B42243">
            <w:pPr>
              <w:spacing w:after="0"/>
              <w:jc w:val="right"/>
            </w:pPr>
            <w:r w:rsidRPr="006A2A06">
              <w:t>100</w:t>
            </w:r>
          </w:p>
        </w:tc>
      </w:tr>
      <w:tr w:rsidR="005B35F3" w:rsidRPr="006A2A06" w14:paraId="32EE886A" w14:textId="77777777" w:rsidTr="005B35F3">
        <w:trPr>
          <w:trHeight w:val="288"/>
        </w:trPr>
        <w:tc>
          <w:tcPr>
            <w:tcW w:w="1512" w:type="dxa"/>
            <w:hideMark/>
          </w:tcPr>
          <w:p w14:paraId="7483F06F" w14:textId="77777777" w:rsidR="005B35F3" w:rsidRPr="006A2A06" w:rsidRDefault="005B35F3" w:rsidP="00B42243">
            <w:pPr>
              <w:spacing w:after="0"/>
            </w:pPr>
          </w:p>
        </w:tc>
        <w:tc>
          <w:tcPr>
            <w:tcW w:w="2418" w:type="dxa"/>
            <w:hideMark/>
          </w:tcPr>
          <w:p w14:paraId="04ABDAFF" w14:textId="77777777" w:rsidR="005B35F3" w:rsidRPr="006A2A06" w:rsidRDefault="005B35F3" w:rsidP="00B42243">
            <w:pPr>
              <w:spacing w:after="0"/>
            </w:pPr>
            <w:r w:rsidRPr="006A2A06">
              <w:t>Limited, but not severely</w:t>
            </w:r>
          </w:p>
        </w:tc>
        <w:tc>
          <w:tcPr>
            <w:tcW w:w="1210" w:type="dxa"/>
            <w:hideMark/>
          </w:tcPr>
          <w:p w14:paraId="4FFD281A" w14:textId="146E1E6E" w:rsidR="005B35F3" w:rsidRPr="006A2A06" w:rsidRDefault="005B35F3" w:rsidP="00B42243">
            <w:pPr>
              <w:spacing w:after="0"/>
              <w:jc w:val="right"/>
            </w:pPr>
            <w:r w:rsidRPr="006A2A06">
              <w:t>21</w:t>
            </w:r>
          </w:p>
        </w:tc>
        <w:tc>
          <w:tcPr>
            <w:tcW w:w="1492" w:type="dxa"/>
            <w:hideMark/>
          </w:tcPr>
          <w:p w14:paraId="3DF84184" w14:textId="104DCC84" w:rsidR="005B35F3" w:rsidRPr="006A2A06" w:rsidRDefault="005B35F3" w:rsidP="00B42243">
            <w:pPr>
              <w:spacing w:after="0"/>
              <w:jc w:val="right"/>
            </w:pPr>
            <w:r w:rsidRPr="006A2A06">
              <w:t>40</w:t>
            </w:r>
          </w:p>
        </w:tc>
        <w:tc>
          <w:tcPr>
            <w:tcW w:w="1227" w:type="dxa"/>
            <w:hideMark/>
          </w:tcPr>
          <w:p w14:paraId="77F63725" w14:textId="69BB2936" w:rsidR="005B35F3" w:rsidRPr="006A2A06" w:rsidRDefault="005B35F3" w:rsidP="00B42243">
            <w:pPr>
              <w:spacing w:after="0"/>
              <w:jc w:val="right"/>
            </w:pPr>
            <w:r w:rsidRPr="006A2A06">
              <w:t>39</w:t>
            </w:r>
          </w:p>
        </w:tc>
        <w:tc>
          <w:tcPr>
            <w:tcW w:w="1162" w:type="dxa"/>
            <w:hideMark/>
          </w:tcPr>
          <w:p w14:paraId="3BAE909C" w14:textId="62D72C47" w:rsidR="005B35F3" w:rsidRPr="006A2A06" w:rsidRDefault="005B35F3" w:rsidP="00B42243">
            <w:pPr>
              <w:spacing w:after="0"/>
              <w:jc w:val="right"/>
            </w:pPr>
            <w:r w:rsidRPr="006A2A06">
              <w:t>100</w:t>
            </w:r>
          </w:p>
        </w:tc>
      </w:tr>
      <w:tr w:rsidR="005B35F3" w:rsidRPr="006A2A06" w14:paraId="2B090D4E" w14:textId="77777777" w:rsidTr="005B35F3">
        <w:trPr>
          <w:trHeight w:val="288"/>
        </w:trPr>
        <w:tc>
          <w:tcPr>
            <w:tcW w:w="1512" w:type="dxa"/>
            <w:hideMark/>
          </w:tcPr>
          <w:p w14:paraId="03F418E3" w14:textId="77777777" w:rsidR="005B35F3" w:rsidRPr="006A2A06" w:rsidRDefault="005B35F3" w:rsidP="00B42243">
            <w:pPr>
              <w:spacing w:after="0"/>
            </w:pPr>
          </w:p>
        </w:tc>
        <w:tc>
          <w:tcPr>
            <w:tcW w:w="2418" w:type="dxa"/>
            <w:hideMark/>
          </w:tcPr>
          <w:p w14:paraId="466B6FCA" w14:textId="77777777" w:rsidR="005B35F3" w:rsidRPr="006A2A06" w:rsidRDefault="005B35F3" w:rsidP="00B42243">
            <w:pPr>
              <w:spacing w:after="0"/>
            </w:pPr>
            <w:r w:rsidRPr="006A2A06">
              <w:t>Not Limited</w:t>
            </w:r>
          </w:p>
        </w:tc>
        <w:tc>
          <w:tcPr>
            <w:tcW w:w="1210" w:type="dxa"/>
            <w:hideMark/>
          </w:tcPr>
          <w:p w14:paraId="22AC827C" w14:textId="33ED8FA0" w:rsidR="005B35F3" w:rsidRPr="006A2A06" w:rsidRDefault="005B35F3" w:rsidP="00B42243">
            <w:pPr>
              <w:spacing w:after="0"/>
              <w:jc w:val="right"/>
            </w:pPr>
            <w:r w:rsidRPr="006A2A06">
              <w:t>6</w:t>
            </w:r>
          </w:p>
        </w:tc>
        <w:tc>
          <w:tcPr>
            <w:tcW w:w="1492" w:type="dxa"/>
            <w:hideMark/>
          </w:tcPr>
          <w:p w14:paraId="4F168A51" w14:textId="1F9CE5CE" w:rsidR="005B35F3" w:rsidRPr="006A2A06" w:rsidRDefault="005B35F3" w:rsidP="00B42243">
            <w:pPr>
              <w:spacing w:after="0"/>
              <w:jc w:val="right"/>
            </w:pPr>
            <w:r w:rsidRPr="006A2A06">
              <w:t>38</w:t>
            </w:r>
          </w:p>
        </w:tc>
        <w:tc>
          <w:tcPr>
            <w:tcW w:w="1227" w:type="dxa"/>
            <w:hideMark/>
          </w:tcPr>
          <w:p w14:paraId="2EC512E7" w14:textId="7572CFBB" w:rsidR="005B35F3" w:rsidRPr="006A2A06" w:rsidRDefault="005B35F3" w:rsidP="00B42243">
            <w:pPr>
              <w:spacing w:after="0"/>
              <w:jc w:val="right"/>
            </w:pPr>
            <w:r w:rsidRPr="006A2A06">
              <w:t>57</w:t>
            </w:r>
          </w:p>
        </w:tc>
        <w:tc>
          <w:tcPr>
            <w:tcW w:w="1162" w:type="dxa"/>
            <w:hideMark/>
          </w:tcPr>
          <w:p w14:paraId="5972FAB6" w14:textId="1B8D0F09" w:rsidR="005B35F3" w:rsidRPr="006A2A06" w:rsidRDefault="005B35F3" w:rsidP="00B42243">
            <w:pPr>
              <w:spacing w:after="0"/>
              <w:jc w:val="right"/>
            </w:pPr>
            <w:r w:rsidRPr="006A2A06">
              <w:t>100</w:t>
            </w:r>
          </w:p>
        </w:tc>
      </w:tr>
      <w:tr w:rsidR="005B35F3" w:rsidRPr="006A2A06" w14:paraId="613039F0" w14:textId="77777777" w:rsidTr="005B35F3">
        <w:trPr>
          <w:trHeight w:val="288"/>
        </w:trPr>
        <w:tc>
          <w:tcPr>
            <w:tcW w:w="1512" w:type="dxa"/>
            <w:hideMark/>
          </w:tcPr>
          <w:p w14:paraId="1550467A" w14:textId="77777777" w:rsidR="005B35F3" w:rsidRPr="006A2A06" w:rsidRDefault="005B35F3" w:rsidP="00B42243">
            <w:pPr>
              <w:spacing w:after="0"/>
            </w:pPr>
            <w:r w:rsidRPr="006A2A06">
              <w:t>2022</w:t>
            </w:r>
          </w:p>
        </w:tc>
        <w:tc>
          <w:tcPr>
            <w:tcW w:w="2418" w:type="dxa"/>
            <w:hideMark/>
          </w:tcPr>
          <w:p w14:paraId="43AC6154" w14:textId="77777777" w:rsidR="005B35F3" w:rsidRPr="006A2A06" w:rsidRDefault="005B35F3" w:rsidP="00B42243">
            <w:pPr>
              <w:spacing w:after="0"/>
            </w:pPr>
            <w:r w:rsidRPr="006A2A06">
              <w:t>Severely limited</w:t>
            </w:r>
          </w:p>
        </w:tc>
        <w:tc>
          <w:tcPr>
            <w:tcW w:w="1210" w:type="dxa"/>
            <w:hideMark/>
          </w:tcPr>
          <w:p w14:paraId="471EB765" w14:textId="7165DB13" w:rsidR="005B35F3" w:rsidRPr="006A2A06" w:rsidRDefault="005B35F3" w:rsidP="00B42243">
            <w:pPr>
              <w:spacing w:after="0"/>
              <w:jc w:val="right"/>
            </w:pPr>
            <w:r w:rsidRPr="006A2A06">
              <w:t>38</w:t>
            </w:r>
          </w:p>
        </w:tc>
        <w:tc>
          <w:tcPr>
            <w:tcW w:w="1492" w:type="dxa"/>
            <w:hideMark/>
          </w:tcPr>
          <w:p w14:paraId="006E7C68" w14:textId="21204ED3" w:rsidR="005B35F3" w:rsidRPr="006A2A06" w:rsidRDefault="005B35F3" w:rsidP="00B42243">
            <w:pPr>
              <w:spacing w:after="0"/>
              <w:jc w:val="right"/>
            </w:pPr>
            <w:r w:rsidRPr="006A2A06">
              <w:t>38</w:t>
            </w:r>
          </w:p>
        </w:tc>
        <w:tc>
          <w:tcPr>
            <w:tcW w:w="1227" w:type="dxa"/>
            <w:hideMark/>
          </w:tcPr>
          <w:p w14:paraId="29A745AC" w14:textId="3AA1184C" w:rsidR="005B35F3" w:rsidRPr="006A2A06" w:rsidRDefault="005B35F3" w:rsidP="00B42243">
            <w:pPr>
              <w:spacing w:after="0"/>
              <w:jc w:val="right"/>
            </w:pPr>
            <w:r w:rsidRPr="006A2A06">
              <w:t>24</w:t>
            </w:r>
          </w:p>
        </w:tc>
        <w:tc>
          <w:tcPr>
            <w:tcW w:w="1162" w:type="dxa"/>
            <w:hideMark/>
          </w:tcPr>
          <w:p w14:paraId="1128B18D" w14:textId="134A9C14" w:rsidR="005B35F3" w:rsidRPr="006A2A06" w:rsidRDefault="005B35F3" w:rsidP="00B42243">
            <w:pPr>
              <w:spacing w:after="0"/>
              <w:jc w:val="right"/>
            </w:pPr>
            <w:r w:rsidRPr="006A2A06">
              <w:t>100</w:t>
            </w:r>
          </w:p>
        </w:tc>
      </w:tr>
      <w:tr w:rsidR="005B35F3" w:rsidRPr="006A2A06" w14:paraId="0471E50C" w14:textId="77777777" w:rsidTr="005B35F3">
        <w:trPr>
          <w:trHeight w:val="288"/>
        </w:trPr>
        <w:tc>
          <w:tcPr>
            <w:tcW w:w="1512" w:type="dxa"/>
            <w:hideMark/>
          </w:tcPr>
          <w:p w14:paraId="122B87DE" w14:textId="77777777" w:rsidR="005B35F3" w:rsidRPr="006A2A06" w:rsidRDefault="005B35F3" w:rsidP="00B42243">
            <w:pPr>
              <w:spacing w:after="0"/>
            </w:pPr>
          </w:p>
        </w:tc>
        <w:tc>
          <w:tcPr>
            <w:tcW w:w="2418" w:type="dxa"/>
            <w:hideMark/>
          </w:tcPr>
          <w:p w14:paraId="2B07F903" w14:textId="77777777" w:rsidR="005B35F3" w:rsidRPr="006A2A06" w:rsidRDefault="005B35F3" w:rsidP="00B42243">
            <w:pPr>
              <w:spacing w:after="0"/>
            </w:pPr>
            <w:r w:rsidRPr="006A2A06">
              <w:t>Limited, but not severely</w:t>
            </w:r>
          </w:p>
        </w:tc>
        <w:tc>
          <w:tcPr>
            <w:tcW w:w="1210" w:type="dxa"/>
            <w:hideMark/>
          </w:tcPr>
          <w:p w14:paraId="6BE8A5C1" w14:textId="5C42D03C" w:rsidR="005B35F3" w:rsidRPr="006A2A06" w:rsidRDefault="005B35F3" w:rsidP="00B42243">
            <w:pPr>
              <w:spacing w:after="0"/>
              <w:jc w:val="right"/>
            </w:pPr>
            <w:r w:rsidRPr="006A2A06">
              <w:t>19</w:t>
            </w:r>
          </w:p>
        </w:tc>
        <w:tc>
          <w:tcPr>
            <w:tcW w:w="1492" w:type="dxa"/>
            <w:hideMark/>
          </w:tcPr>
          <w:p w14:paraId="572BC9C2" w14:textId="44945392" w:rsidR="005B35F3" w:rsidRPr="006A2A06" w:rsidRDefault="005B35F3" w:rsidP="00B42243">
            <w:pPr>
              <w:spacing w:after="0"/>
              <w:jc w:val="right"/>
            </w:pPr>
            <w:r w:rsidRPr="006A2A06">
              <w:t>40</w:t>
            </w:r>
          </w:p>
        </w:tc>
        <w:tc>
          <w:tcPr>
            <w:tcW w:w="1227" w:type="dxa"/>
            <w:hideMark/>
          </w:tcPr>
          <w:p w14:paraId="45E80000" w14:textId="1396FB51" w:rsidR="005B35F3" w:rsidRPr="006A2A06" w:rsidRDefault="005B35F3" w:rsidP="00B42243">
            <w:pPr>
              <w:spacing w:after="0"/>
              <w:jc w:val="right"/>
            </w:pPr>
            <w:r w:rsidRPr="006A2A06">
              <w:t>41</w:t>
            </w:r>
          </w:p>
        </w:tc>
        <w:tc>
          <w:tcPr>
            <w:tcW w:w="1162" w:type="dxa"/>
            <w:hideMark/>
          </w:tcPr>
          <w:p w14:paraId="7054E8BF" w14:textId="7414AA6D" w:rsidR="005B35F3" w:rsidRPr="006A2A06" w:rsidRDefault="005B35F3" w:rsidP="00B42243">
            <w:pPr>
              <w:spacing w:after="0"/>
              <w:jc w:val="right"/>
            </w:pPr>
            <w:r w:rsidRPr="006A2A06">
              <w:t>100</w:t>
            </w:r>
          </w:p>
        </w:tc>
      </w:tr>
      <w:tr w:rsidR="005B35F3" w:rsidRPr="006A2A06" w14:paraId="19B08AFF" w14:textId="77777777" w:rsidTr="005B35F3">
        <w:trPr>
          <w:trHeight w:val="288"/>
        </w:trPr>
        <w:tc>
          <w:tcPr>
            <w:tcW w:w="1512" w:type="dxa"/>
            <w:hideMark/>
          </w:tcPr>
          <w:p w14:paraId="206CA200" w14:textId="77777777" w:rsidR="005B35F3" w:rsidRPr="006A2A06" w:rsidRDefault="005B35F3" w:rsidP="00B42243">
            <w:pPr>
              <w:spacing w:after="0"/>
            </w:pPr>
          </w:p>
        </w:tc>
        <w:tc>
          <w:tcPr>
            <w:tcW w:w="2418" w:type="dxa"/>
            <w:hideMark/>
          </w:tcPr>
          <w:p w14:paraId="028FAD06" w14:textId="77777777" w:rsidR="005B35F3" w:rsidRPr="006A2A06" w:rsidRDefault="005B35F3" w:rsidP="00B42243">
            <w:pPr>
              <w:spacing w:after="0"/>
            </w:pPr>
            <w:r w:rsidRPr="006A2A06">
              <w:t>Not Limited</w:t>
            </w:r>
          </w:p>
        </w:tc>
        <w:tc>
          <w:tcPr>
            <w:tcW w:w="1210" w:type="dxa"/>
            <w:hideMark/>
          </w:tcPr>
          <w:p w14:paraId="5CED7C8B" w14:textId="4DC72491" w:rsidR="005B35F3" w:rsidRPr="006A2A06" w:rsidRDefault="005B35F3" w:rsidP="00B42243">
            <w:pPr>
              <w:spacing w:after="0"/>
              <w:jc w:val="right"/>
            </w:pPr>
            <w:r w:rsidRPr="006A2A06">
              <w:t>5</w:t>
            </w:r>
          </w:p>
        </w:tc>
        <w:tc>
          <w:tcPr>
            <w:tcW w:w="1492" w:type="dxa"/>
            <w:hideMark/>
          </w:tcPr>
          <w:p w14:paraId="1DCFD7A3" w14:textId="74EC97D5" w:rsidR="005B35F3" w:rsidRPr="006A2A06" w:rsidRDefault="005B35F3" w:rsidP="00B42243">
            <w:pPr>
              <w:spacing w:after="0"/>
              <w:jc w:val="right"/>
            </w:pPr>
            <w:r w:rsidRPr="006A2A06">
              <w:t>37</w:t>
            </w:r>
          </w:p>
        </w:tc>
        <w:tc>
          <w:tcPr>
            <w:tcW w:w="1227" w:type="dxa"/>
            <w:hideMark/>
          </w:tcPr>
          <w:p w14:paraId="49904B5A" w14:textId="0D462AC3" w:rsidR="005B35F3" w:rsidRPr="006A2A06" w:rsidRDefault="005B35F3" w:rsidP="00B42243">
            <w:pPr>
              <w:spacing w:after="0"/>
              <w:jc w:val="right"/>
            </w:pPr>
            <w:r w:rsidRPr="006A2A06">
              <w:t>57</w:t>
            </w:r>
          </w:p>
        </w:tc>
        <w:tc>
          <w:tcPr>
            <w:tcW w:w="1162" w:type="dxa"/>
            <w:hideMark/>
          </w:tcPr>
          <w:p w14:paraId="3FA78BF2" w14:textId="708A47CC" w:rsidR="005B35F3" w:rsidRPr="006A2A06" w:rsidRDefault="005B35F3" w:rsidP="00B42243">
            <w:pPr>
              <w:spacing w:after="0"/>
              <w:jc w:val="right"/>
            </w:pPr>
            <w:r w:rsidRPr="006A2A06">
              <w:t>100</w:t>
            </w:r>
          </w:p>
        </w:tc>
      </w:tr>
      <w:tr w:rsidR="005B35F3" w:rsidRPr="006A2A06" w14:paraId="453BF9C2" w14:textId="77777777" w:rsidTr="005B35F3">
        <w:trPr>
          <w:trHeight w:val="288"/>
        </w:trPr>
        <w:tc>
          <w:tcPr>
            <w:tcW w:w="1512" w:type="dxa"/>
            <w:hideMark/>
          </w:tcPr>
          <w:p w14:paraId="24D12870" w14:textId="77777777" w:rsidR="005B35F3" w:rsidRPr="006A2A06" w:rsidRDefault="005B35F3" w:rsidP="00B42243">
            <w:pPr>
              <w:spacing w:after="0"/>
            </w:pPr>
            <w:r w:rsidRPr="006A2A06">
              <w:t>2023</w:t>
            </w:r>
          </w:p>
        </w:tc>
        <w:tc>
          <w:tcPr>
            <w:tcW w:w="2418" w:type="dxa"/>
            <w:hideMark/>
          </w:tcPr>
          <w:p w14:paraId="07091553" w14:textId="77777777" w:rsidR="005B35F3" w:rsidRPr="006A2A06" w:rsidRDefault="005B35F3" w:rsidP="00B42243">
            <w:pPr>
              <w:spacing w:after="0"/>
            </w:pPr>
            <w:r w:rsidRPr="006A2A06">
              <w:t>Severely limited</w:t>
            </w:r>
          </w:p>
        </w:tc>
        <w:tc>
          <w:tcPr>
            <w:tcW w:w="1210" w:type="dxa"/>
            <w:hideMark/>
          </w:tcPr>
          <w:p w14:paraId="0283D351" w14:textId="56715164" w:rsidR="005B35F3" w:rsidRPr="006A2A06" w:rsidRDefault="005B35F3" w:rsidP="00B42243">
            <w:pPr>
              <w:spacing w:after="0"/>
              <w:jc w:val="right"/>
            </w:pPr>
            <w:r w:rsidRPr="006A2A06">
              <w:t>32</w:t>
            </w:r>
          </w:p>
        </w:tc>
        <w:tc>
          <w:tcPr>
            <w:tcW w:w="1492" w:type="dxa"/>
            <w:hideMark/>
          </w:tcPr>
          <w:p w14:paraId="164E8CD1" w14:textId="16C338A2" w:rsidR="005B35F3" w:rsidRPr="006A2A06" w:rsidRDefault="005B35F3" w:rsidP="00B42243">
            <w:pPr>
              <w:spacing w:after="0"/>
              <w:jc w:val="right"/>
            </w:pPr>
            <w:r w:rsidRPr="006A2A06">
              <w:t>39</w:t>
            </w:r>
          </w:p>
        </w:tc>
        <w:tc>
          <w:tcPr>
            <w:tcW w:w="1227" w:type="dxa"/>
            <w:hideMark/>
          </w:tcPr>
          <w:p w14:paraId="5E7CDEDB" w14:textId="6723F593" w:rsidR="005B35F3" w:rsidRPr="006A2A06" w:rsidRDefault="005B35F3" w:rsidP="00B42243">
            <w:pPr>
              <w:spacing w:after="0"/>
              <w:jc w:val="right"/>
            </w:pPr>
            <w:r w:rsidRPr="006A2A06">
              <w:t>29</w:t>
            </w:r>
          </w:p>
        </w:tc>
        <w:tc>
          <w:tcPr>
            <w:tcW w:w="1162" w:type="dxa"/>
            <w:hideMark/>
          </w:tcPr>
          <w:p w14:paraId="777E597D" w14:textId="25D1C2C7" w:rsidR="005B35F3" w:rsidRPr="006A2A06" w:rsidRDefault="005B35F3" w:rsidP="00B42243">
            <w:pPr>
              <w:spacing w:after="0"/>
              <w:jc w:val="right"/>
            </w:pPr>
            <w:r w:rsidRPr="006A2A06">
              <w:t>100</w:t>
            </w:r>
          </w:p>
        </w:tc>
      </w:tr>
      <w:tr w:rsidR="005B35F3" w:rsidRPr="006A2A06" w14:paraId="0CFA780D" w14:textId="77777777" w:rsidTr="005B35F3">
        <w:trPr>
          <w:trHeight w:val="288"/>
        </w:trPr>
        <w:tc>
          <w:tcPr>
            <w:tcW w:w="1512" w:type="dxa"/>
            <w:hideMark/>
          </w:tcPr>
          <w:p w14:paraId="28E9704E" w14:textId="77777777" w:rsidR="005B35F3" w:rsidRPr="006A2A06" w:rsidRDefault="005B35F3" w:rsidP="00B42243">
            <w:pPr>
              <w:spacing w:after="0"/>
            </w:pPr>
          </w:p>
        </w:tc>
        <w:tc>
          <w:tcPr>
            <w:tcW w:w="2418" w:type="dxa"/>
            <w:hideMark/>
          </w:tcPr>
          <w:p w14:paraId="1E86183C" w14:textId="77777777" w:rsidR="005B35F3" w:rsidRPr="006A2A06" w:rsidRDefault="005B35F3" w:rsidP="00B42243">
            <w:pPr>
              <w:spacing w:after="0"/>
            </w:pPr>
            <w:r w:rsidRPr="006A2A06">
              <w:t>Limited, but not severely</w:t>
            </w:r>
          </w:p>
        </w:tc>
        <w:tc>
          <w:tcPr>
            <w:tcW w:w="1210" w:type="dxa"/>
            <w:hideMark/>
          </w:tcPr>
          <w:p w14:paraId="195C7C9B" w14:textId="3AFA3E18" w:rsidR="005B35F3" w:rsidRPr="006A2A06" w:rsidRDefault="005B35F3" w:rsidP="00B42243">
            <w:pPr>
              <w:spacing w:after="0"/>
              <w:jc w:val="right"/>
            </w:pPr>
            <w:r w:rsidRPr="006A2A06">
              <w:t>19</w:t>
            </w:r>
          </w:p>
        </w:tc>
        <w:tc>
          <w:tcPr>
            <w:tcW w:w="1492" w:type="dxa"/>
            <w:hideMark/>
          </w:tcPr>
          <w:p w14:paraId="0C2512BD" w14:textId="5225E7B3" w:rsidR="005B35F3" w:rsidRPr="006A2A06" w:rsidRDefault="005B35F3" w:rsidP="00B42243">
            <w:pPr>
              <w:spacing w:after="0"/>
              <w:jc w:val="right"/>
            </w:pPr>
            <w:r w:rsidRPr="006A2A06">
              <w:t>38</w:t>
            </w:r>
          </w:p>
        </w:tc>
        <w:tc>
          <w:tcPr>
            <w:tcW w:w="1227" w:type="dxa"/>
            <w:hideMark/>
          </w:tcPr>
          <w:p w14:paraId="054C9AA1" w14:textId="1732CECC" w:rsidR="005B35F3" w:rsidRPr="006A2A06" w:rsidRDefault="005B35F3" w:rsidP="00B42243">
            <w:pPr>
              <w:spacing w:after="0"/>
              <w:jc w:val="right"/>
            </w:pPr>
            <w:r w:rsidRPr="006A2A06">
              <w:t>43</w:t>
            </w:r>
          </w:p>
        </w:tc>
        <w:tc>
          <w:tcPr>
            <w:tcW w:w="1162" w:type="dxa"/>
            <w:hideMark/>
          </w:tcPr>
          <w:p w14:paraId="66D4CE47" w14:textId="03CF1E27" w:rsidR="005B35F3" w:rsidRPr="006A2A06" w:rsidRDefault="005B35F3" w:rsidP="00B42243">
            <w:pPr>
              <w:spacing w:after="0"/>
              <w:jc w:val="right"/>
            </w:pPr>
            <w:r w:rsidRPr="006A2A06">
              <w:t>100</w:t>
            </w:r>
          </w:p>
        </w:tc>
      </w:tr>
      <w:tr w:rsidR="005B35F3" w:rsidRPr="006A2A06" w14:paraId="503ADB58" w14:textId="77777777" w:rsidTr="005B35F3">
        <w:trPr>
          <w:trHeight w:val="288"/>
        </w:trPr>
        <w:tc>
          <w:tcPr>
            <w:tcW w:w="1512" w:type="dxa"/>
            <w:hideMark/>
          </w:tcPr>
          <w:p w14:paraId="7FDC40AB" w14:textId="77777777" w:rsidR="005B35F3" w:rsidRPr="006A2A06" w:rsidRDefault="005B35F3" w:rsidP="00B42243">
            <w:pPr>
              <w:spacing w:after="0"/>
            </w:pPr>
          </w:p>
        </w:tc>
        <w:tc>
          <w:tcPr>
            <w:tcW w:w="2418" w:type="dxa"/>
            <w:hideMark/>
          </w:tcPr>
          <w:p w14:paraId="3FA9D7EF" w14:textId="77777777" w:rsidR="005B35F3" w:rsidRPr="006A2A06" w:rsidRDefault="005B35F3" w:rsidP="00B42243">
            <w:pPr>
              <w:spacing w:after="0"/>
            </w:pPr>
            <w:r w:rsidRPr="006A2A06">
              <w:t>Not Limited</w:t>
            </w:r>
          </w:p>
        </w:tc>
        <w:tc>
          <w:tcPr>
            <w:tcW w:w="1210" w:type="dxa"/>
            <w:hideMark/>
          </w:tcPr>
          <w:p w14:paraId="71CDB062" w14:textId="6B417C85" w:rsidR="005B35F3" w:rsidRPr="006A2A06" w:rsidRDefault="005B35F3" w:rsidP="00B42243">
            <w:pPr>
              <w:spacing w:after="0"/>
              <w:jc w:val="right"/>
            </w:pPr>
            <w:r w:rsidRPr="006A2A06">
              <w:t>5</w:t>
            </w:r>
          </w:p>
        </w:tc>
        <w:tc>
          <w:tcPr>
            <w:tcW w:w="1492" w:type="dxa"/>
            <w:hideMark/>
          </w:tcPr>
          <w:p w14:paraId="7AF48128" w14:textId="40A7B2A7" w:rsidR="005B35F3" w:rsidRPr="006A2A06" w:rsidRDefault="005B35F3" w:rsidP="00B42243">
            <w:pPr>
              <w:spacing w:after="0"/>
              <w:jc w:val="right"/>
            </w:pPr>
            <w:r w:rsidRPr="006A2A06">
              <w:t>38</w:t>
            </w:r>
          </w:p>
        </w:tc>
        <w:tc>
          <w:tcPr>
            <w:tcW w:w="1227" w:type="dxa"/>
            <w:hideMark/>
          </w:tcPr>
          <w:p w14:paraId="110BC88E" w14:textId="3616DD00" w:rsidR="005B35F3" w:rsidRPr="006A2A06" w:rsidRDefault="005B35F3" w:rsidP="00B42243">
            <w:pPr>
              <w:spacing w:after="0"/>
              <w:jc w:val="right"/>
            </w:pPr>
            <w:r w:rsidRPr="006A2A06">
              <w:t>57</w:t>
            </w:r>
          </w:p>
        </w:tc>
        <w:tc>
          <w:tcPr>
            <w:tcW w:w="1162" w:type="dxa"/>
            <w:hideMark/>
          </w:tcPr>
          <w:p w14:paraId="0C19AE28" w14:textId="61B80CBB" w:rsidR="005B35F3" w:rsidRPr="006A2A06" w:rsidRDefault="005B35F3" w:rsidP="00B42243">
            <w:pPr>
              <w:spacing w:after="0"/>
              <w:jc w:val="right"/>
            </w:pPr>
            <w:r w:rsidRPr="006A2A06">
              <w:t>100</w:t>
            </w:r>
          </w:p>
        </w:tc>
      </w:tr>
    </w:tbl>
    <w:p w14:paraId="18399DD3" w14:textId="27F7E22A" w:rsidR="00680CE4" w:rsidRPr="00380BD7" w:rsidRDefault="00380BD7" w:rsidP="00380BD7">
      <w:pPr>
        <w:jc w:val="center"/>
        <w:rPr>
          <w:sz w:val="22"/>
          <w:szCs w:val="22"/>
        </w:rPr>
      </w:pPr>
      <w:r w:rsidRPr="00380BD7">
        <w:rPr>
          <w:sz w:val="22"/>
          <w:szCs w:val="22"/>
        </w:rPr>
        <w:t>Source: Survey on Income and Living Conditions (SILC). Data provided by the CSO.</w:t>
      </w:r>
    </w:p>
    <w:p w14:paraId="7E2222F7" w14:textId="723472CD" w:rsidR="00680CE4" w:rsidRPr="00D43799" w:rsidRDefault="00253FDA" w:rsidP="00680CE4">
      <w:r>
        <w:fldChar w:fldCharType="begin"/>
      </w:r>
      <w:r>
        <w:instrText xml:space="preserve"> REF _Ref179895659 \h </w:instrText>
      </w:r>
      <w:r>
        <w:fldChar w:fldCharType="separate"/>
      </w:r>
      <w:r w:rsidR="009C4192">
        <w:t xml:space="preserve">Table </w:t>
      </w:r>
      <w:r w:rsidR="009C4192">
        <w:rPr>
          <w:noProof/>
        </w:rPr>
        <w:t>4</w:t>
      </w:r>
      <w:r>
        <w:fldChar w:fldCharType="end"/>
      </w:r>
      <w:r>
        <w:t xml:space="preserve"> </w:t>
      </w:r>
      <w:r w:rsidR="00680CE4">
        <w:t>shows educational attainment by disability status</w:t>
      </w:r>
      <w:r w:rsidR="00D713B5">
        <w:t xml:space="preserve"> in Census 2022</w:t>
      </w:r>
      <w:r w:rsidR="00680CE4">
        <w:t xml:space="preserve">. </w:t>
      </w:r>
      <w:r w:rsidR="00D713B5">
        <w:t>Echoing the</w:t>
      </w:r>
      <w:r w:rsidR="00C51AAF">
        <w:t xml:space="preserve"> SILC</w:t>
      </w:r>
      <w:r w:rsidR="00680CE4">
        <w:t xml:space="preserve"> data</w:t>
      </w:r>
      <w:r w:rsidR="00D713B5">
        <w:t xml:space="preserve"> reported above</w:t>
      </w:r>
      <w:r w:rsidR="00680CE4">
        <w:t xml:space="preserve">, </w:t>
      </w:r>
      <w:r w:rsidR="00C51AAF">
        <w:t>the</w:t>
      </w:r>
      <w:r w:rsidR="00D713B5">
        <w:t xml:space="preserve"> latest</w:t>
      </w:r>
      <w:r w:rsidR="00C51AAF">
        <w:t xml:space="preserve"> Census shows</w:t>
      </w:r>
      <w:r w:rsidR="00680CE4">
        <w:t xml:space="preserve"> that there remains a substantial educational attainment gap between people with and without disabilities</w:t>
      </w:r>
      <w:r w:rsidR="00C12D83">
        <w:t xml:space="preserve"> in Ireland</w:t>
      </w:r>
      <w:r w:rsidR="00680CE4">
        <w:t xml:space="preserve">. </w:t>
      </w:r>
      <w:bookmarkStart w:id="102" w:name="_Hlk155951039"/>
      <w:r w:rsidR="00680CE4" w:rsidRPr="00D43799">
        <w:t>In 2022, 6.5% of people without a disability</w:t>
      </w:r>
      <w:r w:rsidR="00D87B33">
        <w:t xml:space="preserve"> (over the age of 15 and who had ceased education)</w:t>
      </w:r>
      <w:r w:rsidR="00680CE4" w:rsidRPr="00D43799">
        <w:t xml:space="preserve"> had no formal education or had primary education as their highest level of education. This rises to 14.3% of people with </w:t>
      </w:r>
      <w:r w:rsidR="00B76FAC">
        <w:t>a disability</w:t>
      </w:r>
      <w:r w:rsidR="00680CE4" w:rsidRPr="00D43799">
        <w:t xml:space="preserve"> to some extent and to 27.8% of people with </w:t>
      </w:r>
      <w:r w:rsidR="00B76FAC">
        <w:t xml:space="preserve">a disability </w:t>
      </w:r>
      <w:r w:rsidR="00680CE4" w:rsidRPr="00D43799">
        <w:t xml:space="preserve">to a great extent (19.3% of people with </w:t>
      </w:r>
      <w:r w:rsidR="00B76FAC">
        <w:t>a disability</w:t>
      </w:r>
      <w:r w:rsidR="00680CE4" w:rsidRPr="00D43799">
        <w:t xml:space="preserve"> to any extent). </w:t>
      </w:r>
      <w:bookmarkEnd w:id="102"/>
    </w:p>
    <w:p w14:paraId="6E0A1F99" w14:textId="4FDAECE7" w:rsidR="00680CE4" w:rsidRDefault="00680CE4" w:rsidP="00680CE4">
      <w:r w:rsidRPr="00D43799">
        <w:t>Further, 28.5% of people without disabilities ha</w:t>
      </w:r>
      <w:r w:rsidR="00E70FCA">
        <w:t>d</w:t>
      </w:r>
      <w:r w:rsidRPr="00D43799">
        <w:t xml:space="preserve"> an honours </w:t>
      </w:r>
      <w:r w:rsidR="00C12D83" w:rsidRPr="00D43799">
        <w:t>bachelor’s</w:t>
      </w:r>
      <w:r w:rsidRPr="00D43799">
        <w:t xml:space="preserve"> degree (or equivalent) or higher, compared to 22.3% of people with a disability to some extent, and just 10.3% of people with </w:t>
      </w:r>
      <w:r w:rsidR="00C5234F">
        <w:t>a disability</w:t>
      </w:r>
      <w:r w:rsidRPr="00D43799">
        <w:t xml:space="preserve"> to a great extent (17.7% of people with </w:t>
      </w:r>
      <w:r w:rsidR="00C5234F">
        <w:t>a disability</w:t>
      </w:r>
      <w:r w:rsidRPr="00D43799">
        <w:t xml:space="preserve"> to any extent</w:t>
      </w:r>
      <w:r w:rsidR="00C5234F">
        <w:t>)</w:t>
      </w:r>
      <w:r w:rsidR="00B00A07">
        <w:t>.</w:t>
      </w:r>
    </w:p>
    <w:p w14:paraId="26B077C8" w14:textId="7E9B9B66" w:rsidR="00253FDA" w:rsidRDefault="00253FDA" w:rsidP="00253FDA">
      <w:pPr>
        <w:pStyle w:val="Caption"/>
        <w:keepNext/>
      </w:pPr>
      <w:bookmarkStart w:id="103" w:name="_Ref179895659"/>
      <w:bookmarkStart w:id="104" w:name="_Toc182219708"/>
      <w:r>
        <w:t xml:space="preserve">Table </w:t>
      </w:r>
      <w:r>
        <w:fldChar w:fldCharType="begin"/>
      </w:r>
      <w:r>
        <w:instrText xml:space="preserve"> SEQ Table \* ARABIC </w:instrText>
      </w:r>
      <w:r>
        <w:fldChar w:fldCharType="separate"/>
      </w:r>
      <w:r w:rsidR="009C4192">
        <w:rPr>
          <w:noProof/>
        </w:rPr>
        <w:t>4</w:t>
      </w:r>
      <w:r>
        <w:fldChar w:fldCharType="end"/>
      </w:r>
      <w:bookmarkEnd w:id="103"/>
      <w:r>
        <w:t xml:space="preserve">: </w:t>
      </w:r>
      <w:r w:rsidRPr="00D43799">
        <w:t>Population aged 15 years and over with and without a disability by highest level of education completed</w:t>
      </w:r>
      <w:bookmarkEnd w:id="104"/>
    </w:p>
    <w:tbl>
      <w:tblPr>
        <w:tblStyle w:val="TableGrid"/>
        <w:tblW w:w="5473" w:type="pct"/>
        <w:tblInd w:w="-289" w:type="dxa"/>
        <w:tblLayout w:type="fixed"/>
        <w:tblLook w:val="04A0" w:firstRow="1" w:lastRow="0" w:firstColumn="1" w:lastColumn="0" w:noHBand="0" w:noVBand="1"/>
      </w:tblPr>
      <w:tblGrid>
        <w:gridCol w:w="3157"/>
        <w:gridCol w:w="1678"/>
        <w:gridCol w:w="1678"/>
        <w:gridCol w:w="1678"/>
        <w:gridCol w:w="1678"/>
      </w:tblGrid>
      <w:tr w:rsidR="00680CE4" w:rsidRPr="00D43799" w14:paraId="53E00FA8" w14:textId="77777777" w:rsidTr="001F432A">
        <w:trPr>
          <w:trHeight w:val="435"/>
        </w:trPr>
        <w:tc>
          <w:tcPr>
            <w:tcW w:w="1600" w:type="pct"/>
            <w:noWrap/>
            <w:hideMark/>
          </w:tcPr>
          <w:p w14:paraId="0B8F9621" w14:textId="77777777" w:rsidR="00680CE4" w:rsidRPr="00D43799" w:rsidRDefault="00680CE4" w:rsidP="00B42243">
            <w:pPr>
              <w:spacing w:after="0"/>
              <w:rPr>
                <w:b/>
              </w:rPr>
            </w:pPr>
            <w:bookmarkStart w:id="105" w:name="_Hlk155950069"/>
            <w:r w:rsidRPr="00D43799">
              <w:rPr>
                <w:b/>
              </w:rPr>
              <w:t>Highest level of education</w:t>
            </w:r>
          </w:p>
        </w:tc>
        <w:tc>
          <w:tcPr>
            <w:tcW w:w="850" w:type="pct"/>
            <w:noWrap/>
            <w:hideMark/>
          </w:tcPr>
          <w:p w14:paraId="1E7F25DD" w14:textId="3315BE82" w:rsidR="00680CE4" w:rsidRPr="00D43799" w:rsidRDefault="00680CE4" w:rsidP="00B42243">
            <w:pPr>
              <w:spacing w:after="0"/>
              <w:jc w:val="right"/>
              <w:rPr>
                <w:b/>
              </w:rPr>
            </w:pPr>
            <w:r w:rsidRPr="00D43799">
              <w:rPr>
                <w:b/>
              </w:rPr>
              <w:t>People without disabilities</w:t>
            </w:r>
            <w:r w:rsidR="00BC49B4">
              <w:rPr>
                <w:b/>
              </w:rPr>
              <w:t xml:space="preserve"> %</w:t>
            </w:r>
          </w:p>
        </w:tc>
        <w:tc>
          <w:tcPr>
            <w:tcW w:w="850" w:type="pct"/>
            <w:noWrap/>
            <w:hideMark/>
          </w:tcPr>
          <w:p w14:paraId="0EDC59C4" w14:textId="61C00A2B" w:rsidR="00680CE4" w:rsidRPr="00D43799" w:rsidRDefault="00680CE4" w:rsidP="00B42243">
            <w:pPr>
              <w:spacing w:after="0"/>
              <w:jc w:val="right"/>
              <w:rPr>
                <w:b/>
              </w:rPr>
            </w:pPr>
            <w:r w:rsidRPr="00D43799">
              <w:rPr>
                <w:b/>
              </w:rPr>
              <w:t>People with disabilities</w:t>
            </w:r>
            <w:r>
              <w:rPr>
                <w:b/>
              </w:rPr>
              <w:t xml:space="preserve"> </w:t>
            </w:r>
            <w:r w:rsidRPr="00D43799">
              <w:rPr>
                <w:b/>
              </w:rPr>
              <w:t>to any extent</w:t>
            </w:r>
            <w:r w:rsidR="00BC49B4">
              <w:rPr>
                <w:b/>
              </w:rPr>
              <w:t xml:space="preserve"> %</w:t>
            </w:r>
          </w:p>
        </w:tc>
        <w:tc>
          <w:tcPr>
            <w:tcW w:w="850" w:type="pct"/>
          </w:tcPr>
          <w:p w14:paraId="366C7CCF" w14:textId="645CC92C" w:rsidR="00680CE4" w:rsidRPr="00D43799" w:rsidRDefault="00680CE4" w:rsidP="00B42243">
            <w:pPr>
              <w:spacing w:after="0"/>
              <w:jc w:val="right"/>
              <w:rPr>
                <w:b/>
              </w:rPr>
            </w:pPr>
            <w:r w:rsidRPr="00D43799">
              <w:rPr>
                <w:b/>
              </w:rPr>
              <w:t>People with disabilities to some extent</w:t>
            </w:r>
            <w:r w:rsidR="00BC49B4">
              <w:rPr>
                <w:b/>
              </w:rPr>
              <w:t xml:space="preserve"> %</w:t>
            </w:r>
          </w:p>
        </w:tc>
        <w:tc>
          <w:tcPr>
            <w:tcW w:w="850" w:type="pct"/>
          </w:tcPr>
          <w:p w14:paraId="7AFCEB69" w14:textId="33423C24" w:rsidR="00680CE4" w:rsidRPr="00D43799" w:rsidRDefault="00680CE4" w:rsidP="00B42243">
            <w:pPr>
              <w:spacing w:after="0"/>
              <w:jc w:val="right"/>
              <w:rPr>
                <w:b/>
              </w:rPr>
            </w:pPr>
            <w:r w:rsidRPr="00D43799">
              <w:rPr>
                <w:b/>
              </w:rPr>
              <w:t>People with disabilities</w:t>
            </w:r>
            <w:r>
              <w:rPr>
                <w:b/>
              </w:rPr>
              <w:t xml:space="preserve"> </w:t>
            </w:r>
            <w:r w:rsidRPr="00D43799">
              <w:rPr>
                <w:b/>
              </w:rPr>
              <w:t>to a great extent</w:t>
            </w:r>
            <w:r w:rsidR="00BC49B4">
              <w:rPr>
                <w:b/>
              </w:rPr>
              <w:t xml:space="preserve"> %</w:t>
            </w:r>
          </w:p>
        </w:tc>
      </w:tr>
      <w:tr w:rsidR="00680CE4" w:rsidRPr="00D43799" w14:paraId="5BEC2EBF" w14:textId="77777777" w:rsidTr="001F432A">
        <w:trPr>
          <w:trHeight w:val="435"/>
        </w:trPr>
        <w:tc>
          <w:tcPr>
            <w:tcW w:w="1600" w:type="pct"/>
            <w:noWrap/>
            <w:hideMark/>
          </w:tcPr>
          <w:p w14:paraId="55C58B41" w14:textId="77777777" w:rsidR="00680CE4" w:rsidRPr="00D43799" w:rsidRDefault="00680CE4" w:rsidP="00640F70">
            <w:pPr>
              <w:spacing w:after="0"/>
            </w:pPr>
            <w:r w:rsidRPr="00D43799">
              <w:t>No formal education</w:t>
            </w:r>
          </w:p>
        </w:tc>
        <w:tc>
          <w:tcPr>
            <w:tcW w:w="850" w:type="pct"/>
            <w:noWrap/>
          </w:tcPr>
          <w:p w14:paraId="167C13AF" w14:textId="77777777" w:rsidR="00680CE4" w:rsidRPr="00D43799" w:rsidRDefault="00680CE4" w:rsidP="00640F70">
            <w:pPr>
              <w:spacing w:after="0"/>
              <w:jc w:val="right"/>
            </w:pPr>
            <w:r w:rsidRPr="00D43799">
              <w:t>1.5</w:t>
            </w:r>
          </w:p>
        </w:tc>
        <w:tc>
          <w:tcPr>
            <w:tcW w:w="850" w:type="pct"/>
            <w:noWrap/>
            <w:hideMark/>
          </w:tcPr>
          <w:p w14:paraId="310BD699" w14:textId="77777777" w:rsidR="00680CE4" w:rsidRPr="00D43799" w:rsidRDefault="00680CE4" w:rsidP="00640F70">
            <w:pPr>
              <w:spacing w:after="0"/>
              <w:jc w:val="right"/>
            </w:pPr>
            <w:r w:rsidRPr="00D43799">
              <w:t>4.9</w:t>
            </w:r>
          </w:p>
        </w:tc>
        <w:tc>
          <w:tcPr>
            <w:tcW w:w="850" w:type="pct"/>
          </w:tcPr>
          <w:p w14:paraId="2E348400" w14:textId="77777777" w:rsidR="00680CE4" w:rsidRPr="00D43799" w:rsidRDefault="00680CE4" w:rsidP="00640F70">
            <w:pPr>
              <w:spacing w:after="0"/>
              <w:jc w:val="right"/>
            </w:pPr>
            <w:r w:rsidRPr="00D43799">
              <w:t>2.9</w:t>
            </w:r>
          </w:p>
        </w:tc>
        <w:tc>
          <w:tcPr>
            <w:tcW w:w="850" w:type="pct"/>
          </w:tcPr>
          <w:p w14:paraId="2FB8B45D" w14:textId="77777777" w:rsidR="00680CE4" w:rsidRPr="00D43799" w:rsidRDefault="00680CE4" w:rsidP="00640F70">
            <w:pPr>
              <w:spacing w:after="0"/>
              <w:jc w:val="right"/>
            </w:pPr>
            <w:r w:rsidRPr="00D43799">
              <w:t>8.4</w:t>
            </w:r>
          </w:p>
        </w:tc>
      </w:tr>
      <w:tr w:rsidR="00680CE4" w:rsidRPr="00D43799" w14:paraId="77076B45" w14:textId="77777777" w:rsidTr="001F432A">
        <w:trPr>
          <w:trHeight w:val="435"/>
        </w:trPr>
        <w:tc>
          <w:tcPr>
            <w:tcW w:w="1600" w:type="pct"/>
            <w:noWrap/>
            <w:hideMark/>
          </w:tcPr>
          <w:p w14:paraId="0ECA42DC" w14:textId="77777777" w:rsidR="00680CE4" w:rsidRPr="00D43799" w:rsidRDefault="00680CE4" w:rsidP="00640F70">
            <w:pPr>
              <w:spacing w:after="0"/>
            </w:pPr>
            <w:r w:rsidRPr="00D43799">
              <w:t>Primary</w:t>
            </w:r>
          </w:p>
        </w:tc>
        <w:tc>
          <w:tcPr>
            <w:tcW w:w="850" w:type="pct"/>
            <w:noWrap/>
          </w:tcPr>
          <w:p w14:paraId="0073B3DD" w14:textId="77777777" w:rsidR="00680CE4" w:rsidRPr="00D43799" w:rsidRDefault="00680CE4" w:rsidP="00640F70">
            <w:pPr>
              <w:spacing w:after="0"/>
              <w:jc w:val="right"/>
            </w:pPr>
            <w:r w:rsidRPr="00D43799">
              <w:t>5.0</w:t>
            </w:r>
          </w:p>
        </w:tc>
        <w:tc>
          <w:tcPr>
            <w:tcW w:w="850" w:type="pct"/>
            <w:noWrap/>
            <w:hideMark/>
          </w:tcPr>
          <w:p w14:paraId="71C7D2C4" w14:textId="77777777" w:rsidR="00680CE4" w:rsidRPr="00D43799" w:rsidRDefault="00680CE4" w:rsidP="00640F70">
            <w:pPr>
              <w:spacing w:after="0"/>
              <w:jc w:val="right"/>
            </w:pPr>
            <w:r w:rsidRPr="00D43799">
              <w:t>14.4</w:t>
            </w:r>
          </w:p>
        </w:tc>
        <w:tc>
          <w:tcPr>
            <w:tcW w:w="850" w:type="pct"/>
          </w:tcPr>
          <w:p w14:paraId="19ED8CDD" w14:textId="77777777" w:rsidR="00680CE4" w:rsidRPr="00D43799" w:rsidRDefault="00680CE4" w:rsidP="00640F70">
            <w:pPr>
              <w:spacing w:after="0"/>
              <w:jc w:val="right"/>
            </w:pPr>
            <w:r w:rsidRPr="00D43799">
              <w:t>11.4</w:t>
            </w:r>
          </w:p>
        </w:tc>
        <w:tc>
          <w:tcPr>
            <w:tcW w:w="850" w:type="pct"/>
          </w:tcPr>
          <w:p w14:paraId="4941A944" w14:textId="77777777" w:rsidR="00680CE4" w:rsidRPr="00D43799" w:rsidRDefault="00680CE4" w:rsidP="00640F70">
            <w:pPr>
              <w:spacing w:after="0"/>
              <w:jc w:val="right"/>
            </w:pPr>
            <w:r w:rsidRPr="00D43799">
              <w:t>19.4</w:t>
            </w:r>
          </w:p>
        </w:tc>
      </w:tr>
      <w:tr w:rsidR="00680CE4" w:rsidRPr="00D43799" w14:paraId="2FB33BAA" w14:textId="77777777" w:rsidTr="001F432A">
        <w:trPr>
          <w:trHeight w:val="435"/>
        </w:trPr>
        <w:tc>
          <w:tcPr>
            <w:tcW w:w="1600" w:type="pct"/>
            <w:noWrap/>
            <w:hideMark/>
          </w:tcPr>
          <w:p w14:paraId="72AB2089" w14:textId="77777777" w:rsidR="00680CE4" w:rsidRPr="00D43799" w:rsidRDefault="00680CE4" w:rsidP="00640F70">
            <w:pPr>
              <w:spacing w:after="0"/>
            </w:pPr>
            <w:r w:rsidRPr="00D43799">
              <w:t>Lower secondary</w:t>
            </w:r>
          </w:p>
        </w:tc>
        <w:tc>
          <w:tcPr>
            <w:tcW w:w="850" w:type="pct"/>
            <w:noWrap/>
          </w:tcPr>
          <w:p w14:paraId="2A0C2C52" w14:textId="77777777" w:rsidR="00680CE4" w:rsidRPr="00D43799" w:rsidRDefault="00680CE4" w:rsidP="00640F70">
            <w:pPr>
              <w:spacing w:after="0"/>
              <w:jc w:val="right"/>
            </w:pPr>
            <w:r w:rsidRPr="00D43799">
              <w:t>11.6</w:t>
            </w:r>
          </w:p>
        </w:tc>
        <w:tc>
          <w:tcPr>
            <w:tcW w:w="850" w:type="pct"/>
            <w:noWrap/>
            <w:hideMark/>
          </w:tcPr>
          <w:p w14:paraId="300D05B4" w14:textId="77777777" w:rsidR="00680CE4" w:rsidRPr="00D43799" w:rsidRDefault="00680CE4" w:rsidP="00640F70">
            <w:pPr>
              <w:spacing w:after="0"/>
              <w:jc w:val="right"/>
            </w:pPr>
            <w:r w:rsidRPr="00D43799">
              <w:t>17.7</w:t>
            </w:r>
          </w:p>
        </w:tc>
        <w:tc>
          <w:tcPr>
            <w:tcW w:w="850" w:type="pct"/>
          </w:tcPr>
          <w:p w14:paraId="7EA0A1E7" w14:textId="77777777" w:rsidR="00680CE4" w:rsidRPr="00D43799" w:rsidRDefault="00680CE4" w:rsidP="00640F70">
            <w:pPr>
              <w:spacing w:after="0"/>
              <w:jc w:val="right"/>
            </w:pPr>
            <w:r w:rsidRPr="00D43799">
              <w:t>16.4</w:t>
            </w:r>
          </w:p>
        </w:tc>
        <w:tc>
          <w:tcPr>
            <w:tcW w:w="850" w:type="pct"/>
          </w:tcPr>
          <w:p w14:paraId="7370211D" w14:textId="77777777" w:rsidR="00680CE4" w:rsidRPr="00D43799" w:rsidRDefault="00680CE4" w:rsidP="00640F70">
            <w:pPr>
              <w:spacing w:after="0"/>
              <w:jc w:val="right"/>
            </w:pPr>
            <w:r w:rsidRPr="00D43799">
              <w:t>19.9</w:t>
            </w:r>
          </w:p>
        </w:tc>
      </w:tr>
      <w:tr w:rsidR="00680CE4" w:rsidRPr="00D43799" w14:paraId="17A86EC0" w14:textId="77777777" w:rsidTr="001F432A">
        <w:trPr>
          <w:trHeight w:val="435"/>
        </w:trPr>
        <w:tc>
          <w:tcPr>
            <w:tcW w:w="1600" w:type="pct"/>
            <w:noWrap/>
            <w:hideMark/>
          </w:tcPr>
          <w:p w14:paraId="0A04B26A" w14:textId="77777777" w:rsidR="00680CE4" w:rsidRPr="00D43799" w:rsidRDefault="00680CE4" w:rsidP="00640F70">
            <w:pPr>
              <w:spacing w:after="0"/>
            </w:pPr>
            <w:r w:rsidRPr="00D43799">
              <w:t>Upper secondary</w:t>
            </w:r>
          </w:p>
        </w:tc>
        <w:tc>
          <w:tcPr>
            <w:tcW w:w="850" w:type="pct"/>
            <w:noWrap/>
          </w:tcPr>
          <w:p w14:paraId="713D5530" w14:textId="77777777" w:rsidR="00680CE4" w:rsidRPr="00D43799" w:rsidRDefault="00680CE4" w:rsidP="00640F70">
            <w:pPr>
              <w:spacing w:after="0"/>
              <w:jc w:val="right"/>
            </w:pPr>
            <w:r w:rsidRPr="00D43799">
              <w:t>18.3</w:t>
            </w:r>
          </w:p>
        </w:tc>
        <w:tc>
          <w:tcPr>
            <w:tcW w:w="850" w:type="pct"/>
            <w:noWrap/>
            <w:hideMark/>
          </w:tcPr>
          <w:p w14:paraId="58F9F39E" w14:textId="77777777" w:rsidR="00680CE4" w:rsidRPr="00D43799" w:rsidRDefault="00680CE4" w:rsidP="00640F70">
            <w:pPr>
              <w:spacing w:after="0"/>
              <w:jc w:val="right"/>
            </w:pPr>
            <w:r w:rsidRPr="00D43799">
              <w:t>17.5</w:t>
            </w:r>
          </w:p>
        </w:tc>
        <w:tc>
          <w:tcPr>
            <w:tcW w:w="850" w:type="pct"/>
          </w:tcPr>
          <w:p w14:paraId="0803E4DF" w14:textId="77777777" w:rsidR="00680CE4" w:rsidRPr="00D43799" w:rsidRDefault="00680CE4" w:rsidP="00640F70">
            <w:pPr>
              <w:spacing w:after="0"/>
              <w:jc w:val="right"/>
            </w:pPr>
            <w:r w:rsidRPr="00D43799">
              <w:t>17.9</w:t>
            </w:r>
          </w:p>
        </w:tc>
        <w:tc>
          <w:tcPr>
            <w:tcW w:w="850" w:type="pct"/>
          </w:tcPr>
          <w:p w14:paraId="186FE4C7" w14:textId="77777777" w:rsidR="00680CE4" w:rsidRPr="00D43799" w:rsidRDefault="00680CE4" w:rsidP="00640F70">
            <w:pPr>
              <w:spacing w:after="0"/>
              <w:jc w:val="right"/>
            </w:pPr>
            <w:r w:rsidRPr="00D43799">
              <w:t>16.7</w:t>
            </w:r>
          </w:p>
        </w:tc>
      </w:tr>
      <w:tr w:rsidR="00680CE4" w:rsidRPr="00D43799" w14:paraId="023F07E3" w14:textId="77777777" w:rsidTr="001F432A">
        <w:trPr>
          <w:trHeight w:val="435"/>
        </w:trPr>
        <w:tc>
          <w:tcPr>
            <w:tcW w:w="1600" w:type="pct"/>
            <w:noWrap/>
            <w:hideMark/>
          </w:tcPr>
          <w:p w14:paraId="33AD8807" w14:textId="77777777" w:rsidR="00680CE4" w:rsidRPr="00D43799" w:rsidRDefault="00680CE4" w:rsidP="00640F70">
            <w:pPr>
              <w:spacing w:after="0"/>
            </w:pPr>
            <w:r w:rsidRPr="00D43799">
              <w:t>Technical/vocational</w:t>
            </w:r>
          </w:p>
        </w:tc>
        <w:tc>
          <w:tcPr>
            <w:tcW w:w="850" w:type="pct"/>
            <w:noWrap/>
          </w:tcPr>
          <w:p w14:paraId="23484AF0" w14:textId="77777777" w:rsidR="00680CE4" w:rsidRPr="00D43799" w:rsidRDefault="00680CE4" w:rsidP="00640F70">
            <w:pPr>
              <w:spacing w:after="0"/>
              <w:jc w:val="right"/>
            </w:pPr>
            <w:r w:rsidRPr="00D43799">
              <w:t>7.3</w:t>
            </w:r>
          </w:p>
        </w:tc>
        <w:tc>
          <w:tcPr>
            <w:tcW w:w="850" w:type="pct"/>
            <w:noWrap/>
            <w:hideMark/>
          </w:tcPr>
          <w:p w14:paraId="276F9D39" w14:textId="77777777" w:rsidR="00680CE4" w:rsidRPr="00D43799" w:rsidRDefault="00680CE4" w:rsidP="00640F70">
            <w:pPr>
              <w:spacing w:after="0"/>
              <w:jc w:val="right"/>
            </w:pPr>
            <w:r w:rsidRPr="00D43799">
              <w:t>8.2</w:t>
            </w:r>
          </w:p>
        </w:tc>
        <w:tc>
          <w:tcPr>
            <w:tcW w:w="850" w:type="pct"/>
          </w:tcPr>
          <w:p w14:paraId="7FEF6AD8" w14:textId="77777777" w:rsidR="00680CE4" w:rsidRPr="00D43799" w:rsidRDefault="00680CE4" w:rsidP="00640F70">
            <w:pPr>
              <w:spacing w:after="0"/>
              <w:jc w:val="right"/>
            </w:pPr>
            <w:r w:rsidRPr="00D43799">
              <w:t>8.5</w:t>
            </w:r>
          </w:p>
        </w:tc>
        <w:tc>
          <w:tcPr>
            <w:tcW w:w="850" w:type="pct"/>
          </w:tcPr>
          <w:p w14:paraId="1EE2EA30" w14:textId="77777777" w:rsidR="00680CE4" w:rsidRPr="00D43799" w:rsidRDefault="00680CE4" w:rsidP="00640F70">
            <w:pPr>
              <w:spacing w:after="0"/>
              <w:jc w:val="right"/>
            </w:pPr>
            <w:r w:rsidRPr="00D43799">
              <w:t>7.7</w:t>
            </w:r>
          </w:p>
        </w:tc>
      </w:tr>
      <w:tr w:rsidR="00680CE4" w:rsidRPr="00D43799" w14:paraId="5D9F7124" w14:textId="77777777" w:rsidTr="001F432A">
        <w:trPr>
          <w:trHeight w:val="435"/>
        </w:trPr>
        <w:tc>
          <w:tcPr>
            <w:tcW w:w="1600" w:type="pct"/>
            <w:noWrap/>
            <w:hideMark/>
          </w:tcPr>
          <w:p w14:paraId="471E37C7" w14:textId="77777777" w:rsidR="00680CE4" w:rsidRPr="00D43799" w:rsidRDefault="00680CE4" w:rsidP="00640F70">
            <w:pPr>
              <w:spacing w:after="0"/>
            </w:pPr>
            <w:r w:rsidRPr="00D43799">
              <w:t>Advanced certificate/completed apprenticeship</w:t>
            </w:r>
          </w:p>
        </w:tc>
        <w:tc>
          <w:tcPr>
            <w:tcW w:w="850" w:type="pct"/>
            <w:noWrap/>
          </w:tcPr>
          <w:p w14:paraId="6D4E9C7E" w14:textId="77777777" w:rsidR="00680CE4" w:rsidRPr="00D43799" w:rsidRDefault="00680CE4" w:rsidP="00640F70">
            <w:pPr>
              <w:spacing w:after="0"/>
              <w:jc w:val="right"/>
            </w:pPr>
            <w:r w:rsidRPr="00D43799">
              <w:t>5.9</w:t>
            </w:r>
          </w:p>
        </w:tc>
        <w:tc>
          <w:tcPr>
            <w:tcW w:w="850" w:type="pct"/>
            <w:noWrap/>
            <w:hideMark/>
          </w:tcPr>
          <w:p w14:paraId="7BD67E63" w14:textId="77777777" w:rsidR="00680CE4" w:rsidRPr="00D43799" w:rsidRDefault="00680CE4" w:rsidP="00640F70">
            <w:pPr>
              <w:spacing w:after="0"/>
              <w:jc w:val="right"/>
            </w:pPr>
            <w:r w:rsidRPr="00D43799">
              <w:t>4.8</w:t>
            </w:r>
          </w:p>
        </w:tc>
        <w:tc>
          <w:tcPr>
            <w:tcW w:w="850" w:type="pct"/>
          </w:tcPr>
          <w:p w14:paraId="6EBB9C77" w14:textId="77777777" w:rsidR="00680CE4" w:rsidRPr="00D43799" w:rsidRDefault="00680CE4" w:rsidP="00640F70">
            <w:pPr>
              <w:spacing w:after="0"/>
              <w:jc w:val="right"/>
            </w:pPr>
            <w:r w:rsidRPr="00D43799">
              <w:t>5.4</w:t>
            </w:r>
          </w:p>
        </w:tc>
        <w:tc>
          <w:tcPr>
            <w:tcW w:w="850" w:type="pct"/>
          </w:tcPr>
          <w:p w14:paraId="2E6E6EDA" w14:textId="77777777" w:rsidR="00680CE4" w:rsidRPr="00D43799" w:rsidRDefault="00680CE4" w:rsidP="00640F70">
            <w:pPr>
              <w:spacing w:after="0"/>
              <w:jc w:val="right"/>
            </w:pPr>
            <w:r w:rsidRPr="00D43799">
              <w:t>3.9</w:t>
            </w:r>
          </w:p>
        </w:tc>
      </w:tr>
      <w:tr w:rsidR="00680CE4" w:rsidRPr="00D43799" w14:paraId="055747BD" w14:textId="77777777" w:rsidTr="001F432A">
        <w:trPr>
          <w:trHeight w:val="435"/>
        </w:trPr>
        <w:tc>
          <w:tcPr>
            <w:tcW w:w="1600" w:type="pct"/>
            <w:noWrap/>
            <w:hideMark/>
          </w:tcPr>
          <w:p w14:paraId="48C46B03" w14:textId="77777777" w:rsidR="00680CE4" w:rsidRPr="00D43799" w:rsidRDefault="00680CE4" w:rsidP="00640F70">
            <w:pPr>
              <w:spacing w:after="0"/>
            </w:pPr>
            <w:r w:rsidRPr="00D43799">
              <w:t>Higher certificate</w:t>
            </w:r>
          </w:p>
        </w:tc>
        <w:tc>
          <w:tcPr>
            <w:tcW w:w="850" w:type="pct"/>
            <w:noWrap/>
          </w:tcPr>
          <w:p w14:paraId="324A3260" w14:textId="77777777" w:rsidR="00680CE4" w:rsidRPr="00D43799" w:rsidRDefault="00680CE4" w:rsidP="00640F70">
            <w:pPr>
              <w:spacing w:after="0"/>
              <w:jc w:val="right"/>
            </w:pPr>
            <w:r w:rsidRPr="00D43799">
              <w:t>5.7</w:t>
            </w:r>
          </w:p>
        </w:tc>
        <w:tc>
          <w:tcPr>
            <w:tcW w:w="850" w:type="pct"/>
            <w:noWrap/>
            <w:hideMark/>
          </w:tcPr>
          <w:p w14:paraId="637B5002" w14:textId="77777777" w:rsidR="00680CE4" w:rsidRPr="00D43799" w:rsidRDefault="00680CE4" w:rsidP="00640F70">
            <w:pPr>
              <w:spacing w:after="0"/>
              <w:jc w:val="right"/>
            </w:pPr>
            <w:r w:rsidRPr="00D43799">
              <w:t>5.0</w:t>
            </w:r>
          </w:p>
        </w:tc>
        <w:tc>
          <w:tcPr>
            <w:tcW w:w="850" w:type="pct"/>
          </w:tcPr>
          <w:p w14:paraId="0CB95357" w14:textId="77777777" w:rsidR="00680CE4" w:rsidRPr="00D43799" w:rsidRDefault="00680CE4" w:rsidP="00640F70">
            <w:pPr>
              <w:spacing w:after="0"/>
              <w:jc w:val="right"/>
            </w:pPr>
            <w:r w:rsidRPr="00D43799">
              <w:t>5.6</w:t>
            </w:r>
          </w:p>
        </w:tc>
        <w:tc>
          <w:tcPr>
            <w:tcW w:w="850" w:type="pct"/>
          </w:tcPr>
          <w:p w14:paraId="3CBEF8B0" w14:textId="77777777" w:rsidR="00680CE4" w:rsidRPr="00D43799" w:rsidRDefault="00680CE4" w:rsidP="00640F70">
            <w:pPr>
              <w:spacing w:after="0"/>
              <w:jc w:val="right"/>
            </w:pPr>
            <w:r w:rsidRPr="00D43799">
              <w:t>4.0</w:t>
            </w:r>
          </w:p>
        </w:tc>
      </w:tr>
      <w:tr w:rsidR="00680CE4" w:rsidRPr="00D43799" w14:paraId="7C218AFC" w14:textId="77777777" w:rsidTr="001F432A">
        <w:trPr>
          <w:trHeight w:val="435"/>
        </w:trPr>
        <w:tc>
          <w:tcPr>
            <w:tcW w:w="1600" w:type="pct"/>
            <w:noWrap/>
            <w:hideMark/>
          </w:tcPr>
          <w:p w14:paraId="0067E24C" w14:textId="77777777" w:rsidR="00680CE4" w:rsidRPr="00D43799" w:rsidRDefault="00680CE4" w:rsidP="00640F70">
            <w:pPr>
              <w:spacing w:after="0"/>
            </w:pPr>
            <w:r w:rsidRPr="00D43799">
              <w:t>Ordinary bachelor degree/professional qualification or both</w:t>
            </w:r>
          </w:p>
        </w:tc>
        <w:tc>
          <w:tcPr>
            <w:tcW w:w="850" w:type="pct"/>
            <w:noWrap/>
          </w:tcPr>
          <w:p w14:paraId="2C613FC6" w14:textId="77777777" w:rsidR="00680CE4" w:rsidRPr="00D43799" w:rsidRDefault="00680CE4" w:rsidP="00640F70">
            <w:pPr>
              <w:spacing w:after="0"/>
              <w:jc w:val="right"/>
            </w:pPr>
            <w:r w:rsidRPr="00D43799">
              <w:t>8.4</w:t>
            </w:r>
          </w:p>
        </w:tc>
        <w:tc>
          <w:tcPr>
            <w:tcW w:w="850" w:type="pct"/>
            <w:noWrap/>
            <w:hideMark/>
          </w:tcPr>
          <w:p w14:paraId="29D85152" w14:textId="77777777" w:rsidR="00680CE4" w:rsidRPr="00D43799" w:rsidRDefault="00680CE4" w:rsidP="00640F70">
            <w:pPr>
              <w:spacing w:after="0"/>
              <w:jc w:val="right"/>
            </w:pPr>
            <w:r w:rsidRPr="00D43799">
              <w:t>6.9</w:t>
            </w:r>
          </w:p>
        </w:tc>
        <w:tc>
          <w:tcPr>
            <w:tcW w:w="850" w:type="pct"/>
          </w:tcPr>
          <w:p w14:paraId="6AB4761A" w14:textId="77777777" w:rsidR="00680CE4" w:rsidRPr="00D43799" w:rsidRDefault="00680CE4" w:rsidP="00640F70">
            <w:pPr>
              <w:spacing w:after="0"/>
              <w:jc w:val="right"/>
            </w:pPr>
            <w:r w:rsidRPr="00D43799">
              <w:t>8.1</w:t>
            </w:r>
          </w:p>
        </w:tc>
        <w:tc>
          <w:tcPr>
            <w:tcW w:w="850" w:type="pct"/>
          </w:tcPr>
          <w:p w14:paraId="2823AFF1" w14:textId="77777777" w:rsidR="00680CE4" w:rsidRPr="00D43799" w:rsidRDefault="00680CE4" w:rsidP="00640F70">
            <w:pPr>
              <w:spacing w:after="0"/>
              <w:jc w:val="right"/>
            </w:pPr>
            <w:r w:rsidRPr="00D43799">
              <w:t>5.1</w:t>
            </w:r>
          </w:p>
        </w:tc>
      </w:tr>
      <w:tr w:rsidR="00680CE4" w:rsidRPr="00D43799" w14:paraId="07667BFD" w14:textId="77777777" w:rsidTr="001F432A">
        <w:trPr>
          <w:trHeight w:val="435"/>
        </w:trPr>
        <w:tc>
          <w:tcPr>
            <w:tcW w:w="1600" w:type="pct"/>
            <w:noWrap/>
            <w:hideMark/>
          </w:tcPr>
          <w:p w14:paraId="2DDDEEF8" w14:textId="77777777" w:rsidR="00680CE4" w:rsidRPr="00D43799" w:rsidRDefault="00680CE4" w:rsidP="00640F70">
            <w:pPr>
              <w:spacing w:after="0"/>
            </w:pPr>
            <w:r w:rsidRPr="00D43799">
              <w:t>Honours bachelor degree/professional qualification or both</w:t>
            </w:r>
          </w:p>
        </w:tc>
        <w:tc>
          <w:tcPr>
            <w:tcW w:w="850" w:type="pct"/>
            <w:noWrap/>
          </w:tcPr>
          <w:p w14:paraId="362558AA" w14:textId="77777777" w:rsidR="00680CE4" w:rsidRPr="00D43799" w:rsidRDefault="00680CE4" w:rsidP="00640F70">
            <w:pPr>
              <w:spacing w:after="0"/>
              <w:jc w:val="right"/>
            </w:pPr>
            <w:r w:rsidRPr="00D43799">
              <w:t>14.7</w:t>
            </w:r>
          </w:p>
        </w:tc>
        <w:tc>
          <w:tcPr>
            <w:tcW w:w="850" w:type="pct"/>
            <w:noWrap/>
            <w:hideMark/>
          </w:tcPr>
          <w:p w14:paraId="51C750EA" w14:textId="77777777" w:rsidR="00680CE4" w:rsidRPr="00D43799" w:rsidRDefault="00680CE4" w:rsidP="00640F70">
            <w:pPr>
              <w:spacing w:after="0"/>
              <w:jc w:val="right"/>
            </w:pPr>
            <w:r w:rsidRPr="00D43799">
              <w:t>9.4</w:t>
            </w:r>
          </w:p>
        </w:tc>
        <w:tc>
          <w:tcPr>
            <w:tcW w:w="850" w:type="pct"/>
          </w:tcPr>
          <w:p w14:paraId="66781512" w14:textId="77777777" w:rsidR="00680CE4" w:rsidRPr="00D43799" w:rsidRDefault="00680CE4" w:rsidP="00640F70">
            <w:pPr>
              <w:spacing w:after="0"/>
              <w:jc w:val="right"/>
            </w:pPr>
            <w:r w:rsidRPr="00D43799">
              <w:t>11.6</w:t>
            </w:r>
          </w:p>
        </w:tc>
        <w:tc>
          <w:tcPr>
            <w:tcW w:w="850" w:type="pct"/>
          </w:tcPr>
          <w:p w14:paraId="27CD3B3E" w14:textId="77777777" w:rsidR="00680CE4" w:rsidRPr="00D43799" w:rsidRDefault="00680CE4" w:rsidP="00640F70">
            <w:pPr>
              <w:spacing w:after="0"/>
              <w:jc w:val="right"/>
            </w:pPr>
            <w:r w:rsidRPr="00D43799">
              <w:t>5.7</w:t>
            </w:r>
          </w:p>
        </w:tc>
      </w:tr>
      <w:tr w:rsidR="00680CE4" w:rsidRPr="00D43799" w14:paraId="25108850" w14:textId="77777777" w:rsidTr="001F432A">
        <w:trPr>
          <w:trHeight w:val="381"/>
        </w:trPr>
        <w:tc>
          <w:tcPr>
            <w:tcW w:w="1600" w:type="pct"/>
            <w:noWrap/>
            <w:hideMark/>
          </w:tcPr>
          <w:p w14:paraId="01AF50D0" w14:textId="77777777" w:rsidR="00680CE4" w:rsidRPr="00D43799" w:rsidRDefault="00680CE4" w:rsidP="00640F70">
            <w:pPr>
              <w:spacing w:after="0"/>
            </w:pPr>
            <w:r w:rsidRPr="00D43799">
              <w:t>Postgraduate diploma or degree</w:t>
            </w:r>
          </w:p>
        </w:tc>
        <w:tc>
          <w:tcPr>
            <w:tcW w:w="850" w:type="pct"/>
            <w:noWrap/>
          </w:tcPr>
          <w:p w14:paraId="3DBBDC02" w14:textId="77777777" w:rsidR="00680CE4" w:rsidRPr="00D43799" w:rsidRDefault="00680CE4" w:rsidP="00640F70">
            <w:pPr>
              <w:spacing w:after="0"/>
              <w:jc w:val="right"/>
            </w:pPr>
            <w:r w:rsidRPr="00D43799">
              <w:t>12.5</w:t>
            </w:r>
          </w:p>
        </w:tc>
        <w:tc>
          <w:tcPr>
            <w:tcW w:w="850" w:type="pct"/>
            <w:noWrap/>
            <w:hideMark/>
          </w:tcPr>
          <w:p w14:paraId="6AF40527" w14:textId="77777777" w:rsidR="00680CE4" w:rsidRPr="00D43799" w:rsidRDefault="00680CE4" w:rsidP="00640F70">
            <w:pPr>
              <w:spacing w:after="0"/>
              <w:jc w:val="right"/>
            </w:pPr>
            <w:r w:rsidRPr="00D43799">
              <w:t>7.5</w:t>
            </w:r>
          </w:p>
        </w:tc>
        <w:tc>
          <w:tcPr>
            <w:tcW w:w="850" w:type="pct"/>
          </w:tcPr>
          <w:p w14:paraId="2E76A480" w14:textId="77777777" w:rsidR="00680CE4" w:rsidRPr="00D43799" w:rsidRDefault="00680CE4" w:rsidP="00640F70">
            <w:pPr>
              <w:spacing w:after="0"/>
              <w:jc w:val="right"/>
            </w:pPr>
            <w:r w:rsidRPr="00D43799">
              <w:t>9.6</w:t>
            </w:r>
          </w:p>
        </w:tc>
        <w:tc>
          <w:tcPr>
            <w:tcW w:w="850" w:type="pct"/>
          </w:tcPr>
          <w:p w14:paraId="18919BBE" w14:textId="77777777" w:rsidR="00680CE4" w:rsidRPr="00D43799" w:rsidRDefault="00680CE4" w:rsidP="00640F70">
            <w:pPr>
              <w:spacing w:after="0"/>
              <w:jc w:val="right"/>
            </w:pPr>
            <w:r w:rsidRPr="00D43799">
              <w:t>4.1</w:t>
            </w:r>
          </w:p>
        </w:tc>
      </w:tr>
      <w:tr w:rsidR="00680CE4" w:rsidRPr="00D43799" w14:paraId="0F2931E7" w14:textId="77777777" w:rsidTr="001F432A">
        <w:trPr>
          <w:trHeight w:val="435"/>
        </w:trPr>
        <w:tc>
          <w:tcPr>
            <w:tcW w:w="1600" w:type="pct"/>
            <w:noWrap/>
            <w:hideMark/>
          </w:tcPr>
          <w:p w14:paraId="064A3910" w14:textId="77777777" w:rsidR="00680CE4" w:rsidRPr="00D43799" w:rsidRDefault="00680CE4" w:rsidP="00640F70">
            <w:pPr>
              <w:spacing w:after="0"/>
            </w:pPr>
            <w:r w:rsidRPr="00D43799">
              <w:t>Doctorate (Ph.D.)</w:t>
            </w:r>
          </w:p>
        </w:tc>
        <w:tc>
          <w:tcPr>
            <w:tcW w:w="850" w:type="pct"/>
            <w:noWrap/>
          </w:tcPr>
          <w:p w14:paraId="687BBFAD" w14:textId="77777777" w:rsidR="00680CE4" w:rsidRPr="00D43799" w:rsidRDefault="00680CE4" w:rsidP="00640F70">
            <w:pPr>
              <w:spacing w:after="0"/>
              <w:jc w:val="right"/>
            </w:pPr>
            <w:r w:rsidRPr="00D43799">
              <w:t>1.2</w:t>
            </w:r>
          </w:p>
        </w:tc>
        <w:tc>
          <w:tcPr>
            <w:tcW w:w="850" w:type="pct"/>
            <w:noWrap/>
            <w:hideMark/>
          </w:tcPr>
          <w:p w14:paraId="6E7537C5" w14:textId="77777777" w:rsidR="00680CE4" w:rsidRPr="00D43799" w:rsidRDefault="00680CE4" w:rsidP="00640F70">
            <w:pPr>
              <w:spacing w:after="0"/>
              <w:jc w:val="right"/>
            </w:pPr>
            <w:r w:rsidRPr="00D43799">
              <w:t>0.9</w:t>
            </w:r>
          </w:p>
        </w:tc>
        <w:tc>
          <w:tcPr>
            <w:tcW w:w="850" w:type="pct"/>
          </w:tcPr>
          <w:p w14:paraId="21E97E4C" w14:textId="77777777" w:rsidR="00680CE4" w:rsidRPr="00D43799" w:rsidRDefault="00680CE4" w:rsidP="00640F70">
            <w:pPr>
              <w:spacing w:after="0"/>
              <w:jc w:val="right"/>
            </w:pPr>
            <w:r w:rsidRPr="00D43799">
              <w:t>1.1</w:t>
            </w:r>
          </w:p>
        </w:tc>
        <w:tc>
          <w:tcPr>
            <w:tcW w:w="850" w:type="pct"/>
          </w:tcPr>
          <w:p w14:paraId="159EFBA9" w14:textId="77777777" w:rsidR="00680CE4" w:rsidRPr="00D43799" w:rsidRDefault="00680CE4" w:rsidP="00640F70">
            <w:pPr>
              <w:spacing w:after="0"/>
              <w:jc w:val="right"/>
            </w:pPr>
            <w:r w:rsidRPr="00D43799">
              <w:t>0.5</w:t>
            </w:r>
          </w:p>
        </w:tc>
      </w:tr>
      <w:tr w:rsidR="00680CE4" w:rsidRPr="00D43799" w14:paraId="582DC079" w14:textId="77777777" w:rsidTr="001F432A">
        <w:trPr>
          <w:trHeight w:val="435"/>
        </w:trPr>
        <w:tc>
          <w:tcPr>
            <w:tcW w:w="1600" w:type="pct"/>
            <w:noWrap/>
            <w:hideMark/>
          </w:tcPr>
          <w:p w14:paraId="3A6C248A" w14:textId="77777777" w:rsidR="00680CE4" w:rsidRPr="00D43799" w:rsidRDefault="00680CE4" w:rsidP="00640F70">
            <w:pPr>
              <w:spacing w:after="0"/>
            </w:pPr>
            <w:r w:rsidRPr="00D43799">
              <w:t>Not stated</w:t>
            </w:r>
          </w:p>
        </w:tc>
        <w:tc>
          <w:tcPr>
            <w:tcW w:w="850" w:type="pct"/>
            <w:noWrap/>
          </w:tcPr>
          <w:p w14:paraId="61C28FC2" w14:textId="77777777" w:rsidR="00680CE4" w:rsidRPr="00D43799" w:rsidRDefault="00680CE4" w:rsidP="00640F70">
            <w:pPr>
              <w:spacing w:after="0"/>
              <w:jc w:val="right"/>
            </w:pPr>
            <w:r w:rsidRPr="00D43799">
              <w:t>7.8</w:t>
            </w:r>
          </w:p>
        </w:tc>
        <w:tc>
          <w:tcPr>
            <w:tcW w:w="850" w:type="pct"/>
            <w:noWrap/>
            <w:hideMark/>
          </w:tcPr>
          <w:p w14:paraId="0011E637" w14:textId="77777777" w:rsidR="00680CE4" w:rsidRPr="00D43799" w:rsidRDefault="00680CE4" w:rsidP="00640F70">
            <w:pPr>
              <w:spacing w:after="0"/>
              <w:jc w:val="right"/>
            </w:pPr>
            <w:r w:rsidRPr="00D43799">
              <w:t>2.6</w:t>
            </w:r>
          </w:p>
        </w:tc>
        <w:tc>
          <w:tcPr>
            <w:tcW w:w="850" w:type="pct"/>
          </w:tcPr>
          <w:p w14:paraId="49B96C33" w14:textId="77777777" w:rsidR="00680CE4" w:rsidRPr="00D43799" w:rsidRDefault="00680CE4" w:rsidP="00640F70">
            <w:pPr>
              <w:spacing w:after="0"/>
              <w:jc w:val="right"/>
            </w:pPr>
            <w:r w:rsidRPr="00D43799">
              <w:t>1.4</w:t>
            </w:r>
          </w:p>
        </w:tc>
        <w:tc>
          <w:tcPr>
            <w:tcW w:w="850" w:type="pct"/>
          </w:tcPr>
          <w:p w14:paraId="6978BE69" w14:textId="77777777" w:rsidR="00680CE4" w:rsidRPr="00D43799" w:rsidRDefault="00680CE4" w:rsidP="00640F70">
            <w:pPr>
              <w:spacing w:after="0"/>
              <w:jc w:val="right"/>
            </w:pPr>
            <w:r w:rsidRPr="00D43799">
              <w:t>4.6</w:t>
            </w:r>
          </w:p>
        </w:tc>
      </w:tr>
    </w:tbl>
    <w:bookmarkEnd w:id="105"/>
    <w:p w14:paraId="4D3CEDA2" w14:textId="77777777" w:rsidR="00680CE4" w:rsidRDefault="00680CE4" w:rsidP="00680CE4">
      <w:pPr>
        <w:pStyle w:val="TableNote"/>
        <w:rPr>
          <w:sz w:val="22"/>
          <w:szCs w:val="22"/>
        </w:rPr>
      </w:pPr>
      <w:r w:rsidRPr="00D43799">
        <w:rPr>
          <w:sz w:val="22"/>
          <w:szCs w:val="22"/>
        </w:rPr>
        <w:t>Source: Census 2022</w:t>
      </w:r>
    </w:p>
    <w:p w14:paraId="00ED6EF2" w14:textId="0F2F9728" w:rsidR="00E90A94" w:rsidRDefault="0089462D" w:rsidP="00180D03">
      <w:pPr>
        <w:rPr>
          <w:rFonts w:ascii="Gill Sans MT" w:hAnsi="Gill Sans MT"/>
          <w:szCs w:val="26"/>
        </w:rPr>
      </w:pPr>
      <w:r>
        <w:rPr>
          <w:szCs w:val="26"/>
        </w:rPr>
        <w:fldChar w:fldCharType="begin"/>
      </w:r>
      <w:r>
        <w:rPr>
          <w:szCs w:val="26"/>
        </w:rPr>
        <w:instrText xml:space="preserve"> REF _Ref179895700 \h </w:instrText>
      </w:r>
      <w:r>
        <w:rPr>
          <w:szCs w:val="26"/>
        </w:rPr>
      </w:r>
      <w:r>
        <w:rPr>
          <w:szCs w:val="26"/>
        </w:rPr>
        <w:fldChar w:fldCharType="separate"/>
      </w:r>
      <w:r w:rsidR="009C4192">
        <w:t xml:space="preserve">Table </w:t>
      </w:r>
      <w:r w:rsidR="009C4192">
        <w:rPr>
          <w:noProof/>
        </w:rPr>
        <w:t>5</w:t>
      </w:r>
      <w:r>
        <w:rPr>
          <w:szCs w:val="26"/>
        </w:rPr>
        <w:fldChar w:fldCharType="end"/>
      </w:r>
      <w:r>
        <w:rPr>
          <w:szCs w:val="26"/>
        </w:rPr>
        <w:t xml:space="preserve"> </w:t>
      </w:r>
      <w:r w:rsidR="00180D03" w:rsidRPr="005C41A3">
        <w:rPr>
          <w:szCs w:val="26"/>
        </w:rPr>
        <w:t xml:space="preserve">below </w:t>
      </w:r>
      <w:r w:rsidR="005C41A3" w:rsidRPr="005C41A3">
        <w:rPr>
          <w:szCs w:val="26"/>
        </w:rPr>
        <w:t xml:space="preserve">shows </w:t>
      </w:r>
      <w:r w:rsidR="00180D03" w:rsidRPr="005C41A3">
        <w:rPr>
          <w:szCs w:val="26"/>
        </w:rPr>
        <w:t>the highest level of education completed by persons with different types of disabilit</w:t>
      </w:r>
      <w:r w:rsidR="00122793">
        <w:rPr>
          <w:szCs w:val="26"/>
        </w:rPr>
        <w:t>y</w:t>
      </w:r>
      <w:r w:rsidR="00180D03" w:rsidRPr="005C41A3">
        <w:rPr>
          <w:szCs w:val="26"/>
        </w:rPr>
        <w:t xml:space="preserve"> in </w:t>
      </w:r>
      <w:r w:rsidR="005C41A3" w:rsidRPr="005C41A3">
        <w:rPr>
          <w:szCs w:val="26"/>
        </w:rPr>
        <w:t>Census 2022</w:t>
      </w:r>
      <w:r w:rsidR="00180D03" w:rsidRPr="005C41A3">
        <w:rPr>
          <w:szCs w:val="26"/>
        </w:rPr>
        <w:t>.</w:t>
      </w:r>
      <w:r w:rsidR="006F0C7A">
        <w:rPr>
          <w:rFonts w:ascii="Gill Sans MT" w:hAnsi="Gill Sans MT"/>
          <w:szCs w:val="26"/>
        </w:rPr>
        <w:t xml:space="preserve"> </w:t>
      </w:r>
      <w:r w:rsidR="00E90A94">
        <w:rPr>
          <w:rFonts w:ascii="Gill Sans MT" w:hAnsi="Gill Sans MT"/>
          <w:szCs w:val="26"/>
        </w:rPr>
        <w:t xml:space="preserve">The highest </w:t>
      </w:r>
      <w:r w:rsidR="00122793">
        <w:rPr>
          <w:rFonts w:ascii="Gill Sans MT" w:hAnsi="Gill Sans MT"/>
          <w:szCs w:val="26"/>
        </w:rPr>
        <w:t xml:space="preserve">share of people </w:t>
      </w:r>
      <w:r w:rsidR="00E90A94">
        <w:rPr>
          <w:rFonts w:ascii="Gill Sans MT" w:hAnsi="Gill Sans MT"/>
          <w:szCs w:val="26"/>
        </w:rPr>
        <w:t>with no formal education</w:t>
      </w:r>
      <w:r w:rsidR="00B21F1B">
        <w:rPr>
          <w:rFonts w:ascii="Gill Sans MT" w:hAnsi="Gill Sans MT"/>
          <w:szCs w:val="26"/>
        </w:rPr>
        <w:t xml:space="preserve"> (20.6%)</w:t>
      </w:r>
      <w:r w:rsidR="00C12D83">
        <w:rPr>
          <w:rFonts w:ascii="Gill Sans MT" w:hAnsi="Gill Sans MT"/>
          <w:szCs w:val="26"/>
        </w:rPr>
        <w:t xml:space="preserve"> </w:t>
      </w:r>
      <w:r w:rsidR="00840EFC">
        <w:rPr>
          <w:rFonts w:ascii="Gill Sans MT" w:hAnsi="Gill Sans MT"/>
          <w:szCs w:val="26"/>
        </w:rPr>
        <w:t xml:space="preserve">was </w:t>
      </w:r>
      <w:r w:rsidR="00E90A94">
        <w:rPr>
          <w:rFonts w:ascii="Gill Sans MT" w:hAnsi="Gill Sans MT"/>
          <w:szCs w:val="26"/>
        </w:rPr>
        <w:t xml:space="preserve">among </w:t>
      </w:r>
      <w:r w:rsidR="00122793">
        <w:rPr>
          <w:rFonts w:ascii="Gill Sans MT" w:hAnsi="Gill Sans MT"/>
          <w:szCs w:val="26"/>
        </w:rPr>
        <w:t>those</w:t>
      </w:r>
      <w:r w:rsidR="00E90A94">
        <w:rPr>
          <w:rFonts w:ascii="Gill Sans MT" w:hAnsi="Gill Sans MT"/>
          <w:szCs w:val="26"/>
        </w:rPr>
        <w:t xml:space="preserve"> with an intellectual disability</w:t>
      </w:r>
      <w:r w:rsidR="00C12D83">
        <w:rPr>
          <w:rFonts w:ascii="Gill Sans MT" w:hAnsi="Gill Sans MT"/>
          <w:szCs w:val="26"/>
        </w:rPr>
        <w:t xml:space="preserve">, who also had the lowest levels of </w:t>
      </w:r>
      <w:r w:rsidR="00840EFC">
        <w:rPr>
          <w:rFonts w:ascii="Gill Sans MT" w:hAnsi="Gill Sans MT"/>
          <w:szCs w:val="26"/>
        </w:rPr>
        <w:t xml:space="preserve">FET (10.7%) and tertiary education (7.7%). </w:t>
      </w:r>
      <w:r w:rsidR="00B35BE1">
        <w:rPr>
          <w:rFonts w:ascii="Gill Sans MT" w:hAnsi="Gill Sans MT"/>
          <w:szCs w:val="26"/>
        </w:rPr>
        <w:t xml:space="preserve"> </w:t>
      </w:r>
      <w:r w:rsidR="00E90A94">
        <w:rPr>
          <w:rFonts w:ascii="Gill Sans MT" w:hAnsi="Gill Sans MT"/>
          <w:szCs w:val="26"/>
        </w:rPr>
        <w:t>While</w:t>
      </w:r>
      <w:r w:rsidR="00297D89">
        <w:rPr>
          <w:rFonts w:ascii="Gill Sans MT" w:hAnsi="Gill Sans MT"/>
          <w:szCs w:val="26"/>
        </w:rPr>
        <w:t>, for reasons already discussed,</w:t>
      </w:r>
      <w:r w:rsidR="00E90A94">
        <w:rPr>
          <w:rFonts w:ascii="Gill Sans MT" w:hAnsi="Gill Sans MT"/>
          <w:szCs w:val="26"/>
        </w:rPr>
        <w:t xml:space="preserve"> it is not possible to directly compare the proportions across censuses, </w:t>
      </w:r>
      <w:r w:rsidR="00297D89">
        <w:rPr>
          <w:rFonts w:ascii="Gill Sans MT" w:hAnsi="Gill Sans MT"/>
          <w:szCs w:val="26"/>
        </w:rPr>
        <w:t>the lowest levels of</w:t>
      </w:r>
      <w:r w:rsidR="00E90A94">
        <w:rPr>
          <w:rFonts w:ascii="Gill Sans MT" w:hAnsi="Gill Sans MT"/>
          <w:szCs w:val="26"/>
        </w:rPr>
        <w:t xml:space="preserve"> educational attainment </w:t>
      </w:r>
      <w:r w:rsidR="00297D89">
        <w:rPr>
          <w:rFonts w:ascii="Gill Sans MT" w:hAnsi="Gill Sans MT"/>
          <w:szCs w:val="26"/>
        </w:rPr>
        <w:t>were also</w:t>
      </w:r>
      <w:r w:rsidR="00E90A94">
        <w:rPr>
          <w:rFonts w:ascii="Gill Sans MT" w:hAnsi="Gill Sans MT"/>
          <w:szCs w:val="26"/>
        </w:rPr>
        <w:t xml:space="preserve"> seen for those with an intellectual disability in Census 2011 and Census 2016. </w:t>
      </w:r>
    </w:p>
    <w:p w14:paraId="5E3C3BBE" w14:textId="03D3EED9" w:rsidR="00E90A94" w:rsidRDefault="00E90A94" w:rsidP="00180D03">
      <w:pPr>
        <w:rPr>
          <w:rFonts w:ascii="Gill Sans MT" w:hAnsi="Gill Sans MT"/>
          <w:szCs w:val="26"/>
        </w:rPr>
      </w:pPr>
      <w:r>
        <w:rPr>
          <w:rFonts w:ascii="Gill Sans MT" w:hAnsi="Gill Sans MT"/>
          <w:szCs w:val="26"/>
        </w:rPr>
        <w:t xml:space="preserve">In 2022, the lowest proportion of people with no formal education was among those who </w:t>
      </w:r>
      <w:r w:rsidR="003C33C3">
        <w:rPr>
          <w:rFonts w:ascii="Gill Sans MT" w:hAnsi="Gill Sans MT"/>
          <w:szCs w:val="26"/>
        </w:rPr>
        <w:t xml:space="preserve">were </w:t>
      </w:r>
      <w:r>
        <w:rPr>
          <w:rFonts w:ascii="Gill Sans MT" w:hAnsi="Gill Sans MT"/>
          <w:szCs w:val="26"/>
        </w:rPr>
        <w:t>blind or ha</w:t>
      </w:r>
      <w:r w:rsidR="003C33C3">
        <w:rPr>
          <w:rFonts w:ascii="Gill Sans MT" w:hAnsi="Gill Sans MT"/>
          <w:szCs w:val="26"/>
        </w:rPr>
        <w:t xml:space="preserve">d </w:t>
      </w:r>
      <w:r>
        <w:rPr>
          <w:rFonts w:ascii="Gill Sans MT" w:hAnsi="Gill Sans MT"/>
          <w:szCs w:val="26"/>
        </w:rPr>
        <w:t>a vision impairment (4.5%), who also had the highest share of people with tertiary education (28.3%). Relatively high levels of educational attainment were also seen among those with an emotional or psychological condition or mental health issue and among those with a difficulty with pain, breathing, or another chronic illness or condition (see</w:t>
      </w:r>
      <w:r w:rsidR="0089462D">
        <w:rPr>
          <w:rFonts w:ascii="Gill Sans MT" w:hAnsi="Gill Sans MT"/>
          <w:szCs w:val="26"/>
        </w:rPr>
        <w:t xml:space="preserve"> </w:t>
      </w:r>
      <w:r w:rsidR="0089462D">
        <w:rPr>
          <w:rFonts w:ascii="Gill Sans MT" w:hAnsi="Gill Sans MT"/>
          <w:szCs w:val="26"/>
        </w:rPr>
        <w:fldChar w:fldCharType="begin"/>
      </w:r>
      <w:r w:rsidR="0089462D">
        <w:rPr>
          <w:rFonts w:ascii="Gill Sans MT" w:hAnsi="Gill Sans MT"/>
          <w:szCs w:val="26"/>
        </w:rPr>
        <w:instrText xml:space="preserve"> REF _Ref179895700 \h </w:instrText>
      </w:r>
      <w:r w:rsidR="0089462D">
        <w:rPr>
          <w:rFonts w:ascii="Gill Sans MT" w:hAnsi="Gill Sans MT"/>
          <w:szCs w:val="26"/>
        </w:rPr>
      </w:r>
      <w:r w:rsidR="0089462D">
        <w:rPr>
          <w:rFonts w:ascii="Gill Sans MT" w:hAnsi="Gill Sans MT"/>
          <w:szCs w:val="26"/>
        </w:rPr>
        <w:fldChar w:fldCharType="separate"/>
      </w:r>
      <w:r w:rsidR="009C4192">
        <w:t xml:space="preserve">Table </w:t>
      </w:r>
      <w:r w:rsidR="009C4192">
        <w:rPr>
          <w:noProof/>
        </w:rPr>
        <w:t>5</w:t>
      </w:r>
      <w:r w:rsidR="0089462D">
        <w:rPr>
          <w:rFonts w:ascii="Gill Sans MT" w:hAnsi="Gill Sans MT"/>
          <w:szCs w:val="26"/>
        </w:rPr>
        <w:fldChar w:fldCharType="end"/>
      </w:r>
      <w:r>
        <w:rPr>
          <w:rFonts w:ascii="Gill Sans MT" w:hAnsi="Gill Sans MT"/>
          <w:szCs w:val="26"/>
        </w:rPr>
        <w:t>).</w:t>
      </w:r>
    </w:p>
    <w:p w14:paraId="37F28012" w14:textId="77777777" w:rsidR="006F0C7A" w:rsidRDefault="006F0C7A" w:rsidP="00180D03">
      <w:pPr>
        <w:rPr>
          <w:rFonts w:ascii="Gill Sans MT" w:hAnsi="Gill Sans MT"/>
          <w:szCs w:val="26"/>
        </w:rPr>
      </w:pPr>
    </w:p>
    <w:p w14:paraId="338F8100" w14:textId="77777777" w:rsidR="006F0C7A" w:rsidRDefault="006F0C7A" w:rsidP="00180D03">
      <w:pPr>
        <w:rPr>
          <w:rFonts w:ascii="Gill Sans MT" w:hAnsi="Gill Sans MT"/>
          <w:szCs w:val="26"/>
        </w:rPr>
      </w:pPr>
    </w:p>
    <w:p w14:paraId="116CC937" w14:textId="77777777" w:rsidR="006F0C7A" w:rsidRDefault="006F0C7A" w:rsidP="00180D03">
      <w:pPr>
        <w:rPr>
          <w:rFonts w:ascii="Gill Sans MT" w:hAnsi="Gill Sans MT"/>
          <w:szCs w:val="26"/>
        </w:rPr>
        <w:sectPr w:rsidR="006F0C7A" w:rsidSect="00197E26">
          <w:pgSz w:w="11906" w:h="16838"/>
          <w:pgMar w:top="1440" w:right="1440" w:bottom="1440" w:left="1440" w:header="708" w:footer="708" w:gutter="0"/>
          <w:cols w:space="708"/>
          <w:docGrid w:linePitch="360"/>
        </w:sectPr>
      </w:pPr>
    </w:p>
    <w:p w14:paraId="02AF13B3" w14:textId="46F13132" w:rsidR="00F66F67" w:rsidRDefault="00F66F67" w:rsidP="00F66F67">
      <w:pPr>
        <w:pStyle w:val="Caption"/>
        <w:keepNext/>
      </w:pPr>
      <w:bookmarkStart w:id="106" w:name="_Ref179895700"/>
      <w:bookmarkStart w:id="107" w:name="_Toc182219709"/>
      <w:r>
        <w:t xml:space="preserve">Table </w:t>
      </w:r>
      <w:r>
        <w:fldChar w:fldCharType="begin"/>
      </w:r>
      <w:r>
        <w:instrText xml:space="preserve"> SEQ Table \* ARABIC </w:instrText>
      </w:r>
      <w:r>
        <w:fldChar w:fldCharType="separate"/>
      </w:r>
      <w:r w:rsidR="009C4192">
        <w:rPr>
          <w:noProof/>
        </w:rPr>
        <w:t>5</w:t>
      </w:r>
      <w:r>
        <w:fldChar w:fldCharType="end"/>
      </w:r>
      <w:bookmarkEnd w:id="106"/>
      <w:r>
        <w:t xml:space="preserve">: </w:t>
      </w:r>
      <w:r w:rsidRPr="00F9473A">
        <w:t xml:space="preserve">Highest level of education completed by </w:t>
      </w:r>
      <w:r>
        <w:t>people with disabilities</w:t>
      </w:r>
      <w:r w:rsidRPr="00F9473A">
        <w:t xml:space="preserve"> aged fifteen and over, </w:t>
      </w:r>
      <w:r>
        <w:t xml:space="preserve">by disability type, </w:t>
      </w:r>
      <w:r w:rsidRPr="00F9473A">
        <w:t>2022</w:t>
      </w:r>
      <w:bookmarkEnd w:id="107"/>
    </w:p>
    <w:tbl>
      <w:tblPr>
        <w:tblW w:w="13745" w:type="dxa"/>
        <w:tblLayout w:type="fixed"/>
        <w:tblLook w:val="04A0" w:firstRow="1" w:lastRow="0" w:firstColumn="1" w:lastColumn="0" w:noHBand="0" w:noVBand="1"/>
      </w:tblPr>
      <w:tblGrid>
        <w:gridCol w:w="3587"/>
        <w:gridCol w:w="2031"/>
        <w:gridCol w:w="2032"/>
        <w:gridCol w:w="2031"/>
        <w:gridCol w:w="2032"/>
        <w:gridCol w:w="2032"/>
      </w:tblGrid>
      <w:tr w:rsidR="00D55A8B" w:rsidRPr="00C95DE1" w14:paraId="76EA19CF" w14:textId="77777777" w:rsidTr="00CC6190">
        <w:trPr>
          <w:trHeight w:val="681"/>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8007" w14:textId="6A7F6FD6" w:rsidR="00D55A8B" w:rsidRPr="00C95DE1" w:rsidRDefault="00B35BE1" w:rsidP="00CC6190">
            <w:pPr>
              <w:pStyle w:val="TableHead"/>
              <w:rPr>
                <w:highlight w:val="yellow"/>
                <w:lang w:eastAsia="en-IE"/>
              </w:rPr>
            </w:pPr>
            <w:r w:rsidRPr="00B35BE1">
              <w:rPr>
                <w:lang w:eastAsia="en-IE"/>
              </w:rPr>
              <w:t>Type of Disability</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33CC10C5" w14:textId="343EEC83" w:rsidR="00D55A8B" w:rsidRPr="00BB7CAA" w:rsidRDefault="00D55A8B" w:rsidP="00CC6190">
            <w:pPr>
              <w:pStyle w:val="TableHead"/>
              <w:rPr>
                <w:lang w:eastAsia="en-IE"/>
              </w:rPr>
            </w:pPr>
            <w:r w:rsidRPr="00BB7CAA">
              <w:rPr>
                <w:lang w:eastAsia="en-IE"/>
              </w:rPr>
              <w:t>No formal education</w:t>
            </w:r>
            <w:r w:rsidR="002437AD">
              <w:rPr>
                <w:lang w:eastAsia="en-IE"/>
              </w:rPr>
              <w:t xml:space="preserve"> %</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58CA700" w14:textId="6D043E0F" w:rsidR="00D55A8B" w:rsidRPr="00BB7CAA" w:rsidRDefault="00D55A8B" w:rsidP="00CC6190">
            <w:pPr>
              <w:pStyle w:val="TableHead"/>
              <w:rPr>
                <w:lang w:eastAsia="en-IE"/>
              </w:rPr>
            </w:pPr>
            <w:r w:rsidRPr="00BB7CAA">
              <w:rPr>
                <w:lang w:eastAsia="en-IE"/>
              </w:rPr>
              <w:t>Primary</w:t>
            </w:r>
            <w:r w:rsidR="002437AD">
              <w:rPr>
                <w:lang w:eastAsia="en-IE"/>
              </w:rPr>
              <w:t xml:space="preserve"> %</w:t>
            </w:r>
          </w:p>
        </w:tc>
        <w:tc>
          <w:tcPr>
            <w:tcW w:w="2031" w:type="dxa"/>
            <w:tcBorders>
              <w:top w:val="single" w:sz="4" w:space="0" w:color="auto"/>
              <w:left w:val="nil"/>
              <w:bottom w:val="single" w:sz="4" w:space="0" w:color="auto"/>
              <w:right w:val="single" w:sz="4" w:space="0" w:color="auto"/>
            </w:tcBorders>
            <w:shd w:val="clear" w:color="auto" w:fill="auto"/>
            <w:noWrap/>
            <w:vAlign w:val="center"/>
            <w:hideMark/>
          </w:tcPr>
          <w:p w14:paraId="1F6104F7" w14:textId="56CDAD30" w:rsidR="00D55A8B" w:rsidRPr="00BB7CAA" w:rsidRDefault="00D55A8B" w:rsidP="00CC6190">
            <w:pPr>
              <w:pStyle w:val="TableHead"/>
              <w:rPr>
                <w:lang w:eastAsia="en-IE"/>
              </w:rPr>
            </w:pPr>
            <w:r w:rsidRPr="00BB7CAA">
              <w:rPr>
                <w:lang w:eastAsia="en-IE"/>
              </w:rPr>
              <w:t>Secondary</w:t>
            </w:r>
            <w:r w:rsidR="002437AD">
              <w:rPr>
                <w:lang w:eastAsia="en-IE"/>
              </w:rPr>
              <w:t xml:space="preserve"> %</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F87BE3C" w14:textId="2B79E3AE" w:rsidR="00D55A8B" w:rsidRPr="00BB7CAA" w:rsidRDefault="00D55A8B" w:rsidP="00CC6190">
            <w:pPr>
              <w:pStyle w:val="TableHead"/>
              <w:rPr>
                <w:lang w:eastAsia="en-IE"/>
              </w:rPr>
            </w:pPr>
            <w:r w:rsidRPr="00BB7CAA">
              <w:rPr>
                <w:lang w:eastAsia="en-IE"/>
              </w:rPr>
              <w:t>FET</w:t>
            </w:r>
            <w:r w:rsidR="002437AD">
              <w:rPr>
                <w:lang w:eastAsia="en-IE"/>
              </w:rPr>
              <w:t xml:space="preserve"> %</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70CF399" w14:textId="7E204A7F" w:rsidR="00D55A8B" w:rsidRPr="00BB7CAA" w:rsidRDefault="00D55A8B" w:rsidP="00CC6190">
            <w:pPr>
              <w:pStyle w:val="TableHead"/>
              <w:rPr>
                <w:lang w:eastAsia="en-IE"/>
              </w:rPr>
            </w:pPr>
            <w:r w:rsidRPr="00BB7CAA">
              <w:rPr>
                <w:lang w:eastAsia="en-IE"/>
              </w:rPr>
              <w:t>Tertiary</w:t>
            </w:r>
            <w:r w:rsidR="002437AD">
              <w:rPr>
                <w:lang w:eastAsia="en-IE"/>
              </w:rPr>
              <w:t xml:space="preserve"> %</w:t>
            </w:r>
          </w:p>
        </w:tc>
      </w:tr>
      <w:tr w:rsidR="00D55A8B" w:rsidRPr="00C95DE1" w14:paraId="67F84C47" w14:textId="77777777" w:rsidTr="00CC6190">
        <w:trPr>
          <w:trHeight w:val="421"/>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0DED0341" w14:textId="77777777" w:rsidR="00D55A8B" w:rsidRPr="00F9473A" w:rsidRDefault="00D55A8B" w:rsidP="00CC6190">
            <w:pPr>
              <w:spacing w:after="0"/>
              <w:rPr>
                <w:rFonts w:cs="Calibri"/>
                <w:color w:val="000000"/>
                <w:szCs w:val="26"/>
                <w:lang w:eastAsia="en-IE"/>
              </w:rPr>
            </w:pPr>
            <w:r>
              <w:rPr>
                <w:rFonts w:cs="Calibri"/>
                <w:color w:val="000000"/>
                <w:szCs w:val="26"/>
                <w:lang w:eastAsia="en-IE"/>
              </w:rPr>
              <w:t>Blindness or vision impairment</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58A27B33"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4.5</w:t>
            </w:r>
          </w:p>
        </w:tc>
        <w:tc>
          <w:tcPr>
            <w:tcW w:w="2032" w:type="dxa"/>
            <w:tcBorders>
              <w:top w:val="nil"/>
              <w:left w:val="nil"/>
              <w:bottom w:val="single" w:sz="4" w:space="0" w:color="auto"/>
              <w:right w:val="single" w:sz="4" w:space="0" w:color="auto"/>
            </w:tcBorders>
            <w:shd w:val="clear" w:color="auto" w:fill="auto"/>
            <w:noWrap/>
            <w:vAlign w:val="bottom"/>
            <w:hideMark/>
          </w:tcPr>
          <w:p w14:paraId="6C5D4245"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13.8</w:t>
            </w:r>
          </w:p>
        </w:tc>
        <w:tc>
          <w:tcPr>
            <w:tcW w:w="2031" w:type="dxa"/>
            <w:tcBorders>
              <w:top w:val="nil"/>
              <w:left w:val="nil"/>
              <w:bottom w:val="single" w:sz="4" w:space="0" w:color="auto"/>
              <w:right w:val="single" w:sz="4" w:space="0" w:color="auto"/>
            </w:tcBorders>
            <w:shd w:val="clear" w:color="auto" w:fill="auto"/>
            <w:noWrap/>
            <w:vAlign w:val="bottom"/>
            <w:hideMark/>
          </w:tcPr>
          <w:p w14:paraId="50C43CBD"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16.9</w:t>
            </w:r>
          </w:p>
        </w:tc>
        <w:tc>
          <w:tcPr>
            <w:tcW w:w="2032" w:type="dxa"/>
            <w:tcBorders>
              <w:top w:val="nil"/>
              <w:left w:val="nil"/>
              <w:bottom w:val="single" w:sz="4" w:space="0" w:color="auto"/>
              <w:right w:val="single" w:sz="4" w:space="0" w:color="auto"/>
            </w:tcBorders>
            <w:shd w:val="clear" w:color="auto" w:fill="auto"/>
            <w:noWrap/>
            <w:vAlign w:val="bottom"/>
            <w:hideMark/>
          </w:tcPr>
          <w:p w14:paraId="135AF940"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18.1</w:t>
            </w:r>
          </w:p>
        </w:tc>
        <w:tc>
          <w:tcPr>
            <w:tcW w:w="2032" w:type="dxa"/>
            <w:tcBorders>
              <w:top w:val="nil"/>
              <w:left w:val="nil"/>
              <w:bottom w:val="single" w:sz="4" w:space="0" w:color="auto"/>
              <w:right w:val="single" w:sz="4" w:space="0" w:color="auto"/>
            </w:tcBorders>
            <w:shd w:val="clear" w:color="auto" w:fill="auto"/>
            <w:noWrap/>
            <w:vAlign w:val="bottom"/>
            <w:hideMark/>
          </w:tcPr>
          <w:p w14:paraId="2418D6E1"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28.3</w:t>
            </w:r>
          </w:p>
        </w:tc>
      </w:tr>
      <w:tr w:rsidR="00D55A8B" w:rsidRPr="00C95DE1" w14:paraId="192BA7EF" w14:textId="77777777" w:rsidTr="00732BC9">
        <w:trPr>
          <w:trHeight w:val="600"/>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3B933821" w14:textId="77777777" w:rsidR="00D55A8B" w:rsidRPr="00F9473A" w:rsidRDefault="00D55A8B" w:rsidP="00CC6190">
            <w:pPr>
              <w:spacing w:after="0"/>
              <w:rPr>
                <w:rFonts w:cs="Calibri"/>
                <w:color w:val="000000"/>
                <w:szCs w:val="26"/>
                <w:lang w:eastAsia="en-IE"/>
              </w:rPr>
            </w:pPr>
            <w:r w:rsidRPr="00F9473A">
              <w:rPr>
                <w:rFonts w:cs="Calibri"/>
                <w:color w:val="000000"/>
                <w:szCs w:val="26"/>
                <w:lang w:eastAsia="en-IE"/>
              </w:rPr>
              <w:t>Deafness or a hearing impairment</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19DD18E4"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5.8</w:t>
            </w:r>
          </w:p>
        </w:tc>
        <w:tc>
          <w:tcPr>
            <w:tcW w:w="2032" w:type="dxa"/>
            <w:tcBorders>
              <w:top w:val="nil"/>
              <w:left w:val="nil"/>
              <w:bottom w:val="single" w:sz="4" w:space="0" w:color="auto"/>
              <w:right w:val="single" w:sz="4" w:space="0" w:color="auto"/>
            </w:tcBorders>
            <w:shd w:val="clear" w:color="auto" w:fill="auto"/>
            <w:noWrap/>
            <w:vAlign w:val="bottom"/>
          </w:tcPr>
          <w:p w14:paraId="5210A091"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21.1</w:t>
            </w:r>
          </w:p>
        </w:tc>
        <w:tc>
          <w:tcPr>
            <w:tcW w:w="2031" w:type="dxa"/>
            <w:tcBorders>
              <w:top w:val="nil"/>
              <w:left w:val="nil"/>
              <w:bottom w:val="single" w:sz="4" w:space="0" w:color="auto"/>
              <w:right w:val="single" w:sz="4" w:space="0" w:color="auto"/>
            </w:tcBorders>
            <w:shd w:val="clear" w:color="auto" w:fill="auto"/>
            <w:noWrap/>
            <w:vAlign w:val="bottom"/>
          </w:tcPr>
          <w:p w14:paraId="62ECCE4A"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15.3</w:t>
            </w:r>
          </w:p>
        </w:tc>
        <w:tc>
          <w:tcPr>
            <w:tcW w:w="2032" w:type="dxa"/>
            <w:tcBorders>
              <w:top w:val="nil"/>
              <w:left w:val="nil"/>
              <w:bottom w:val="single" w:sz="4" w:space="0" w:color="auto"/>
              <w:right w:val="single" w:sz="4" w:space="0" w:color="auto"/>
            </w:tcBorders>
            <w:shd w:val="clear" w:color="auto" w:fill="auto"/>
            <w:noWrap/>
            <w:vAlign w:val="bottom"/>
          </w:tcPr>
          <w:p w14:paraId="31B2D123"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16.5</w:t>
            </w:r>
          </w:p>
        </w:tc>
        <w:tc>
          <w:tcPr>
            <w:tcW w:w="2032" w:type="dxa"/>
            <w:tcBorders>
              <w:top w:val="nil"/>
              <w:left w:val="nil"/>
              <w:bottom w:val="single" w:sz="4" w:space="0" w:color="auto"/>
              <w:right w:val="single" w:sz="4" w:space="0" w:color="auto"/>
            </w:tcBorders>
            <w:shd w:val="clear" w:color="auto" w:fill="auto"/>
            <w:noWrap/>
            <w:vAlign w:val="bottom"/>
          </w:tcPr>
          <w:p w14:paraId="340E06E7"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18.8</w:t>
            </w:r>
          </w:p>
        </w:tc>
      </w:tr>
      <w:tr w:rsidR="00D55A8B" w:rsidRPr="00C95DE1" w14:paraId="56723B17" w14:textId="77777777" w:rsidTr="00732BC9">
        <w:trPr>
          <w:trHeight w:val="600"/>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3AD63166" w14:textId="77777777" w:rsidR="00D55A8B" w:rsidRPr="00F9473A" w:rsidRDefault="00D55A8B" w:rsidP="00CC6190">
            <w:pPr>
              <w:spacing w:after="0"/>
              <w:rPr>
                <w:rFonts w:cs="Calibri"/>
                <w:color w:val="000000"/>
                <w:szCs w:val="26"/>
                <w:lang w:eastAsia="en-IE"/>
              </w:rPr>
            </w:pPr>
            <w:r w:rsidRPr="00F9473A">
              <w:rPr>
                <w:rFonts w:cs="Calibri"/>
                <w:color w:val="000000"/>
                <w:szCs w:val="26"/>
                <w:lang w:eastAsia="en-IE"/>
              </w:rPr>
              <w:t>Difficulty with basic physical activities such as walking, climbing stairs, reaching, lifting or carrying</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4631EB06"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7.7</w:t>
            </w:r>
          </w:p>
        </w:tc>
        <w:tc>
          <w:tcPr>
            <w:tcW w:w="2032" w:type="dxa"/>
            <w:tcBorders>
              <w:top w:val="nil"/>
              <w:left w:val="nil"/>
              <w:bottom w:val="single" w:sz="4" w:space="0" w:color="auto"/>
              <w:right w:val="single" w:sz="4" w:space="0" w:color="auto"/>
            </w:tcBorders>
            <w:shd w:val="clear" w:color="auto" w:fill="auto"/>
            <w:noWrap/>
            <w:vAlign w:val="bottom"/>
          </w:tcPr>
          <w:p w14:paraId="04121E46"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22.0</w:t>
            </w:r>
          </w:p>
        </w:tc>
        <w:tc>
          <w:tcPr>
            <w:tcW w:w="2031" w:type="dxa"/>
            <w:tcBorders>
              <w:top w:val="nil"/>
              <w:left w:val="nil"/>
              <w:bottom w:val="single" w:sz="4" w:space="0" w:color="auto"/>
              <w:right w:val="single" w:sz="4" w:space="0" w:color="auto"/>
            </w:tcBorders>
            <w:shd w:val="clear" w:color="auto" w:fill="auto"/>
            <w:noWrap/>
            <w:vAlign w:val="bottom"/>
          </w:tcPr>
          <w:p w14:paraId="462015C8"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16.5</w:t>
            </w:r>
          </w:p>
        </w:tc>
        <w:tc>
          <w:tcPr>
            <w:tcW w:w="2032" w:type="dxa"/>
            <w:tcBorders>
              <w:top w:val="nil"/>
              <w:left w:val="nil"/>
              <w:bottom w:val="single" w:sz="4" w:space="0" w:color="auto"/>
              <w:right w:val="single" w:sz="4" w:space="0" w:color="auto"/>
            </w:tcBorders>
            <w:shd w:val="clear" w:color="auto" w:fill="auto"/>
            <w:noWrap/>
            <w:vAlign w:val="bottom"/>
          </w:tcPr>
          <w:p w14:paraId="57F075E4"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15.2</w:t>
            </w:r>
          </w:p>
        </w:tc>
        <w:tc>
          <w:tcPr>
            <w:tcW w:w="2032" w:type="dxa"/>
            <w:tcBorders>
              <w:top w:val="nil"/>
              <w:left w:val="nil"/>
              <w:bottom w:val="single" w:sz="4" w:space="0" w:color="auto"/>
              <w:right w:val="single" w:sz="4" w:space="0" w:color="auto"/>
            </w:tcBorders>
            <w:shd w:val="clear" w:color="auto" w:fill="auto"/>
            <w:noWrap/>
            <w:vAlign w:val="bottom"/>
          </w:tcPr>
          <w:p w14:paraId="3EE79CAC"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13.1</w:t>
            </w:r>
          </w:p>
        </w:tc>
      </w:tr>
      <w:tr w:rsidR="00D55A8B" w:rsidRPr="00C95DE1" w14:paraId="41E98845" w14:textId="77777777" w:rsidTr="00CC6190">
        <w:trPr>
          <w:trHeight w:val="424"/>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7751BB91" w14:textId="77777777" w:rsidR="00D55A8B" w:rsidRPr="00F9473A" w:rsidRDefault="00D55A8B" w:rsidP="00CC6190">
            <w:pPr>
              <w:spacing w:after="0"/>
              <w:rPr>
                <w:rFonts w:cs="Calibri"/>
                <w:color w:val="000000"/>
                <w:szCs w:val="26"/>
                <w:lang w:eastAsia="en-IE"/>
              </w:rPr>
            </w:pPr>
            <w:r w:rsidRPr="00F9473A">
              <w:rPr>
                <w:rFonts w:cs="Calibri"/>
                <w:color w:val="000000"/>
                <w:szCs w:val="26"/>
                <w:lang w:eastAsia="en-IE"/>
              </w:rPr>
              <w:t>Intellectual disability</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15959E31"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20.6</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27E282A9"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21.8</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37BB6476"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14.0</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2B09DF41"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10.7</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34C69908"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7.7</w:t>
            </w:r>
          </w:p>
        </w:tc>
      </w:tr>
      <w:tr w:rsidR="00D55A8B" w:rsidRPr="00C95DE1" w14:paraId="20B2B939" w14:textId="77777777" w:rsidTr="00732BC9">
        <w:trPr>
          <w:trHeight w:val="600"/>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371D9A08" w14:textId="77777777" w:rsidR="00D55A8B" w:rsidRPr="00F9473A" w:rsidRDefault="00D55A8B" w:rsidP="00CC6190">
            <w:pPr>
              <w:spacing w:after="0"/>
              <w:rPr>
                <w:rFonts w:cs="Calibri"/>
                <w:color w:val="000000"/>
                <w:szCs w:val="26"/>
                <w:lang w:eastAsia="en-IE"/>
              </w:rPr>
            </w:pPr>
            <w:r w:rsidRPr="00F9473A">
              <w:rPr>
                <w:rFonts w:cs="Calibri"/>
                <w:color w:val="000000"/>
                <w:szCs w:val="26"/>
                <w:lang w:eastAsia="en-IE"/>
              </w:rPr>
              <w:t>Difficulty with learning, remembering, or concentrating</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05AAEC04"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10.2</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092D1765"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19.1</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21E72B2D"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16.4</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3C701AA4"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15.3</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33BACF62"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14.6</w:t>
            </w:r>
          </w:p>
        </w:tc>
      </w:tr>
      <w:tr w:rsidR="00D55A8B" w:rsidRPr="00C95DE1" w14:paraId="56678714" w14:textId="77777777" w:rsidTr="00732BC9">
        <w:trPr>
          <w:trHeight w:val="600"/>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3EC5254C" w14:textId="76042211" w:rsidR="00D55A8B" w:rsidRPr="00CC6190" w:rsidRDefault="00D55A8B" w:rsidP="00CC6190">
            <w:pPr>
              <w:spacing w:after="0"/>
              <w:rPr>
                <w:rFonts w:cs="Calibri"/>
                <w:color w:val="000000"/>
                <w:szCs w:val="26"/>
                <w:lang w:eastAsia="en-IE"/>
              </w:rPr>
            </w:pPr>
            <w:r w:rsidRPr="00F9473A">
              <w:rPr>
                <w:rFonts w:cs="Calibri"/>
                <w:color w:val="000000"/>
                <w:szCs w:val="26"/>
                <w:lang w:eastAsia="en-IE"/>
              </w:rPr>
              <w:t>Psychological or emotional condition or a mental health issue</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2C34B917"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5.9</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7DAD7115"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9.5</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01D828A5"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18.7</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5C9BF8B6"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19.0</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66A155DA" w14:textId="77777777" w:rsidR="00D55A8B" w:rsidRPr="00F9473A" w:rsidRDefault="00D55A8B" w:rsidP="00CC6190">
            <w:pPr>
              <w:spacing w:after="0"/>
              <w:jc w:val="right"/>
              <w:rPr>
                <w:rFonts w:cs="Calibri"/>
                <w:color w:val="000000"/>
                <w:szCs w:val="26"/>
                <w:lang w:eastAsia="en-IE"/>
              </w:rPr>
            </w:pPr>
            <w:r>
              <w:rPr>
                <w:rFonts w:cs="Calibri"/>
                <w:color w:val="000000"/>
                <w:szCs w:val="26"/>
                <w:lang w:eastAsia="en-IE"/>
              </w:rPr>
              <w:t>27.5</w:t>
            </w:r>
          </w:p>
        </w:tc>
      </w:tr>
      <w:tr w:rsidR="00D55A8B" w:rsidRPr="00C95DE1" w14:paraId="1FDBAE88" w14:textId="77777777" w:rsidTr="00732BC9">
        <w:trPr>
          <w:trHeight w:val="600"/>
        </w:trPr>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14:paraId="5CB5DFE8" w14:textId="77777777" w:rsidR="00D55A8B" w:rsidRPr="00F9473A" w:rsidRDefault="00D55A8B" w:rsidP="00CC6190">
            <w:pPr>
              <w:spacing w:after="0"/>
              <w:rPr>
                <w:rFonts w:cs="Calibri"/>
                <w:color w:val="000000"/>
                <w:szCs w:val="26"/>
                <w:lang w:eastAsia="en-IE"/>
              </w:rPr>
            </w:pPr>
            <w:r>
              <w:rPr>
                <w:rFonts w:cs="Calibri"/>
                <w:color w:val="000000"/>
                <w:szCs w:val="26"/>
                <w:lang w:eastAsia="en-IE"/>
              </w:rPr>
              <w:t>Difficulty with pain or breathing or any other chronic illness or condition</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485BB8B9" w14:textId="77777777" w:rsidR="00D55A8B" w:rsidRDefault="00D55A8B" w:rsidP="00CC6190">
            <w:pPr>
              <w:spacing w:after="0"/>
              <w:jc w:val="right"/>
              <w:rPr>
                <w:rFonts w:cs="Calibri"/>
                <w:color w:val="000000"/>
                <w:szCs w:val="26"/>
                <w:lang w:eastAsia="en-IE"/>
              </w:rPr>
            </w:pPr>
            <w:r>
              <w:rPr>
                <w:rFonts w:cs="Calibri"/>
                <w:color w:val="000000"/>
                <w:szCs w:val="26"/>
                <w:lang w:eastAsia="en-IE"/>
              </w:rPr>
              <w:t>5.3</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01CA6B33" w14:textId="77777777" w:rsidR="00D55A8B" w:rsidRDefault="00D55A8B" w:rsidP="00CC6190">
            <w:pPr>
              <w:spacing w:after="0"/>
              <w:jc w:val="right"/>
              <w:rPr>
                <w:rFonts w:cs="Calibri"/>
                <w:color w:val="000000"/>
                <w:szCs w:val="26"/>
                <w:lang w:eastAsia="en-IE"/>
              </w:rPr>
            </w:pPr>
            <w:r>
              <w:rPr>
                <w:rFonts w:cs="Calibri"/>
                <w:color w:val="000000"/>
                <w:szCs w:val="26"/>
                <w:lang w:eastAsia="en-IE"/>
              </w:rPr>
              <w:t>16.0</w:t>
            </w:r>
          </w:p>
        </w:tc>
        <w:tc>
          <w:tcPr>
            <w:tcW w:w="2031" w:type="dxa"/>
            <w:tcBorders>
              <w:top w:val="single" w:sz="4" w:space="0" w:color="auto"/>
              <w:left w:val="nil"/>
              <w:bottom w:val="single" w:sz="4" w:space="0" w:color="auto"/>
              <w:right w:val="single" w:sz="4" w:space="0" w:color="auto"/>
            </w:tcBorders>
            <w:shd w:val="clear" w:color="auto" w:fill="auto"/>
            <w:noWrap/>
            <w:vAlign w:val="bottom"/>
          </w:tcPr>
          <w:p w14:paraId="4D7F3CC6" w14:textId="77777777" w:rsidR="00D55A8B" w:rsidRDefault="00D55A8B" w:rsidP="00CC6190">
            <w:pPr>
              <w:spacing w:after="0"/>
              <w:jc w:val="right"/>
              <w:rPr>
                <w:rFonts w:cs="Calibri"/>
                <w:color w:val="000000"/>
                <w:szCs w:val="26"/>
                <w:lang w:eastAsia="en-IE"/>
              </w:rPr>
            </w:pPr>
            <w:r>
              <w:rPr>
                <w:rFonts w:cs="Calibri"/>
                <w:color w:val="000000"/>
                <w:szCs w:val="26"/>
                <w:lang w:eastAsia="en-IE"/>
              </w:rPr>
              <w:t>16.6</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254B4915" w14:textId="77777777" w:rsidR="00D55A8B" w:rsidRDefault="00D55A8B" w:rsidP="00CC6190">
            <w:pPr>
              <w:spacing w:after="0"/>
              <w:jc w:val="right"/>
              <w:rPr>
                <w:rFonts w:cs="Calibri"/>
                <w:color w:val="000000"/>
                <w:szCs w:val="26"/>
                <w:lang w:eastAsia="en-IE"/>
              </w:rPr>
            </w:pPr>
            <w:r>
              <w:rPr>
                <w:rFonts w:cs="Calibri"/>
                <w:color w:val="000000"/>
                <w:szCs w:val="26"/>
                <w:lang w:eastAsia="en-IE"/>
              </w:rPr>
              <w:t>18.1</w:t>
            </w:r>
          </w:p>
        </w:tc>
        <w:tc>
          <w:tcPr>
            <w:tcW w:w="2032" w:type="dxa"/>
            <w:tcBorders>
              <w:top w:val="single" w:sz="4" w:space="0" w:color="auto"/>
              <w:left w:val="nil"/>
              <w:bottom w:val="single" w:sz="4" w:space="0" w:color="auto"/>
              <w:right w:val="single" w:sz="4" w:space="0" w:color="auto"/>
            </w:tcBorders>
            <w:shd w:val="clear" w:color="auto" w:fill="auto"/>
            <w:noWrap/>
            <w:vAlign w:val="bottom"/>
          </w:tcPr>
          <w:p w14:paraId="543F6A3E" w14:textId="77777777" w:rsidR="00D55A8B" w:rsidRDefault="00D55A8B" w:rsidP="00CC6190">
            <w:pPr>
              <w:spacing w:after="0"/>
              <w:jc w:val="right"/>
              <w:rPr>
                <w:rFonts w:cs="Calibri"/>
                <w:color w:val="000000"/>
                <w:szCs w:val="26"/>
                <w:lang w:eastAsia="en-IE"/>
              </w:rPr>
            </w:pPr>
            <w:r>
              <w:rPr>
                <w:rFonts w:cs="Calibri"/>
                <w:color w:val="000000"/>
                <w:szCs w:val="26"/>
                <w:lang w:eastAsia="en-IE"/>
              </w:rPr>
              <w:t>22.2</w:t>
            </w:r>
          </w:p>
        </w:tc>
      </w:tr>
    </w:tbl>
    <w:p w14:paraId="77124EDB" w14:textId="02211506" w:rsidR="00D55A8B" w:rsidRPr="004F71C3" w:rsidRDefault="00732BC9" w:rsidP="00732BC9">
      <w:pPr>
        <w:tabs>
          <w:tab w:val="left" w:pos="5508"/>
        </w:tabs>
        <w:rPr>
          <w:rFonts w:ascii="Gill Sans MT" w:hAnsi="Gill Sans MT"/>
          <w:sz w:val="22"/>
          <w:szCs w:val="22"/>
        </w:rPr>
      </w:pPr>
      <w:r>
        <w:rPr>
          <w:rFonts w:ascii="Gill Sans MT" w:hAnsi="Gill Sans MT"/>
          <w:szCs w:val="26"/>
        </w:rPr>
        <w:tab/>
      </w:r>
      <w:r w:rsidRPr="004F71C3">
        <w:rPr>
          <w:rFonts w:ascii="Gill Sans MT" w:hAnsi="Gill Sans MT"/>
          <w:sz w:val="22"/>
          <w:szCs w:val="22"/>
        </w:rPr>
        <w:t>Source: Census 2022</w:t>
      </w:r>
    </w:p>
    <w:p w14:paraId="49C3615C" w14:textId="124F3E8C" w:rsidR="00732BC9" w:rsidRPr="00732BC9" w:rsidRDefault="00732BC9" w:rsidP="00732BC9">
      <w:pPr>
        <w:tabs>
          <w:tab w:val="left" w:pos="5508"/>
        </w:tabs>
        <w:rPr>
          <w:rFonts w:ascii="Gill Sans MT" w:hAnsi="Gill Sans MT"/>
          <w:szCs w:val="26"/>
        </w:rPr>
        <w:sectPr w:rsidR="00732BC9" w:rsidRPr="00732BC9" w:rsidSect="00D55A8B">
          <w:pgSz w:w="16838" w:h="11906" w:orient="landscape"/>
          <w:pgMar w:top="1440" w:right="1440" w:bottom="1440" w:left="1440" w:header="708" w:footer="708" w:gutter="0"/>
          <w:cols w:space="708"/>
          <w:docGrid w:linePitch="360"/>
        </w:sectPr>
      </w:pPr>
    </w:p>
    <w:p w14:paraId="133D2282" w14:textId="7901410D" w:rsidR="00BB3237" w:rsidRDefault="00BB3237" w:rsidP="00BB3237">
      <w:r>
        <w:t xml:space="preserve">Research by the Economic and Social Research Institute (ESRI) commissioned by the NDA examined the skills and employment prospects of people with and without disabilities in Ireland, using data from a variety of sources, including SILC, the Census of Population, and the OECD Programme for the International Assessment of Adult Competencies (PIAAC) 2012. </w:t>
      </w:r>
      <w:r>
        <w:fldChar w:fldCharType="begin"/>
      </w:r>
      <w:r w:rsidR="00C0772E">
        <w:instrText xml:space="preserve"> ADDIN ZOTERO_ITEM CSL_CITATION {"citationID":"dWmrwovQ","properties":{"formattedCitation":"(20)","plainCitation":"(20)","noteIndex":0},"citationItems":[{"id":49,"uris":["http://zotero.org/users/local/kvLunvBP/items/8D97TGAK"],"itemData":{"id":49,"type":"report","abstract":"In 2013, the Irish Government published its National Disability Strategy Implementation Plan 2013-2015. As part of this strategy, a number of goals were set around participation, including job access for people with disabilities. This specific objective recommended a number of actions, including the commitment to publish a comprehensive employment strategy (CES) for people with disabilities. This strategy, the Comprehensive Employment Strategy for People with Disabilities, was published in 2015 for the period 2015-2024. The objective of this strategy, which is cross-governmental, is to support people with disabilities in accessing the labour market.  Building on existing actions in the CES, the National Disability Authority (NDA) commissioned the Economic and Social Research Institute (ESRI) to undertake quantitative research into the workplace skills and abilities of persons with disabilities. To undertake this research, a number of nationally representative data sources were utilised to characterise the skills/educational endowments and gaps among persons with disabilities compared to those without. Specifically, data from the Survey on Income and Living Conditions (SILC), the Programme for the International Assessment of Adult Competencies (PIAAC), the Census of Population, and the European Union Statistics on Income and Living Conditions (EU-SILC) were examined. Where the data permitted, we differentiated those with a disability by type, everyday difficulties (e.g. difficulty dressing), and/or severity level. We also examined the employment characteristics of people with disabilities compared to persons without, and investigated the impact of having a disability on an individual’s employment prospects. What follows is a summary of the principal findings from this research, including some discussion on future directions.","language":"en","note":"DOI: 10.26504/sustat107","publisher":"ESRI","source":"DOI.org (Crossref)","title":"Identification Of Skills Gaps Among Persons With Disabilities And Their Employment Prospects","URL":"https://www.esri.ie/publications/identification-of-skills-gaps-among-persons-with-disabilities-and-their-employment","author":[{"family":"Kelly","given":"Elish"},{"family":"Maître","given":"Bertrand"},{"literal":"ESRI"}],"accessed":{"date-parts":[["2023",10,10]]},"issued":{"date-parts":[["2021",9,22]]}}}],"schema":"https://github.com/citation-style-language/schema/raw/master/csl-citation.json"} </w:instrText>
      </w:r>
      <w:r>
        <w:fldChar w:fldCharType="separate"/>
      </w:r>
      <w:r w:rsidR="00C0772E" w:rsidRPr="00C0772E">
        <w:t>(20)</w:t>
      </w:r>
      <w:r>
        <w:fldChar w:fldCharType="end"/>
      </w:r>
      <w:r>
        <w:t xml:space="preserve"> The analyses revealed that adults with a permanent disability and neither in employment nor education/training had lower literacy and numeracy scores than those without a disability, that a much lower proportion of people with disabilities had a third-level qualification than working-aged people without disabilities, and that there </w:t>
      </w:r>
      <w:r w:rsidR="00846AEC">
        <w:t>was</w:t>
      </w:r>
      <w:r>
        <w:t xml:space="preserve"> a substantial variation in educational attainment across disability types. The ESRI report also showed that while educational attainment had increased over time among people with disabilities, the educational attainment gap between people with and without disabilities had remained relatively stable. </w:t>
      </w:r>
    </w:p>
    <w:p w14:paraId="0FA049D5" w14:textId="682FD6F9" w:rsidR="00BB3237" w:rsidRDefault="00BB3237" w:rsidP="00B35BE1">
      <w:r>
        <w:t xml:space="preserve">In 2021, the Central Statistics Office (CSO) published analyses linking disability status in Census 2016 with Leaving Certificate data from the State Examinations Commission (SEC) and data on further and higher education from the Higher Education Authority (HEA). </w:t>
      </w:r>
      <w:r>
        <w:fldChar w:fldCharType="begin"/>
      </w:r>
      <w:r w:rsidR="00C0772E">
        <w:instrText xml:space="preserve"> ADDIN ZOTERO_ITEM CSL_CITATION {"citationID":"3JS3H1oO","properties":{"formattedCitation":"(21)","plainCitation":"(21)","noteIndex":0},"citationItems":[{"id":238,"uris":["http://zotero.org/users/local/kvLunvBP/items/8V4EY7AV"],"itemData":{"id":238,"type":"webpage","language":"en","note":"publisher: CSO","title":"Income, Employment and Welfare Analysis of People with a Disability 2019","URL":"https://www.cso.ie/en/releasesandpublications/fp/fp-iewad/incomeemploymentandwelfareanalysisofpeoplewithadisability2019/","author":[{"family":"Central Statistics Office","given":""}],"accessed":{"date-parts":[["2024",9,16]]},"issued":{"date-parts":[["2021",12,2]]}}}],"schema":"https://github.com/citation-style-language/schema/raw/master/csl-citation.json"} </w:instrText>
      </w:r>
      <w:r>
        <w:fldChar w:fldCharType="separate"/>
      </w:r>
      <w:r w:rsidR="00C0772E" w:rsidRPr="00C0772E">
        <w:t>(21)</w:t>
      </w:r>
      <w:r>
        <w:fldChar w:fldCharType="end"/>
      </w:r>
      <w:r>
        <w:t xml:space="preserve"> This analysis revealed that just over one in ten people (11%) with a disability who sat the Leaving Certificate did the Leaving Certificate Applied, compared to 4% of people without a disability who sat the Leaving Certificate. The proportion of people with disabilities taking the Leaving Certificate Applied varied by disability type, from 6% of those with ‘other disability, including chronic illness’ to 25% of those with an intellectual disability. The analysis also showed that the</w:t>
      </w:r>
      <w:r w:rsidRPr="00E73E69">
        <w:t xml:space="preserve"> same proportion of those with and without a disability </w:t>
      </w:r>
      <w:r>
        <w:t>in Census 2016</w:t>
      </w:r>
      <w:r w:rsidRPr="00E73E69">
        <w:t xml:space="preserve"> </w:t>
      </w:r>
      <w:r>
        <w:t>who sat either</w:t>
      </w:r>
      <w:r w:rsidRPr="00E73E69">
        <w:t xml:space="preserve"> the Leaving Certificate or the Leaving Certificate Applied continued to further or higher education (84%).</w:t>
      </w:r>
      <w:r>
        <w:t xml:space="preserve"> However, when considering higher education specifically, 43% of those with a disability who sat the Leaving Certificate went on to higher education over the following three years, compared to 55% of those without a disability. </w:t>
      </w:r>
    </w:p>
    <w:p w14:paraId="56C28B59" w14:textId="4D0D3B14" w:rsidR="009C0DDB" w:rsidRPr="009C0DDB" w:rsidRDefault="009C0DDB" w:rsidP="009C0DDB">
      <w:pPr>
        <w:keepNext/>
        <w:spacing w:after="60"/>
        <w:outlineLvl w:val="1"/>
        <w:rPr>
          <w:rFonts w:ascii="Gill Sans MT" w:hAnsi="Gill Sans MT" w:cs="Arial Bold"/>
          <w:b/>
          <w:bCs/>
          <w:iCs/>
          <w:sz w:val="28"/>
          <w:szCs w:val="28"/>
          <w:lang w:eastAsia="en-IE"/>
        </w:rPr>
      </w:pPr>
      <w:bookmarkStart w:id="108" w:name="_Toc182219497"/>
      <w:bookmarkStart w:id="109" w:name="_Toc182220200"/>
      <w:bookmarkStart w:id="110" w:name="_Toc182555548"/>
      <w:bookmarkStart w:id="111" w:name="_Toc182555712"/>
      <w:r w:rsidRPr="009C0DDB">
        <w:rPr>
          <w:rFonts w:ascii="Gill Sans MT" w:hAnsi="Gill Sans MT" w:cs="Arial Bold"/>
          <w:b/>
          <w:bCs/>
          <w:iCs/>
          <w:sz w:val="28"/>
          <w:szCs w:val="28"/>
        </w:rPr>
        <w:t xml:space="preserve">1.3 </w:t>
      </w:r>
      <w:r w:rsidRPr="009C0DDB">
        <w:rPr>
          <w:rFonts w:ascii="Gill Sans MT" w:hAnsi="Gill Sans MT" w:cs="Arial Bold"/>
          <w:b/>
          <w:bCs/>
          <w:iCs/>
          <w:sz w:val="28"/>
          <w:szCs w:val="28"/>
          <w:lang w:eastAsia="en-IE"/>
        </w:rPr>
        <w:t xml:space="preserve">Proportion of all people accessing higher education, further education and training who have a disability </w:t>
      </w:r>
      <w:r w:rsidRPr="009C0DDB">
        <w:rPr>
          <w:rFonts w:ascii="Gill Sans MT" w:hAnsi="Gill Sans MT" w:cs="Arial Bold"/>
          <w:b/>
          <w:bCs/>
          <w:iCs/>
          <w:sz w:val="28"/>
          <w:szCs w:val="28"/>
        </w:rPr>
        <w:t>(Process)</w:t>
      </w:r>
      <w:bookmarkEnd w:id="108"/>
      <w:bookmarkEnd w:id="109"/>
      <w:bookmarkEnd w:id="110"/>
      <w:bookmarkEnd w:id="111"/>
    </w:p>
    <w:p w14:paraId="0068C6ED" w14:textId="1F022819" w:rsidR="009C0DDB" w:rsidRPr="009C0DDB" w:rsidRDefault="009C0DDB" w:rsidP="009C0DDB">
      <w:pPr>
        <w:rPr>
          <w:rFonts w:ascii="Gill Sans MT" w:hAnsi="Gill Sans MT"/>
          <w:szCs w:val="26"/>
          <w:lang w:eastAsia="en-IE"/>
        </w:rPr>
      </w:pPr>
      <w:r w:rsidRPr="00BD2C0C">
        <w:rPr>
          <w:rFonts w:ascii="Gill Sans MT" w:hAnsi="Gill Sans MT"/>
          <w:szCs w:val="26"/>
          <w:lang w:eastAsia="en-IE"/>
        </w:rPr>
        <w:t xml:space="preserve">Data from the </w:t>
      </w:r>
      <w:r w:rsidR="00F96CE4">
        <w:rPr>
          <w:rFonts w:ascii="Gill Sans MT" w:hAnsi="Gill Sans MT"/>
          <w:szCs w:val="26"/>
          <w:lang w:eastAsia="en-IE"/>
        </w:rPr>
        <w:t>HEA</w:t>
      </w:r>
      <w:r w:rsidR="009C7843">
        <w:rPr>
          <w:sz w:val="22"/>
          <w:szCs w:val="26"/>
          <w:vertAlign w:val="superscript"/>
          <w:lang w:eastAsia="en-IE"/>
        </w:rPr>
        <w:t xml:space="preserve"> </w:t>
      </w:r>
      <w:r w:rsidR="009C7843">
        <w:rPr>
          <w:rFonts w:ascii="Gill Sans MT" w:hAnsi="Gill Sans MT"/>
          <w:szCs w:val="26"/>
          <w:lang w:eastAsia="en-IE"/>
        </w:rPr>
        <w:t xml:space="preserve">show that the </w:t>
      </w:r>
      <w:r w:rsidRPr="00BD2C0C">
        <w:rPr>
          <w:rFonts w:ascii="Gill Sans MT" w:hAnsi="Gill Sans MT"/>
          <w:szCs w:val="26"/>
          <w:lang w:eastAsia="en-IE"/>
        </w:rPr>
        <w:t>majority of the higher education population</w:t>
      </w:r>
      <w:r w:rsidR="00326258">
        <w:rPr>
          <w:rFonts w:ascii="Gill Sans MT" w:hAnsi="Gill Sans MT"/>
          <w:szCs w:val="26"/>
          <w:lang w:eastAsia="en-IE"/>
        </w:rPr>
        <w:t xml:space="preserve"> is</w:t>
      </w:r>
      <w:r w:rsidRPr="00BD2C0C">
        <w:rPr>
          <w:rFonts w:ascii="Gill Sans MT" w:hAnsi="Gill Sans MT"/>
          <w:szCs w:val="26"/>
          <w:lang w:eastAsia="en-IE"/>
        </w:rPr>
        <w:t xml:space="preserve"> aged between 18 and 24</w:t>
      </w:r>
      <w:r w:rsidR="006F6F8B">
        <w:rPr>
          <w:rFonts w:ascii="Gill Sans MT" w:hAnsi="Gill Sans MT"/>
          <w:szCs w:val="26"/>
          <w:lang w:eastAsia="en-IE"/>
        </w:rPr>
        <w:t>.</w:t>
      </w:r>
      <w:r w:rsidR="00326258">
        <w:rPr>
          <w:rFonts w:ascii="Gill Sans MT" w:hAnsi="Gill Sans MT"/>
          <w:szCs w:val="26"/>
          <w:lang w:eastAsia="en-IE"/>
        </w:rPr>
        <w:t xml:space="preserve"> </w:t>
      </w:r>
      <w:r w:rsidR="00326258">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{"citationID":"i3koxHIv","properties":{"formattedCitation":"(22)","plainCitation":"(22)","noteIndex":0},"citationItems":[{"id":157,"uris":["http://zotero.org/users/local/kvLunvBP/items/5U6HQLRC"],"itemData":{"id":157,"type":"webpage","abstract":"Updated on Oct 4, 2023. See Revisions note here.    All values are rounded to the nearest 5 students. Note that individual figures have been </w:instrText>
      </w:r>
      <w:r w:rsidR="00C0772E">
        <w:rPr>
          <w:rFonts w:ascii="Arial" w:hAnsi="Arial" w:cs="Arial"/>
          <w:szCs w:val="26"/>
          <w:lang w:eastAsia="en-IE"/>
        </w:rPr>
        <w:instrText>→</w:instrText>
      </w:r>
      <w:r w:rsidR="00C0772E">
        <w:rPr>
          <w:rFonts w:ascii="Gill Sans MT" w:hAnsi="Gill Sans MT"/>
          <w:szCs w:val="26"/>
          <w:lang w:eastAsia="en-IE"/>
        </w:rPr>
        <w:instrText xml:space="preserve">","container-title":"Higher Education Authority","language":"en","title":"Key Facts and Figures","URL":"https://hea.ie/statistics/data-for-download-and-visualisations/key-facts-figures/","author":[{"family":"Higher Education Authority","given":""}],"accessed":{"date-parts":[["2024",6,25]]},"issued":{"date-parts":[["2023"]]}}}],"schema":"https://github.com/citation-style-language/schema/raw/master/csl-citation.json"} </w:instrText>
      </w:r>
      <w:r w:rsidR="00326258">
        <w:rPr>
          <w:rFonts w:ascii="Gill Sans MT" w:hAnsi="Gill Sans MT"/>
          <w:szCs w:val="26"/>
          <w:lang w:eastAsia="en-IE"/>
        </w:rPr>
        <w:fldChar w:fldCharType="separate"/>
      </w:r>
      <w:r w:rsidR="00C0772E" w:rsidRPr="00C0772E">
        <w:rPr>
          <w:rFonts w:ascii="Gill Sans MT" w:hAnsi="Gill Sans MT"/>
        </w:rPr>
        <w:t>(22)</w:t>
      </w:r>
      <w:r w:rsidR="00326258">
        <w:rPr>
          <w:rFonts w:ascii="Gill Sans MT" w:hAnsi="Gill Sans MT"/>
          <w:szCs w:val="26"/>
          <w:lang w:eastAsia="en-IE"/>
        </w:rPr>
        <w:fldChar w:fldCharType="end"/>
      </w:r>
      <w:r w:rsidR="006F6F8B">
        <w:rPr>
          <w:rFonts w:ascii="Gill Sans MT" w:hAnsi="Gill Sans MT"/>
          <w:szCs w:val="26"/>
          <w:lang w:eastAsia="en-IE"/>
        </w:rPr>
        <w:t xml:space="preserve"> </w:t>
      </w:r>
      <w:r w:rsidR="00326258">
        <w:rPr>
          <w:rFonts w:ascii="Gill Sans MT" w:hAnsi="Gill Sans MT"/>
          <w:szCs w:val="26"/>
          <w:lang w:eastAsia="en-IE"/>
        </w:rPr>
        <w:t xml:space="preserve">Data from SOLAS </w:t>
      </w:r>
      <w:r w:rsidR="000C22ED">
        <w:rPr>
          <w:rFonts w:ascii="Gill Sans MT" w:hAnsi="Gill Sans MT"/>
          <w:szCs w:val="26"/>
          <w:lang w:eastAsia="en-IE"/>
        </w:rPr>
        <w:t xml:space="preserve">also </w:t>
      </w:r>
      <w:r w:rsidR="00326258">
        <w:rPr>
          <w:rFonts w:ascii="Gill Sans MT" w:hAnsi="Gill Sans MT"/>
          <w:szCs w:val="26"/>
          <w:lang w:eastAsia="en-IE"/>
        </w:rPr>
        <w:t xml:space="preserve">show that there are more enrolments </w:t>
      </w:r>
      <w:r w:rsidR="00BB3237">
        <w:rPr>
          <w:rFonts w:ascii="Gill Sans MT" w:hAnsi="Gill Sans MT"/>
          <w:szCs w:val="26"/>
          <w:lang w:eastAsia="en-IE"/>
        </w:rPr>
        <w:t xml:space="preserve">in further education and training (FET) </w:t>
      </w:r>
      <w:r w:rsidR="00326258">
        <w:rPr>
          <w:rFonts w:ascii="Gill Sans MT" w:hAnsi="Gill Sans MT"/>
          <w:szCs w:val="26"/>
          <w:lang w:eastAsia="en-IE"/>
        </w:rPr>
        <w:t>among under-25s than in older age brackets</w:t>
      </w:r>
      <w:r w:rsidR="00380BD7">
        <w:rPr>
          <w:rFonts w:ascii="Gill Sans MT" w:hAnsi="Gill Sans MT"/>
          <w:szCs w:val="26"/>
          <w:lang w:eastAsia="en-IE"/>
        </w:rPr>
        <w:t>.</w:t>
      </w:r>
      <w:r w:rsidR="00326258">
        <w:rPr>
          <w:rFonts w:ascii="Gill Sans MT" w:hAnsi="Gill Sans MT"/>
          <w:szCs w:val="26"/>
          <w:lang w:eastAsia="en-IE"/>
        </w:rPr>
        <w:t xml:space="preserve"> </w:t>
      </w:r>
      <w:r w:rsidR="009E523B">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{"citationID":"mSflSaPS","properties":{"formattedCitation":"(23)","plainCitation":"(23)","noteIndex":0},"citationItems":[{"id":159,"uris":["http://zotero.org/users/local/kvLunvBP/items/HHSJFM6X"],"itemData":{"id":159,"type":"report","title":"This is FET: Facts and Figures 2022","URL":"https://www.solas.ie/f/70398/x/bf2a524405/solas_facts_report_2022.pdf","author":[{"family":"SOLAS","given":""}],"issued":{"date-parts":[["2023"]]}}}],"schema":"https://github.com/citation-style-language/schema/raw/master/csl-citation.json"} </w:instrText>
      </w:r>
      <w:r w:rsidR="009E523B">
        <w:rPr>
          <w:rFonts w:ascii="Gill Sans MT" w:hAnsi="Gill Sans MT"/>
          <w:szCs w:val="26"/>
          <w:lang w:eastAsia="en-IE"/>
        </w:rPr>
        <w:fldChar w:fldCharType="separate"/>
      </w:r>
      <w:r w:rsidR="00C0772E" w:rsidRPr="00C0772E">
        <w:rPr>
          <w:rFonts w:ascii="Gill Sans MT" w:hAnsi="Gill Sans MT"/>
        </w:rPr>
        <w:t>(23)</w:t>
      </w:r>
      <w:r w:rsidR="009E523B">
        <w:rPr>
          <w:rFonts w:ascii="Gill Sans MT" w:hAnsi="Gill Sans MT"/>
          <w:szCs w:val="26"/>
          <w:lang w:eastAsia="en-IE"/>
        </w:rPr>
        <w:fldChar w:fldCharType="end"/>
      </w:r>
      <w:r w:rsidR="00380BD7">
        <w:rPr>
          <w:rFonts w:ascii="Gill Sans MT" w:hAnsi="Gill Sans MT"/>
          <w:szCs w:val="26"/>
          <w:lang w:eastAsia="en-IE"/>
        </w:rPr>
        <w:t xml:space="preserve"> </w:t>
      </w:r>
      <w:r w:rsidR="00BD2C0C" w:rsidRPr="00BD2C0C">
        <w:rPr>
          <w:rFonts w:ascii="Gill Sans MT" w:hAnsi="Gill Sans MT"/>
          <w:szCs w:val="26"/>
          <w:lang w:eastAsia="en-IE"/>
        </w:rPr>
        <w:t>For reference</w:t>
      </w:r>
      <w:r w:rsidR="00BB3237">
        <w:rPr>
          <w:rFonts w:ascii="Gill Sans MT" w:hAnsi="Gill Sans MT"/>
          <w:szCs w:val="26"/>
          <w:lang w:eastAsia="en-IE"/>
        </w:rPr>
        <w:t xml:space="preserve"> when interpreting the data below</w:t>
      </w:r>
      <w:r w:rsidR="00BD2C0C" w:rsidRPr="00BD2C0C">
        <w:rPr>
          <w:rFonts w:ascii="Gill Sans MT" w:hAnsi="Gill Sans MT"/>
          <w:szCs w:val="26"/>
          <w:lang w:eastAsia="en-IE"/>
        </w:rPr>
        <w:t>,</w:t>
      </w:r>
      <w:r w:rsidRPr="00BD2C0C">
        <w:rPr>
          <w:rFonts w:ascii="Gill Sans MT" w:hAnsi="Gill Sans MT"/>
          <w:szCs w:val="26"/>
          <w:lang w:eastAsia="en-IE"/>
        </w:rPr>
        <w:t xml:space="preserve"> </w:t>
      </w:r>
      <w:r w:rsidR="00653017" w:rsidRPr="00653017">
        <w:rPr>
          <w:rFonts w:ascii="Gill Sans MT" w:hAnsi="Gill Sans MT"/>
          <w:szCs w:val="26"/>
          <w:lang w:eastAsia="en-IE"/>
        </w:rPr>
        <w:t>19.2</w:t>
      </w:r>
      <w:r w:rsidRPr="00653017">
        <w:rPr>
          <w:rFonts w:ascii="Gill Sans MT" w:hAnsi="Gill Sans MT"/>
          <w:szCs w:val="26"/>
          <w:lang w:eastAsia="en-IE"/>
        </w:rPr>
        <w:t>%</w:t>
      </w:r>
      <w:r w:rsidRPr="00BD2C0C">
        <w:rPr>
          <w:rFonts w:ascii="Gill Sans MT" w:hAnsi="Gill Sans MT"/>
          <w:szCs w:val="26"/>
          <w:lang w:eastAsia="en-IE"/>
        </w:rPr>
        <w:t xml:space="preserve"> </w:t>
      </w:r>
      <w:r w:rsidR="001C70E2">
        <w:rPr>
          <w:rFonts w:ascii="Gill Sans MT" w:hAnsi="Gill Sans MT"/>
          <w:szCs w:val="26"/>
          <w:lang w:eastAsia="en-IE"/>
        </w:rPr>
        <w:t xml:space="preserve">of 18-24-year-olds </w:t>
      </w:r>
      <w:r w:rsidR="00BD2C0C">
        <w:rPr>
          <w:rFonts w:ascii="Gill Sans MT" w:hAnsi="Gill Sans MT"/>
          <w:szCs w:val="26"/>
          <w:lang w:eastAsia="en-IE"/>
        </w:rPr>
        <w:t>were categorised as</w:t>
      </w:r>
      <w:r w:rsidRPr="00BD2C0C">
        <w:rPr>
          <w:rFonts w:ascii="Gill Sans MT" w:hAnsi="Gill Sans MT"/>
          <w:szCs w:val="26"/>
          <w:lang w:eastAsia="en-IE"/>
        </w:rPr>
        <w:t xml:space="preserve"> having a disability</w:t>
      </w:r>
      <w:r w:rsidR="00BD2C0C">
        <w:rPr>
          <w:rFonts w:ascii="Gill Sans MT" w:hAnsi="Gill Sans MT"/>
          <w:szCs w:val="26"/>
          <w:lang w:eastAsia="en-IE"/>
        </w:rPr>
        <w:t xml:space="preserve"> in Census 2022</w:t>
      </w:r>
      <w:r w:rsidRPr="00BD2C0C">
        <w:rPr>
          <w:rFonts w:ascii="Gill Sans MT" w:hAnsi="Gill Sans MT"/>
          <w:szCs w:val="26"/>
          <w:lang w:eastAsia="en-IE"/>
        </w:rPr>
        <w:t>.</w:t>
      </w:r>
      <w:r w:rsidRPr="009C0DDB">
        <w:rPr>
          <w:rFonts w:ascii="Gill Sans MT" w:hAnsi="Gill Sans MT"/>
          <w:szCs w:val="26"/>
          <w:lang w:eastAsia="en-IE"/>
        </w:rPr>
        <w:t xml:space="preserve"> </w:t>
      </w:r>
    </w:p>
    <w:p w14:paraId="4EA433A9" w14:textId="77777777" w:rsidR="009C0DDB" w:rsidRPr="009C0DDB" w:rsidRDefault="009C0DDB" w:rsidP="009C0DDB">
      <w:pPr>
        <w:keepNext/>
        <w:spacing w:after="0"/>
        <w:outlineLvl w:val="2"/>
        <w:rPr>
          <w:rFonts w:ascii="Gill Sans MT" w:hAnsi="Gill Sans MT" w:cs="Arial Bold"/>
          <w:b/>
          <w:bCs/>
          <w:lang w:eastAsia="en-IE"/>
        </w:rPr>
      </w:pPr>
      <w:bookmarkStart w:id="112" w:name="_Toc182219498"/>
      <w:bookmarkStart w:id="113" w:name="_Toc182220201"/>
      <w:bookmarkStart w:id="114" w:name="_Toc182555549"/>
      <w:r w:rsidRPr="009C0DDB">
        <w:rPr>
          <w:rFonts w:ascii="Gill Sans MT" w:hAnsi="Gill Sans MT" w:cs="Arial Bold"/>
          <w:b/>
          <w:bCs/>
          <w:lang w:eastAsia="en-IE"/>
        </w:rPr>
        <w:t>1.3.1 Higher education</w:t>
      </w:r>
      <w:bookmarkEnd w:id="112"/>
      <w:bookmarkEnd w:id="113"/>
      <w:bookmarkEnd w:id="114"/>
    </w:p>
    <w:p w14:paraId="65E54CB0" w14:textId="198C302F" w:rsidR="00962543" w:rsidRDefault="009C0DDB" w:rsidP="00962543">
      <w:pPr>
        <w:rPr>
          <w:rFonts w:ascii="Gill Sans MT" w:hAnsi="Gill Sans MT"/>
          <w:szCs w:val="26"/>
          <w:lang w:eastAsia="en-IE"/>
        </w:rPr>
      </w:pPr>
      <w:r w:rsidRPr="009C0DDB">
        <w:rPr>
          <w:rFonts w:ascii="Gill Sans MT" w:hAnsi="Gill Sans MT"/>
          <w:szCs w:val="26"/>
          <w:lang w:eastAsia="en-IE"/>
        </w:rPr>
        <w:t xml:space="preserve">The proportion of students </w:t>
      </w:r>
      <w:r w:rsidR="00917C0F" w:rsidRPr="00917C0F">
        <w:rPr>
          <w:rFonts w:ascii="Gill Sans MT" w:hAnsi="Gill Sans MT"/>
          <w:szCs w:val="26"/>
          <w:lang w:eastAsia="en-IE"/>
        </w:rPr>
        <w:t>registered with disability support/access services</w:t>
      </w:r>
      <w:r w:rsidRPr="009C0DDB">
        <w:rPr>
          <w:rFonts w:ascii="Gill Sans MT" w:hAnsi="Gill Sans MT"/>
          <w:szCs w:val="26"/>
          <w:lang w:eastAsia="en-IE"/>
        </w:rPr>
        <w:t xml:space="preserve"> in higher education institutions increased from 5.2% in the 2015/16 academic year</w:t>
      </w:r>
      <w:r w:rsidR="00F576BB">
        <w:rPr>
          <w:rFonts w:ascii="Gill Sans MT" w:hAnsi="Gill Sans MT"/>
          <w:szCs w:val="26"/>
          <w:lang w:eastAsia="en-IE"/>
        </w:rPr>
        <w:t xml:space="preserve"> </w:t>
      </w:r>
      <w:r w:rsidRPr="009C0DDB">
        <w:rPr>
          <w:rFonts w:ascii="Gill Sans MT" w:hAnsi="Gill Sans MT"/>
          <w:szCs w:val="26"/>
          <w:lang w:eastAsia="en-IE"/>
        </w:rPr>
        <w:t>to</w:t>
      </w:r>
      <w:r w:rsidR="00917C0F" w:rsidRPr="00917C0F">
        <w:rPr>
          <w:rFonts w:ascii="Gill Sans MT" w:hAnsi="Gill Sans MT"/>
          <w:szCs w:val="26"/>
          <w:lang w:eastAsia="en-IE"/>
        </w:rPr>
        <w:t xml:space="preserve"> </w:t>
      </w:r>
      <w:r w:rsidR="00AE35D4">
        <w:rPr>
          <w:rFonts w:ascii="Gill Sans MT" w:hAnsi="Gill Sans MT"/>
          <w:szCs w:val="26"/>
          <w:lang w:eastAsia="en-IE"/>
        </w:rPr>
        <w:t>7.4</w:t>
      </w:r>
      <w:r w:rsidR="00917C0F" w:rsidRPr="00917C0F">
        <w:rPr>
          <w:rFonts w:ascii="Gill Sans MT" w:hAnsi="Gill Sans MT"/>
          <w:szCs w:val="26"/>
          <w:lang w:eastAsia="en-IE"/>
        </w:rPr>
        <w:t>% in the 202</w:t>
      </w:r>
      <w:r w:rsidR="00AE35D4">
        <w:rPr>
          <w:rFonts w:ascii="Gill Sans MT" w:hAnsi="Gill Sans MT"/>
          <w:szCs w:val="26"/>
          <w:lang w:eastAsia="en-IE"/>
        </w:rPr>
        <w:t>2</w:t>
      </w:r>
      <w:r w:rsidR="00917C0F" w:rsidRPr="00917C0F">
        <w:rPr>
          <w:rFonts w:ascii="Gill Sans MT" w:hAnsi="Gill Sans MT"/>
          <w:szCs w:val="26"/>
          <w:lang w:eastAsia="en-IE"/>
        </w:rPr>
        <w:t>/202</w:t>
      </w:r>
      <w:r w:rsidR="00AE35D4">
        <w:rPr>
          <w:rFonts w:ascii="Gill Sans MT" w:hAnsi="Gill Sans MT"/>
          <w:szCs w:val="26"/>
          <w:lang w:eastAsia="en-IE"/>
        </w:rPr>
        <w:t>3</w:t>
      </w:r>
      <w:r w:rsidR="00917C0F" w:rsidRPr="00917C0F">
        <w:rPr>
          <w:rFonts w:ascii="Gill Sans MT" w:hAnsi="Gill Sans MT"/>
          <w:szCs w:val="26"/>
          <w:lang w:eastAsia="en-IE"/>
        </w:rPr>
        <w:t xml:space="preserve"> academic year</w:t>
      </w:r>
      <w:r w:rsidR="002220D7">
        <w:rPr>
          <w:rFonts w:ascii="Gill Sans MT" w:hAnsi="Gill Sans MT"/>
          <w:szCs w:val="26"/>
          <w:lang w:eastAsia="en-IE"/>
        </w:rPr>
        <w:t xml:space="preserve"> </w:t>
      </w:r>
      <w:r w:rsidR="002220D7">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{"citationID":"qE2R7Fdj","properties":{"formattedCitation":"(24)","plainCitation":"(24)","noteIndex":0},"citationItems":[{"id":210,"uris":["http://zotero.org/users/local/kvLunvBP/items/WCTNH8NJ"],"itemData":{"id":210,"type":"report","language":"en-GB","note":"publisher: AHEAD","title":"Students with disabilities engaged with support services in higher education in Ireland 2022/23","URL":"https://www.ahead.ie/userfiles/files/AHEAD_Research_Report_23_digital_supplied.pdf","author":[{"family":"AHEAD","given":""}],"accessed":{"date-parts":[["2024",7,30]]},"issued":{"date-parts":[["2024"]]}}}],"schema":"https://github.com/citation-style-language/schema/raw/master/csl-citation.json"} </w:instrText>
      </w:r>
      <w:r w:rsidR="002220D7">
        <w:rPr>
          <w:rFonts w:ascii="Gill Sans MT" w:hAnsi="Gill Sans MT"/>
          <w:szCs w:val="26"/>
          <w:lang w:eastAsia="en-IE"/>
        </w:rPr>
        <w:fldChar w:fldCharType="separate"/>
      </w:r>
      <w:r w:rsidR="00C0772E" w:rsidRPr="00C0772E">
        <w:rPr>
          <w:rFonts w:ascii="Gill Sans MT" w:hAnsi="Gill Sans MT"/>
        </w:rPr>
        <w:t>(24)</w:t>
      </w:r>
      <w:r w:rsidR="002220D7">
        <w:rPr>
          <w:rFonts w:ascii="Gill Sans MT" w:hAnsi="Gill Sans MT"/>
          <w:szCs w:val="26"/>
          <w:lang w:eastAsia="en-IE"/>
        </w:rPr>
        <w:fldChar w:fldCharType="end"/>
      </w:r>
      <w:r w:rsidR="00343815">
        <w:rPr>
          <w:rFonts w:ascii="Gill Sans MT" w:hAnsi="Gill Sans MT"/>
          <w:szCs w:val="26"/>
          <w:lang w:eastAsia="en-IE"/>
        </w:rPr>
        <w:t>, with small but steady year-on-year increases</w:t>
      </w:r>
      <w:r w:rsidR="006273B1">
        <w:rPr>
          <w:rFonts w:ascii="Gill Sans MT" w:hAnsi="Gill Sans MT"/>
          <w:szCs w:val="26"/>
          <w:lang w:eastAsia="en-IE"/>
        </w:rPr>
        <w:t xml:space="preserve"> </w:t>
      </w:r>
      <w:r w:rsidR="006273B1" w:rsidRPr="008F45D0">
        <w:rPr>
          <w:rFonts w:ascii="Gill Sans MT" w:hAnsi="Gill Sans MT"/>
          <w:szCs w:val="26"/>
          <w:lang w:eastAsia="en-IE"/>
        </w:rPr>
        <w:t>(</w:t>
      </w:r>
      <w:r w:rsidR="00172272" w:rsidRPr="008F45D0">
        <w:rPr>
          <w:rFonts w:ascii="Gill Sans MT" w:hAnsi="Gill Sans MT"/>
          <w:szCs w:val="26"/>
          <w:lang w:eastAsia="en-IE"/>
        </w:rPr>
        <w:fldChar w:fldCharType="begin"/>
      </w:r>
      <w:r w:rsidR="00172272" w:rsidRPr="008F45D0">
        <w:rPr>
          <w:rFonts w:ascii="Gill Sans MT" w:hAnsi="Gill Sans MT"/>
          <w:szCs w:val="26"/>
          <w:lang w:eastAsia="en-IE"/>
        </w:rPr>
        <w:instrText xml:space="preserve"> REF _Ref180412210 \h </w:instrText>
      </w:r>
      <w:r w:rsidR="008F45D0" w:rsidRPr="008F45D0">
        <w:rPr>
          <w:rFonts w:ascii="Gill Sans MT" w:hAnsi="Gill Sans MT"/>
          <w:szCs w:val="26"/>
          <w:lang w:eastAsia="en-IE"/>
        </w:rPr>
        <w:instrText xml:space="preserve"> \* MERGEFORMAT </w:instrText>
      </w:r>
      <w:r w:rsidR="00172272" w:rsidRPr="008F45D0">
        <w:rPr>
          <w:rFonts w:ascii="Gill Sans MT" w:hAnsi="Gill Sans MT"/>
          <w:szCs w:val="26"/>
          <w:lang w:eastAsia="en-IE"/>
        </w:rPr>
      </w:r>
      <w:r w:rsidR="00172272" w:rsidRPr="008F45D0">
        <w:rPr>
          <w:rFonts w:ascii="Gill Sans MT" w:hAnsi="Gill Sans MT"/>
          <w:szCs w:val="26"/>
          <w:lang w:eastAsia="en-IE"/>
        </w:rPr>
        <w:fldChar w:fldCharType="separate"/>
      </w:r>
      <w:r w:rsidR="009C4192" w:rsidRPr="008F45D0">
        <w:t xml:space="preserve">Figure </w:t>
      </w:r>
      <w:r w:rsidR="009C4192" w:rsidRPr="008F45D0">
        <w:rPr>
          <w:noProof/>
        </w:rPr>
        <w:t>5</w:t>
      </w:r>
      <w:r w:rsidR="00172272" w:rsidRPr="008F45D0">
        <w:rPr>
          <w:rFonts w:ascii="Gill Sans MT" w:hAnsi="Gill Sans MT"/>
          <w:szCs w:val="26"/>
          <w:lang w:eastAsia="en-IE"/>
        </w:rPr>
        <w:fldChar w:fldCharType="end"/>
      </w:r>
      <w:r w:rsidR="006273B1">
        <w:rPr>
          <w:rFonts w:ascii="Gill Sans MT" w:hAnsi="Gill Sans MT"/>
          <w:szCs w:val="26"/>
          <w:lang w:eastAsia="en-IE"/>
        </w:rPr>
        <w:t>)</w:t>
      </w:r>
      <w:r w:rsidR="00343815">
        <w:rPr>
          <w:rFonts w:ascii="Gill Sans MT" w:hAnsi="Gill Sans MT"/>
          <w:szCs w:val="26"/>
          <w:lang w:eastAsia="en-IE"/>
        </w:rPr>
        <w:t>.</w:t>
      </w:r>
      <w:r w:rsidR="00AE6984">
        <w:rPr>
          <w:rFonts w:ascii="Gill Sans MT" w:hAnsi="Gill Sans MT"/>
          <w:szCs w:val="26"/>
          <w:lang w:eastAsia="en-IE"/>
        </w:rPr>
        <w:t xml:space="preserve"> </w:t>
      </w:r>
      <w:r w:rsidR="001A3676">
        <w:rPr>
          <w:rFonts w:ascii="Gill Sans MT" w:hAnsi="Gill Sans MT"/>
          <w:szCs w:val="26"/>
          <w:lang w:eastAsia="en-IE"/>
        </w:rPr>
        <w:t>However, these</w:t>
      </w:r>
      <w:r w:rsidR="001A3676" w:rsidRPr="009C0DDB">
        <w:rPr>
          <w:rFonts w:ascii="Gill Sans MT" w:hAnsi="Gill Sans MT"/>
          <w:szCs w:val="26"/>
          <w:lang w:eastAsia="en-IE"/>
        </w:rPr>
        <w:t xml:space="preserve"> figures </w:t>
      </w:r>
      <w:r w:rsidR="001A3676" w:rsidRPr="00917C0F">
        <w:rPr>
          <w:rFonts w:ascii="Gill Sans MT" w:hAnsi="Gill Sans MT"/>
          <w:szCs w:val="26"/>
          <w:lang w:eastAsia="en-IE"/>
        </w:rPr>
        <w:t>are likely underestimates of the proportion of people accessing higher education who have a disability,</w:t>
      </w:r>
      <w:r w:rsidR="001A3676" w:rsidRPr="009C0DDB">
        <w:rPr>
          <w:rFonts w:ascii="Gill Sans MT" w:hAnsi="Gill Sans MT"/>
          <w:szCs w:val="26"/>
          <w:lang w:eastAsia="en-IE"/>
        </w:rPr>
        <w:t xml:space="preserve"> as </w:t>
      </w:r>
      <w:r w:rsidR="001A3676">
        <w:rPr>
          <w:rFonts w:ascii="Gill Sans MT" w:hAnsi="Gill Sans MT"/>
          <w:szCs w:val="26"/>
          <w:lang w:eastAsia="en-IE"/>
        </w:rPr>
        <w:t>disabled people may</w:t>
      </w:r>
      <w:r w:rsidR="001A3676" w:rsidRPr="009C0DDB">
        <w:rPr>
          <w:rFonts w:ascii="Gill Sans MT" w:hAnsi="Gill Sans MT"/>
          <w:szCs w:val="26"/>
          <w:lang w:eastAsia="en-IE"/>
        </w:rPr>
        <w:t xml:space="preserve"> choose not to </w:t>
      </w:r>
      <w:r w:rsidR="001A3676" w:rsidRPr="00917C0F">
        <w:rPr>
          <w:rFonts w:ascii="Gill Sans MT" w:hAnsi="Gill Sans MT"/>
          <w:szCs w:val="26"/>
          <w:lang w:eastAsia="en-IE"/>
        </w:rPr>
        <w:t xml:space="preserve">engage with a </w:t>
      </w:r>
      <w:r w:rsidR="001A3676">
        <w:rPr>
          <w:rFonts w:ascii="Gill Sans MT" w:hAnsi="Gill Sans MT"/>
          <w:szCs w:val="26"/>
          <w:lang w:eastAsia="en-IE"/>
        </w:rPr>
        <w:t xml:space="preserve">student </w:t>
      </w:r>
      <w:r w:rsidR="001A3676" w:rsidRPr="00917C0F">
        <w:rPr>
          <w:rFonts w:ascii="Gill Sans MT" w:hAnsi="Gill Sans MT"/>
          <w:szCs w:val="26"/>
          <w:lang w:eastAsia="en-IE"/>
        </w:rPr>
        <w:t>disability service</w:t>
      </w:r>
      <w:r w:rsidR="001A3676">
        <w:rPr>
          <w:rFonts w:ascii="Gill Sans MT" w:hAnsi="Gill Sans MT"/>
          <w:szCs w:val="26"/>
          <w:lang w:eastAsia="en-IE"/>
        </w:rPr>
        <w:t xml:space="preserve"> at their higher education institution</w:t>
      </w:r>
      <w:r w:rsidR="001A3676" w:rsidRPr="00917C0F">
        <w:rPr>
          <w:rFonts w:ascii="Gill Sans MT" w:hAnsi="Gill Sans MT"/>
          <w:szCs w:val="26"/>
          <w:lang w:eastAsia="en-IE"/>
        </w:rPr>
        <w:t>.</w:t>
      </w:r>
      <w:r w:rsidR="001A3676">
        <w:rPr>
          <w:rFonts w:ascii="Gill Sans MT" w:hAnsi="Gill Sans MT"/>
          <w:szCs w:val="26"/>
          <w:lang w:eastAsia="en-IE"/>
        </w:rPr>
        <w:t xml:space="preserve"> </w:t>
      </w:r>
    </w:p>
    <w:p w14:paraId="3A94AE75" w14:textId="799290C4" w:rsidR="00B75759" w:rsidRPr="00AA16B5" w:rsidRDefault="00B75759" w:rsidP="00962543">
      <w:pPr>
        <w:rPr>
          <w:b/>
          <w:bCs/>
        </w:rPr>
      </w:pPr>
      <w:bookmarkStart w:id="115" w:name="_Ref180412210"/>
      <w:bookmarkStart w:id="116" w:name="_Ref180412203"/>
      <w:bookmarkStart w:id="117" w:name="_Toc182219901"/>
      <w:r w:rsidRPr="00AA16B5">
        <w:rPr>
          <w:b/>
          <w:bCs/>
        </w:rPr>
        <w:t xml:space="preserve">Figure </w:t>
      </w:r>
      <w:r w:rsidR="0017737A">
        <w:rPr>
          <w:b/>
          <w:bCs/>
        </w:rPr>
        <w:fldChar w:fldCharType="begin"/>
      </w:r>
      <w:r w:rsidR="0017737A">
        <w:rPr>
          <w:b/>
          <w:bCs/>
        </w:rPr>
        <w:instrText xml:space="preserve"> SEQ Figure \* ARABIC </w:instrText>
      </w:r>
      <w:r w:rsidR="0017737A">
        <w:rPr>
          <w:b/>
          <w:bCs/>
        </w:rPr>
        <w:fldChar w:fldCharType="separate"/>
      </w:r>
      <w:r w:rsidR="009C4192">
        <w:rPr>
          <w:b/>
          <w:bCs/>
          <w:noProof/>
        </w:rPr>
        <w:t>5</w:t>
      </w:r>
      <w:r w:rsidR="0017737A">
        <w:rPr>
          <w:b/>
          <w:bCs/>
        </w:rPr>
        <w:fldChar w:fldCharType="end"/>
      </w:r>
      <w:bookmarkEnd w:id="115"/>
      <w:r w:rsidRPr="00AA16B5">
        <w:rPr>
          <w:b/>
          <w:bCs/>
        </w:rPr>
        <w:t>: Percentage of new entrants to higher education registered with student disability services, 2015-2022</w:t>
      </w:r>
      <w:bookmarkEnd w:id="116"/>
      <w:bookmarkEnd w:id="117"/>
    </w:p>
    <w:p w14:paraId="53CA6CC9" w14:textId="3BA3DAFB" w:rsidR="00917C0F" w:rsidRPr="00917C0F" w:rsidRDefault="00B75759" w:rsidP="00AA16B5">
      <w:pPr>
        <w:jc w:val="center"/>
        <w:rPr>
          <w:rFonts w:ascii="Gill Sans MT" w:hAnsi="Gill Sans MT"/>
          <w:szCs w:val="26"/>
          <w:lang w:eastAsia="en-IE"/>
        </w:rPr>
      </w:pPr>
      <w:r>
        <w:rPr>
          <w:rFonts w:ascii="Gill Sans MT" w:hAnsi="Gill Sans MT"/>
          <w:noProof/>
          <w:szCs w:val="26"/>
          <w:lang w:eastAsia="en-IE"/>
        </w:rPr>
        <w:drawing>
          <wp:inline distT="0" distB="0" distL="0" distR="0" wp14:anchorId="1BE10A83" wp14:editId="4FE3895F">
            <wp:extent cx="4831080" cy="2827020"/>
            <wp:effectExtent l="0" t="0" r="0" b="0"/>
            <wp:docPr id="3" name="Chart 3" descr="This line chart shows the percentage of new entrants to higher education registered with student disability services for each academic year from 2015/2016 to 2022/2023.&#10;&#10;In the 2015/2016 academic year, 5.2% of new entrants to higher education registered with student disability services. In 2016/2017, the percentage was 5.7%. In 2017/2018, it was 6.2%. In 2018/2019. it was 6.3%. In 2019/2020, it was also 6.3%. In 2020/2021, it was 6.6%. In 2021/2022, it was 6.9%. Finally, in 2022/2023, it was 7.4% of new entrants to higher education that registered with student disability servic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FB1749" w14:textId="4999D891" w:rsidR="00B75759" w:rsidRPr="00AA16B5" w:rsidRDefault="00B75759" w:rsidP="00AA16B5">
      <w:pPr>
        <w:jc w:val="center"/>
        <w:rPr>
          <w:rFonts w:ascii="Gill Sans MT" w:hAnsi="Gill Sans MT"/>
          <w:sz w:val="22"/>
          <w:szCs w:val="22"/>
          <w:lang w:eastAsia="en-IE"/>
        </w:rPr>
      </w:pPr>
      <w:r w:rsidRPr="00AA16B5">
        <w:rPr>
          <w:rFonts w:ascii="Gill Sans MT" w:hAnsi="Gill Sans MT"/>
          <w:sz w:val="22"/>
          <w:szCs w:val="22"/>
          <w:lang w:eastAsia="en-IE"/>
        </w:rPr>
        <w:t>Source: AHEAD</w:t>
      </w:r>
    </w:p>
    <w:p w14:paraId="6E4333EA" w14:textId="232B973D" w:rsidR="00CC1C4C" w:rsidRPr="00B75759" w:rsidRDefault="00CC1C4C" w:rsidP="009C0DDB">
      <w:pPr>
        <w:rPr>
          <w:rFonts w:ascii="Gill Sans MT" w:hAnsi="Gill Sans MT"/>
          <w:szCs w:val="26"/>
          <w:lang w:eastAsia="en-IE"/>
        </w:rPr>
      </w:pPr>
      <w:r w:rsidRPr="00FC30AF">
        <w:rPr>
          <w:rFonts w:ascii="Gill Sans MT" w:hAnsi="Gill Sans MT"/>
          <w:szCs w:val="26"/>
          <w:lang w:eastAsia="en-IE"/>
        </w:rPr>
        <w:t>The number of eligible applications to the Disability Access Route to Education (DARE) scheme ha</w:t>
      </w:r>
      <w:r>
        <w:rPr>
          <w:rFonts w:ascii="Gill Sans MT" w:hAnsi="Gill Sans MT"/>
          <w:szCs w:val="26"/>
          <w:lang w:eastAsia="en-IE"/>
        </w:rPr>
        <w:t>s</w:t>
      </w:r>
      <w:r w:rsidRPr="00FC30AF">
        <w:rPr>
          <w:rFonts w:ascii="Gill Sans MT" w:hAnsi="Gill Sans MT"/>
          <w:szCs w:val="26"/>
          <w:lang w:eastAsia="en-IE"/>
        </w:rPr>
        <w:t xml:space="preserve"> also trended upwards </w:t>
      </w:r>
      <w:r>
        <w:rPr>
          <w:rFonts w:ascii="Gill Sans MT" w:hAnsi="Gill Sans MT"/>
          <w:szCs w:val="26"/>
          <w:lang w:eastAsia="en-IE"/>
        </w:rPr>
        <w:t>over time</w:t>
      </w:r>
      <w:r w:rsidRPr="00FC30AF">
        <w:rPr>
          <w:rFonts w:ascii="Gill Sans MT" w:hAnsi="Gill Sans MT"/>
          <w:szCs w:val="26"/>
          <w:lang w:eastAsia="en-IE"/>
        </w:rPr>
        <w:t xml:space="preserve">, from </w:t>
      </w:r>
      <w:r>
        <w:rPr>
          <w:rFonts w:ascii="Gill Sans MT" w:hAnsi="Gill Sans MT"/>
          <w:szCs w:val="26"/>
          <w:lang w:eastAsia="en-IE"/>
        </w:rPr>
        <w:t>2538</w:t>
      </w:r>
      <w:r w:rsidRPr="00FC30AF">
        <w:rPr>
          <w:rFonts w:ascii="Gill Sans MT" w:hAnsi="Gill Sans MT"/>
          <w:szCs w:val="26"/>
          <w:lang w:eastAsia="en-IE"/>
        </w:rPr>
        <w:t xml:space="preserve"> in 201</w:t>
      </w:r>
      <w:r>
        <w:rPr>
          <w:rFonts w:ascii="Gill Sans MT" w:hAnsi="Gill Sans MT"/>
          <w:szCs w:val="26"/>
          <w:lang w:eastAsia="en-IE"/>
        </w:rPr>
        <w:t>5</w:t>
      </w:r>
      <w:r w:rsidRPr="00FC30AF">
        <w:rPr>
          <w:rFonts w:ascii="Gill Sans MT" w:hAnsi="Gill Sans MT"/>
          <w:szCs w:val="26"/>
          <w:lang w:eastAsia="en-IE"/>
        </w:rPr>
        <w:t xml:space="preserve"> to 6473 in 2023</w:t>
      </w:r>
      <w:r>
        <w:rPr>
          <w:rFonts w:ascii="Gill Sans MT" w:hAnsi="Gill Sans MT"/>
          <w:szCs w:val="26"/>
          <w:lang w:eastAsia="en-IE"/>
        </w:rPr>
        <w:t xml:space="preserve">. </w:t>
      </w:r>
      <w:r>
        <w:rPr>
          <w:rFonts w:ascii="Gill Sans MT" w:hAnsi="Gill Sans MT"/>
          <w:szCs w:val="26"/>
          <w:lang w:eastAsia="en-IE"/>
        </w:rPr>
        <w:fldChar w:fldCharType="begin"/>
      </w:r>
      <w:r>
        <w:rPr>
          <w:rFonts w:ascii="Gill Sans MT" w:hAnsi="Gill Sans MT"/>
          <w:szCs w:val="26"/>
          <w:lang w:eastAsia="en-IE"/>
        </w:rPr>
        <w:instrText xml:space="preserve"> ADDIN ZOTERO_ITEM CSL_CITATION {"citationID":"enRLXPKS","properties":{"formattedCitation":"(13)","plainCitation":"(13)","dontUpdate":true,"noteIndex":0},"citationItems":[{"id":151,"uris":["http://zotero.org/users/local/kvLunvBP/items/DQG86K8Z"],"itemData":{"id":151,"type":"report","title":"DARE HEAR Summary Report 2023","URL":"https://www.iua.ie/wp-content/uploads/2024/01/DARE-HEAR-Summary-Report-2023.pdf","author":[{"family":"Irish Universities Association","given":""}],"issued":{"date-parts":[["2024"]]}}}],"schema":"https://github.com/citation-style-language/schema/raw/master/csl-citation.json"} </w:instrText>
      </w:r>
      <w:r>
        <w:rPr>
          <w:rFonts w:ascii="Gill Sans MT" w:hAnsi="Gill Sans MT"/>
          <w:szCs w:val="26"/>
          <w:lang w:eastAsia="en-IE"/>
        </w:rPr>
        <w:fldChar w:fldCharType="separate"/>
      </w:r>
      <w:r w:rsidRPr="00E73E69">
        <w:rPr>
          <w:rFonts w:ascii="Gill Sans MT" w:hAnsi="Gill Sans MT"/>
        </w:rPr>
        <w:t>(12</w:t>
      </w:r>
      <w:r>
        <w:rPr>
          <w:rFonts w:ascii="Gill Sans MT" w:hAnsi="Gill Sans MT"/>
        </w:rPr>
        <w:t>,</w:t>
      </w:r>
      <w:r w:rsidRPr="00E73E69">
        <w:rPr>
          <w:rFonts w:ascii="Gill Sans MT" w:hAnsi="Gill Sans MT"/>
        </w:rPr>
        <w:t>13)</w:t>
      </w:r>
      <w:r>
        <w:rPr>
          <w:rFonts w:ascii="Gill Sans MT" w:hAnsi="Gill Sans MT"/>
          <w:szCs w:val="26"/>
          <w:lang w:eastAsia="en-IE"/>
        </w:rPr>
        <w:fldChar w:fldCharType="end"/>
      </w:r>
    </w:p>
    <w:p w14:paraId="640AECB9" w14:textId="4205DABA" w:rsidR="00C06012" w:rsidRDefault="004B09AE" w:rsidP="00343815">
      <w:pPr>
        <w:rPr>
          <w:rFonts w:ascii="Gill Sans MT" w:hAnsi="Gill Sans MT"/>
          <w:szCs w:val="26"/>
          <w:lang w:eastAsia="en-IE"/>
        </w:rPr>
      </w:pPr>
      <w:r>
        <w:rPr>
          <w:rFonts w:ascii="Gill Sans MT" w:hAnsi="Gill Sans MT"/>
          <w:szCs w:val="26"/>
          <w:lang w:eastAsia="en-IE"/>
        </w:rPr>
        <w:t>In recent years</w:t>
      </w:r>
      <w:r w:rsidR="00917C0F" w:rsidRPr="00917C0F">
        <w:rPr>
          <w:rFonts w:ascii="Gill Sans MT" w:hAnsi="Gill Sans MT"/>
          <w:szCs w:val="26"/>
          <w:lang w:eastAsia="en-IE"/>
        </w:rPr>
        <w:t xml:space="preserve">, </w:t>
      </w:r>
      <w:r w:rsidR="00917C0F">
        <w:rPr>
          <w:rFonts w:ascii="Gill Sans MT" w:hAnsi="Gill Sans MT"/>
          <w:szCs w:val="26"/>
          <w:lang w:eastAsia="en-IE"/>
        </w:rPr>
        <w:t>the HEA has</w:t>
      </w:r>
      <w:r w:rsidR="0084277F">
        <w:rPr>
          <w:rFonts w:ascii="Gill Sans MT" w:hAnsi="Gill Sans MT"/>
          <w:szCs w:val="26"/>
          <w:lang w:eastAsia="en-IE"/>
        </w:rPr>
        <w:t xml:space="preserve"> </w:t>
      </w:r>
      <w:r w:rsidR="00917C0F">
        <w:rPr>
          <w:rFonts w:ascii="Gill Sans MT" w:hAnsi="Gill Sans MT"/>
          <w:szCs w:val="26"/>
          <w:lang w:eastAsia="en-IE"/>
        </w:rPr>
        <w:t>collected data on disability through its</w:t>
      </w:r>
      <w:r w:rsidR="00653017">
        <w:rPr>
          <w:rFonts w:ascii="Gill Sans MT" w:hAnsi="Gill Sans MT"/>
          <w:szCs w:val="26"/>
          <w:lang w:eastAsia="en-IE"/>
        </w:rPr>
        <w:t xml:space="preserve"> voluntary Equal Access Survey for first year undergraduate new entrants to higher education</w:t>
      </w:r>
      <w:r w:rsidR="00917C0F">
        <w:rPr>
          <w:rFonts w:ascii="Gill Sans MT" w:hAnsi="Gill Sans MT"/>
          <w:szCs w:val="26"/>
          <w:lang w:eastAsia="en-IE"/>
        </w:rPr>
        <w:t xml:space="preserve">. </w:t>
      </w:r>
      <w:r w:rsidR="0084277F">
        <w:rPr>
          <w:rFonts w:ascii="Gill Sans MT" w:hAnsi="Gill Sans MT"/>
          <w:szCs w:val="26"/>
          <w:lang w:eastAsia="en-IE"/>
        </w:rPr>
        <w:t>In the academic year 2022/23, 19.4% of respondents to the survey</w:t>
      </w:r>
      <w:r w:rsidR="00AE6984">
        <w:rPr>
          <w:rFonts w:ascii="Gill Sans MT" w:hAnsi="Gill Sans MT"/>
          <w:szCs w:val="26"/>
          <w:lang w:eastAsia="en-IE"/>
        </w:rPr>
        <w:t xml:space="preserve"> disclosed a disability</w:t>
      </w:r>
      <w:r w:rsidR="0084277F">
        <w:rPr>
          <w:rFonts w:ascii="Gill Sans MT" w:hAnsi="Gill Sans MT"/>
          <w:szCs w:val="26"/>
          <w:lang w:eastAsia="en-IE"/>
        </w:rPr>
        <w:t xml:space="preserve">, </w:t>
      </w:r>
      <w:r w:rsidR="00343815">
        <w:rPr>
          <w:rFonts w:ascii="Gill Sans MT" w:hAnsi="Gill Sans MT"/>
          <w:szCs w:val="26"/>
          <w:lang w:eastAsia="en-IE"/>
        </w:rPr>
        <w:t xml:space="preserve">up from 16.6% in 2019/2020 (the first year </w:t>
      </w:r>
      <w:r>
        <w:rPr>
          <w:rFonts w:ascii="Gill Sans MT" w:hAnsi="Gill Sans MT"/>
          <w:szCs w:val="26"/>
          <w:lang w:eastAsia="en-IE"/>
        </w:rPr>
        <w:t>in which the survey was administered</w:t>
      </w:r>
      <w:r w:rsidR="00343815">
        <w:rPr>
          <w:rFonts w:ascii="Gill Sans MT" w:hAnsi="Gill Sans MT"/>
          <w:szCs w:val="26"/>
          <w:lang w:eastAsia="en-IE"/>
        </w:rPr>
        <w:t>)</w:t>
      </w:r>
      <w:r w:rsidR="006F6F8B">
        <w:rPr>
          <w:rFonts w:ascii="Gill Sans MT" w:hAnsi="Gill Sans MT"/>
          <w:szCs w:val="26"/>
          <w:lang w:eastAsia="en-IE"/>
        </w:rPr>
        <w:t>.</w:t>
      </w:r>
      <w:r w:rsidR="009902E0">
        <w:rPr>
          <w:rFonts w:ascii="Gill Sans MT" w:hAnsi="Gill Sans MT"/>
          <w:szCs w:val="26"/>
          <w:lang w:eastAsia="en-IE"/>
        </w:rPr>
        <w:t xml:space="preserve"> </w:t>
      </w:r>
      <w:r w:rsidR="009902E0">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{"citationID":"hcVX7mii","properties":{"formattedCitation":"(26)","plainCitation":"(26)","noteIndex":0},"citationItems":[{"id":164,"uris":["http://zotero.org/users/local/kvLunvBP/items/P5UYKTTT"],"itemData":{"id":164,"type":"webpage","abstract":"A Profile of Students with a Disability in HE in Ireland </w:instrText>
      </w:r>
      <w:r w:rsidR="00C0772E">
        <w:rPr>
          <w:rFonts w:ascii="Arial" w:hAnsi="Arial" w:cs="Arial"/>
          <w:szCs w:val="26"/>
          <w:lang w:eastAsia="en-IE"/>
        </w:rPr>
        <w:instrText>→</w:instrText>
      </w:r>
      <w:r w:rsidR="00C0772E">
        <w:rPr>
          <w:rFonts w:ascii="Gill Sans MT" w:hAnsi="Gill Sans MT"/>
          <w:szCs w:val="26"/>
          <w:lang w:eastAsia="en-IE"/>
        </w:rPr>
        <w:instrText xml:space="preserve">","container-title":"Higher Education Authority","language":"en","title":"Student Disability Data (EAS Disability 2023)","URL":"https://hea.ie/statistics/data-for-download-and-visualisations/students/widening-participation-for-equity-of-access/student-disability-data-2023/","author":[{"family":"Higher Education Authority","given":""}],"accessed":{"date-parts":[["2024",6,25]]},"issued":{"date-parts":[["2023"]]}}}],"schema":"https://github.com/citation-style-language/schema/raw/master/csl-citation.json"} </w:instrText>
      </w:r>
      <w:r w:rsidR="009902E0">
        <w:rPr>
          <w:rFonts w:ascii="Gill Sans MT" w:hAnsi="Gill Sans MT"/>
          <w:szCs w:val="26"/>
          <w:lang w:eastAsia="en-IE"/>
        </w:rPr>
        <w:fldChar w:fldCharType="separate"/>
      </w:r>
      <w:r w:rsidR="00C0772E" w:rsidRPr="00C0772E">
        <w:rPr>
          <w:rFonts w:ascii="Gill Sans MT" w:hAnsi="Gill Sans MT"/>
        </w:rPr>
        <w:t>(26)</w:t>
      </w:r>
      <w:r w:rsidR="009902E0">
        <w:rPr>
          <w:rFonts w:ascii="Gill Sans MT" w:hAnsi="Gill Sans MT"/>
          <w:szCs w:val="26"/>
          <w:lang w:eastAsia="en-IE"/>
        </w:rPr>
        <w:fldChar w:fldCharType="end"/>
      </w:r>
      <w:r w:rsidR="006F6F8B">
        <w:rPr>
          <w:rFonts w:ascii="Gill Sans MT" w:hAnsi="Gill Sans MT"/>
          <w:szCs w:val="26"/>
          <w:lang w:eastAsia="en-IE"/>
        </w:rPr>
        <w:t xml:space="preserve"> </w:t>
      </w:r>
      <w:r w:rsidR="00B632E8">
        <w:rPr>
          <w:rFonts w:ascii="Gill Sans MT" w:hAnsi="Gill Sans MT"/>
          <w:szCs w:val="26"/>
          <w:lang w:eastAsia="en-IE"/>
        </w:rPr>
        <w:t xml:space="preserve">Since </w:t>
      </w:r>
      <w:r w:rsidR="00653017">
        <w:rPr>
          <w:rFonts w:ascii="Gill Sans MT" w:hAnsi="Gill Sans MT"/>
          <w:szCs w:val="26"/>
          <w:lang w:eastAsia="en-IE"/>
        </w:rPr>
        <w:t>19.2%</w:t>
      </w:r>
      <w:r w:rsidR="00B632E8">
        <w:rPr>
          <w:rFonts w:ascii="Gill Sans MT" w:hAnsi="Gill Sans MT"/>
          <w:szCs w:val="26"/>
          <w:lang w:eastAsia="en-IE"/>
        </w:rPr>
        <w:t xml:space="preserve"> of</w:t>
      </w:r>
      <w:r w:rsidR="00653017">
        <w:rPr>
          <w:rFonts w:ascii="Gill Sans MT" w:hAnsi="Gill Sans MT"/>
          <w:szCs w:val="26"/>
          <w:lang w:eastAsia="en-IE"/>
        </w:rPr>
        <w:t xml:space="preserve"> </w:t>
      </w:r>
      <w:r w:rsidR="00343815">
        <w:rPr>
          <w:rFonts w:ascii="Gill Sans MT" w:hAnsi="Gill Sans MT"/>
          <w:szCs w:val="26"/>
          <w:lang w:eastAsia="en-IE"/>
        </w:rPr>
        <w:t>18-24-year-olds have a disability</w:t>
      </w:r>
      <w:r w:rsidR="00E64290">
        <w:rPr>
          <w:rFonts w:ascii="Gill Sans MT" w:hAnsi="Gill Sans MT"/>
          <w:szCs w:val="26"/>
          <w:lang w:eastAsia="en-IE"/>
        </w:rPr>
        <w:t>,</w:t>
      </w:r>
      <w:r w:rsidR="007F5497">
        <w:rPr>
          <w:rFonts w:ascii="Gill Sans MT" w:hAnsi="Gill Sans MT"/>
          <w:szCs w:val="26"/>
          <w:lang w:eastAsia="en-IE"/>
        </w:rPr>
        <w:t xml:space="preserve"> according to the </w:t>
      </w:r>
      <w:r w:rsidR="008F45D0">
        <w:rPr>
          <w:rFonts w:ascii="Gill Sans MT" w:hAnsi="Gill Sans MT"/>
          <w:szCs w:val="26"/>
          <w:lang w:eastAsia="en-IE"/>
        </w:rPr>
        <w:t>C</w:t>
      </w:r>
      <w:r w:rsidR="007F5497">
        <w:rPr>
          <w:rFonts w:ascii="Gill Sans MT" w:hAnsi="Gill Sans MT"/>
          <w:szCs w:val="26"/>
          <w:lang w:eastAsia="en-IE"/>
        </w:rPr>
        <w:t>ensus</w:t>
      </w:r>
      <w:r w:rsidR="00343815">
        <w:rPr>
          <w:rFonts w:ascii="Gill Sans MT" w:hAnsi="Gill Sans MT"/>
          <w:szCs w:val="26"/>
          <w:lang w:eastAsia="en-IE"/>
        </w:rPr>
        <w:t xml:space="preserve">, </w:t>
      </w:r>
      <w:r w:rsidR="00B632E8">
        <w:rPr>
          <w:rFonts w:ascii="Gill Sans MT" w:hAnsi="Gill Sans MT"/>
          <w:szCs w:val="26"/>
          <w:lang w:eastAsia="en-IE"/>
        </w:rPr>
        <w:t>and most people in higher education are aged between 18 and 24,</w:t>
      </w:r>
      <w:r w:rsidR="00343815">
        <w:rPr>
          <w:rFonts w:ascii="Gill Sans MT" w:hAnsi="Gill Sans MT"/>
          <w:szCs w:val="26"/>
          <w:lang w:eastAsia="en-IE"/>
        </w:rPr>
        <w:t xml:space="preserve"> people with disabilities </w:t>
      </w:r>
      <w:r w:rsidR="00653017">
        <w:rPr>
          <w:rFonts w:ascii="Gill Sans MT" w:hAnsi="Gill Sans MT"/>
          <w:szCs w:val="26"/>
          <w:lang w:eastAsia="en-IE"/>
        </w:rPr>
        <w:t xml:space="preserve">appear </w:t>
      </w:r>
      <w:r w:rsidR="0084277F">
        <w:rPr>
          <w:rFonts w:ascii="Gill Sans MT" w:hAnsi="Gill Sans MT"/>
          <w:szCs w:val="26"/>
          <w:lang w:eastAsia="en-IE"/>
        </w:rPr>
        <w:t xml:space="preserve">to be </w:t>
      </w:r>
      <w:r w:rsidR="00C06012">
        <w:rPr>
          <w:rFonts w:ascii="Gill Sans MT" w:hAnsi="Gill Sans MT"/>
          <w:szCs w:val="26"/>
          <w:lang w:eastAsia="en-IE"/>
        </w:rPr>
        <w:t xml:space="preserve">proportionately </w:t>
      </w:r>
      <w:r w:rsidR="0084277F">
        <w:rPr>
          <w:rFonts w:ascii="Gill Sans MT" w:hAnsi="Gill Sans MT"/>
          <w:szCs w:val="26"/>
          <w:lang w:eastAsia="en-IE"/>
        </w:rPr>
        <w:t>represented</w:t>
      </w:r>
      <w:r w:rsidR="00C06012">
        <w:rPr>
          <w:rFonts w:ascii="Gill Sans MT" w:hAnsi="Gill Sans MT"/>
          <w:szCs w:val="26"/>
          <w:lang w:eastAsia="en-IE"/>
        </w:rPr>
        <w:t xml:space="preserve"> in higher education in Ireland</w:t>
      </w:r>
      <w:r w:rsidR="00653017">
        <w:rPr>
          <w:rFonts w:ascii="Gill Sans MT" w:hAnsi="Gill Sans MT"/>
          <w:szCs w:val="26"/>
          <w:lang w:eastAsia="en-IE"/>
        </w:rPr>
        <w:t>.</w:t>
      </w:r>
      <w:r w:rsidR="00C06012">
        <w:rPr>
          <w:rFonts w:ascii="Gill Sans MT" w:hAnsi="Gill Sans MT"/>
          <w:szCs w:val="26"/>
          <w:lang w:eastAsia="en-IE"/>
        </w:rPr>
        <w:t xml:space="preserve"> These data vary considerably from the AHEAD data, which show that 7.9% of all new entrant undergraduates disclosed a disability while accessing disability supports</w:t>
      </w:r>
      <w:r w:rsidR="00964C87">
        <w:rPr>
          <w:rFonts w:ascii="Gill Sans MT" w:hAnsi="Gill Sans MT"/>
          <w:szCs w:val="26"/>
          <w:lang w:eastAsia="en-IE"/>
        </w:rPr>
        <w:t xml:space="preserve"> in 2022/2023</w:t>
      </w:r>
      <w:r w:rsidR="00AE6984">
        <w:rPr>
          <w:rFonts w:ascii="Gill Sans MT" w:hAnsi="Gill Sans MT"/>
          <w:szCs w:val="26"/>
          <w:lang w:eastAsia="en-IE"/>
        </w:rPr>
        <w:t>.</w:t>
      </w:r>
      <w:r w:rsidR="000C1CDD">
        <w:rPr>
          <w:rFonts w:ascii="Gill Sans MT" w:hAnsi="Gill Sans MT"/>
          <w:szCs w:val="26"/>
          <w:lang w:eastAsia="en-IE"/>
        </w:rPr>
        <w:t xml:space="preserve"> </w:t>
      </w:r>
      <w:r w:rsidR="000C1CDD">
        <w:t>It should be noted that the disability questions in the Census and the Equal Access Survey are not identical, and that the response rate for the survey was 74.1% in 2022, while the Census has more complete population coverage. Nonetheless,</w:t>
      </w:r>
      <w:r w:rsidR="00AE6984">
        <w:rPr>
          <w:rFonts w:ascii="Gill Sans MT" w:hAnsi="Gill Sans MT"/>
          <w:szCs w:val="26"/>
          <w:lang w:eastAsia="en-IE"/>
        </w:rPr>
        <w:t xml:space="preserve"> </w:t>
      </w:r>
      <w:r w:rsidR="0088714D">
        <w:rPr>
          <w:rFonts w:ascii="Gill Sans MT" w:hAnsi="Gill Sans MT"/>
          <w:szCs w:val="26"/>
          <w:lang w:eastAsia="en-IE"/>
        </w:rPr>
        <w:t>AHEAD argues that this sizeable</w:t>
      </w:r>
      <w:r w:rsidR="0088714D" w:rsidRPr="0088714D">
        <w:rPr>
          <w:rFonts w:ascii="Gill Sans MT" w:hAnsi="Gill Sans MT"/>
          <w:szCs w:val="26"/>
          <w:lang w:eastAsia="en-IE"/>
        </w:rPr>
        <w:t xml:space="preserve"> difference in participation rates statistics </w:t>
      </w:r>
      <w:r w:rsidR="00964C87">
        <w:rPr>
          <w:rFonts w:ascii="Gill Sans MT" w:hAnsi="Gill Sans MT"/>
          <w:szCs w:val="26"/>
          <w:lang w:eastAsia="en-IE"/>
        </w:rPr>
        <w:t xml:space="preserve">for this cohort </w:t>
      </w:r>
      <w:r w:rsidR="0088714D">
        <w:rPr>
          <w:rFonts w:ascii="Gill Sans MT" w:hAnsi="Gill Sans MT"/>
          <w:szCs w:val="26"/>
          <w:lang w:eastAsia="en-IE"/>
        </w:rPr>
        <w:t xml:space="preserve">suggests </w:t>
      </w:r>
      <w:r w:rsidR="0088714D" w:rsidRPr="0088714D">
        <w:rPr>
          <w:rFonts w:ascii="Gill Sans MT" w:hAnsi="Gill Sans MT"/>
          <w:szCs w:val="26"/>
          <w:lang w:eastAsia="en-IE"/>
        </w:rPr>
        <w:t xml:space="preserve">that a </w:t>
      </w:r>
      <w:r w:rsidR="0088714D">
        <w:rPr>
          <w:rFonts w:ascii="Gill Sans MT" w:hAnsi="Gill Sans MT"/>
          <w:szCs w:val="26"/>
          <w:lang w:eastAsia="en-IE"/>
        </w:rPr>
        <w:t>considerable</w:t>
      </w:r>
      <w:r w:rsidR="0088714D" w:rsidRPr="0088714D">
        <w:rPr>
          <w:rFonts w:ascii="Gill Sans MT" w:hAnsi="Gill Sans MT"/>
          <w:szCs w:val="26"/>
          <w:lang w:eastAsia="en-IE"/>
        </w:rPr>
        <w:t xml:space="preserve"> number of students with disabilities </w:t>
      </w:r>
      <w:r w:rsidR="0088714D">
        <w:rPr>
          <w:rFonts w:ascii="Gill Sans MT" w:hAnsi="Gill Sans MT"/>
          <w:szCs w:val="26"/>
          <w:lang w:eastAsia="en-IE"/>
        </w:rPr>
        <w:t>refrain from</w:t>
      </w:r>
      <w:r w:rsidR="0088714D" w:rsidRPr="0088714D">
        <w:rPr>
          <w:rFonts w:ascii="Gill Sans MT" w:hAnsi="Gill Sans MT"/>
          <w:szCs w:val="26"/>
          <w:lang w:eastAsia="en-IE"/>
        </w:rPr>
        <w:t xml:space="preserve"> formally disclosing their disability and accessing </w:t>
      </w:r>
      <w:r w:rsidR="0088714D">
        <w:rPr>
          <w:rFonts w:ascii="Gill Sans MT" w:hAnsi="Gill Sans MT"/>
          <w:szCs w:val="26"/>
          <w:lang w:eastAsia="en-IE"/>
        </w:rPr>
        <w:t>support services at their higher education institution</w:t>
      </w:r>
      <w:r w:rsidR="00332BE8">
        <w:rPr>
          <w:rFonts w:ascii="Gill Sans MT" w:hAnsi="Gill Sans MT"/>
          <w:szCs w:val="26"/>
          <w:lang w:eastAsia="en-IE"/>
        </w:rPr>
        <w:t>.</w:t>
      </w:r>
      <w:r w:rsidR="0088714D">
        <w:rPr>
          <w:rFonts w:ascii="Gill Sans MT" w:hAnsi="Gill Sans MT"/>
          <w:szCs w:val="26"/>
          <w:lang w:eastAsia="en-IE"/>
        </w:rPr>
        <w:t xml:space="preserve"> </w:t>
      </w:r>
      <w:r w:rsidR="0088714D">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{"citationID":"CEIYBizd","properties":{"formattedCitation":"(24)","plainCitation":"(24)","noteIndex":0},"citationItems":[{"id":210,"uris":["http://zotero.org/users/local/kvLunvBP/items/WCTNH8NJ"],"itemData":{"id":210,"type":"report","language":"en-GB","note":"publisher: AHEAD","title":"Students with disabilities engaged with support services in higher education in Ireland 2022/23","URL":"https://www.ahead.ie/userfiles/files/AHEAD_Research_Report_23_digital_supplied.pdf","author":[{"family":"AHEAD","given":""}],"accessed":{"date-parts":[["2024",7,30]]},"issued":{"date-parts":[["2024"]]}}}],"schema":"https://github.com/citation-style-language/schema/raw/master/csl-citation.json"} </w:instrText>
      </w:r>
      <w:r w:rsidR="0088714D">
        <w:rPr>
          <w:rFonts w:ascii="Gill Sans MT" w:hAnsi="Gill Sans MT"/>
          <w:szCs w:val="26"/>
          <w:lang w:eastAsia="en-IE"/>
        </w:rPr>
        <w:fldChar w:fldCharType="separate"/>
      </w:r>
      <w:r w:rsidR="00C0772E" w:rsidRPr="00C0772E">
        <w:rPr>
          <w:rFonts w:ascii="Gill Sans MT" w:hAnsi="Gill Sans MT"/>
        </w:rPr>
        <w:t>(24)</w:t>
      </w:r>
      <w:r w:rsidR="0088714D">
        <w:rPr>
          <w:rFonts w:ascii="Gill Sans MT" w:hAnsi="Gill Sans MT"/>
          <w:szCs w:val="26"/>
          <w:lang w:eastAsia="en-IE"/>
        </w:rPr>
        <w:fldChar w:fldCharType="end"/>
      </w:r>
      <w:r w:rsidR="0088714D">
        <w:rPr>
          <w:rFonts w:ascii="Gill Sans MT" w:hAnsi="Gill Sans MT"/>
          <w:szCs w:val="26"/>
          <w:lang w:eastAsia="en-IE"/>
        </w:rPr>
        <w:t xml:space="preserve"> </w:t>
      </w:r>
      <w:r w:rsidR="00651471">
        <w:rPr>
          <w:rFonts w:ascii="Gill Sans MT" w:hAnsi="Gill Sans MT"/>
          <w:szCs w:val="26"/>
          <w:lang w:eastAsia="en-IE"/>
        </w:rPr>
        <w:t xml:space="preserve">The </w:t>
      </w:r>
      <w:r w:rsidR="00AE6984">
        <w:rPr>
          <w:rFonts w:ascii="Gill Sans MT" w:hAnsi="Gill Sans MT"/>
          <w:szCs w:val="26"/>
          <w:lang w:eastAsia="en-IE"/>
        </w:rPr>
        <w:t xml:space="preserve">NDA </w:t>
      </w:r>
      <w:r w:rsidR="00651471">
        <w:rPr>
          <w:rFonts w:ascii="Gill Sans MT" w:hAnsi="Gill Sans MT"/>
          <w:szCs w:val="26"/>
          <w:lang w:eastAsia="en-IE"/>
        </w:rPr>
        <w:t>recommends</w:t>
      </w:r>
      <w:r w:rsidR="00AE6984">
        <w:rPr>
          <w:rFonts w:ascii="Gill Sans MT" w:hAnsi="Gill Sans MT"/>
          <w:szCs w:val="26"/>
          <w:lang w:eastAsia="en-IE"/>
        </w:rPr>
        <w:t xml:space="preserve"> that </w:t>
      </w:r>
      <w:r w:rsidR="00651471">
        <w:rPr>
          <w:rFonts w:ascii="Gill Sans MT" w:hAnsi="Gill Sans MT"/>
          <w:szCs w:val="26"/>
          <w:lang w:eastAsia="en-IE"/>
        </w:rPr>
        <w:t xml:space="preserve">monitoring of future strategies in which the proportion of higher education students </w:t>
      </w:r>
      <w:r w:rsidR="00964C87">
        <w:rPr>
          <w:rFonts w:ascii="Gill Sans MT" w:hAnsi="Gill Sans MT"/>
          <w:szCs w:val="26"/>
          <w:lang w:eastAsia="en-IE"/>
        </w:rPr>
        <w:t>with</w:t>
      </w:r>
      <w:r w:rsidR="00651471">
        <w:rPr>
          <w:rFonts w:ascii="Gill Sans MT" w:hAnsi="Gill Sans MT"/>
          <w:szCs w:val="26"/>
          <w:lang w:eastAsia="en-IE"/>
        </w:rPr>
        <w:t xml:space="preserve"> disabilities is of interest draw on both data sources.</w:t>
      </w:r>
    </w:p>
    <w:p w14:paraId="5B439127" w14:textId="05DAB218" w:rsidR="000C1CDD" w:rsidRDefault="00237B26" w:rsidP="009C0DDB">
      <w:pPr>
        <w:rPr>
          <w:rFonts w:ascii="Gill Sans MT" w:hAnsi="Gill Sans MT"/>
          <w:szCs w:val="26"/>
          <w:lang w:eastAsia="en-IE"/>
        </w:rPr>
      </w:pPr>
      <w:r>
        <w:rPr>
          <w:rFonts w:ascii="Gill Sans MT" w:hAnsi="Gill Sans MT"/>
          <w:szCs w:val="26"/>
          <w:lang w:eastAsia="en-IE"/>
        </w:rPr>
        <w:t>As shown in</w:t>
      </w:r>
      <w:r w:rsidR="008A0E1D">
        <w:rPr>
          <w:rFonts w:ascii="Gill Sans MT" w:hAnsi="Gill Sans MT"/>
          <w:szCs w:val="26"/>
          <w:lang w:eastAsia="en-IE"/>
        </w:rPr>
        <w:t xml:space="preserve"> </w:t>
      </w:r>
      <w:r w:rsidR="008A0E1D">
        <w:rPr>
          <w:rFonts w:ascii="Gill Sans MT" w:hAnsi="Gill Sans MT"/>
          <w:szCs w:val="26"/>
          <w:lang w:eastAsia="en-IE"/>
        </w:rPr>
        <w:fldChar w:fldCharType="begin"/>
      </w:r>
      <w:r w:rsidR="008A0E1D">
        <w:rPr>
          <w:rFonts w:ascii="Gill Sans MT" w:hAnsi="Gill Sans MT"/>
          <w:szCs w:val="26"/>
          <w:lang w:eastAsia="en-IE"/>
        </w:rPr>
        <w:instrText xml:space="preserve"> REF _Ref179895754 \h </w:instrText>
      </w:r>
      <w:r w:rsidR="008A0E1D">
        <w:rPr>
          <w:rFonts w:ascii="Gill Sans MT" w:hAnsi="Gill Sans MT"/>
          <w:szCs w:val="26"/>
          <w:lang w:eastAsia="en-IE"/>
        </w:rPr>
      </w:r>
      <w:r w:rsidR="008A0E1D">
        <w:rPr>
          <w:rFonts w:ascii="Gill Sans MT" w:hAnsi="Gill Sans MT"/>
          <w:szCs w:val="26"/>
          <w:lang w:eastAsia="en-IE"/>
        </w:rPr>
        <w:fldChar w:fldCharType="separate"/>
      </w:r>
      <w:r w:rsidR="009C4192">
        <w:t xml:space="preserve">Table </w:t>
      </w:r>
      <w:r w:rsidR="009C4192">
        <w:rPr>
          <w:noProof/>
        </w:rPr>
        <w:t>6</w:t>
      </w:r>
      <w:r w:rsidR="008A0E1D">
        <w:rPr>
          <w:rFonts w:ascii="Gill Sans MT" w:hAnsi="Gill Sans MT"/>
          <w:szCs w:val="26"/>
          <w:lang w:eastAsia="en-IE"/>
        </w:rPr>
        <w:fldChar w:fldCharType="end"/>
      </w:r>
      <w:r>
        <w:rPr>
          <w:rFonts w:ascii="Gill Sans MT" w:hAnsi="Gill Sans MT"/>
          <w:szCs w:val="26"/>
          <w:lang w:eastAsia="en-IE"/>
        </w:rPr>
        <w:t xml:space="preserve">, </w:t>
      </w:r>
      <w:r w:rsidR="009C0DDB" w:rsidRPr="00237B26">
        <w:rPr>
          <w:rFonts w:ascii="Gill Sans MT" w:hAnsi="Gill Sans MT"/>
          <w:szCs w:val="26"/>
          <w:lang w:eastAsia="en-IE"/>
        </w:rPr>
        <w:t xml:space="preserve">in each academic year since 2015/16 the </w:t>
      </w:r>
      <w:r w:rsidR="00B8403A">
        <w:rPr>
          <w:rFonts w:ascii="Gill Sans MT" w:hAnsi="Gill Sans MT"/>
          <w:szCs w:val="26"/>
          <w:lang w:eastAsia="en-IE"/>
        </w:rPr>
        <w:t xml:space="preserve">most prevalent disability types among </w:t>
      </w:r>
      <w:r w:rsidRPr="00237B26">
        <w:rPr>
          <w:rFonts w:ascii="Gill Sans MT" w:hAnsi="Gill Sans MT"/>
          <w:szCs w:val="26"/>
          <w:lang w:eastAsia="en-IE"/>
        </w:rPr>
        <w:t xml:space="preserve">HEI students accessing student disability services </w:t>
      </w:r>
      <w:r w:rsidR="00B8403A">
        <w:rPr>
          <w:rFonts w:ascii="Gill Sans MT" w:hAnsi="Gill Sans MT"/>
          <w:szCs w:val="26"/>
          <w:lang w:eastAsia="en-IE"/>
        </w:rPr>
        <w:t>were a</w:t>
      </w:r>
      <w:r w:rsidR="009C0DDB" w:rsidRPr="008871BF">
        <w:rPr>
          <w:rFonts w:ascii="Gill Sans MT" w:hAnsi="Gill Sans MT"/>
          <w:szCs w:val="26"/>
          <w:lang w:eastAsia="en-IE"/>
        </w:rPr>
        <w:t xml:space="preserve"> specific learning disability, a mental health condition</w:t>
      </w:r>
      <w:r w:rsidR="00B8403A">
        <w:rPr>
          <w:rFonts w:ascii="Gill Sans MT" w:hAnsi="Gill Sans MT"/>
          <w:szCs w:val="26"/>
          <w:lang w:eastAsia="en-IE"/>
        </w:rPr>
        <w:t>,</w:t>
      </w:r>
      <w:r w:rsidR="009C0DDB" w:rsidRPr="008871BF">
        <w:rPr>
          <w:rFonts w:ascii="Gill Sans MT" w:hAnsi="Gill Sans MT"/>
          <w:szCs w:val="26"/>
          <w:lang w:eastAsia="en-IE"/>
        </w:rPr>
        <w:t xml:space="preserve"> </w:t>
      </w:r>
      <w:r w:rsidR="0026220B">
        <w:rPr>
          <w:rFonts w:ascii="Gill Sans MT" w:hAnsi="Gill Sans MT"/>
          <w:szCs w:val="26"/>
          <w:lang w:eastAsia="en-IE"/>
        </w:rPr>
        <w:t>and</w:t>
      </w:r>
      <w:r w:rsidR="009C0DDB" w:rsidRPr="008871BF">
        <w:rPr>
          <w:rFonts w:ascii="Gill Sans MT" w:hAnsi="Gill Sans MT"/>
          <w:szCs w:val="26"/>
          <w:lang w:eastAsia="en-IE"/>
        </w:rPr>
        <w:t xml:space="preserve"> a significant ongoing illness. The </w:t>
      </w:r>
      <w:r w:rsidR="00521718">
        <w:rPr>
          <w:rFonts w:ascii="Gill Sans MT" w:hAnsi="Gill Sans MT"/>
          <w:szCs w:val="26"/>
          <w:lang w:eastAsia="en-IE"/>
        </w:rPr>
        <w:t>least common disability types were</w:t>
      </w:r>
      <w:r w:rsidR="009C0DDB" w:rsidRPr="008871BF">
        <w:rPr>
          <w:rFonts w:ascii="Gill Sans MT" w:hAnsi="Gill Sans MT"/>
          <w:szCs w:val="26"/>
          <w:lang w:eastAsia="en-IE"/>
        </w:rPr>
        <w:t xml:space="preserve"> blind</w:t>
      </w:r>
      <w:r w:rsidR="00521718">
        <w:rPr>
          <w:rFonts w:ascii="Gill Sans MT" w:hAnsi="Gill Sans MT"/>
          <w:szCs w:val="26"/>
          <w:lang w:eastAsia="en-IE"/>
        </w:rPr>
        <w:t>ness</w:t>
      </w:r>
      <w:r w:rsidR="009C0DDB" w:rsidRPr="008871BF">
        <w:rPr>
          <w:rFonts w:ascii="Gill Sans MT" w:hAnsi="Gill Sans MT"/>
          <w:szCs w:val="26"/>
          <w:lang w:eastAsia="en-IE"/>
        </w:rPr>
        <w:t>/</w:t>
      </w:r>
      <w:r w:rsidR="00521718">
        <w:rPr>
          <w:rFonts w:ascii="Gill Sans MT" w:hAnsi="Gill Sans MT"/>
          <w:szCs w:val="26"/>
          <w:lang w:eastAsia="en-IE"/>
        </w:rPr>
        <w:t>visual impairment</w:t>
      </w:r>
      <w:r w:rsidR="009C0DDB" w:rsidRPr="008871BF">
        <w:rPr>
          <w:rFonts w:ascii="Gill Sans MT" w:hAnsi="Gill Sans MT"/>
          <w:szCs w:val="26"/>
          <w:lang w:eastAsia="en-IE"/>
        </w:rPr>
        <w:t>, deaf</w:t>
      </w:r>
      <w:r w:rsidR="00521718">
        <w:rPr>
          <w:rFonts w:ascii="Gill Sans MT" w:hAnsi="Gill Sans MT"/>
          <w:szCs w:val="26"/>
          <w:lang w:eastAsia="en-IE"/>
        </w:rPr>
        <w:t>ness</w:t>
      </w:r>
      <w:r w:rsidR="009C0DDB" w:rsidRPr="008871BF">
        <w:rPr>
          <w:rFonts w:ascii="Gill Sans MT" w:hAnsi="Gill Sans MT"/>
          <w:szCs w:val="26"/>
          <w:lang w:eastAsia="en-IE"/>
        </w:rPr>
        <w:t xml:space="preserve">/hard of hearing and </w:t>
      </w:r>
      <w:r w:rsidR="00521718">
        <w:rPr>
          <w:rFonts w:ascii="Gill Sans MT" w:hAnsi="Gill Sans MT"/>
          <w:szCs w:val="26"/>
          <w:lang w:eastAsia="en-IE"/>
        </w:rPr>
        <w:t>‘other’</w:t>
      </w:r>
      <w:r w:rsidR="009C0DDB" w:rsidRPr="008871BF">
        <w:rPr>
          <w:rFonts w:ascii="Gill Sans MT" w:hAnsi="Gill Sans MT"/>
          <w:szCs w:val="26"/>
          <w:lang w:eastAsia="en-IE"/>
        </w:rPr>
        <w:t xml:space="preserve">. </w:t>
      </w:r>
      <w:r w:rsidR="008871BF">
        <w:rPr>
          <w:rFonts w:ascii="Gill Sans MT" w:hAnsi="Gill Sans MT"/>
          <w:szCs w:val="26"/>
          <w:lang w:eastAsia="en-IE"/>
        </w:rPr>
        <w:t>The biggest change over time has been the proportion of students with a mental health condition, which rose from 12.6% in 2015/16 to 16.6% in 2020/2021.</w:t>
      </w:r>
      <w:r w:rsidR="000C1CDD" w:rsidRPr="000C1CDD">
        <w:rPr>
          <w:rStyle w:val="FootnoteReference"/>
        </w:rPr>
        <w:t xml:space="preserve"> </w:t>
      </w:r>
      <w:r w:rsidR="000C1CDD">
        <w:t>From the academic year 2021/22, a methodological change means that disability category percentages from 2021/22 onwards cannot be meaningfully compared with those from previous years. This change involved a shift from collecting data on primary disability only to collecting data on primary and additional disabilities.</w:t>
      </w:r>
      <w:r w:rsidR="000C1CDD">
        <w:rPr>
          <w:rFonts w:ascii="Gill Sans MT" w:hAnsi="Gill Sans MT"/>
          <w:szCs w:val="26"/>
          <w:lang w:eastAsia="en-IE"/>
        </w:rPr>
        <w:t xml:space="preserve"> </w:t>
      </w:r>
    </w:p>
    <w:p w14:paraId="5E956027" w14:textId="33FD479B" w:rsidR="008A0E1D" w:rsidRDefault="008A0E1D" w:rsidP="008A0E1D">
      <w:pPr>
        <w:pStyle w:val="Caption"/>
        <w:keepNext/>
      </w:pPr>
      <w:bookmarkStart w:id="118" w:name="_Ref179895754"/>
      <w:bookmarkStart w:id="119" w:name="_Toc182219710"/>
      <w:r>
        <w:t xml:space="preserve">Table </w:t>
      </w:r>
      <w:r>
        <w:fldChar w:fldCharType="begin"/>
      </w:r>
      <w:r>
        <w:instrText xml:space="preserve"> SEQ Table \* ARABIC </w:instrText>
      </w:r>
      <w:r>
        <w:fldChar w:fldCharType="separate"/>
      </w:r>
      <w:r w:rsidR="009C4192">
        <w:rPr>
          <w:noProof/>
        </w:rPr>
        <w:t>6</w:t>
      </w:r>
      <w:r>
        <w:fldChar w:fldCharType="end"/>
      </w:r>
      <w:bookmarkEnd w:id="118"/>
      <w:r>
        <w:t xml:space="preserve">: </w:t>
      </w:r>
      <w:r w:rsidRPr="009C0DDB">
        <w:rPr>
          <w:rFonts w:ascii="Gill Sans MT" w:hAnsi="Gill Sans MT"/>
          <w:lang w:eastAsia="en-IE"/>
        </w:rPr>
        <w:t xml:space="preserve">Primary disability of students </w:t>
      </w:r>
      <w:r w:rsidRPr="00C24618">
        <w:rPr>
          <w:rFonts w:ascii="Gill Sans MT" w:hAnsi="Gill Sans MT"/>
          <w:lang w:eastAsia="en-IE"/>
        </w:rPr>
        <w:t>accessing disability support services</w:t>
      </w:r>
      <w:r w:rsidRPr="009C0DDB">
        <w:rPr>
          <w:rFonts w:ascii="Gill Sans MT" w:hAnsi="Gill Sans MT"/>
          <w:lang w:eastAsia="en-IE"/>
        </w:rPr>
        <w:t xml:space="preserve"> in higher education institutions by Academic Year 2015-20</w:t>
      </w:r>
      <w:r w:rsidRPr="00C24618">
        <w:rPr>
          <w:rFonts w:ascii="Gill Sans MT" w:hAnsi="Gill Sans MT"/>
          <w:lang w:eastAsia="en-IE"/>
        </w:rPr>
        <w:t>2</w:t>
      </w:r>
      <w:r>
        <w:rPr>
          <w:rFonts w:ascii="Gill Sans MT" w:hAnsi="Gill Sans MT"/>
          <w:lang w:eastAsia="en-IE"/>
        </w:rPr>
        <w:t>1</w:t>
      </w:r>
      <w:r w:rsidR="002116DE">
        <w:rPr>
          <w:rFonts w:ascii="Gill Sans MT" w:hAnsi="Gill Sans MT"/>
          <w:lang w:eastAsia="en-IE"/>
        </w:rPr>
        <w:t xml:space="preserve"> (%)</w:t>
      </w:r>
      <w:bookmarkEnd w:id="119"/>
    </w:p>
    <w:tbl>
      <w:tblPr>
        <w:tblStyle w:val="TableGrid"/>
        <w:tblpPr w:leftFromText="180" w:rightFromText="180" w:vertAnchor="text" w:tblpXSpec="center" w:tblpY="1"/>
        <w:tblOverlap w:val="never"/>
        <w:tblW w:w="4594" w:type="pct"/>
        <w:tblLook w:val="04A0" w:firstRow="1" w:lastRow="0" w:firstColumn="1" w:lastColumn="0" w:noHBand="0" w:noVBand="1"/>
      </w:tblPr>
      <w:tblGrid>
        <w:gridCol w:w="3814"/>
        <w:gridCol w:w="867"/>
        <w:gridCol w:w="867"/>
        <w:gridCol w:w="867"/>
        <w:gridCol w:w="867"/>
        <w:gridCol w:w="867"/>
        <w:gridCol w:w="867"/>
      </w:tblGrid>
      <w:tr w:rsidR="003626F8" w:rsidRPr="009C0DDB" w14:paraId="73DE4D85" w14:textId="53495F22" w:rsidTr="008A0E1D">
        <w:trPr>
          <w:cantSplit/>
          <w:trHeight w:val="300"/>
          <w:tblHeader/>
        </w:trPr>
        <w:tc>
          <w:tcPr>
            <w:tcW w:w="2308" w:type="pct"/>
            <w:tcBorders>
              <w:left w:val="single" w:sz="4" w:space="0" w:color="auto"/>
            </w:tcBorders>
          </w:tcPr>
          <w:p w14:paraId="3642B517" w14:textId="77777777" w:rsidR="003626F8" w:rsidRPr="009C0DDB" w:rsidRDefault="003626F8" w:rsidP="00EC23FE">
            <w:pPr>
              <w:spacing w:after="0"/>
              <w:rPr>
                <w:rFonts w:ascii="Gill Sans MT" w:hAnsi="Gill Sans MT"/>
                <w:b/>
                <w:szCs w:val="26"/>
                <w:lang w:eastAsia="en-IE"/>
              </w:rPr>
            </w:pPr>
            <w:r w:rsidRPr="009C0DDB">
              <w:rPr>
                <w:rFonts w:ascii="Gill Sans MT" w:hAnsi="Gill Sans MT"/>
                <w:b/>
                <w:szCs w:val="26"/>
                <w:lang w:eastAsia="en-IE"/>
              </w:rPr>
              <w:t>Primary Disability</w:t>
            </w:r>
          </w:p>
        </w:tc>
        <w:tc>
          <w:tcPr>
            <w:tcW w:w="449" w:type="pct"/>
          </w:tcPr>
          <w:p w14:paraId="3829FB70" w14:textId="77777777" w:rsidR="003626F8" w:rsidRPr="009C0DDB" w:rsidRDefault="003626F8" w:rsidP="00EC23FE">
            <w:pPr>
              <w:spacing w:after="0"/>
              <w:jc w:val="right"/>
              <w:rPr>
                <w:rFonts w:ascii="Gill Sans MT" w:hAnsi="Gill Sans MT" w:cs="Calibri"/>
                <w:b/>
                <w:color w:val="000000"/>
                <w:szCs w:val="26"/>
                <w:lang w:eastAsia="en-IE"/>
              </w:rPr>
            </w:pPr>
            <w:r w:rsidRPr="009C0DDB">
              <w:rPr>
                <w:rFonts w:ascii="Gill Sans MT" w:hAnsi="Gill Sans MT" w:cs="Calibri"/>
                <w:b/>
                <w:color w:val="000000"/>
                <w:szCs w:val="26"/>
                <w:lang w:eastAsia="en-IE"/>
              </w:rPr>
              <w:t>2015/16</w:t>
            </w:r>
          </w:p>
        </w:tc>
        <w:tc>
          <w:tcPr>
            <w:tcW w:w="449" w:type="pct"/>
          </w:tcPr>
          <w:p w14:paraId="3D9FC77D" w14:textId="77777777" w:rsidR="003626F8" w:rsidRPr="009C0DDB" w:rsidRDefault="003626F8" w:rsidP="00EC23FE">
            <w:pPr>
              <w:spacing w:after="0"/>
              <w:jc w:val="right"/>
              <w:rPr>
                <w:rFonts w:ascii="Gill Sans MT" w:hAnsi="Gill Sans MT" w:cs="Calibri"/>
                <w:b/>
                <w:color w:val="000000"/>
                <w:szCs w:val="26"/>
                <w:lang w:eastAsia="en-IE"/>
              </w:rPr>
            </w:pPr>
            <w:r w:rsidRPr="009C0DDB">
              <w:rPr>
                <w:rFonts w:ascii="Gill Sans MT" w:hAnsi="Gill Sans MT" w:cs="Calibri"/>
                <w:b/>
                <w:color w:val="000000"/>
                <w:szCs w:val="26"/>
                <w:lang w:eastAsia="en-IE"/>
              </w:rPr>
              <w:t>2016/17</w:t>
            </w:r>
          </w:p>
        </w:tc>
        <w:tc>
          <w:tcPr>
            <w:tcW w:w="449" w:type="pct"/>
          </w:tcPr>
          <w:p w14:paraId="35B4CB0C" w14:textId="77777777" w:rsidR="003626F8" w:rsidRPr="009C0DDB" w:rsidRDefault="003626F8" w:rsidP="00EC23FE">
            <w:pPr>
              <w:spacing w:after="0"/>
              <w:jc w:val="right"/>
              <w:rPr>
                <w:rFonts w:ascii="Gill Sans MT" w:hAnsi="Gill Sans MT" w:cs="Calibri"/>
                <w:b/>
                <w:color w:val="000000"/>
                <w:szCs w:val="26"/>
                <w:lang w:eastAsia="en-IE"/>
              </w:rPr>
            </w:pPr>
            <w:r w:rsidRPr="009C0DDB">
              <w:rPr>
                <w:rFonts w:ascii="Gill Sans MT" w:hAnsi="Gill Sans MT" w:cs="Calibri"/>
                <w:b/>
                <w:color w:val="000000"/>
                <w:szCs w:val="26"/>
                <w:lang w:eastAsia="en-IE"/>
              </w:rPr>
              <w:t>2017/18</w:t>
            </w:r>
          </w:p>
        </w:tc>
        <w:tc>
          <w:tcPr>
            <w:tcW w:w="449" w:type="pct"/>
          </w:tcPr>
          <w:p w14:paraId="16A06673" w14:textId="5A392D02" w:rsidR="003626F8" w:rsidRPr="00BA6AF3" w:rsidRDefault="003626F8" w:rsidP="00EC23FE">
            <w:pPr>
              <w:spacing w:after="0"/>
              <w:jc w:val="right"/>
              <w:rPr>
                <w:rFonts w:ascii="Gill Sans MT" w:hAnsi="Gill Sans MT" w:cs="Calibri"/>
                <w:b/>
                <w:color w:val="000000"/>
                <w:szCs w:val="26"/>
                <w:lang w:eastAsia="en-IE"/>
              </w:rPr>
            </w:pPr>
            <w:r w:rsidRPr="00BA6AF3">
              <w:rPr>
                <w:rFonts w:ascii="Gill Sans MT" w:hAnsi="Gill Sans MT" w:cs="Calibri"/>
                <w:b/>
                <w:color w:val="000000"/>
                <w:szCs w:val="26"/>
                <w:lang w:eastAsia="en-IE"/>
              </w:rPr>
              <w:t>2018/19</w:t>
            </w:r>
          </w:p>
        </w:tc>
        <w:tc>
          <w:tcPr>
            <w:tcW w:w="449" w:type="pct"/>
          </w:tcPr>
          <w:p w14:paraId="19DD3B3F" w14:textId="0847C968" w:rsidR="003626F8" w:rsidRPr="006F3C21" w:rsidRDefault="003626F8" w:rsidP="00EC23FE">
            <w:pPr>
              <w:spacing w:after="0"/>
              <w:jc w:val="right"/>
              <w:rPr>
                <w:rFonts w:ascii="Gill Sans MT" w:hAnsi="Gill Sans MT" w:cs="Calibri"/>
                <w:b/>
                <w:color w:val="000000"/>
                <w:szCs w:val="26"/>
                <w:highlight w:val="yellow"/>
                <w:lang w:eastAsia="en-IE"/>
              </w:rPr>
            </w:pPr>
            <w:r w:rsidRPr="006A76C8">
              <w:rPr>
                <w:rFonts w:ascii="Gill Sans MT" w:hAnsi="Gill Sans MT" w:cs="Calibri"/>
                <w:b/>
                <w:color w:val="000000"/>
                <w:szCs w:val="26"/>
                <w:lang w:eastAsia="en-IE"/>
              </w:rPr>
              <w:t>2019/20</w:t>
            </w:r>
          </w:p>
        </w:tc>
        <w:tc>
          <w:tcPr>
            <w:tcW w:w="449" w:type="pct"/>
          </w:tcPr>
          <w:p w14:paraId="0BA861FF" w14:textId="1177AFFC" w:rsidR="003626F8" w:rsidRPr="006F3C21" w:rsidRDefault="003626F8" w:rsidP="00EC23FE">
            <w:pPr>
              <w:spacing w:after="0"/>
              <w:jc w:val="right"/>
              <w:rPr>
                <w:rFonts w:ascii="Gill Sans MT" w:hAnsi="Gill Sans MT" w:cs="Calibri"/>
                <w:b/>
                <w:color w:val="000000"/>
                <w:szCs w:val="26"/>
                <w:highlight w:val="yellow"/>
                <w:lang w:eastAsia="en-IE"/>
              </w:rPr>
            </w:pPr>
            <w:r w:rsidRPr="008871BF">
              <w:rPr>
                <w:rFonts w:ascii="Gill Sans MT" w:hAnsi="Gill Sans MT" w:cs="Calibri"/>
                <w:b/>
                <w:color w:val="000000"/>
                <w:szCs w:val="26"/>
                <w:lang w:eastAsia="en-IE"/>
              </w:rPr>
              <w:t>2020/21</w:t>
            </w:r>
          </w:p>
        </w:tc>
      </w:tr>
      <w:tr w:rsidR="003626F8" w:rsidRPr="009C0DDB" w14:paraId="58992330" w14:textId="0A2B670C" w:rsidTr="008A0E1D">
        <w:trPr>
          <w:cantSplit/>
          <w:trHeight w:val="300"/>
        </w:trPr>
        <w:tc>
          <w:tcPr>
            <w:tcW w:w="2308" w:type="pct"/>
            <w:noWrap/>
            <w:hideMark/>
          </w:tcPr>
          <w:p w14:paraId="3250D011"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Specific learning disability</w:t>
            </w:r>
          </w:p>
        </w:tc>
        <w:tc>
          <w:tcPr>
            <w:tcW w:w="449" w:type="pct"/>
            <w:noWrap/>
            <w:hideMark/>
          </w:tcPr>
          <w:p w14:paraId="614AF39E"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45.5</w:t>
            </w:r>
          </w:p>
        </w:tc>
        <w:tc>
          <w:tcPr>
            <w:tcW w:w="449" w:type="pct"/>
            <w:noWrap/>
            <w:hideMark/>
          </w:tcPr>
          <w:p w14:paraId="1370CD44"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41.4</w:t>
            </w:r>
          </w:p>
        </w:tc>
        <w:tc>
          <w:tcPr>
            <w:tcW w:w="449" w:type="pct"/>
            <w:noWrap/>
            <w:hideMark/>
          </w:tcPr>
          <w:p w14:paraId="697F6D83"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38.9</w:t>
            </w:r>
          </w:p>
        </w:tc>
        <w:tc>
          <w:tcPr>
            <w:tcW w:w="449" w:type="pct"/>
          </w:tcPr>
          <w:p w14:paraId="32B0D5A0" w14:textId="5F07C592"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37.7</w:t>
            </w:r>
          </w:p>
        </w:tc>
        <w:tc>
          <w:tcPr>
            <w:tcW w:w="449" w:type="pct"/>
          </w:tcPr>
          <w:p w14:paraId="66D0E526" w14:textId="356CCC38"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36.9</w:t>
            </w:r>
          </w:p>
        </w:tc>
        <w:tc>
          <w:tcPr>
            <w:tcW w:w="449" w:type="pct"/>
          </w:tcPr>
          <w:p w14:paraId="6156D29E" w14:textId="720E0888"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36.2</w:t>
            </w:r>
          </w:p>
        </w:tc>
      </w:tr>
      <w:tr w:rsidR="003626F8" w:rsidRPr="009C0DDB" w14:paraId="558A2369" w14:textId="788C0CD7" w:rsidTr="008A0E1D">
        <w:trPr>
          <w:cantSplit/>
          <w:trHeight w:val="300"/>
        </w:trPr>
        <w:tc>
          <w:tcPr>
            <w:tcW w:w="2308" w:type="pct"/>
            <w:noWrap/>
            <w:hideMark/>
          </w:tcPr>
          <w:p w14:paraId="05E7D829"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Mental health condition</w:t>
            </w:r>
          </w:p>
        </w:tc>
        <w:tc>
          <w:tcPr>
            <w:tcW w:w="449" w:type="pct"/>
            <w:noWrap/>
            <w:hideMark/>
          </w:tcPr>
          <w:p w14:paraId="2A5C49B4"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12.6</w:t>
            </w:r>
          </w:p>
        </w:tc>
        <w:tc>
          <w:tcPr>
            <w:tcW w:w="449" w:type="pct"/>
            <w:noWrap/>
            <w:hideMark/>
          </w:tcPr>
          <w:p w14:paraId="318449B2"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13.9</w:t>
            </w:r>
          </w:p>
        </w:tc>
        <w:tc>
          <w:tcPr>
            <w:tcW w:w="449" w:type="pct"/>
            <w:noWrap/>
            <w:hideMark/>
          </w:tcPr>
          <w:p w14:paraId="3B0BFA32"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15.1</w:t>
            </w:r>
          </w:p>
        </w:tc>
        <w:tc>
          <w:tcPr>
            <w:tcW w:w="449" w:type="pct"/>
          </w:tcPr>
          <w:p w14:paraId="3521EC36" w14:textId="6F811F79"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16.1</w:t>
            </w:r>
          </w:p>
        </w:tc>
        <w:tc>
          <w:tcPr>
            <w:tcW w:w="449" w:type="pct"/>
          </w:tcPr>
          <w:p w14:paraId="03674BC7" w14:textId="5312AFF4"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16.7</w:t>
            </w:r>
          </w:p>
        </w:tc>
        <w:tc>
          <w:tcPr>
            <w:tcW w:w="449" w:type="pct"/>
          </w:tcPr>
          <w:p w14:paraId="1C6DEB39" w14:textId="0E30B7F9"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16.6</w:t>
            </w:r>
          </w:p>
        </w:tc>
      </w:tr>
      <w:tr w:rsidR="003626F8" w:rsidRPr="009C0DDB" w14:paraId="6FA4943C" w14:textId="2D3A8862" w:rsidTr="008A0E1D">
        <w:trPr>
          <w:cantSplit/>
          <w:trHeight w:val="300"/>
        </w:trPr>
        <w:tc>
          <w:tcPr>
            <w:tcW w:w="2308" w:type="pct"/>
            <w:noWrap/>
            <w:hideMark/>
          </w:tcPr>
          <w:p w14:paraId="2F7D456B"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Significant ongoing illness</w:t>
            </w:r>
          </w:p>
        </w:tc>
        <w:tc>
          <w:tcPr>
            <w:tcW w:w="449" w:type="pct"/>
            <w:noWrap/>
            <w:hideMark/>
          </w:tcPr>
          <w:p w14:paraId="73DCDE47"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10.6</w:t>
            </w:r>
          </w:p>
        </w:tc>
        <w:tc>
          <w:tcPr>
            <w:tcW w:w="449" w:type="pct"/>
            <w:noWrap/>
            <w:hideMark/>
          </w:tcPr>
          <w:p w14:paraId="7B4843C6"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11.2</w:t>
            </w:r>
          </w:p>
        </w:tc>
        <w:tc>
          <w:tcPr>
            <w:tcW w:w="449" w:type="pct"/>
            <w:noWrap/>
            <w:hideMark/>
          </w:tcPr>
          <w:p w14:paraId="1E5CF80C"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11.6</w:t>
            </w:r>
          </w:p>
        </w:tc>
        <w:tc>
          <w:tcPr>
            <w:tcW w:w="449" w:type="pct"/>
          </w:tcPr>
          <w:p w14:paraId="648C311B" w14:textId="0D5CDADD"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11.6</w:t>
            </w:r>
          </w:p>
        </w:tc>
        <w:tc>
          <w:tcPr>
            <w:tcW w:w="449" w:type="pct"/>
          </w:tcPr>
          <w:p w14:paraId="2A60E76F" w14:textId="079C031A"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11.8</w:t>
            </w:r>
          </w:p>
        </w:tc>
        <w:tc>
          <w:tcPr>
            <w:tcW w:w="449" w:type="pct"/>
          </w:tcPr>
          <w:p w14:paraId="6B60B0FB" w14:textId="0433164F"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11.3</w:t>
            </w:r>
          </w:p>
        </w:tc>
      </w:tr>
      <w:tr w:rsidR="003626F8" w:rsidRPr="009C0DDB" w14:paraId="151DC305" w14:textId="3836973D" w:rsidTr="008A0E1D">
        <w:trPr>
          <w:cantSplit/>
          <w:trHeight w:val="300"/>
        </w:trPr>
        <w:tc>
          <w:tcPr>
            <w:tcW w:w="2308" w:type="pct"/>
            <w:noWrap/>
            <w:hideMark/>
          </w:tcPr>
          <w:p w14:paraId="17D7C4A0"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Physical disability</w:t>
            </w:r>
          </w:p>
        </w:tc>
        <w:tc>
          <w:tcPr>
            <w:tcW w:w="449" w:type="pct"/>
            <w:noWrap/>
            <w:hideMark/>
          </w:tcPr>
          <w:p w14:paraId="4B9EE74B"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6.5</w:t>
            </w:r>
          </w:p>
        </w:tc>
        <w:tc>
          <w:tcPr>
            <w:tcW w:w="449" w:type="pct"/>
            <w:noWrap/>
            <w:hideMark/>
          </w:tcPr>
          <w:p w14:paraId="2A1C18CA"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6.3</w:t>
            </w:r>
          </w:p>
        </w:tc>
        <w:tc>
          <w:tcPr>
            <w:tcW w:w="449" w:type="pct"/>
            <w:noWrap/>
            <w:hideMark/>
          </w:tcPr>
          <w:p w14:paraId="12EFD07B"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6.3</w:t>
            </w:r>
          </w:p>
        </w:tc>
        <w:tc>
          <w:tcPr>
            <w:tcW w:w="449" w:type="pct"/>
          </w:tcPr>
          <w:p w14:paraId="7518C9DE" w14:textId="63B66D01"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6.3</w:t>
            </w:r>
          </w:p>
        </w:tc>
        <w:tc>
          <w:tcPr>
            <w:tcW w:w="449" w:type="pct"/>
          </w:tcPr>
          <w:p w14:paraId="7B67AF3E" w14:textId="262BA112"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6.3</w:t>
            </w:r>
          </w:p>
        </w:tc>
        <w:tc>
          <w:tcPr>
            <w:tcW w:w="449" w:type="pct"/>
          </w:tcPr>
          <w:p w14:paraId="7BD2D852" w14:textId="5C9F5FBD"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5.9</w:t>
            </w:r>
          </w:p>
        </w:tc>
      </w:tr>
      <w:tr w:rsidR="003626F8" w:rsidRPr="009C0DDB" w14:paraId="5B71AEC8" w14:textId="4C0AA9B8" w:rsidTr="008A0E1D">
        <w:trPr>
          <w:cantSplit/>
          <w:trHeight w:val="300"/>
        </w:trPr>
        <w:tc>
          <w:tcPr>
            <w:tcW w:w="2308" w:type="pct"/>
            <w:noWrap/>
            <w:hideMark/>
          </w:tcPr>
          <w:p w14:paraId="31CF6378" w14:textId="6ABF0EB3" w:rsidR="003626F8" w:rsidRPr="009C0DDB" w:rsidRDefault="008871BF" w:rsidP="00EC23FE">
            <w:pPr>
              <w:spacing w:after="0"/>
              <w:rPr>
                <w:rFonts w:ascii="Gill Sans MT" w:hAnsi="Gill Sans MT" w:cs="Calibri"/>
                <w:color w:val="000000"/>
                <w:szCs w:val="26"/>
                <w:lang w:eastAsia="en-IE"/>
              </w:rPr>
            </w:pPr>
            <w:r>
              <w:rPr>
                <w:rFonts w:ascii="Gill Sans MT" w:hAnsi="Gill Sans MT" w:cs="Calibri"/>
                <w:color w:val="000000"/>
                <w:szCs w:val="26"/>
                <w:lang w:eastAsia="en-IE"/>
              </w:rPr>
              <w:t>DCD - Dyspraxia</w:t>
            </w:r>
          </w:p>
        </w:tc>
        <w:tc>
          <w:tcPr>
            <w:tcW w:w="449" w:type="pct"/>
            <w:noWrap/>
            <w:hideMark/>
          </w:tcPr>
          <w:p w14:paraId="7C27C576"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6</w:t>
            </w:r>
          </w:p>
        </w:tc>
        <w:tc>
          <w:tcPr>
            <w:tcW w:w="449" w:type="pct"/>
            <w:noWrap/>
            <w:hideMark/>
          </w:tcPr>
          <w:p w14:paraId="1CCF3C07"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6.1</w:t>
            </w:r>
          </w:p>
        </w:tc>
        <w:tc>
          <w:tcPr>
            <w:tcW w:w="449" w:type="pct"/>
            <w:noWrap/>
            <w:hideMark/>
          </w:tcPr>
          <w:p w14:paraId="553E8B45"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6.2</w:t>
            </w:r>
          </w:p>
        </w:tc>
        <w:tc>
          <w:tcPr>
            <w:tcW w:w="449" w:type="pct"/>
          </w:tcPr>
          <w:p w14:paraId="0CAA050D" w14:textId="58C42238"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6.5</w:t>
            </w:r>
          </w:p>
        </w:tc>
        <w:tc>
          <w:tcPr>
            <w:tcW w:w="449" w:type="pct"/>
          </w:tcPr>
          <w:p w14:paraId="40CDD1DB" w14:textId="0F679198"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6.3</w:t>
            </w:r>
          </w:p>
        </w:tc>
        <w:tc>
          <w:tcPr>
            <w:tcW w:w="449" w:type="pct"/>
          </w:tcPr>
          <w:p w14:paraId="3A92E92E" w14:textId="4CF923FD"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6.5</w:t>
            </w:r>
          </w:p>
        </w:tc>
      </w:tr>
      <w:tr w:rsidR="003626F8" w:rsidRPr="009C0DDB" w14:paraId="3C7C4331" w14:textId="239491A7" w:rsidTr="008A0E1D">
        <w:trPr>
          <w:cantSplit/>
          <w:trHeight w:val="300"/>
        </w:trPr>
        <w:tc>
          <w:tcPr>
            <w:tcW w:w="2308" w:type="pct"/>
            <w:noWrap/>
            <w:hideMark/>
          </w:tcPr>
          <w:p w14:paraId="334B0AE5"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Aspergers/autism</w:t>
            </w:r>
          </w:p>
        </w:tc>
        <w:tc>
          <w:tcPr>
            <w:tcW w:w="449" w:type="pct"/>
            <w:noWrap/>
            <w:hideMark/>
          </w:tcPr>
          <w:p w14:paraId="60EDBDAB"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4.8</w:t>
            </w:r>
          </w:p>
        </w:tc>
        <w:tc>
          <w:tcPr>
            <w:tcW w:w="449" w:type="pct"/>
            <w:noWrap/>
            <w:hideMark/>
          </w:tcPr>
          <w:p w14:paraId="1B923818"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5.4</w:t>
            </w:r>
          </w:p>
        </w:tc>
        <w:tc>
          <w:tcPr>
            <w:tcW w:w="449" w:type="pct"/>
            <w:noWrap/>
            <w:hideMark/>
          </w:tcPr>
          <w:p w14:paraId="537EA491"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5.9</w:t>
            </w:r>
          </w:p>
        </w:tc>
        <w:tc>
          <w:tcPr>
            <w:tcW w:w="449" w:type="pct"/>
          </w:tcPr>
          <w:p w14:paraId="4CC6E1E2" w14:textId="479EA1AB"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6.9</w:t>
            </w:r>
          </w:p>
        </w:tc>
        <w:tc>
          <w:tcPr>
            <w:tcW w:w="449" w:type="pct"/>
          </w:tcPr>
          <w:p w14:paraId="04604539" w14:textId="1DC478D9"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7.6</w:t>
            </w:r>
          </w:p>
        </w:tc>
        <w:tc>
          <w:tcPr>
            <w:tcW w:w="449" w:type="pct"/>
          </w:tcPr>
          <w:p w14:paraId="2AF6BD5A" w14:textId="23431E79"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8.3</w:t>
            </w:r>
          </w:p>
        </w:tc>
      </w:tr>
      <w:tr w:rsidR="003626F8" w:rsidRPr="009C0DDB" w14:paraId="45FB71E7" w14:textId="6204065C" w:rsidTr="008A0E1D">
        <w:trPr>
          <w:cantSplit/>
          <w:trHeight w:val="300"/>
        </w:trPr>
        <w:tc>
          <w:tcPr>
            <w:tcW w:w="2308" w:type="pct"/>
            <w:noWrap/>
            <w:hideMark/>
          </w:tcPr>
          <w:p w14:paraId="2FFB1395" w14:textId="77777777" w:rsidR="003626F8"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Attention deficit disorder (ADD)/</w:t>
            </w:r>
          </w:p>
          <w:p w14:paraId="062A7397" w14:textId="7A47CFC8"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Attention deficit Hyperactivity disorder (ADHD)</w:t>
            </w:r>
          </w:p>
        </w:tc>
        <w:tc>
          <w:tcPr>
            <w:tcW w:w="449" w:type="pct"/>
            <w:noWrap/>
            <w:hideMark/>
          </w:tcPr>
          <w:p w14:paraId="25A11198"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4.1</w:t>
            </w:r>
          </w:p>
        </w:tc>
        <w:tc>
          <w:tcPr>
            <w:tcW w:w="449" w:type="pct"/>
            <w:noWrap/>
            <w:hideMark/>
          </w:tcPr>
          <w:p w14:paraId="2F2CAE5D"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5.2</w:t>
            </w:r>
          </w:p>
        </w:tc>
        <w:tc>
          <w:tcPr>
            <w:tcW w:w="449" w:type="pct"/>
            <w:noWrap/>
            <w:hideMark/>
          </w:tcPr>
          <w:p w14:paraId="6029FDD3"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4.9</w:t>
            </w:r>
          </w:p>
        </w:tc>
        <w:tc>
          <w:tcPr>
            <w:tcW w:w="449" w:type="pct"/>
          </w:tcPr>
          <w:p w14:paraId="64B6DD4F" w14:textId="6C028657"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5.0</w:t>
            </w:r>
          </w:p>
        </w:tc>
        <w:tc>
          <w:tcPr>
            <w:tcW w:w="449" w:type="pct"/>
          </w:tcPr>
          <w:p w14:paraId="18891899" w14:textId="44A348A7"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5.0</w:t>
            </w:r>
          </w:p>
        </w:tc>
        <w:tc>
          <w:tcPr>
            <w:tcW w:w="449" w:type="pct"/>
          </w:tcPr>
          <w:p w14:paraId="423EB906" w14:textId="6398A54A"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5.5</w:t>
            </w:r>
          </w:p>
        </w:tc>
      </w:tr>
      <w:tr w:rsidR="003626F8" w:rsidRPr="009C0DDB" w14:paraId="73CCFB29" w14:textId="4F44EC3F" w:rsidTr="008A0E1D">
        <w:trPr>
          <w:cantSplit/>
          <w:trHeight w:val="300"/>
        </w:trPr>
        <w:tc>
          <w:tcPr>
            <w:tcW w:w="2308" w:type="pct"/>
            <w:noWrap/>
            <w:hideMark/>
          </w:tcPr>
          <w:p w14:paraId="5A4D741F"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Neurological/speech and language</w:t>
            </w:r>
          </w:p>
        </w:tc>
        <w:tc>
          <w:tcPr>
            <w:tcW w:w="449" w:type="pct"/>
            <w:noWrap/>
            <w:hideMark/>
          </w:tcPr>
          <w:p w14:paraId="686CB4DB"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4.2</w:t>
            </w:r>
          </w:p>
        </w:tc>
        <w:tc>
          <w:tcPr>
            <w:tcW w:w="449" w:type="pct"/>
            <w:noWrap/>
            <w:hideMark/>
          </w:tcPr>
          <w:p w14:paraId="2D632F78"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4.3</w:t>
            </w:r>
          </w:p>
        </w:tc>
        <w:tc>
          <w:tcPr>
            <w:tcW w:w="449" w:type="pct"/>
            <w:noWrap/>
            <w:hideMark/>
          </w:tcPr>
          <w:p w14:paraId="5120D660"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4.2</w:t>
            </w:r>
          </w:p>
        </w:tc>
        <w:tc>
          <w:tcPr>
            <w:tcW w:w="449" w:type="pct"/>
          </w:tcPr>
          <w:p w14:paraId="17125C7F" w14:textId="0C6B60DA"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4.8</w:t>
            </w:r>
          </w:p>
        </w:tc>
        <w:tc>
          <w:tcPr>
            <w:tcW w:w="449" w:type="pct"/>
          </w:tcPr>
          <w:p w14:paraId="27A373B0" w14:textId="20461133"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4.7</w:t>
            </w:r>
          </w:p>
        </w:tc>
        <w:tc>
          <w:tcPr>
            <w:tcW w:w="449" w:type="pct"/>
          </w:tcPr>
          <w:p w14:paraId="50D10477" w14:textId="743CCF67"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4.9</w:t>
            </w:r>
          </w:p>
        </w:tc>
      </w:tr>
      <w:tr w:rsidR="003626F8" w:rsidRPr="009C0DDB" w14:paraId="2C0605DD" w14:textId="72B6D4D6" w:rsidTr="008A0E1D">
        <w:trPr>
          <w:cantSplit/>
          <w:trHeight w:val="300"/>
        </w:trPr>
        <w:tc>
          <w:tcPr>
            <w:tcW w:w="2308" w:type="pct"/>
            <w:noWrap/>
            <w:hideMark/>
          </w:tcPr>
          <w:p w14:paraId="19CC4F61"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Other disability</w:t>
            </w:r>
          </w:p>
        </w:tc>
        <w:tc>
          <w:tcPr>
            <w:tcW w:w="449" w:type="pct"/>
            <w:noWrap/>
            <w:hideMark/>
          </w:tcPr>
          <w:p w14:paraId="4E0DFCE7"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1.1</w:t>
            </w:r>
          </w:p>
        </w:tc>
        <w:tc>
          <w:tcPr>
            <w:tcW w:w="449" w:type="pct"/>
            <w:noWrap/>
            <w:hideMark/>
          </w:tcPr>
          <w:p w14:paraId="09ABFA65"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1.8</w:t>
            </w:r>
          </w:p>
        </w:tc>
        <w:tc>
          <w:tcPr>
            <w:tcW w:w="449" w:type="pct"/>
            <w:noWrap/>
            <w:hideMark/>
          </w:tcPr>
          <w:p w14:paraId="25B1AB51"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2.6</w:t>
            </w:r>
          </w:p>
        </w:tc>
        <w:tc>
          <w:tcPr>
            <w:tcW w:w="449" w:type="pct"/>
          </w:tcPr>
          <w:p w14:paraId="7992D16A" w14:textId="53385E83"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0.7</w:t>
            </w:r>
          </w:p>
        </w:tc>
        <w:tc>
          <w:tcPr>
            <w:tcW w:w="449" w:type="pct"/>
          </w:tcPr>
          <w:p w14:paraId="5DE6DFF8" w14:textId="3AF86889"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0.7</w:t>
            </w:r>
          </w:p>
        </w:tc>
        <w:tc>
          <w:tcPr>
            <w:tcW w:w="449" w:type="pct"/>
          </w:tcPr>
          <w:p w14:paraId="42CC4062" w14:textId="0001E175"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0.9</w:t>
            </w:r>
          </w:p>
        </w:tc>
      </w:tr>
      <w:tr w:rsidR="003626F8" w:rsidRPr="009C0DDB" w14:paraId="631ABEB6" w14:textId="62BC5B85" w:rsidTr="008A0E1D">
        <w:trPr>
          <w:cantSplit/>
          <w:trHeight w:val="300"/>
        </w:trPr>
        <w:tc>
          <w:tcPr>
            <w:tcW w:w="2308" w:type="pct"/>
            <w:noWrap/>
            <w:hideMark/>
          </w:tcPr>
          <w:p w14:paraId="7E1BB50A"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Deaf/hard of hearing</w:t>
            </w:r>
          </w:p>
        </w:tc>
        <w:tc>
          <w:tcPr>
            <w:tcW w:w="449" w:type="pct"/>
            <w:noWrap/>
            <w:hideMark/>
          </w:tcPr>
          <w:p w14:paraId="07FD44F6"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2.8</w:t>
            </w:r>
          </w:p>
        </w:tc>
        <w:tc>
          <w:tcPr>
            <w:tcW w:w="449" w:type="pct"/>
            <w:noWrap/>
            <w:hideMark/>
          </w:tcPr>
          <w:p w14:paraId="1A4B3C74"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2.6</w:t>
            </w:r>
          </w:p>
        </w:tc>
        <w:tc>
          <w:tcPr>
            <w:tcW w:w="449" w:type="pct"/>
            <w:noWrap/>
            <w:hideMark/>
          </w:tcPr>
          <w:p w14:paraId="535AF2A0"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2.5</w:t>
            </w:r>
          </w:p>
        </w:tc>
        <w:tc>
          <w:tcPr>
            <w:tcW w:w="449" w:type="pct"/>
          </w:tcPr>
          <w:p w14:paraId="022D7441" w14:textId="5080502B"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2.6</w:t>
            </w:r>
          </w:p>
        </w:tc>
        <w:tc>
          <w:tcPr>
            <w:tcW w:w="449" w:type="pct"/>
          </w:tcPr>
          <w:p w14:paraId="7B7E5966" w14:textId="17F5BBAF"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2.4</w:t>
            </w:r>
          </w:p>
        </w:tc>
        <w:tc>
          <w:tcPr>
            <w:tcW w:w="449" w:type="pct"/>
          </w:tcPr>
          <w:p w14:paraId="09BC3296" w14:textId="1CFA3AA6"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2.4</w:t>
            </w:r>
          </w:p>
        </w:tc>
      </w:tr>
      <w:tr w:rsidR="003626F8" w:rsidRPr="009C0DDB" w14:paraId="697FD3CF" w14:textId="4FA0D57A" w:rsidTr="008A0E1D">
        <w:trPr>
          <w:cantSplit/>
          <w:trHeight w:val="300"/>
        </w:trPr>
        <w:tc>
          <w:tcPr>
            <w:tcW w:w="2308" w:type="pct"/>
            <w:noWrap/>
            <w:hideMark/>
          </w:tcPr>
          <w:p w14:paraId="14133D1D" w14:textId="77777777" w:rsidR="003626F8" w:rsidRPr="009C0DDB" w:rsidRDefault="003626F8" w:rsidP="00EC23FE">
            <w:pPr>
              <w:spacing w:after="0"/>
              <w:rPr>
                <w:rFonts w:ascii="Gill Sans MT" w:hAnsi="Gill Sans MT" w:cs="Calibri"/>
                <w:color w:val="000000"/>
                <w:szCs w:val="26"/>
                <w:lang w:eastAsia="en-IE"/>
              </w:rPr>
            </w:pPr>
            <w:r w:rsidRPr="009C0DDB">
              <w:rPr>
                <w:rFonts w:ascii="Gill Sans MT" w:hAnsi="Gill Sans MT" w:cs="Calibri"/>
                <w:color w:val="000000"/>
                <w:szCs w:val="26"/>
                <w:lang w:eastAsia="en-IE"/>
              </w:rPr>
              <w:t>Blind/visually Impaired</w:t>
            </w:r>
          </w:p>
        </w:tc>
        <w:tc>
          <w:tcPr>
            <w:tcW w:w="449" w:type="pct"/>
            <w:noWrap/>
            <w:hideMark/>
          </w:tcPr>
          <w:p w14:paraId="411C31B7"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1.8</w:t>
            </w:r>
          </w:p>
        </w:tc>
        <w:tc>
          <w:tcPr>
            <w:tcW w:w="449" w:type="pct"/>
            <w:noWrap/>
            <w:hideMark/>
          </w:tcPr>
          <w:p w14:paraId="71AC0B73"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1.8</w:t>
            </w:r>
          </w:p>
        </w:tc>
        <w:tc>
          <w:tcPr>
            <w:tcW w:w="449" w:type="pct"/>
            <w:noWrap/>
            <w:hideMark/>
          </w:tcPr>
          <w:p w14:paraId="7040300A" w14:textId="77777777" w:rsidR="003626F8" w:rsidRPr="009C0DDB" w:rsidRDefault="003626F8" w:rsidP="00EC23FE">
            <w:pPr>
              <w:spacing w:after="0"/>
              <w:jc w:val="right"/>
              <w:rPr>
                <w:rFonts w:ascii="Gill Sans MT" w:hAnsi="Gill Sans MT" w:cs="Calibri"/>
                <w:color w:val="000000"/>
                <w:szCs w:val="26"/>
                <w:lang w:eastAsia="en-IE"/>
              </w:rPr>
            </w:pPr>
            <w:r w:rsidRPr="009C0DDB">
              <w:rPr>
                <w:rFonts w:ascii="Gill Sans MT" w:hAnsi="Gill Sans MT" w:cs="Calibri"/>
                <w:color w:val="000000"/>
                <w:szCs w:val="26"/>
                <w:lang w:eastAsia="en-IE"/>
              </w:rPr>
              <w:t>1.8</w:t>
            </w:r>
          </w:p>
        </w:tc>
        <w:tc>
          <w:tcPr>
            <w:tcW w:w="449" w:type="pct"/>
          </w:tcPr>
          <w:p w14:paraId="14B3A32A" w14:textId="7D709B15" w:rsidR="003626F8" w:rsidRPr="009C0DDB" w:rsidRDefault="002E4E71"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1.8</w:t>
            </w:r>
          </w:p>
        </w:tc>
        <w:tc>
          <w:tcPr>
            <w:tcW w:w="449" w:type="pct"/>
          </w:tcPr>
          <w:p w14:paraId="4D698CB9" w14:textId="6BD713AB" w:rsidR="003626F8" w:rsidRPr="009C0DDB" w:rsidRDefault="003626F8"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1.6</w:t>
            </w:r>
          </w:p>
        </w:tc>
        <w:tc>
          <w:tcPr>
            <w:tcW w:w="449" w:type="pct"/>
          </w:tcPr>
          <w:p w14:paraId="13D8D0D2" w14:textId="4F012773" w:rsidR="003626F8" w:rsidRPr="009C0DDB" w:rsidRDefault="008871BF" w:rsidP="00EC23FE">
            <w:pPr>
              <w:spacing w:after="0"/>
              <w:jc w:val="right"/>
              <w:rPr>
                <w:rFonts w:ascii="Gill Sans MT" w:hAnsi="Gill Sans MT" w:cs="Calibri"/>
                <w:color w:val="000000"/>
                <w:szCs w:val="26"/>
                <w:lang w:eastAsia="en-IE"/>
              </w:rPr>
            </w:pPr>
            <w:r>
              <w:rPr>
                <w:rFonts w:ascii="Gill Sans MT" w:hAnsi="Gill Sans MT" w:cs="Calibri"/>
                <w:color w:val="000000"/>
                <w:szCs w:val="26"/>
                <w:lang w:eastAsia="en-IE"/>
              </w:rPr>
              <w:t>1.6</w:t>
            </w:r>
          </w:p>
        </w:tc>
      </w:tr>
    </w:tbl>
    <w:p w14:paraId="1F8B6A82" w14:textId="31EEECAE" w:rsidR="00EC23FE" w:rsidRPr="00982A67" w:rsidRDefault="00EC23FE" w:rsidP="00982A67">
      <w:pPr>
        <w:tabs>
          <w:tab w:val="left" w:pos="2652"/>
        </w:tabs>
        <w:ind w:left="720"/>
        <w:jc w:val="center"/>
        <w:rPr>
          <w:rFonts w:ascii="Gill Sans MT" w:hAnsi="Gill Sans MT"/>
          <w:color w:val="000000"/>
          <w:sz w:val="22"/>
          <w:szCs w:val="22"/>
          <w:lang w:eastAsia="en-IE"/>
        </w:rPr>
      </w:pPr>
      <w:r w:rsidRPr="004F71C3">
        <w:rPr>
          <w:rFonts w:ascii="Gill Sans MT" w:hAnsi="Gill Sans MT"/>
          <w:color w:val="000000"/>
          <w:sz w:val="22"/>
          <w:szCs w:val="22"/>
          <w:lang w:eastAsia="en-IE"/>
        </w:rPr>
        <w:t>Source: AHEAD</w:t>
      </w:r>
    </w:p>
    <w:p w14:paraId="416F0719" w14:textId="3662504B" w:rsidR="0002641B" w:rsidRDefault="003B1EA2" w:rsidP="0002641B">
      <w:pPr>
        <w:pStyle w:val="NormalAfterList"/>
        <w:rPr>
          <w:lang w:eastAsia="en-IE"/>
        </w:rPr>
      </w:pPr>
      <w:bookmarkStart w:id="120" w:name="_Hlk179961222"/>
      <w:r w:rsidRPr="003B1EA2">
        <w:rPr>
          <w:lang w:eastAsia="en-IE"/>
        </w:rPr>
        <w:t>The Programme for Access to Higher Education (PATH) is a dedicated fund</w:t>
      </w:r>
      <w:r w:rsidR="00FE0FE0">
        <w:rPr>
          <w:lang w:eastAsia="en-IE"/>
        </w:rPr>
        <w:t>ing programme to support the delivery of the objectives of the National Access Plan (NAP)</w:t>
      </w:r>
      <w:r>
        <w:rPr>
          <w:lang w:eastAsia="en-IE"/>
        </w:rPr>
        <w:t xml:space="preserve"> </w:t>
      </w:r>
      <w:r w:rsidR="00FE0FE0">
        <w:rPr>
          <w:lang w:eastAsia="en-IE"/>
        </w:rPr>
        <w:t xml:space="preserve">by </w:t>
      </w:r>
      <w:r w:rsidRPr="003B1EA2">
        <w:rPr>
          <w:lang w:eastAsia="en-IE"/>
        </w:rPr>
        <w:t xml:space="preserve">increasing </w:t>
      </w:r>
      <w:r w:rsidR="001F4356">
        <w:rPr>
          <w:lang w:eastAsia="en-IE"/>
        </w:rPr>
        <w:t xml:space="preserve">the </w:t>
      </w:r>
      <w:r w:rsidRPr="003B1EA2">
        <w:rPr>
          <w:lang w:eastAsia="en-IE"/>
        </w:rPr>
        <w:t xml:space="preserve">participation </w:t>
      </w:r>
      <w:r w:rsidR="001F4356">
        <w:rPr>
          <w:lang w:eastAsia="en-IE"/>
        </w:rPr>
        <w:t>of</w:t>
      </w:r>
      <w:r w:rsidRPr="003B1EA2">
        <w:rPr>
          <w:lang w:eastAsia="en-IE"/>
        </w:rPr>
        <w:t xml:space="preserve"> under-represented groups in higher education.</w:t>
      </w:r>
      <w:r>
        <w:rPr>
          <w:lang w:eastAsia="en-IE"/>
        </w:rPr>
        <w:t xml:space="preserve"> In June 2022, </w:t>
      </w:r>
      <w:r w:rsidR="005D0B56">
        <w:rPr>
          <w:lang w:eastAsia="en-IE"/>
        </w:rPr>
        <w:t xml:space="preserve">the </w:t>
      </w:r>
      <w:r w:rsidRPr="003B1EA2">
        <w:rPr>
          <w:lang w:eastAsia="en-IE"/>
        </w:rPr>
        <w:t>Department of Further and Higher Education, Research, Innovation and Science</w:t>
      </w:r>
      <w:r>
        <w:rPr>
          <w:lang w:eastAsia="en-IE"/>
        </w:rPr>
        <w:t xml:space="preserve"> (D</w:t>
      </w:r>
      <w:r w:rsidR="00F96CE4">
        <w:rPr>
          <w:lang w:eastAsia="en-IE"/>
        </w:rPr>
        <w:t>F</w:t>
      </w:r>
      <w:r>
        <w:rPr>
          <w:lang w:eastAsia="en-IE"/>
        </w:rPr>
        <w:t>HERIS)</w:t>
      </w:r>
      <w:r w:rsidRPr="003B1EA2">
        <w:rPr>
          <w:lang w:eastAsia="en-IE"/>
        </w:rPr>
        <w:t xml:space="preserve"> announced </w:t>
      </w:r>
      <w:r>
        <w:rPr>
          <w:lang w:eastAsia="en-IE"/>
        </w:rPr>
        <w:t>the</w:t>
      </w:r>
      <w:r w:rsidRPr="003B1EA2">
        <w:rPr>
          <w:lang w:eastAsia="en-IE"/>
        </w:rPr>
        <w:t xml:space="preserve"> fourth strand of PATH</w:t>
      </w:r>
      <w:r w:rsidR="005D0B56">
        <w:rPr>
          <w:lang w:eastAsia="en-IE"/>
        </w:rPr>
        <w:t>,</w:t>
      </w:r>
      <w:r w:rsidRPr="003B1EA2">
        <w:rPr>
          <w:lang w:eastAsia="en-IE"/>
        </w:rPr>
        <w:t xml:space="preserve"> </w:t>
      </w:r>
      <w:r>
        <w:rPr>
          <w:lang w:eastAsia="en-IE"/>
        </w:rPr>
        <w:t xml:space="preserve">to be implemented on a phased basis over four years. </w:t>
      </w:r>
      <w:r w:rsidRPr="003B1EA2">
        <w:rPr>
          <w:lang w:eastAsia="en-IE"/>
        </w:rPr>
        <w:t>Phase 1</w:t>
      </w:r>
      <w:r w:rsidR="00EE783F">
        <w:rPr>
          <w:lang w:eastAsia="en-IE"/>
        </w:rPr>
        <w:t xml:space="preserve"> </w:t>
      </w:r>
      <w:r w:rsidR="00FE0FE0">
        <w:rPr>
          <w:lang w:eastAsia="en-IE"/>
        </w:rPr>
        <w:t xml:space="preserve">of PATH 4 </w:t>
      </w:r>
      <w:r>
        <w:rPr>
          <w:lang w:eastAsia="en-IE"/>
        </w:rPr>
        <w:t>was</w:t>
      </w:r>
      <w:r w:rsidRPr="003B1EA2">
        <w:rPr>
          <w:lang w:eastAsia="en-IE"/>
        </w:rPr>
        <w:t xml:space="preserve"> a on</w:t>
      </w:r>
      <w:r w:rsidR="00910BB7">
        <w:rPr>
          <w:lang w:eastAsia="en-IE"/>
        </w:rPr>
        <w:t>e</w:t>
      </w:r>
      <w:r w:rsidRPr="003B1EA2">
        <w:rPr>
          <w:lang w:eastAsia="en-IE"/>
        </w:rPr>
        <w:t xml:space="preserve">-off fund </w:t>
      </w:r>
      <w:r>
        <w:rPr>
          <w:lang w:eastAsia="en-IE"/>
        </w:rPr>
        <w:t>to support HEI</w:t>
      </w:r>
      <w:r w:rsidR="00EE783F">
        <w:rPr>
          <w:lang w:eastAsia="en-IE"/>
        </w:rPr>
        <w:t>s</w:t>
      </w:r>
      <w:r>
        <w:rPr>
          <w:lang w:eastAsia="en-IE"/>
        </w:rPr>
        <w:t xml:space="preserve"> to</w:t>
      </w:r>
      <w:r w:rsidRPr="003B1EA2">
        <w:rPr>
          <w:lang w:eastAsia="en-IE"/>
        </w:rPr>
        <w:t xml:space="preserve"> embed Universal Design (UD) approaches and inclusive practice</w:t>
      </w:r>
      <w:r>
        <w:rPr>
          <w:lang w:eastAsia="en-IE"/>
        </w:rPr>
        <w:t>s</w:t>
      </w:r>
      <w:r w:rsidRPr="003B1EA2">
        <w:rPr>
          <w:lang w:eastAsia="en-IE"/>
        </w:rPr>
        <w:t>.</w:t>
      </w:r>
      <w:r w:rsidR="00FE0FE0">
        <w:rPr>
          <w:lang w:eastAsia="en-IE"/>
        </w:rPr>
        <w:t xml:space="preserve"> </w:t>
      </w:r>
      <w:r w:rsidR="00011847">
        <w:rPr>
          <w:lang w:eastAsia="en-IE"/>
        </w:rPr>
        <w:t>This call for funding follows NDA advice on universal design</w:t>
      </w:r>
      <w:r w:rsidR="0002641B" w:rsidRPr="00233BC4">
        <w:rPr>
          <w:rStyle w:val="FootnoteReference"/>
        </w:rPr>
        <w:footnoteReference w:id="9"/>
      </w:r>
      <w:r w:rsidR="00011847">
        <w:rPr>
          <w:lang w:eastAsia="en-IE"/>
        </w:rPr>
        <w:t xml:space="preserve">. </w:t>
      </w:r>
      <w:r w:rsidR="00FE0FE0" w:rsidRPr="00FE0FE0">
        <w:rPr>
          <w:lang w:eastAsia="en-IE"/>
        </w:rPr>
        <w:t xml:space="preserve">Phase </w:t>
      </w:r>
      <w:r w:rsidR="00846AEC">
        <w:rPr>
          <w:lang w:eastAsia="en-IE"/>
        </w:rPr>
        <w:t>2</w:t>
      </w:r>
      <w:r w:rsidR="00FE0FE0" w:rsidRPr="00FE0FE0">
        <w:rPr>
          <w:lang w:eastAsia="en-IE"/>
        </w:rPr>
        <w:t xml:space="preserve"> </w:t>
      </w:r>
      <w:r w:rsidR="00FE0FE0">
        <w:rPr>
          <w:lang w:eastAsia="en-IE"/>
        </w:rPr>
        <w:t>has comprised</w:t>
      </w:r>
      <w:r w:rsidR="00FE0FE0" w:rsidRPr="00FE0FE0">
        <w:rPr>
          <w:lang w:eastAsia="en-IE"/>
        </w:rPr>
        <w:t xml:space="preserve"> funding for </w:t>
      </w:r>
      <w:r w:rsidR="00FE0FE0">
        <w:rPr>
          <w:lang w:eastAsia="en-IE"/>
        </w:rPr>
        <w:t>HEI</w:t>
      </w:r>
      <w:r w:rsidR="002116DE">
        <w:rPr>
          <w:lang w:eastAsia="en-IE"/>
        </w:rPr>
        <w:t>s</w:t>
      </w:r>
      <w:r w:rsidR="00FE0FE0" w:rsidRPr="00FE0FE0">
        <w:rPr>
          <w:lang w:eastAsia="en-IE"/>
        </w:rPr>
        <w:t xml:space="preserve"> to include learners with </w:t>
      </w:r>
      <w:r w:rsidR="00FE0FE0">
        <w:rPr>
          <w:lang w:eastAsia="en-IE"/>
        </w:rPr>
        <w:t>intellectual disabilities</w:t>
      </w:r>
      <w:r w:rsidR="00FE0FE0" w:rsidRPr="00FE0FE0">
        <w:rPr>
          <w:lang w:eastAsia="en-IE"/>
        </w:rPr>
        <w:t xml:space="preserve"> in </w:t>
      </w:r>
      <w:r w:rsidR="00FE0FE0">
        <w:rPr>
          <w:lang w:eastAsia="en-IE"/>
        </w:rPr>
        <w:t>h</w:t>
      </w:r>
      <w:r w:rsidR="00FE0FE0" w:rsidRPr="00FE0FE0">
        <w:rPr>
          <w:lang w:eastAsia="en-IE"/>
        </w:rPr>
        <w:t xml:space="preserve">igher </w:t>
      </w:r>
      <w:r w:rsidR="00FE0FE0">
        <w:rPr>
          <w:lang w:eastAsia="en-IE"/>
        </w:rPr>
        <w:t>e</w:t>
      </w:r>
      <w:r w:rsidR="00FE0FE0" w:rsidRPr="00FE0FE0">
        <w:rPr>
          <w:lang w:eastAsia="en-IE"/>
        </w:rPr>
        <w:t>ducation</w:t>
      </w:r>
      <w:r w:rsidR="001F4356">
        <w:rPr>
          <w:lang w:eastAsia="en-IE"/>
        </w:rPr>
        <w:t>.</w:t>
      </w:r>
      <w:r w:rsidR="001F4356">
        <w:t xml:space="preserve"> </w:t>
      </w:r>
      <w:r w:rsidR="001F4356">
        <w:fldChar w:fldCharType="begin"/>
      </w:r>
      <w:r w:rsidR="00C0772E">
        <w:instrText xml:space="preserve"> ADDIN ZOTERO_ITEM CSL_CITATION {"citationID":"lO6GAUNA","properties":{"formattedCitation":"(27)","plainCitation":"(27)","noteIndex":0},"citationItems":[{"id":289,"uris":["http://zotero.org/users/local/kvLunvBP/items/CLZSBWXM"],"itemData":{"id":289,"type":"webpage","abstract":"Programme for Access to Higher Education </w:instrText>
      </w:r>
      <w:r w:rsidR="00C0772E">
        <w:rPr>
          <w:rFonts w:ascii="Arial" w:hAnsi="Arial" w:cs="Arial"/>
        </w:rPr>
        <w:instrText>→</w:instrText>
      </w:r>
      <w:r w:rsidR="00C0772E">
        <w:instrText xml:space="preserve">","container-title":"Higher Education Authority","language":"en","title":"Programme for Access to Higher Education","URL":"https://hea.ie/policy/access-policy/path/","author":[{"family":"Higher Education Authority","given":""}],"accessed":{"date-parts":[["2024",10,18]]},"issued":{"date-parts":[["2024"]]}}}],"schema":"https://github.com/citation-style-language/schema/raw/master/csl-citation.json"} </w:instrText>
      </w:r>
      <w:r w:rsidR="001F4356">
        <w:fldChar w:fldCharType="separate"/>
      </w:r>
      <w:r w:rsidR="00C0772E" w:rsidRPr="00C0772E">
        <w:t>(27)</w:t>
      </w:r>
      <w:r w:rsidR="001F4356">
        <w:fldChar w:fldCharType="end"/>
      </w:r>
      <w:r w:rsidR="00FE0FE0">
        <w:rPr>
          <w:lang w:eastAsia="en-IE"/>
        </w:rPr>
        <w:t xml:space="preserve"> </w:t>
      </w:r>
      <w:r w:rsidR="001F4356">
        <w:rPr>
          <w:lang w:eastAsia="en-IE"/>
        </w:rPr>
        <w:t>In this</w:t>
      </w:r>
      <w:r w:rsidR="00011847">
        <w:rPr>
          <w:lang w:eastAsia="en-IE"/>
        </w:rPr>
        <w:t xml:space="preserve"> phase of the programme</w:t>
      </w:r>
      <w:r w:rsidR="001F4356">
        <w:rPr>
          <w:lang w:eastAsia="en-IE"/>
        </w:rPr>
        <w:t>,</w:t>
      </w:r>
      <w:r w:rsidR="00011847">
        <w:rPr>
          <w:lang w:eastAsia="en-IE"/>
        </w:rPr>
        <w:t xml:space="preserve"> 11 HEIs were awarded funding.</w:t>
      </w:r>
      <w:r w:rsidR="005A6E35">
        <w:t xml:space="preserve"> </w:t>
      </w:r>
      <w:r w:rsidR="005A6E35">
        <w:fldChar w:fldCharType="begin"/>
      </w:r>
      <w:r w:rsidR="00C0772E">
        <w:instrText xml:space="preserve"> ADDIN ZOTERO_ITEM CSL_CITATION {"citationID":"9aXuXqws","properties":{"formattedCitation":"(28)","plainCitation":"(28)","noteIndex":0},"citationItems":[{"id":290,"uris":["http://zotero.org/users/local/kvLunvBP/items/44CAZXFV"],"itemData":{"id":290,"type":"webpage","abstract":"PATH 4 Phase 2 – Course Provision for Students with Intellectual Disabilities   </w:instrText>
      </w:r>
      <w:r w:rsidR="00C0772E">
        <w:rPr>
          <w:rFonts w:ascii="Arial" w:hAnsi="Arial" w:cs="Arial"/>
        </w:rPr>
        <w:instrText>→</w:instrText>
      </w:r>
      <w:r w:rsidR="00C0772E">
        <w:instrText xml:space="preserve">","container-title":"Higher Education Authority","language":"en","title":"PATH 4 Phase 2 </w:instrText>
      </w:r>
      <w:r w:rsidR="00C0772E">
        <w:rPr>
          <w:rFonts w:ascii="Gill Sans MT" w:hAnsi="Gill Sans MT" w:cs="Gill Sans MT"/>
        </w:rPr>
        <w:instrText>–</w:instrText>
      </w:r>
      <w:r w:rsidR="00C0772E">
        <w:instrText xml:space="preserve"> Course provision for students with intellectual disabilities","URL":"https://hea.ie/policy/access-policy/path-4-phase-2/","author":[{"family":"Higher Education Authority","given":""}],"accessed":{"date-parts":[["2024",10,18]]},"issued":{"date-parts":[["2024"]]}},"locator":"4"}],"schema":"https://github.com/citation-style-language/schema/raw/master/csl-citation.json"} </w:instrText>
      </w:r>
      <w:r w:rsidR="005A6E35">
        <w:fldChar w:fldCharType="separate"/>
      </w:r>
      <w:r w:rsidR="00C0772E" w:rsidRPr="00C0772E">
        <w:t>(28)</w:t>
      </w:r>
      <w:r w:rsidR="005A6E35">
        <w:fldChar w:fldCharType="end"/>
      </w:r>
      <w:r w:rsidR="005A6E35">
        <w:rPr>
          <w:lang w:eastAsia="en-IE"/>
        </w:rPr>
        <w:t xml:space="preserve"> </w:t>
      </w:r>
      <w:r w:rsidR="002974FF">
        <w:rPr>
          <w:lang w:eastAsia="en-IE"/>
        </w:rPr>
        <w:t>Important features of these</w:t>
      </w:r>
      <w:r w:rsidR="00011847">
        <w:rPr>
          <w:lang w:eastAsia="en-IE"/>
        </w:rPr>
        <w:t xml:space="preserve"> programmes </w:t>
      </w:r>
      <w:r w:rsidR="002974FF">
        <w:rPr>
          <w:lang w:eastAsia="en-IE"/>
        </w:rPr>
        <w:t xml:space="preserve">include </w:t>
      </w:r>
      <w:r w:rsidR="009A1781">
        <w:rPr>
          <w:lang w:eastAsia="en-IE"/>
        </w:rPr>
        <w:t>their wide</w:t>
      </w:r>
      <w:r w:rsidR="00011847">
        <w:rPr>
          <w:lang w:eastAsia="en-IE"/>
        </w:rPr>
        <w:t xml:space="preserve"> regional reach and</w:t>
      </w:r>
      <w:r w:rsidR="002974FF">
        <w:rPr>
          <w:lang w:eastAsia="en-IE"/>
        </w:rPr>
        <w:t xml:space="preserve"> </w:t>
      </w:r>
      <w:r w:rsidR="005A6E35">
        <w:rPr>
          <w:lang w:eastAsia="en-IE"/>
        </w:rPr>
        <w:t xml:space="preserve">that </w:t>
      </w:r>
      <w:r w:rsidR="002974FF">
        <w:rPr>
          <w:lang w:eastAsia="en-IE"/>
        </w:rPr>
        <w:t>the</w:t>
      </w:r>
      <w:r w:rsidR="005A6E35">
        <w:rPr>
          <w:lang w:eastAsia="en-IE"/>
        </w:rPr>
        <w:t xml:space="preserve">y will </w:t>
      </w:r>
      <w:r w:rsidR="009A1781">
        <w:rPr>
          <w:lang w:eastAsia="en-IE"/>
        </w:rPr>
        <w:t>strengthen the</w:t>
      </w:r>
      <w:r w:rsidR="002974FF">
        <w:rPr>
          <w:lang w:eastAsia="en-IE"/>
        </w:rPr>
        <w:t xml:space="preserve"> HEA</w:t>
      </w:r>
      <w:r w:rsidR="005A6E35">
        <w:rPr>
          <w:lang w:eastAsia="en-IE"/>
        </w:rPr>
        <w:t>’s</w:t>
      </w:r>
      <w:r w:rsidR="002974FF">
        <w:rPr>
          <w:lang w:eastAsia="en-IE"/>
        </w:rPr>
        <w:t xml:space="preserve"> capacity to</w:t>
      </w:r>
      <w:r w:rsidR="00011847">
        <w:rPr>
          <w:lang w:eastAsia="en-IE"/>
        </w:rPr>
        <w:t xml:space="preserve"> collect data to inform future policy </w:t>
      </w:r>
      <w:r w:rsidR="002974FF">
        <w:rPr>
          <w:lang w:eastAsia="en-IE"/>
        </w:rPr>
        <w:t>on the inclusion of adults with intellectual disabilities in higher education</w:t>
      </w:r>
      <w:r w:rsidR="005A6E35">
        <w:rPr>
          <w:lang w:eastAsia="en-IE"/>
        </w:rPr>
        <w:t>, for example</w:t>
      </w:r>
      <w:r w:rsidR="002974FF">
        <w:rPr>
          <w:lang w:eastAsia="en-IE"/>
        </w:rPr>
        <w:t xml:space="preserve"> </w:t>
      </w:r>
      <w:r w:rsidR="005A6E35">
        <w:rPr>
          <w:lang w:eastAsia="en-IE"/>
        </w:rPr>
        <w:t>through information on the</w:t>
      </w:r>
      <w:r w:rsidR="002974FF">
        <w:rPr>
          <w:lang w:eastAsia="en-IE"/>
        </w:rPr>
        <w:t xml:space="preserve"> cost of provision and </w:t>
      </w:r>
      <w:r w:rsidR="005A6E35">
        <w:rPr>
          <w:lang w:eastAsia="en-IE"/>
        </w:rPr>
        <w:t>on how best to support student</w:t>
      </w:r>
      <w:r w:rsidR="002974FF">
        <w:rPr>
          <w:lang w:eastAsia="en-IE"/>
        </w:rPr>
        <w:t xml:space="preserve"> outcomes.</w:t>
      </w:r>
      <w:bookmarkEnd w:id="120"/>
      <w:r w:rsidR="0002641B">
        <w:rPr>
          <w:lang w:eastAsia="en-IE"/>
        </w:rPr>
        <w:t xml:space="preserve"> </w:t>
      </w:r>
    </w:p>
    <w:p w14:paraId="4F2ED31C" w14:textId="05513BBD" w:rsidR="00953D76" w:rsidRPr="00953D76" w:rsidRDefault="00953D76" w:rsidP="00846AEC">
      <w:pPr>
        <w:pStyle w:val="NormalAfterList"/>
        <w:rPr>
          <w:lang w:eastAsia="en-IE"/>
        </w:rPr>
      </w:pPr>
      <w:r>
        <w:t>Since March 2021, under what is known as ‘Catherine’s Law’</w:t>
      </w:r>
      <w:r w:rsidR="00DB44F0" w:rsidRPr="00233BC4">
        <w:rPr>
          <w:rStyle w:val="FootnoteReference"/>
        </w:rPr>
        <w:footnoteReference w:id="10"/>
      </w:r>
      <w:r>
        <w:t xml:space="preserve">, PhD bursaries or scholarships up to a value of €20,000 per year for a maximum of four years are excluded from the means test for Disability Allowance, facilitating disabled PhD students to retain their DA payments while undertaking their doctoral studies. In 2022, Catherine’s Law was extended to the Blind Pension. </w:t>
      </w:r>
      <w:r>
        <w:fldChar w:fldCharType="begin"/>
      </w:r>
      <w:r w:rsidR="00C0772E">
        <w:instrText xml:space="preserve"> ADDIN ZOTERO_ITEM CSL_CITATION {"citationID":"DZhkNxxw","properties":{"formattedCitation":"(29)","plainCitation":"(29)","noteIndex":0},"citationItems":[{"id":295,"uris":["http://zotero.org/users/local/kvLunvBP/items/KDMGH83E"],"itemData":{"id":295,"type":"webpage","language":"en","title":"Ministers Humphreys and McGrath extend ‘Catherine’s Law’ to further remove barriers facing PhD students with disabilities","URL":"https://www.gov.ie/en/press-release/a9209-ministers-humphreys-and-mcgrath-extend-catherines-law-to-further-remove-barriers-facing-phd-students-with-disabilities/","author":[{"family":"Department of Social Protection","given":""}],"accessed":{"date-parts":[["2024",10,18]]},"issued":{"date-parts":[["2022",3,15]]}}}],"schema":"https://github.com/citation-style-language/schema/raw/master/csl-citation.json"} </w:instrText>
      </w:r>
      <w:r>
        <w:fldChar w:fldCharType="separate"/>
      </w:r>
      <w:r w:rsidR="00C0772E" w:rsidRPr="00C0772E">
        <w:t>(29)</w:t>
      </w:r>
      <w:r>
        <w:fldChar w:fldCharType="end"/>
      </w:r>
    </w:p>
    <w:p w14:paraId="232706A9" w14:textId="4EBD8B9D" w:rsidR="009C0DDB" w:rsidRDefault="009C0DDB" w:rsidP="009C0DDB">
      <w:pPr>
        <w:keepNext/>
        <w:spacing w:after="0"/>
        <w:outlineLvl w:val="2"/>
        <w:rPr>
          <w:rFonts w:ascii="Gill Sans MT" w:hAnsi="Gill Sans MT" w:cs="Arial Bold"/>
          <w:b/>
          <w:bCs/>
          <w:lang w:eastAsia="en-IE"/>
        </w:rPr>
      </w:pPr>
      <w:bookmarkStart w:id="121" w:name="_Toc182219499"/>
      <w:bookmarkStart w:id="122" w:name="_Toc182220202"/>
      <w:bookmarkStart w:id="123" w:name="_Toc182555550"/>
      <w:r w:rsidRPr="00621D0F">
        <w:rPr>
          <w:rFonts w:ascii="Gill Sans MT" w:hAnsi="Gill Sans MT" w:cs="Arial Bold"/>
          <w:b/>
          <w:bCs/>
          <w:lang w:eastAsia="en-IE"/>
        </w:rPr>
        <w:t>1.3.2 Further education and training</w:t>
      </w:r>
      <w:bookmarkEnd w:id="121"/>
      <w:bookmarkEnd w:id="122"/>
      <w:bookmarkEnd w:id="123"/>
    </w:p>
    <w:p w14:paraId="74DA9209" w14:textId="30361A8E" w:rsidR="00621D0F" w:rsidRDefault="00621D0F" w:rsidP="009C0DDB">
      <w:pPr>
        <w:rPr>
          <w:rFonts w:ascii="Gill Sans MT" w:hAnsi="Gill Sans MT"/>
          <w:szCs w:val="26"/>
          <w:lang w:eastAsia="en-IE"/>
        </w:rPr>
      </w:pPr>
      <w:r>
        <w:rPr>
          <w:lang w:eastAsia="en-IE"/>
        </w:rPr>
        <w:t>In 2022, 12,704 people reporting a disability were enrolled in further education and training</w:t>
      </w:r>
      <w:r w:rsidR="000C1318">
        <w:rPr>
          <w:lang w:eastAsia="en-IE"/>
        </w:rPr>
        <w:t xml:space="preserve"> (FET)</w:t>
      </w:r>
      <w:r>
        <w:rPr>
          <w:lang w:eastAsia="en-IE"/>
        </w:rPr>
        <w:t xml:space="preserve">, which </w:t>
      </w:r>
      <w:r w:rsidR="00F93540">
        <w:rPr>
          <w:lang w:eastAsia="en-IE"/>
        </w:rPr>
        <w:t>was</w:t>
      </w:r>
      <w:r>
        <w:rPr>
          <w:lang w:eastAsia="en-IE"/>
        </w:rPr>
        <w:t xml:space="preserve"> 6.8% of all people enrolled in FET</w:t>
      </w:r>
      <w:r w:rsidR="00F93540">
        <w:rPr>
          <w:lang w:eastAsia="en-IE"/>
        </w:rPr>
        <w:t xml:space="preserve"> that year</w:t>
      </w:r>
      <w:r w:rsidR="00332BE8">
        <w:rPr>
          <w:lang w:eastAsia="en-IE"/>
        </w:rPr>
        <w:t>.</w:t>
      </w:r>
      <w:r w:rsidR="00DA0C85">
        <w:rPr>
          <w:lang w:eastAsia="en-IE"/>
        </w:rPr>
        <w:t xml:space="preserve"> </w:t>
      </w:r>
      <w:r w:rsidR="00DA0C85">
        <w:rPr>
          <w:lang w:eastAsia="en-IE"/>
        </w:rPr>
        <w:fldChar w:fldCharType="begin"/>
      </w:r>
      <w:r w:rsidR="00C0772E">
        <w:rPr>
          <w:lang w:eastAsia="en-IE"/>
        </w:rPr>
        <w:instrText xml:space="preserve"> ADDIN ZOTERO_ITEM CSL_CITATION {"citationID":"rr0PQbfn","properties":{"formattedCitation":"(30)","plainCitation":"(30)","noteIndex":0},"citationItems":[{"id":154,"uris":["http://zotero.org/users/local/kvLunvBP/items/5ST2BUCH"],"itemData":{"id":154,"type":"report","title":"This is FET: Learners with disabilities 2022","URL":"https://www.solas.ie/f/70398/x/dfa32cd975/disabilities-fet-report.pdf","author":[{"family":"SOLAS","given":""}],"issued":{"date-parts":[["2023"]]}}}],"schema":"https://github.com/citation-style-language/schema/raw/master/csl-citation.json"} </w:instrText>
      </w:r>
      <w:r w:rsidR="00DA0C85">
        <w:rPr>
          <w:lang w:eastAsia="en-IE"/>
        </w:rPr>
        <w:fldChar w:fldCharType="separate"/>
      </w:r>
      <w:r w:rsidR="00C0772E" w:rsidRPr="00C0772E">
        <w:t>(30)</w:t>
      </w:r>
      <w:r w:rsidR="00DA0C85">
        <w:rPr>
          <w:lang w:eastAsia="en-IE"/>
        </w:rPr>
        <w:fldChar w:fldCharType="end"/>
      </w:r>
      <w:r>
        <w:rPr>
          <w:lang w:eastAsia="en-IE"/>
        </w:rPr>
        <w:t xml:space="preserve"> This represents an increase from 2018</w:t>
      </w:r>
      <w:r w:rsidR="00B078B1">
        <w:rPr>
          <w:lang w:eastAsia="en-IE"/>
        </w:rPr>
        <w:t xml:space="preserve"> (</w:t>
      </w:r>
      <w:r w:rsidR="002C0404">
        <w:rPr>
          <w:lang w:eastAsia="en-IE"/>
        </w:rPr>
        <w:t xml:space="preserve">the first year for </w:t>
      </w:r>
      <w:r w:rsidR="00531592">
        <w:rPr>
          <w:lang w:eastAsia="en-IE"/>
        </w:rPr>
        <w:t>which this information</w:t>
      </w:r>
      <w:r w:rsidR="002C0404">
        <w:rPr>
          <w:lang w:eastAsia="en-IE"/>
        </w:rPr>
        <w:t xml:space="preserve"> </w:t>
      </w:r>
      <w:r w:rsidR="00531592">
        <w:rPr>
          <w:lang w:eastAsia="en-IE"/>
        </w:rPr>
        <w:t>is</w:t>
      </w:r>
      <w:r w:rsidR="002C0404">
        <w:rPr>
          <w:lang w:eastAsia="en-IE"/>
        </w:rPr>
        <w:t xml:space="preserve"> available</w:t>
      </w:r>
      <w:r w:rsidR="00B078B1">
        <w:rPr>
          <w:lang w:eastAsia="en-IE"/>
        </w:rPr>
        <w:t>)</w:t>
      </w:r>
      <w:r>
        <w:rPr>
          <w:lang w:eastAsia="en-IE"/>
        </w:rPr>
        <w:t>, when 8,644 people o</w:t>
      </w:r>
      <w:r w:rsidR="000C1318">
        <w:rPr>
          <w:lang w:eastAsia="en-IE"/>
        </w:rPr>
        <w:t>r</w:t>
      </w:r>
      <w:r>
        <w:rPr>
          <w:lang w:eastAsia="en-IE"/>
        </w:rPr>
        <w:t xml:space="preserve"> 5% of the FET population </w:t>
      </w:r>
      <w:r w:rsidR="002116DE">
        <w:rPr>
          <w:lang w:eastAsia="en-IE"/>
        </w:rPr>
        <w:t xml:space="preserve">reported </w:t>
      </w:r>
      <w:r>
        <w:rPr>
          <w:lang w:eastAsia="en-IE"/>
        </w:rPr>
        <w:t>a disability</w:t>
      </w:r>
      <w:r w:rsidR="00332BE8">
        <w:rPr>
          <w:lang w:eastAsia="en-IE"/>
        </w:rPr>
        <w:t>.</w:t>
      </w:r>
      <w:r w:rsidR="00DA0C85">
        <w:rPr>
          <w:lang w:eastAsia="en-IE"/>
        </w:rPr>
        <w:t xml:space="preserve"> </w:t>
      </w:r>
      <w:r w:rsidR="00DA0C85">
        <w:rPr>
          <w:lang w:eastAsia="en-IE"/>
        </w:rPr>
        <w:fldChar w:fldCharType="begin"/>
      </w:r>
      <w:r w:rsidR="00C0772E">
        <w:rPr>
          <w:lang w:eastAsia="en-IE"/>
        </w:rPr>
        <w:instrText xml:space="preserve"> ADDIN ZOTERO_ITEM CSL_CITATION {"citationID":"GLo39rmn","properties":{"formattedCitation":"(31)","plainCitation":"(31)","noteIndex":0},"citationItems":[{"id":167,"uris":["http://zotero.org/users/local/kvLunvBP/items/NTMDD9DR"],"itemData":{"id":167,"type":"report","title":"This is FET. Learners with disabilities 2018.","URL":"https://www.solas.ie/f/70398/x/ae0f704449/learners-with-disabilities-2018.pdf","author":[{"family":"SOLAS","given":""}],"issued":{"date-parts":[["2019"]]}}}],"schema":"https://github.com/citation-style-language/schema/raw/master/csl-citation.json"} </w:instrText>
      </w:r>
      <w:r w:rsidR="00DA0C85">
        <w:rPr>
          <w:lang w:eastAsia="en-IE"/>
        </w:rPr>
        <w:fldChar w:fldCharType="separate"/>
      </w:r>
      <w:r w:rsidR="00C0772E" w:rsidRPr="00C0772E">
        <w:t>(31)</w:t>
      </w:r>
      <w:r w:rsidR="00DA0C85">
        <w:rPr>
          <w:lang w:eastAsia="en-IE"/>
        </w:rPr>
        <w:fldChar w:fldCharType="end"/>
      </w:r>
      <w:r w:rsidR="00332BE8">
        <w:rPr>
          <w:lang w:eastAsia="en-IE"/>
        </w:rPr>
        <w:t xml:space="preserve"> </w:t>
      </w:r>
      <w:r w:rsidRPr="00621D0F">
        <w:rPr>
          <w:rFonts w:ascii="Gill Sans MT" w:hAnsi="Gill Sans MT"/>
          <w:szCs w:val="26"/>
          <w:lang w:eastAsia="en-IE"/>
        </w:rPr>
        <w:t>As these data rely on voluntary disclosure of a disability, i</w:t>
      </w:r>
      <w:r w:rsidR="009C0DDB" w:rsidRPr="00621D0F">
        <w:rPr>
          <w:rFonts w:ascii="Gill Sans MT" w:hAnsi="Gill Sans MT"/>
          <w:szCs w:val="26"/>
          <w:lang w:eastAsia="en-IE"/>
        </w:rPr>
        <w:t xml:space="preserve">t is important to note that </w:t>
      </w:r>
      <w:r w:rsidRPr="00621D0F">
        <w:rPr>
          <w:rFonts w:ascii="Gill Sans MT" w:hAnsi="Gill Sans MT"/>
          <w:szCs w:val="26"/>
          <w:lang w:eastAsia="en-IE"/>
        </w:rPr>
        <w:t>the figures may be underestimates.</w:t>
      </w:r>
      <w:r w:rsidR="009C0DDB" w:rsidRPr="00621D0F">
        <w:rPr>
          <w:rFonts w:ascii="Gill Sans MT" w:hAnsi="Gill Sans MT"/>
          <w:szCs w:val="26"/>
          <w:lang w:eastAsia="en-IE"/>
        </w:rPr>
        <w:t xml:space="preserve"> </w:t>
      </w:r>
    </w:p>
    <w:p w14:paraId="12D71688" w14:textId="77777777" w:rsidR="001E7CD1" w:rsidRDefault="00461837" w:rsidP="009C0DDB">
      <w:pPr>
        <w:rPr>
          <w:rFonts w:ascii="Gill Sans MT" w:hAnsi="Gill Sans MT"/>
          <w:szCs w:val="26"/>
          <w:lang w:eastAsia="en-IE"/>
        </w:rPr>
      </w:pPr>
      <w:r>
        <w:rPr>
          <w:rFonts w:ascii="Gill Sans MT" w:hAnsi="Gill Sans MT"/>
          <w:szCs w:val="26"/>
          <w:lang w:eastAsia="en-IE"/>
        </w:rPr>
        <w:t xml:space="preserve">Among those reporting a disability, </w:t>
      </w:r>
      <w:r w:rsidR="00622886">
        <w:rPr>
          <w:rFonts w:ascii="Gill Sans MT" w:hAnsi="Gill Sans MT"/>
          <w:szCs w:val="26"/>
          <w:lang w:eastAsia="en-IE"/>
        </w:rPr>
        <w:t xml:space="preserve">57.8% were women and 62.5% were over the age of 25. </w:t>
      </w:r>
      <w:r w:rsidR="000B02C9">
        <w:rPr>
          <w:rFonts w:ascii="Gill Sans MT" w:hAnsi="Gill Sans MT"/>
          <w:szCs w:val="26"/>
          <w:lang w:eastAsia="en-IE"/>
        </w:rPr>
        <w:t>The most commonly reported disabilities were difficulty with learning, remembering</w:t>
      </w:r>
      <w:r w:rsidR="00DA0C85">
        <w:rPr>
          <w:rFonts w:ascii="Gill Sans MT" w:hAnsi="Gill Sans MT"/>
          <w:szCs w:val="26"/>
          <w:lang w:eastAsia="en-IE"/>
        </w:rPr>
        <w:t>,</w:t>
      </w:r>
      <w:r w:rsidR="000B02C9">
        <w:rPr>
          <w:rFonts w:ascii="Gill Sans MT" w:hAnsi="Gill Sans MT"/>
          <w:szCs w:val="26"/>
          <w:lang w:eastAsia="en-IE"/>
        </w:rPr>
        <w:t xml:space="preserve"> or concentrating (36.6% of those with a disability in FET</w:t>
      </w:r>
      <w:r w:rsidR="001E7CD1">
        <w:rPr>
          <w:rFonts w:ascii="Gill Sans MT" w:hAnsi="Gill Sans MT"/>
          <w:szCs w:val="26"/>
          <w:lang w:eastAsia="en-IE"/>
        </w:rPr>
        <w:t xml:space="preserve"> in 2022</w:t>
      </w:r>
      <w:r w:rsidR="000B02C9">
        <w:rPr>
          <w:rFonts w:ascii="Gill Sans MT" w:hAnsi="Gill Sans MT"/>
          <w:szCs w:val="26"/>
          <w:lang w:eastAsia="en-IE"/>
        </w:rPr>
        <w:t xml:space="preserve">), intellectual disability (24.3%), and other disability including chronic illness (23.3%; Figure </w:t>
      </w:r>
      <w:r w:rsidR="00E61BA5">
        <w:rPr>
          <w:rFonts w:ascii="Gill Sans MT" w:hAnsi="Gill Sans MT"/>
          <w:szCs w:val="26"/>
          <w:lang w:eastAsia="en-IE"/>
        </w:rPr>
        <w:t>2</w:t>
      </w:r>
      <w:r w:rsidR="000B02C9">
        <w:rPr>
          <w:rFonts w:ascii="Gill Sans MT" w:hAnsi="Gill Sans MT"/>
          <w:szCs w:val="26"/>
          <w:lang w:eastAsia="en-IE"/>
        </w:rPr>
        <w:t xml:space="preserve">). </w:t>
      </w:r>
      <w:r w:rsidR="000B02C9" w:rsidRPr="000B02C9">
        <w:rPr>
          <w:rFonts w:ascii="Gill Sans MT" w:hAnsi="Gill Sans MT"/>
          <w:szCs w:val="26"/>
          <w:lang w:eastAsia="en-IE"/>
        </w:rPr>
        <w:t xml:space="preserve">The least common disability types were blindness/serious vision impairment </w:t>
      </w:r>
      <w:r w:rsidR="0082736B">
        <w:rPr>
          <w:rFonts w:ascii="Gill Sans MT" w:hAnsi="Gill Sans MT"/>
          <w:szCs w:val="26"/>
          <w:lang w:eastAsia="en-IE"/>
        </w:rPr>
        <w:t xml:space="preserve">and </w:t>
      </w:r>
      <w:r w:rsidR="000B02C9" w:rsidRPr="000B02C9">
        <w:rPr>
          <w:rFonts w:ascii="Gill Sans MT" w:hAnsi="Gill Sans MT"/>
          <w:szCs w:val="26"/>
          <w:lang w:eastAsia="en-IE"/>
        </w:rPr>
        <w:t>deafness/serious hearing impairment (</w:t>
      </w:r>
      <w:r w:rsidR="000B02C9">
        <w:rPr>
          <w:rFonts w:ascii="Gill Sans MT" w:hAnsi="Gill Sans MT"/>
          <w:szCs w:val="26"/>
          <w:lang w:eastAsia="en-IE"/>
        </w:rPr>
        <w:t>5.5</w:t>
      </w:r>
      <w:r w:rsidR="000B02C9" w:rsidRPr="000B02C9">
        <w:rPr>
          <w:rFonts w:ascii="Gill Sans MT" w:hAnsi="Gill Sans MT"/>
          <w:szCs w:val="26"/>
          <w:lang w:eastAsia="en-IE"/>
        </w:rPr>
        <w:t>% and 6.</w:t>
      </w:r>
      <w:r w:rsidR="000B02C9">
        <w:rPr>
          <w:rFonts w:ascii="Gill Sans MT" w:hAnsi="Gill Sans MT"/>
          <w:szCs w:val="26"/>
          <w:lang w:eastAsia="en-IE"/>
        </w:rPr>
        <w:t>5</w:t>
      </w:r>
      <w:r w:rsidR="000B02C9" w:rsidRPr="000B02C9">
        <w:rPr>
          <w:rFonts w:ascii="Gill Sans MT" w:hAnsi="Gill Sans MT"/>
          <w:szCs w:val="26"/>
          <w:lang w:eastAsia="en-IE"/>
        </w:rPr>
        <w:t>%, respectively).</w:t>
      </w:r>
      <w:r w:rsidR="00990210">
        <w:rPr>
          <w:rFonts w:ascii="Gill Sans MT" w:hAnsi="Gill Sans MT"/>
          <w:szCs w:val="26"/>
          <w:lang w:eastAsia="en-IE"/>
        </w:rPr>
        <w:t xml:space="preserve"> </w:t>
      </w:r>
    </w:p>
    <w:p w14:paraId="79E3C757" w14:textId="5AEEB65E" w:rsidR="000B02C9" w:rsidRDefault="00990210" w:rsidP="009C0DDB">
      <w:pPr>
        <w:rPr>
          <w:rFonts w:ascii="Gill Sans MT" w:hAnsi="Gill Sans MT"/>
          <w:szCs w:val="26"/>
          <w:lang w:eastAsia="en-IE"/>
        </w:rPr>
      </w:pPr>
      <w:r>
        <w:rPr>
          <w:rFonts w:ascii="Gill Sans MT" w:hAnsi="Gill Sans MT"/>
          <w:szCs w:val="26"/>
          <w:lang w:eastAsia="en-IE"/>
        </w:rPr>
        <w:t xml:space="preserve">The largest changes since 2018 have been an increase in the proportion of the FET population with a difficulty learning, </w:t>
      </w:r>
      <w:r w:rsidR="00E61BA5">
        <w:rPr>
          <w:rFonts w:ascii="Gill Sans MT" w:hAnsi="Gill Sans MT"/>
          <w:szCs w:val="26"/>
          <w:lang w:eastAsia="en-IE"/>
        </w:rPr>
        <w:t>remembering,</w:t>
      </w:r>
      <w:r>
        <w:rPr>
          <w:rFonts w:ascii="Gill Sans MT" w:hAnsi="Gill Sans MT"/>
          <w:szCs w:val="26"/>
          <w:lang w:eastAsia="en-IE"/>
        </w:rPr>
        <w:t xml:space="preserve"> or concentrating (from 32.4% in 2018 to 36.6% in 2022) and a reduction in the proportion identifying in the ‘other’ category, including those with chronic illness (from 29.3% in 2018 to 23.3% in 2022; Figure 2).</w:t>
      </w:r>
    </w:p>
    <w:p w14:paraId="686E583A" w14:textId="213363BC" w:rsidR="007526BC" w:rsidRDefault="007526BC" w:rsidP="007526BC">
      <w:pPr>
        <w:pStyle w:val="Caption"/>
        <w:keepNext/>
        <w:jc w:val="left"/>
      </w:pPr>
      <w:bookmarkStart w:id="124" w:name="_Toc182219902"/>
      <w:r>
        <w:t xml:space="preserve">Figure </w:t>
      </w:r>
      <w:r w:rsidR="0017737A">
        <w:fldChar w:fldCharType="begin"/>
      </w:r>
      <w:r w:rsidR="0017737A">
        <w:instrText xml:space="preserve"> SEQ Figure \* ARABIC </w:instrText>
      </w:r>
      <w:r w:rsidR="0017737A">
        <w:fldChar w:fldCharType="separate"/>
      </w:r>
      <w:r w:rsidR="009C4192">
        <w:rPr>
          <w:noProof/>
        </w:rPr>
        <w:t>6</w:t>
      </w:r>
      <w:r w:rsidR="0017737A">
        <w:fldChar w:fldCharType="end"/>
      </w:r>
      <w:r>
        <w:t xml:space="preserve">: Types of disabilities of those enrolled in FET, </w:t>
      </w:r>
      <w:r w:rsidR="00631967">
        <w:t>2018 and 2022</w:t>
      </w:r>
      <w:bookmarkEnd w:id="124"/>
    </w:p>
    <w:p w14:paraId="2782BD54" w14:textId="688D0A39" w:rsidR="000B02C9" w:rsidRDefault="00631967" w:rsidP="009C0DDB">
      <w:pPr>
        <w:rPr>
          <w:rFonts w:ascii="Gill Sans MT" w:hAnsi="Gill Sans MT"/>
          <w:szCs w:val="26"/>
          <w:highlight w:val="yellow"/>
          <w:lang w:eastAsia="en-IE"/>
        </w:rPr>
      </w:pPr>
      <w:r>
        <w:rPr>
          <w:noProof/>
        </w:rPr>
        <w:drawing>
          <wp:inline distT="0" distB="0" distL="0" distR="0" wp14:anchorId="05CE0919" wp14:editId="2B6EAE70">
            <wp:extent cx="5067300" cy="3154680"/>
            <wp:effectExtent l="0" t="0" r="0" b="7620"/>
            <wp:docPr id="1" name="Chart 1" descr="This bar chart shows the percentage of people enrolled in further education and training (FET) who reported each of a range of disability types in the years 2018 and 2022. &#10;&#10;In 2018, 32.4% of those enrolled in FET reported a difficulty with learning, remembering or concentrating. In 2022, this rose to 36.6%. &#10;&#10;In 2018, 24.7% of people enrolled in FET had an intellectual disability, compared to 24.2% in 2022.&#10;&#10;In 2018, 29.3% reported having another disability, including a chronic illness. In 2022, this dropped to 23.3%.&#10;&#10;In 2018, 19.5% of those enrolled in FET had a psychological or emotional condition. In 2022, the percentage was 21.6%.&#10;&#10;In 2018, 14.1% had a difficulty with basic physical activities. In 2022, 14.7% reported same.&#10;&#10;Similar proportions reported deafness or a serious impairment in 2018 (6.3%) and 2022 (6.5%).&#10;&#10;Finally, in 2018, 4.7% of people enrolled in FET were blind or visually impaired, compared to 5.5% in 2022.">
              <a:extLst xmlns:a="http://schemas.openxmlformats.org/drawingml/2006/main">
                <a:ext uri="{FF2B5EF4-FFF2-40B4-BE49-F238E27FC236}">
                  <a16:creationId xmlns:a16="http://schemas.microsoft.com/office/drawing/2014/main" id="{16406EF8-E967-9DFD-1501-C6F76A94F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0169F2" w14:textId="2DD44526" w:rsidR="00DA0C85" w:rsidRPr="00DA0C85" w:rsidRDefault="00DA0C85" w:rsidP="00AA16B5">
      <w:pPr>
        <w:jc w:val="center"/>
        <w:rPr>
          <w:rFonts w:ascii="Gill Sans MT" w:hAnsi="Gill Sans MT"/>
          <w:szCs w:val="26"/>
          <w:lang w:eastAsia="en-IE"/>
        </w:rPr>
      </w:pPr>
      <w:r w:rsidRPr="00DA0C85">
        <w:rPr>
          <w:rFonts w:ascii="Gill Sans MT" w:hAnsi="Gill Sans MT"/>
          <w:szCs w:val="26"/>
          <w:lang w:eastAsia="en-IE"/>
        </w:rPr>
        <w:t>Source: SOLAS</w:t>
      </w:r>
    </w:p>
    <w:p w14:paraId="38FAABFF" w14:textId="571A5262" w:rsidR="00613950" w:rsidRPr="009C0DDB" w:rsidRDefault="004073CB" w:rsidP="00A17364">
      <w:pPr>
        <w:rPr>
          <w:rFonts w:ascii="Gill Sans MT" w:hAnsi="Gill Sans MT"/>
          <w:szCs w:val="26"/>
          <w:lang w:eastAsia="en-IE"/>
        </w:rPr>
      </w:pPr>
      <w:r w:rsidRPr="004073CB">
        <w:rPr>
          <w:rFonts w:ascii="Gill Sans MT" w:hAnsi="Gill Sans MT"/>
          <w:szCs w:val="26"/>
          <w:lang w:eastAsia="en-IE"/>
        </w:rPr>
        <w:t>These d</w:t>
      </w:r>
      <w:r w:rsidR="009C0DDB" w:rsidRPr="004073CB">
        <w:rPr>
          <w:rFonts w:ascii="Gill Sans MT" w:hAnsi="Gill Sans MT"/>
          <w:szCs w:val="26"/>
          <w:lang w:eastAsia="en-IE"/>
        </w:rPr>
        <w:t>ata do</w:t>
      </w:r>
      <w:r w:rsidRPr="004073CB">
        <w:rPr>
          <w:rFonts w:ascii="Gill Sans MT" w:hAnsi="Gill Sans MT"/>
          <w:szCs w:val="26"/>
          <w:lang w:eastAsia="en-IE"/>
        </w:rPr>
        <w:t xml:space="preserve"> </w:t>
      </w:r>
      <w:r w:rsidR="009C0DDB" w:rsidRPr="004073CB">
        <w:rPr>
          <w:rFonts w:ascii="Gill Sans MT" w:hAnsi="Gill Sans MT"/>
          <w:szCs w:val="26"/>
          <w:lang w:eastAsia="en-IE"/>
        </w:rPr>
        <w:t xml:space="preserve">not include information on apprenticeships. </w:t>
      </w:r>
      <w:r w:rsidR="009C0DDB" w:rsidRPr="00CF1522">
        <w:rPr>
          <w:rFonts w:ascii="Gill Sans MT" w:hAnsi="Gill Sans MT"/>
          <w:szCs w:val="26"/>
          <w:lang w:eastAsia="en-IE"/>
        </w:rPr>
        <w:t xml:space="preserve">A review of pathways into apprenticeships </w:t>
      </w:r>
      <w:r w:rsidR="00CF1522" w:rsidRPr="00CF1522">
        <w:rPr>
          <w:rFonts w:ascii="Gill Sans MT" w:hAnsi="Gill Sans MT"/>
          <w:szCs w:val="26"/>
          <w:lang w:eastAsia="en-IE"/>
        </w:rPr>
        <w:t xml:space="preserve">published by SOLAS in </w:t>
      </w:r>
      <w:r w:rsidR="009C0DDB" w:rsidRPr="00CF1522">
        <w:rPr>
          <w:rFonts w:ascii="Gill Sans MT" w:hAnsi="Gill Sans MT"/>
          <w:szCs w:val="26"/>
          <w:lang w:eastAsia="en-IE"/>
        </w:rPr>
        <w:t xml:space="preserve">2018 </w:t>
      </w:r>
      <w:r w:rsidR="00CF1522" w:rsidRPr="00CF1522">
        <w:rPr>
          <w:rFonts w:ascii="Gill Sans MT" w:hAnsi="Gill Sans MT"/>
          <w:szCs w:val="26"/>
          <w:lang w:eastAsia="en-IE"/>
        </w:rPr>
        <w:t>showed that</w:t>
      </w:r>
      <w:r w:rsidR="009C0DDB" w:rsidRPr="00CF1522">
        <w:rPr>
          <w:rFonts w:ascii="Gill Sans MT" w:hAnsi="Gill Sans MT"/>
          <w:szCs w:val="26"/>
          <w:lang w:eastAsia="en-IE"/>
        </w:rPr>
        <w:t xml:space="preserve"> 2.8% of the Irish apprentice population</w:t>
      </w:r>
      <w:r w:rsidR="00CF1522" w:rsidRPr="00CF1522">
        <w:rPr>
          <w:rFonts w:ascii="Gill Sans MT" w:hAnsi="Gill Sans MT"/>
          <w:szCs w:val="26"/>
          <w:lang w:eastAsia="en-IE"/>
        </w:rPr>
        <w:t xml:space="preserve"> had a disability, meaning that disabled people were significantly underrepresented in the apprenticeship population</w:t>
      </w:r>
      <w:r w:rsidR="00E64258">
        <w:rPr>
          <w:rFonts w:ascii="Gill Sans MT" w:hAnsi="Gill Sans MT"/>
          <w:szCs w:val="26"/>
          <w:lang w:eastAsia="en-IE"/>
        </w:rPr>
        <w:t>.</w:t>
      </w:r>
      <w:r w:rsidR="008332E0">
        <w:rPr>
          <w:rFonts w:ascii="Gill Sans MT" w:hAnsi="Gill Sans MT"/>
          <w:szCs w:val="26"/>
          <w:lang w:eastAsia="en-IE"/>
        </w:rPr>
        <w:t xml:space="preserve"> </w:t>
      </w:r>
      <w:r w:rsidR="008332E0">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{"citationID":"Nv8ZcksX","properties":{"formattedCitation":"(32)","plainCitation":"(32)","noteIndex":0},"citationItems":[{"id":199,"uris":["http://zotero.org/users/local/kvLunvBP/items/RZHLVDCM"],"itemData":{"id":199,"type":"report","title":"Review of pathways to  participation in apprenticeship","URL":"https://www.solas.ie/f/70398/x/fb640012f5/pathwaysapprenticeshipreviewnov18.pdf","author":[{"family":"SOLAS","given":""}],"issued":{"date-parts":[["2018"]]}}}],"schema":"https://github.com/citation-style-language/schema/raw/master/csl-citation.json"} </w:instrText>
      </w:r>
      <w:r w:rsidR="008332E0">
        <w:rPr>
          <w:rFonts w:ascii="Gill Sans MT" w:hAnsi="Gill Sans MT"/>
          <w:szCs w:val="26"/>
          <w:lang w:eastAsia="en-IE"/>
        </w:rPr>
        <w:fldChar w:fldCharType="separate"/>
      </w:r>
      <w:r w:rsidR="00C0772E" w:rsidRPr="00C0772E">
        <w:rPr>
          <w:rFonts w:ascii="Gill Sans MT" w:hAnsi="Gill Sans MT"/>
        </w:rPr>
        <w:t>(32)</w:t>
      </w:r>
      <w:r w:rsidR="008332E0">
        <w:rPr>
          <w:rFonts w:ascii="Gill Sans MT" w:hAnsi="Gill Sans MT"/>
          <w:szCs w:val="26"/>
          <w:lang w:eastAsia="en-IE"/>
        </w:rPr>
        <w:fldChar w:fldCharType="end"/>
      </w:r>
      <w:r w:rsidR="00E64258">
        <w:rPr>
          <w:rFonts w:ascii="Gill Sans MT" w:hAnsi="Gill Sans MT"/>
          <w:szCs w:val="26"/>
          <w:lang w:eastAsia="en-IE"/>
        </w:rPr>
        <w:t xml:space="preserve"> </w:t>
      </w:r>
      <w:r w:rsidR="009C0DDB" w:rsidRPr="00CF1522">
        <w:rPr>
          <w:rFonts w:ascii="Gill Sans MT" w:hAnsi="Gill Sans MT"/>
          <w:szCs w:val="26"/>
        </w:rPr>
        <w:t xml:space="preserve">Apprenticeships </w:t>
      </w:r>
      <w:r w:rsidR="00CF1522" w:rsidRPr="00CF1522">
        <w:rPr>
          <w:rFonts w:ascii="Gill Sans MT" w:hAnsi="Gill Sans MT"/>
          <w:szCs w:val="26"/>
        </w:rPr>
        <w:t>are</w:t>
      </w:r>
      <w:r w:rsidR="009C0DDB" w:rsidRPr="00CF1522">
        <w:rPr>
          <w:rFonts w:ascii="Gill Sans MT" w:hAnsi="Gill Sans MT"/>
          <w:szCs w:val="26"/>
        </w:rPr>
        <w:t xml:space="preserve"> covered in more detail in</w:t>
      </w:r>
      <w:r w:rsidR="00CF1522" w:rsidRPr="00CF1522">
        <w:rPr>
          <w:rFonts w:ascii="Gill Sans MT" w:hAnsi="Gill Sans MT"/>
          <w:szCs w:val="26"/>
        </w:rPr>
        <w:t xml:space="preserve"> the section on</w:t>
      </w:r>
      <w:r w:rsidR="009C0DDB" w:rsidRPr="00CF1522">
        <w:rPr>
          <w:rFonts w:ascii="Gill Sans MT" w:hAnsi="Gill Sans MT"/>
          <w:szCs w:val="26"/>
        </w:rPr>
        <w:t xml:space="preserve"> Indicator </w:t>
      </w:r>
      <w:r w:rsidR="009C0DDB" w:rsidRPr="00AB7F3E">
        <w:rPr>
          <w:rFonts w:ascii="Gill Sans MT" w:hAnsi="Gill Sans MT"/>
          <w:szCs w:val="26"/>
        </w:rPr>
        <w:t>2.2.4</w:t>
      </w:r>
      <w:r w:rsidR="00CF1522" w:rsidRPr="00CF1522">
        <w:rPr>
          <w:rFonts w:ascii="Gill Sans MT" w:hAnsi="Gill Sans MT"/>
          <w:szCs w:val="26"/>
        </w:rPr>
        <w:t xml:space="preserve"> in this report</w:t>
      </w:r>
      <w:r w:rsidR="009C0DDB" w:rsidRPr="00CF1522">
        <w:rPr>
          <w:rFonts w:ascii="Gill Sans MT" w:hAnsi="Gill Sans MT"/>
          <w:szCs w:val="26"/>
        </w:rPr>
        <w:t>.</w:t>
      </w:r>
    </w:p>
    <w:p w14:paraId="3B6B7669" w14:textId="26290C51" w:rsidR="00EC0082" w:rsidRPr="00EC0082" w:rsidRDefault="00EC0082" w:rsidP="00EC0082">
      <w:pPr>
        <w:keepNext/>
        <w:spacing w:after="60"/>
        <w:outlineLvl w:val="1"/>
        <w:rPr>
          <w:rFonts w:ascii="Gill Sans MT" w:hAnsi="Gill Sans MT" w:cs="Arial Bold"/>
          <w:b/>
          <w:bCs/>
          <w:iCs/>
          <w:sz w:val="28"/>
          <w:szCs w:val="28"/>
        </w:rPr>
      </w:pPr>
      <w:bookmarkStart w:id="125" w:name="_Toc182219500"/>
      <w:bookmarkStart w:id="126" w:name="_Toc182220203"/>
      <w:bookmarkStart w:id="127" w:name="_Toc182555551"/>
      <w:bookmarkStart w:id="128" w:name="_Toc182555713"/>
      <w:r w:rsidRPr="00EC0082">
        <w:rPr>
          <w:rFonts w:ascii="Gill Sans MT" w:hAnsi="Gill Sans MT" w:cs="Arial Bold"/>
          <w:b/>
          <w:bCs/>
          <w:iCs/>
          <w:sz w:val="28"/>
          <w:szCs w:val="28"/>
        </w:rPr>
        <w:t>1.4 Improved transition planning for children and young people with disabilities (Process)</w:t>
      </w:r>
      <w:bookmarkEnd w:id="125"/>
      <w:bookmarkEnd w:id="126"/>
      <w:bookmarkEnd w:id="127"/>
      <w:bookmarkEnd w:id="128"/>
      <w:r w:rsidRPr="00EC0082">
        <w:rPr>
          <w:rFonts w:ascii="Gill Sans MT" w:hAnsi="Gill Sans MT" w:cs="Arial Bold"/>
          <w:b/>
          <w:bCs/>
          <w:iCs/>
          <w:sz w:val="28"/>
          <w:szCs w:val="28"/>
        </w:rPr>
        <w:t xml:space="preserve"> </w:t>
      </w:r>
    </w:p>
    <w:p w14:paraId="24AA5B2F" w14:textId="77777777" w:rsidR="00EC0082" w:rsidRPr="00EC0082" w:rsidRDefault="00EC0082" w:rsidP="00EC0082">
      <w:pPr>
        <w:keepNext/>
        <w:spacing w:after="0"/>
        <w:outlineLvl w:val="2"/>
        <w:rPr>
          <w:rFonts w:ascii="Gill Sans MT" w:hAnsi="Gill Sans MT" w:cs="Arial Bold"/>
          <w:b/>
          <w:bCs/>
        </w:rPr>
      </w:pPr>
      <w:bookmarkStart w:id="129" w:name="_Toc182219501"/>
      <w:bookmarkStart w:id="130" w:name="_Toc182220204"/>
      <w:bookmarkStart w:id="131" w:name="_Toc182555552"/>
      <w:r w:rsidRPr="00EC0082">
        <w:rPr>
          <w:rFonts w:ascii="Gill Sans MT" w:hAnsi="Gill Sans MT" w:cs="Arial Bold"/>
          <w:b/>
          <w:bCs/>
        </w:rPr>
        <w:t>1.4.1 Transition supports for young children</w:t>
      </w:r>
      <w:bookmarkEnd w:id="129"/>
      <w:bookmarkEnd w:id="130"/>
      <w:bookmarkEnd w:id="131"/>
    </w:p>
    <w:p w14:paraId="3678E707" w14:textId="7AAC7197" w:rsidR="00EC0082" w:rsidRDefault="00EC0082" w:rsidP="00EC0082">
      <w:pPr>
        <w:rPr>
          <w:rFonts w:ascii="Gill Sans MT" w:hAnsi="Gill Sans MT"/>
        </w:rPr>
      </w:pPr>
      <w:r w:rsidRPr="00EC0082">
        <w:rPr>
          <w:rFonts w:ascii="Gill Sans MT" w:hAnsi="Gill Sans MT"/>
        </w:rPr>
        <w:t xml:space="preserve">A number of </w:t>
      </w:r>
      <w:r w:rsidR="008D32D0" w:rsidRPr="008D32D0">
        <w:rPr>
          <w:rFonts w:ascii="Gill Sans MT" w:hAnsi="Gill Sans MT"/>
        </w:rPr>
        <w:t>resources</w:t>
      </w:r>
      <w:r w:rsidRPr="00EC0082">
        <w:rPr>
          <w:rFonts w:ascii="Gill Sans MT" w:hAnsi="Gill Sans MT"/>
        </w:rPr>
        <w:t xml:space="preserve"> </w:t>
      </w:r>
      <w:r w:rsidR="002116DE">
        <w:rPr>
          <w:rFonts w:ascii="Gill Sans MT" w:hAnsi="Gill Sans MT"/>
        </w:rPr>
        <w:t xml:space="preserve">have </w:t>
      </w:r>
      <w:r w:rsidRPr="00EC0082">
        <w:rPr>
          <w:rFonts w:ascii="Gill Sans MT" w:hAnsi="Gill Sans MT"/>
        </w:rPr>
        <w:t>been developed</w:t>
      </w:r>
      <w:r w:rsidR="00E063E3">
        <w:rPr>
          <w:rFonts w:ascii="Gill Sans MT" w:hAnsi="Gill Sans MT"/>
        </w:rPr>
        <w:t xml:space="preserve"> over the lifetime of the CES</w:t>
      </w:r>
      <w:r w:rsidRPr="00EC0082">
        <w:rPr>
          <w:rFonts w:ascii="Gill Sans MT" w:hAnsi="Gill Sans MT"/>
        </w:rPr>
        <w:t xml:space="preserve"> </w:t>
      </w:r>
      <w:r w:rsidR="00D07246">
        <w:rPr>
          <w:rFonts w:ascii="Gill Sans MT" w:hAnsi="Gill Sans MT"/>
        </w:rPr>
        <w:t xml:space="preserve">to </w:t>
      </w:r>
      <w:r w:rsidRPr="00EC0082">
        <w:rPr>
          <w:rFonts w:ascii="Gill Sans MT" w:hAnsi="Gill Sans MT"/>
        </w:rPr>
        <w:t xml:space="preserve">support smooth </w:t>
      </w:r>
      <w:r w:rsidR="008D32D0" w:rsidRPr="008D32D0">
        <w:rPr>
          <w:rFonts w:ascii="Gill Sans MT" w:hAnsi="Gill Sans MT"/>
        </w:rPr>
        <w:t>educational transitions of young children</w:t>
      </w:r>
      <w:r w:rsidR="00C46847">
        <w:rPr>
          <w:rFonts w:ascii="Gill Sans MT" w:hAnsi="Gill Sans MT"/>
        </w:rPr>
        <w:t xml:space="preserve"> with disabilities</w:t>
      </w:r>
      <w:r w:rsidR="008D32D0" w:rsidRPr="008D32D0">
        <w:rPr>
          <w:rFonts w:ascii="Gill Sans MT" w:hAnsi="Gill Sans MT"/>
        </w:rPr>
        <w:t>.</w:t>
      </w:r>
      <w:r w:rsidRPr="00EC0082">
        <w:rPr>
          <w:rFonts w:ascii="Gill Sans MT" w:hAnsi="Gill Sans MT"/>
        </w:rPr>
        <w:t xml:space="preserve"> </w:t>
      </w:r>
    </w:p>
    <w:p w14:paraId="1BE445F9" w14:textId="1C805167" w:rsidR="00EC0082" w:rsidRDefault="00EC0082" w:rsidP="00EC0082">
      <w:pPr>
        <w:rPr>
          <w:rFonts w:ascii="Gill Sans MT" w:hAnsi="Gill Sans MT"/>
        </w:rPr>
      </w:pPr>
      <w:r w:rsidRPr="00EC0082">
        <w:rPr>
          <w:rFonts w:ascii="Gill Sans MT" w:hAnsi="Gill Sans MT"/>
        </w:rPr>
        <w:t xml:space="preserve">In 2020, </w:t>
      </w:r>
      <w:r w:rsidR="004E1F31">
        <w:rPr>
          <w:rFonts w:ascii="Gill Sans MT" w:hAnsi="Gill Sans MT"/>
        </w:rPr>
        <w:t>speech and language therapists and occupational therapists</w:t>
      </w:r>
      <w:r w:rsidR="00C3790A">
        <w:rPr>
          <w:rFonts w:ascii="Gill Sans MT" w:hAnsi="Gill Sans MT"/>
        </w:rPr>
        <w:t xml:space="preserve"> working with the Demonstration Project on In-School and Early Years Therapy Support</w:t>
      </w:r>
      <w:r w:rsidR="0044450B" w:rsidRPr="00233BC4">
        <w:rPr>
          <w:rStyle w:val="FootnoteReference"/>
        </w:rPr>
        <w:footnoteReference w:id="11"/>
      </w:r>
      <w:r w:rsidR="00C3790A">
        <w:rPr>
          <w:rFonts w:ascii="Gill Sans MT" w:hAnsi="Gill Sans MT"/>
        </w:rPr>
        <w:t xml:space="preserve"> </w:t>
      </w:r>
      <w:r w:rsidR="004E1F31">
        <w:rPr>
          <w:rFonts w:ascii="Gill Sans MT" w:hAnsi="Gill Sans MT"/>
        </w:rPr>
        <w:t xml:space="preserve">developed a </w:t>
      </w:r>
      <w:r>
        <w:rPr>
          <w:rFonts w:ascii="Gill Sans MT" w:hAnsi="Gill Sans MT"/>
        </w:rPr>
        <w:t>resource on preparing children to transition smoothly from ECCE to primary school</w:t>
      </w:r>
      <w:r w:rsidR="00332BE8">
        <w:rPr>
          <w:rFonts w:ascii="Gill Sans MT" w:hAnsi="Gill Sans MT"/>
        </w:rPr>
        <w:t xml:space="preserve">. </w:t>
      </w:r>
      <w:r w:rsidR="009D16D2">
        <w:rPr>
          <w:rFonts w:ascii="Gill Sans MT" w:hAnsi="Gill Sans MT"/>
        </w:rPr>
        <w:fldChar w:fldCharType="begin"/>
      </w:r>
      <w:r w:rsidR="00C0772E">
        <w:rPr>
          <w:rFonts w:ascii="Gill Sans MT" w:hAnsi="Gill Sans MT"/>
        </w:rPr>
        <w:instrText xml:space="preserve"> ADDIN ZOTERO_ITEM CSL_CITATION {"citationID":"rXb86J5p","properties":{"formattedCitation":"(34)","plainCitation":"(34)","noteIndex":0},"citationItems":[{"id":170,"uris":["http://zotero.org/users/local/kvLunvBP/items/R49QGEJY"],"itemData":{"id":170,"type":"report","title":"Preparing Young Children for Primary School. A Resource for Parents, Early Learning and Care Settings and Schools","author":[{"family":"Government of Ireland","given":""}],"issued":{"date-parts":[["2020"]]}}}],"schema":"https://github.com/citation-style-language/schema/raw/master/csl-citation.json"} </w:instrText>
      </w:r>
      <w:r w:rsidR="009D16D2">
        <w:rPr>
          <w:rFonts w:ascii="Gill Sans MT" w:hAnsi="Gill Sans MT"/>
        </w:rPr>
        <w:fldChar w:fldCharType="separate"/>
      </w:r>
      <w:r w:rsidR="00C0772E" w:rsidRPr="00C0772E">
        <w:rPr>
          <w:rFonts w:ascii="Gill Sans MT" w:hAnsi="Gill Sans MT"/>
        </w:rPr>
        <w:t>(34)</w:t>
      </w:r>
      <w:r w:rsidR="009D16D2">
        <w:rPr>
          <w:rFonts w:ascii="Gill Sans MT" w:hAnsi="Gill Sans MT"/>
        </w:rPr>
        <w:fldChar w:fldCharType="end"/>
      </w:r>
      <w:r w:rsidR="00332BE8">
        <w:rPr>
          <w:rFonts w:ascii="Gill Sans MT" w:hAnsi="Gill Sans MT"/>
        </w:rPr>
        <w:t xml:space="preserve"> </w:t>
      </w:r>
      <w:r w:rsidR="00A50809">
        <w:rPr>
          <w:rFonts w:ascii="Gill Sans MT" w:hAnsi="Gill Sans MT"/>
        </w:rPr>
        <w:t xml:space="preserve">The resource was </w:t>
      </w:r>
      <w:r w:rsidR="00A50809" w:rsidRPr="00EC0082">
        <w:rPr>
          <w:rFonts w:ascii="Gill Sans MT" w:hAnsi="Gill Sans MT"/>
        </w:rPr>
        <w:t xml:space="preserve">created </w:t>
      </w:r>
      <w:r w:rsidR="00C3790A">
        <w:rPr>
          <w:rFonts w:ascii="Gill Sans MT" w:hAnsi="Gill Sans MT"/>
        </w:rPr>
        <w:t xml:space="preserve">for use </w:t>
      </w:r>
      <w:r w:rsidR="004E1F31">
        <w:rPr>
          <w:rFonts w:ascii="Gill Sans MT" w:hAnsi="Gill Sans MT"/>
        </w:rPr>
        <w:t>by</w:t>
      </w:r>
      <w:r w:rsidR="00A50809">
        <w:rPr>
          <w:rFonts w:ascii="Gill Sans MT" w:hAnsi="Gill Sans MT"/>
        </w:rPr>
        <w:t xml:space="preserve"> </w:t>
      </w:r>
      <w:r w:rsidRPr="00EC0082">
        <w:rPr>
          <w:rFonts w:ascii="Gill Sans MT" w:hAnsi="Gill Sans MT"/>
        </w:rPr>
        <w:t xml:space="preserve">parents, </w:t>
      </w:r>
      <w:r w:rsidR="00C3790A">
        <w:rPr>
          <w:rFonts w:ascii="Gill Sans MT" w:hAnsi="Gill Sans MT"/>
        </w:rPr>
        <w:t>ELC p</w:t>
      </w:r>
      <w:r w:rsidRPr="00EC0082">
        <w:rPr>
          <w:rFonts w:ascii="Gill Sans MT" w:hAnsi="Gill Sans MT"/>
        </w:rPr>
        <w:t>ractitioners</w:t>
      </w:r>
      <w:r w:rsidR="00C3790A">
        <w:rPr>
          <w:rFonts w:ascii="Gill Sans MT" w:hAnsi="Gill Sans MT"/>
        </w:rPr>
        <w:t>,</w:t>
      </w:r>
      <w:r w:rsidRPr="00EC0082">
        <w:rPr>
          <w:rFonts w:ascii="Gill Sans MT" w:hAnsi="Gill Sans MT"/>
        </w:rPr>
        <w:t xml:space="preserve"> and teachers of</w:t>
      </w:r>
      <w:r w:rsidR="00E063E3">
        <w:rPr>
          <w:rFonts w:ascii="Gill Sans MT" w:hAnsi="Gill Sans MT"/>
        </w:rPr>
        <w:t xml:space="preserve"> </w:t>
      </w:r>
      <w:r w:rsidRPr="00EC0082">
        <w:rPr>
          <w:rFonts w:ascii="Gill Sans MT" w:hAnsi="Gill Sans MT"/>
        </w:rPr>
        <w:t>early primary school</w:t>
      </w:r>
      <w:r w:rsidR="00B127D0">
        <w:rPr>
          <w:rFonts w:ascii="Gill Sans MT" w:hAnsi="Gill Sans MT"/>
        </w:rPr>
        <w:t xml:space="preserve"> classes </w:t>
      </w:r>
      <w:r w:rsidR="00A50809">
        <w:rPr>
          <w:rFonts w:ascii="Gill Sans MT" w:hAnsi="Gill Sans MT"/>
        </w:rPr>
        <w:t>to prepare</w:t>
      </w:r>
      <w:r w:rsidRPr="00EC0082">
        <w:rPr>
          <w:rFonts w:ascii="Gill Sans MT" w:hAnsi="Gill Sans MT"/>
        </w:rPr>
        <w:t xml:space="preserve"> children to transition smoothly from the ECCE years into Junior Infants</w:t>
      </w:r>
      <w:r w:rsidR="001864D8">
        <w:rPr>
          <w:rFonts w:ascii="Gill Sans MT" w:hAnsi="Gill Sans MT"/>
        </w:rPr>
        <w:t xml:space="preserve">. </w:t>
      </w:r>
      <w:r w:rsidR="008340F8">
        <w:rPr>
          <w:rFonts w:ascii="Gill Sans MT" w:hAnsi="Gill Sans MT"/>
        </w:rPr>
        <w:t>In addition to this written resource, a video for parents on the transition to primary school was also published in 2021</w:t>
      </w:r>
      <w:r w:rsidR="009D16D2">
        <w:rPr>
          <w:rFonts w:ascii="Gill Sans MT" w:hAnsi="Gill Sans MT"/>
        </w:rPr>
        <w:t xml:space="preserve"> by the National Council for Special Education</w:t>
      </w:r>
      <w:r w:rsidR="00332BE8">
        <w:rPr>
          <w:rFonts w:ascii="Gill Sans MT" w:hAnsi="Gill Sans MT"/>
        </w:rPr>
        <w:t>.</w:t>
      </w:r>
      <w:r w:rsidR="009D16D2">
        <w:rPr>
          <w:rFonts w:ascii="Gill Sans MT" w:hAnsi="Gill Sans MT"/>
        </w:rPr>
        <w:t xml:space="preserve"> </w:t>
      </w:r>
      <w:r w:rsidR="009D16D2">
        <w:rPr>
          <w:rFonts w:ascii="Gill Sans MT" w:hAnsi="Gill Sans MT"/>
        </w:rPr>
        <w:fldChar w:fldCharType="begin"/>
      </w:r>
      <w:r w:rsidR="00C0772E">
        <w:rPr>
          <w:rFonts w:ascii="Gill Sans MT" w:hAnsi="Gill Sans MT"/>
        </w:rPr>
        <w:instrText xml:space="preserve"> ADDIN ZOTERO_ITEM CSL_CITATION {"citationID":"rl9eIR5y","properties":{"formattedCitation":"(35)","plainCitation":"(35)","noteIndex":0},"citationItems":[{"id":168,"uris":["http://zotero.org/users/local/kvLunvBP/items/C2ZC7J6L"],"itemData":{"id":168,"type":"webpage","title":"Guidelines on Starting School – National Council for Special Education – Working to deliver a better special education service","URL":"https://ncse.ie/guidelines-on-starting-school","accessed":{"date-parts":[["2024",6,26]]}}}],"schema":"https://github.com/citation-style-language/schema/raw/master/csl-citation.json"} </w:instrText>
      </w:r>
      <w:r w:rsidR="009D16D2">
        <w:rPr>
          <w:rFonts w:ascii="Gill Sans MT" w:hAnsi="Gill Sans MT"/>
        </w:rPr>
        <w:fldChar w:fldCharType="separate"/>
      </w:r>
      <w:r w:rsidR="00C0772E" w:rsidRPr="00C0772E">
        <w:rPr>
          <w:rFonts w:ascii="Gill Sans MT" w:hAnsi="Gill Sans MT"/>
        </w:rPr>
        <w:t>(35)</w:t>
      </w:r>
      <w:r w:rsidR="009D16D2">
        <w:rPr>
          <w:rFonts w:ascii="Gill Sans MT" w:hAnsi="Gill Sans MT"/>
        </w:rPr>
        <w:fldChar w:fldCharType="end"/>
      </w:r>
      <w:r w:rsidR="009D16D2">
        <w:rPr>
          <w:rFonts w:ascii="Gill Sans MT" w:hAnsi="Gill Sans MT"/>
        </w:rPr>
        <w:t xml:space="preserve"> </w:t>
      </w:r>
    </w:p>
    <w:p w14:paraId="54F61CE4" w14:textId="2FBEF909" w:rsidR="001864D8" w:rsidRDefault="001864D8" w:rsidP="00EC0082">
      <w:pPr>
        <w:rPr>
          <w:rFonts w:ascii="Gill Sans MT" w:hAnsi="Gill Sans MT"/>
        </w:rPr>
      </w:pPr>
      <w:r>
        <w:rPr>
          <w:rFonts w:ascii="Gill Sans MT" w:hAnsi="Gill Sans MT"/>
        </w:rPr>
        <w:t xml:space="preserve">Further, in 2023, the NCSE published </w:t>
      </w:r>
      <w:r w:rsidR="00333216">
        <w:rPr>
          <w:rFonts w:ascii="Gill Sans MT" w:hAnsi="Gill Sans MT"/>
        </w:rPr>
        <w:t xml:space="preserve">a revision of their 2016 </w:t>
      </w:r>
      <w:r>
        <w:rPr>
          <w:rFonts w:ascii="Gill Sans MT" w:hAnsi="Gill Sans MT"/>
        </w:rPr>
        <w:t xml:space="preserve">guidelines for parents of children with special educational needs starting primary </w:t>
      </w:r>
      <w:r w:rsidR="00B061BF">
        <w:rPr>
          <w:rFonts w:ascii="Gill Sans MT" w:hAnsi="Gill Sans MT"/>
        </w:rPr>
        <w:t>school</w:t>
      </w:r>
      <w:r w:rsidR="00332BE8">
        <w:rPr>
          <w:rFonts w:ascii="Gill Sans MT" w:hAnsi="Gill Sans MT"/>
        </w:rPr>
        <w:t>.</w:t>
      </w:r>
      <w:r w:rsidR="00B061BF">
        <w:rPr>
          <w:rFonts w:ascii="Gill Sans MT" w:hAnsi="Gill Sans MT"/>
        </w:rPr>
        <w:t xml:space="preserve"> </w:t>
      </w:r>
      <w:r w:rsidR="00B061BF">
        <w:rPr>
          <w:rFonts w:ascii="Gill Sans MT" w:hAnsi="Gill Sans MT"/>
        </w:rPr>
        <w:fldChar w:fldCharType="begin"/>
      </w:r>
      <w:r w:rsidR="00C0772E">
        <w:rPr>
          <w:rFonts w:ascii="Gill Sans MT" w:hAnsi="Gill Sans MT"/>
        </w:rPr>
        <w:instrText xml:space="preserve"> ADDIN ZOTERO_ITEM CSL_CITATION {"citationID":"RZVlFP9j","properties":{"formattedCitation":"(36)","plainCitation":"(36)","noteIndex":0},"citationItems":[{"id":171,"uris":["http://zotero.org/users/local/kvLunvBP/items/PVCFRKFK"],"itemData":{"id":171,"type":"report","title":"Starting Primary School. Guidelines for parents and guardians of children with special educational needs.","URL":"https://ncse.ie/wp-content/uploads/2024/03/Starting_Primary_School.pdf","author":[{"family":"National Council for Special Education","given":""}],"issued":{"date-parts":[["2023"]]}}}],"schema":"https://github.com/citation-style-language/schema/raw/master/csl-citation.json"} </w:instrText>
      </w:r>
      <w:r w:rsidR="00B061BF">
        <w:rPr>
          <w:rFonts w:ascii="Gill Sans MT" w:hAnsi="Gill Sans MT"/>
        </w:rPr>
        <w:fldChar w:fldCharType="separate"/>
      </w:r>
      <w:r w:rsidR="00C0772E" w:rsidRPr="00C0772E">
        <w:rPr>
          <w:rFonts w:ascii="Gill Sans MT" w:hAnsi="Gill Sans MT"/>
        </w:rPr>
        <w:t>(36)</w:t>
      </w:r>
      <w:r w:rsidR="00B061BF">
        <w:rPr>
          <w:rFonts w:ascii="Gill Sans MT" w:hAnsi="Gill Sans MT"/>
        </w:rPr>
        <w:fldChar w:fldCharType="end"/>
      </w:r>
      <w:r>
        <w:rPr>
          <w:rFonts w:ascii="Gill Sans MT" w:hAnsi="Gill Sans MT"/>
        </w:rPr>
        <w:t xml:space="preserve"> The pamphlet contains guidance relating to four steps</w:t>
      </w:r>
      <w:r w:rsidR="00F15103">
        <w:rPr>
          <w:rFonts w:ascii="Gill Sans MT" w:hAnsi="Gill Sans MT"/>
        </w:rPr>
        <w:t xml:space="preserve"> on the transition journey</w:t>
      </w:r>
      <w:r>
        <w:rPr>
          <w:rFonts w:ascii="Gill Sans MT" w:hAnsi="Gill Sans MT"/>
        </w:rPr>
        <w:t>: gathering information, enrolling in a school, planning with the school, and preparing for school. The resource also includes a list of useful contacts</w:t>
      </w:r>
      <w:r w:rsidR="00F15103">
        <w:rPr>
          <w:rFonts w:ascii="Gill Sans MT" w:hAnsi="Gill Sans MT"/>
        </w:rPr>
        <w:t xml:space="preserve"> for parents</w:t>
      </w:r>
      <w:r>
        <w:rPr>
          <w:rFonts w:ascii="Gill Sans MT" w:hAnsi="Gill Sans MT"/>
        </w:rPr>
        <w:t xml:space="preserve">. </w:t>
      </w:r>
    </w:p>
    <w:p w14:paraId="5743BFEC" w14:textId="7BD334A2" w:rsidR="00EC0082" w:rsidRPr="00037D6B" w:rsidRDefault="00EC0082" w:rsidP="00EC0082">
      <w:pPr>
        <w:keepNext/>
        <w:spacing w:after="0"/>
        <w:outlineLvl w:val="2"/>
        <w:rPr>
          <w:rFonts w:ascii="Gill Sans MT" w:hAnsi="Gill Sans MT" w:cs="Arial Bold"/>
          <w:b/>
          <w:bCs/>
        </w:rPr>
      </w:pPr>
      <w:bookmarkStart w:id="132" w:name="_Toc182219502"/>
      <w:bookmarkStart w:id="133" w:name="_Toc182220205"/>
      <w:bookmarkStart w:id="134" w:name="_Toc182555553"/>
      <w:r w:rsidRPr="00037D6B">
        <w:rPr>
          <w:rFonts w:ascii="Gill Sans MT" w:hAnsi="Gill Sans MT" w:cs="Arial Bold"/>
          <w:b/>
          <w:bCs/>
        </w:rPr>
        <w:t>1.4.2 Transition</w:t>
      </w:r>
      <w:r w:rsidR="00AB308B">
        <w:rPr>
          <w:rFonts w:ascii="Gill Sans MT" w:hAnsi="Gill Sans MT" w:cs="Arial Bold"/>
          <w:b/>
          <w:bCs/>
        </w:rPr>
        <w:t xml:space="preserve"> supports</w:t>
      </w:r>
      <w:r w:rsidRPr="00037D6B">
        <w:rPr>
          <w:rFonts w:ascii="Gill Sans MT" w:hAnsi="Gill Sans MT" w:cs="Arial Bold"/>
          <w:b/>
          <w:bCs/>
        </w:rPr>
        <w:t xml:space="preserve"> from primary to </w:t>
      </w:r>
      <w:r w:rsidR="00037D6B" w:rsidRPr="00037D6B">
        <w:rPr>
          <w:rFonts w:ascii="Gill Sans MT" w:hAnsi="Gill Sans MT" w:cs="Arial Bold"/>
          <w:b/>
          <w:bCs/>
        </w:rPr>
        <w:t>post-primary</w:t>
      </w:r>
      <w:r w:rsidRPr="00037D6B">
        <w:rPr>
          <w:rFonts w:ascii="Gill Sans MT" w:hAnsi="Gill Sans MT" w:cs="Arial Bold"/>
          <w:b/>
          <w:bCs/>
        </w:rPr>
        <w:t xml:space="preserve"> school</w:t>
      </w:r>
      <w:bookmarkEnd w:id="132"/>
      <w:bookmarkEnd w:id="133"/>
      <w:bookmarkEnd w:id="134"/>
    </w:p>
    <w:p w14:paraId="68840C35" w14:textId="657E6DF4" w:rsidR="00037D6B" w:rsidRDefault="00037D6B" w:rsidP="00EC0082">
      <w:pPr>
        <w:rPr>
          <w:rFonts w:ascii="Gill Sans MT" w:hAnsi="Gill Sans MT"/>
        </w:rPr>
      </w:pPr>
      <w:r w:rsidRPr="00037D6B">
        <w:rPr>
          <w:rFonts w:ascii="Gill Sans MT" w:hAnsi="Gill Sans MT"/>
        </w:rPr>
        <w:t>Several</w:t>
      </w:r>
      <w:r w:rsidR="00EC0082" w:rsidRPr="00037D6B">
        <w:rPr>
          <w:rFonts w:ascii="Gill Sans MT" w:hAnsi="Gill Sans MT"/>
        </w:rPr>
        <w:t xml:space="preserve"> resources have been developed or revised over the lifetime of the CES to improve the transition from primary to post-primary schools for children with special educational needs</w:t>
      </w:r>
      <w:r w:rsidR="0072706D">
        <w:rPr>
          <w:rFonts w:ascii="Gill Sans MT" w:hAnsi="Gill Sans MT"/>
        </w:rPr>
        <w:t>.</w:t>
      </w:r>
    </w:p>
    <w:p w14:paraId="59F5AA17" w14:textId="15BA9A44" w:rsidR="00037D6B" w:rsidRDefault="00EC0082" w:rsidP="00EC0082">
      <w:pPr>
        <w:rPr>
          <w:rFonts w:ascii="Gill Sans MT" w:hAnsi="Gill Sans MT"/>
        </w:rPr>
      </w:pPr>
      <w:r w:rsidRPr="00037D6B">
        <w:rPr>
          <w:rFonts w:ascii="Gill Sans MT" w:hAnsi="Gill Sans MT"/>
        </w:rPr>
        <w:t>In 2015, the National Educational Psychological Services (NEPS)</w:t>
      </w:r>
      <w:r w:rsidRPr="00233BC4">
        <w:rPr>
          <w:rStyle w:val="FootnoteReference"/>
        </w:rPr>
        <w:footnoteReference w:id="12"/>
      </w:r>
      <w:r w:rsidRPr="00037D6B">
        <w:rPr>
          <w:rFonts w:ascii="Gill Sans MT" w:hAnsi="Gill Sans MT"/>
        </w:rPr>
        <w:t xml:space="preserve"> revised a number of their existing </w:t>
      </w:r>
      <w:r w:rsidR="0072706D">
        <w:rPr>
          <w:rFonts w:ascii="Gill Sans MT" w:hAnsi="Gill Sans MT"/>
        </w:rPr>
        <w:t xml:space="preserve">guidance </w:t>
      </w:r>
      <w:r w:rsidRPr="00037D6B">
        <w:rPr>
          <w:rFonts w:ascii="Gill Sans MT" w:hAnsi="Gill Sans MT"/>
        </w:rPr>
        <w:t xml:space="preserve">materials on </w:t>
      </w:r>
      <w:r w:rsidR="00037D6B">
        <w:rPr>
          <w:rFonts w:ascii="Gill Sans MT" w:hAnsi="Gill Sans MT"/>
        </w:rPr>
        <w:t>transfer from primary to post-primary</w:t>
      </w:r>
      <w:r w:rsidR="0072706D">
        <w:rPr>
          <w:rFonts w:ascii="Gill Sans MT" w:hAnsi="Gill Sans MT"/>
        </w:rPr>
        <w:t xml:space="preserve"> school</w:t>
      </w:r>
      <w:r w:rsidRPr="00037D6B">
        <w:rPr>
          <w:rFonts w:ascii="Gill Sans MT" w:hAnsi="Gill Sans MT"/>
        </w:rPr>
        <w:t xml:space="preserve">, </w:t>
      </w:r>
      <w:r w:rsidR="0072706D">
        <w:rPr>
          <w:rFonts w:ascii="Gill Sans MT" w:hAnsi="Gill Sans MT"/>
        </w:rPr>
        <w:t xml:space="preserve">which </w:t>
      </w:r>
      <w:r w:rsidRPr="00037D6B">
        <w:rPr>
          <w:rFonts w:ascii="Gill Sans MT" w:hAnsi="Gill Sans MT"/>
        </w:rPr>
        <w:t>includ</w:t>
      </w:r>
      <w:r w:rsidR="0072706D">
        <w:rPr>
          <w:rFonts w:ascii="Gill Sans MT" w:hAnsi="Gill Sans MT"/>
        </w:rPr>
        <w:t xml:space="preserve">e </w:t>
      </w:r>
      <w:r w:rsidRPr="00037D6B">
        <w:rPr>
          <w:rFonts w:ascii="Gill Sans MT" w:hAnsi="Gill Sans MT"/>
        </w:rPr>
        <w:t>a good practice guide to support students with autistic spectrum disorders who are transitioning from primary to post-primary school</w:t>
      </w:r>
      <w:r w:rsidR="0072706D">
        <w:rPr>
          <w:rFonts w:ascii="Gill Sans MT" w:hAnsi="Gill Sans MT"/>
        </w:rPr>
        <w:t xml:space="preserve"> developed in collaboration with the HSE</w:t>
      </w:r>
      <w:r w:rsidR="00332BE8">
        <w:rPr>
          <w:rFonts w:ascii="Gill Sans MT" w:hAnsi="Gill Sans MT"/>
        </w:rPr>
        <w:t>.</w:t>
      </w:r>
      <w:r w:rsidR="0072706D">
        <w:rPr>
          <w:rFonts w:ascii="Gill Sans MT" w:hAnsi="Gill Sans MT"/>
        </w:rPr>
        <w:t xml:space="preserve"> </w:t>
      </w:r>
      <w:r w:rsidR="0072706D">
        <w:rPr>
          <w:rFonts w:ascii="Gill Sans MT" w:hAnsi="Gill Sans MT"/>
        </w:rPr>
        <w:fldChar w:fldCharType="begin"/>
      </w:r>
      <w:r w:rsidR="00C0772E">
        <w:rPr>
          <w:rFonts w:ascii="Gill Sans MT" w:hAnsi="Gill Sans MT"/>
        </w:rPr>
        <w:instrText xml:space="preserve"> ADDIN ZOTERO_ITEM CSL_CITATION {"citationID":"eN0rU8mQ","properties":{"formattedCitation":"(37)","plainCitation":"(37)","noteIndex":0},"citationItems":[{"id":172,"uris":["http://zotero.org/users/local/kvLunvBP/items/YXKCFKGW"],"itemData":{"id":172,"type":"report","title":"Supporting Children with Autism  Spectrum Disorder (ASD)/Social  Communication Difficulties Transition from Primary to Post Primary School. An information and support pack  for parents and teachers","author":[{"family":"National Educational Psyschology Service","given":""},{"family":"Health Services Executive","given":""}],"issued":{"date-parts":[["2015"]]}}}],"schema":"https://github.com/citation-style-language/schema/raw/master/csl-citation.json"} </w:instrText>
      </w:r>
      <w:r w:rsidR="0072706D">
        <w:rPr>
          <w:rFonts w:ascii="Gill Sans MT" w:hAnsi="Gill Sans MT"/>
        </w:rPr>
        <w:fldChar w:fldCharType="separate"/>
      </w:r>
      <w:r w:rsidR="00C0772E" w:rsidRPr="00C0772E">
        <w:rPr>
          <w:rFonts w:ascii="Gill Sans MT" w:hAnsi="Gill Sans MT"/>
        </w:rPr>
        <w:t>(37)</w:t>
      </w:r>
      <w:r w:rsidR="0072706D">
        <w:rPr>
          <w:rFonts w:ascii="Gill Sans MT" w:hAnsi="Gill Sans MT"/>
        </w:rPr>
        <w:fldChar w:fldCharType="end"/>
      </w:r>
      <w:r w:rsidRPr="00037D6B">
        <w:rPr>
          <w:rFonts w:ascii="Gill Sans MT" w:hAnsi="Gill Sans MT"/>
        </w:rPr>
        <w:t xml:space="preserve"> </w:t>
      </w:r>
    </w:p>
    <w:p w14:paraId="5D26AC68" w14:textId="6B26E8BF" w:rsidR="00EC0082" w:rsidRDefault="00EC0082" w:rsidP="00EC0082">
      <w:pPr>
        <w:rPr>
          <w:rFonts w:ascii="Gill Sans MT" w:hAnsi="Gill Sans MT"/>
        </w:rPr>
      </w:pPr>
      <w:r w:rsidRPr="00333216">
        <w:rPr>
          <w:rFonts w:ascii="Gill Sans MT" w:hAnsi="Gill Sans MT"/>
        </w:rPr>
        <w:t xml:space="preserve">In 2016, the National Council for Special Education (NCSE) </w:t>
      </w:r>
      <w:r w:rsidR="00D8268B">
        <w:rPr>
          <w:rFonts w:ascii="Gill Sans MT" w:hAnsi="Gill Sans MT"/>
        </w:rPr>
        <w:t>published</w:t>
      </w:r>
      <w:r w:rsidRPr="00333216">
        <w:rPr>
          <w:rFonts w:ascii="Gill Sans MT" w:hAnsi="Gill Sans MT"/>
        </w:rPr>
        <w:t xml:space="preserve"> resources to support planning for effective transitions. These include</w:t>
      </w:r>
      <w:r w:rsidR="00333216" w:rsidRPr="00333216">
        <w:rPr>
          <w:rFonts w:ascii="Gill Sans MT" w:hAnsi="Gill Sans MT"/>
        </w:rPr>
        <w:t>d</w:t>
      </w:r>
      <w:r w:rsidRPr="00333216">
        <w:rPr>
          <w:rFonts w:ascii="Gill Sans MT" w:hAnsi="Gill Sans MT"/>
        </w:rPr>
        <w:t xml:space="preserve"> guidelines for parents and guardians of students with special educational needs</w:t>
      </w:r>
      <w:r w:rsidR="00213989">
        <w:rPr>
          <w:rFonts w:ascii="Gill Sans MT" w:hAnsi="Gill Sans MT"/>
        </w:rPr>
        <w:t xml:space="preserve"> transferring from primary to post-primary. A revised version of this guidance was then published</w:t>
      </w:r>
      <w:r w:rsidR="00F20AB3">
        <w:rPr>
          <w:rFonts w:ascii="Gill Sans MT" w:hAnsi="Gill Sans MT"/>
        </w:rPr>
        <w:t xml:space="preserve"> in</w:t>
      </w:r>
      <w:r w:rsidR="00213989">
        <w:rPr>
          <w:rFonts w:ascii="Gill Sans MT" w:hAnsi="Gill Sans MT"/>
        </w:rPr>
        <w:t xml:space="preserve"> </w:t>
      </w:r>
      <w:r w:rsidR="00333216">
        <w:rPr>
          <w:rFonts w:ascii="Gill Sans MT" w:hAnsi="Gill Sans MT"/>
        </w:rPr>
        <w:t>2023</w:t>
      </w:r>
      <w:r w:rsidR="00332BE8">
        <w:rPr>
          <w:rFonts w:ascii="Gill Sans MT" w:hAnsi="Gill Sans MT"/>
        </w:rPr>
        <w:t>.</w:t>
      </w:r>
      <w:r w:rsidR="00D8268B">
        <w:rPr>
          <w:rFonts w:ascii="Gill Sans MT" w:hAnsi="Gill Sans MT"/>
        </w:rPr>
        <w:t xml:space="preserve"> </w:t>
      </w:r>
      <w:r w:rsidR="00D8268B">
        <w:rPr>
          <w:rFonts w:ascii="Gill Sans MT" w:hAnsi="Gill Sans MT"/>
        </w:rPr>
        <w:fldChar w:fldCharType="begin"/>
      </w:r>
      <w:r w:rsidR="00C0772E">
        <w:rPr>
          <w:rFonts w:ascii="Gill Sans MT" w:hAnsi="Gill Sans MT"/>
        </w:rPr>
        <w:instrText xml:space="preserve"> ADDIN ZOTERO_ITEM CSL_CITATION {"citationID":"v0jZlLcp","properties":{"formattedCitation":"(38)","plainCitation":"(38)","noteIndex":0},"citationItems":[{"id":173,"uris":["http://zotero.org/users/local/kvLunvBP/items/4HZI935P"],"itemData":{"id":173,"type":"report","title":"Moving from Primary to  Post-Primary School. Guidelines for parents and guardians of students  with special educational needs","author":[{"family":"National Council for Special Education","given":""}],"issued":{"date-parts":[["2023"]]}}}],"schema":"https://github.com/citation-style-language/schema/raw/master/csl-citation.json"} </w:instrText>
      </w:r>
      <w:r w:rsidR="00D8268B">
        <w:rPr>
          <w:rFonts w:ascii="Gill Sans MT" w:hAnsi="Gill Sans MT"/>
        </w:rPr>
        <w:fldChar w:fldCharType="separate"/>
      </w:r>
      <w:r w:rsidR="00C0772E" w:rsidRPr="00C0772E">
        <w:rPr>
          <w:rFonts w:ascii="Gill Sans MT" w:hAnsi="Gill Sans MT"/>
        </w:rPr>
        <w:t>(38)</w:t>
      </w:r>
      <w:r w:rsidR="00D8268B">
        <w:rPr>
          <w:rFonts w:ascii="Gill Sans MT" w:hAnsi="Gill Sans MT"/>
        </w:rPr>
        <w:fldChar w:fldCharType="end"/>
      </w:r>
      <w:r w:rsidRPr="00333216">
        <w:rPr>
          <w:rFonts w:ascii="Gill Sans MT" w:hAnsi="Gill Sans MT"/>
        </w:rPr>
        <w:t xml:space="preserve"> </w:t>
      </w:r>
      <w:r w:rsidR="00BA29E3">
        <w:rPr>
          <w:rFonts w:ascii="Gill Sans MT" w:hAnsi="Gill Sans MT"/>
        </w:rPr>
        <w:t>In addition to the written guidance, information videos for parents are also available on the NCSE website.</w:t>
      </w:r>
      <w:r w:rsidR="008C4769" w:rsidRPr="00233BC4">
        <w:rPr>
          <w:rStyle w:val="FootnoteReference"/>
        </w:rPr>
        <w:footnoteReference w:id="13"/>
      </w:r>
    </w:p>
    <w:p w14:paraId="3C5303E9" w14:textId="25B8613F" w:rsidR="00C706B2" w:rsidRPr="00AA143C" w:rsidRDefault="00AB308B" w:rsidP="00EC0082">
      <w:pPr>
        <w:rPr>
          <w:rFonts w:ascii="Gill Sans MT" w:hAnsi="Gill Sans MT"/>
        </w:rPr>
      </w:pPr>
      <w:r>
        <w:rPr>
          <w:rFonts w:ascii="Gill Sans MT" w:hAnsi="Gill Sans MT"/>
        </w:rPr>
        <w:t>In 2016, the NCSE also published guidance for parents on supporting transitions between mainstream and special school settings</w:t>
      </w:r>
      <w:r w:rsidR="00332BE8">
        <w:rPr>
          <w:rFonts w:ascii="Gill Sans MT" w:hAnsi="Gill Sans MT"/>
        </w:rPr>
        <w:t>.</w:t>
      </w:r>
      <w:r>
        <w:rPr>
          <w:rFonts w:ascii="Gill Sans MT" w:hAnsi="Gill Sans MT"/>
        </w:rPr>
        <w:t xml:space="preserve"> </w:t>
      </w:r>
      <w:r>
        <w:rPr>
          <w:rFonts w:ascii="Gill Sans MT" w:hAnsi="Gill Sans MT"/>
        </w:rPr>
        <w:fldChar w:fldCharType="begin"/>
      </w:r>
      <w:r w:rsidR="00C0772E">
        <w:rPr>
          <w:rFonts w:ascii="Gill Sans MT" w:hAnsi="Gill Sans MT"/>
        </w:rPr>
        <w:instrText xml:space="preserve"> ADDIN ZOTERO_ITEM CSL_CITATION {"citationID":"XcnDJcmg","properties":{"formattedCitation":"(39)","plainCitation":"(39)","noteIndex":0},"citationItems":[{"id":174,"uris":["http://zotero.org/users/local/kvLunvBP/items/4T36SRWP"],"itemData":{"id":174,"type":"report","title":"Changing Schools. Moving between special and mainstream settings. Guidelines for Parents/Guardians of Students  with Special Educational Need.","URL":"https://ncse.ie/wp-content/uploads/2016/01/2-NCSE-2016-Changing-Schools-2-final-web-27.01.16.pdf","author":[{"family":"National Council for Special Education","given":""}],"issued":{"date-parts":[["2016"]]}}}],"schema":"https://github.com/citation-style-language/schema/raw/master/csl-citation.json"} </w:instrText>
      </w:r>
      <w:r>
        <w:rPr>
          <w:rFonts w:ascii="Gill Sans MT" w:hAnsi="Gill Sans MT"/>
        </w:rPr>
        <w:fldChar w:fldCharType="separate"/>
      </w:r>
      <w:r w:rsidR="00C0772E" w:rsidRPr="00C0772E">
        <w:rPr>
          <w:rFonts w:ascii="Gill Sans MT" w:hAnsi="Gill Sans MT"/>
        </w:rPr>
        <w:t>(39)</w:t>
      </w:r>
      <w:r>
        <w:rPr>
          <w:rFonts w:ascii="Gill Sans MT" w:hAnsi="Gill Sans MT"/>
        </w:rPr>
        <w:fldChar w:fldCharType="end"/>
      </w:r>
      <w:r w:rsidR="00332BE8">
        <w:rPr>
          <w:rFonts w:ascii="Gill Sans MT" w:hAnsi="Gill Sans MT"/>
        </w:rPr>
        <w:t xml:space="preserve"> </w:t>
      </w:r>
      <w:r>
        <w:rPr>
          <w:rFonts w:ascii="Gill Sans MT" w:hAnsi="Gill Sans MT"/>
        </w:rPr>
        <w:t>The guidelines relate to making the decision to transfer, enrolment procedures, planning for the transition, and preparing for change. The resource also contains a list of useful contacts. Unlike the guidelines for transition to primary and post-primary, the guidance document on moving between mainstream and special schools has not been revised since 2016.</w:t>
      </w:r>
    </w:p>
    <w:p w14:paraId="2FB0EC4C" w14:textId="77777777" w:rsidR="00EC0082" w:rsidRPr="009A3FF0" w:rsidRDefault="00EC0082" w:rsidP="00EC0082">
      <w:pPr>
        <w:keepNext/>
        <w:spacing w:after="0"/>
        <w:outlineLvl w:val="2"/>
        <w:rPr>
          <w:rFonts w:ascii="Gill Sans MT" w:hAnsi="Gill Sans MT" w:cs="Arial Bold"/>
          <w:b/>
          <w:bCs/>
        </w:rPr>
      </w:pPr>
      <w:bookmarkStart w:id="135" w:name="_Toc182219503"/>
      <w:bookmarkStart w:id="136" w:name="_Toc182220206"/>
      <w:bookmarkStart w:id="137" w:name="_Toc182555554"/>
      <w:r w:rsidRPr="009A3FF0">
        <w:rPr>
          <w:rFonts w:ascii="Gill Sans MT" w:hAnsi="Gill Sans MT" w:cs="Arial Bold"/>
          <w:b/>
          <w:bCs/>
        </w:rPr>
        <w:t>1.4.3 Expansion of guidance counselling to special schools and special classes within mainstream schools</w:t>
      </w:r>
      <w:bookmarkEnd w:id="135"/>
      <w:bookmarkEnd w:id="136"/>
      <w:bookmarkEnd w:id="137"/>
    </w:p>
    <w:p w14:paraId="2FC8793A" w14:textId="4856F346" w:rsidR="00D94D02" w:rsidRDefault="006F5561" w:rsidP="00D94D02">
      <w:r w:rsidRPr="009A3FF0">
        <w:rPr>
          <w:rFonts w:ascii="Gill Sans MT" w:hAnsi="Gill Sans MT"/>
          <w:color w:val="000000"/>
          <w:szCs w:val="26"/>
          <w:lang w:eastAsia="en-IE"/>
        </w:rPr>
        <w:t xml:space="preserve">Career guidance can help young people transition successfully from school to their chosen post-school paths. </w:t>
      </w:r>
      <w:r w:rsidR="00D94D02" w:rsidRPr="009A3FF0">
        <w:t>Research has shown that a focus on employment and career planning needs to start as early as age 13 or the first year of post-primary school to be most effective.</w:t>
      </w:r>
      <w:r w:rsidR="009A3FF0" w:rsidRPr="009A3FF0">
        <w:t xml:space="preserve"> </w:t>
      </w:r>
      <w:r w:rsidR="009A3FF0" w:rsidRPr="009A3FF0">
        <w:fldChar w:fldCharType="begin"/>
      </w:r>
      <w:r w:rsidR="00C0772E">
        <w:instrText xml:space="preserve"> ADDIN ZOTERO_ITEM CSL_CITATION {"citationID":"3xt6EmSq","properties":{"formattedCitation":"(40)","plainCitation":"(40)","noteIndex":0},"citationItems":[{"id":179,"uris":["http://zotero.org/users/local/kvLunvBP/items/7P45DHEC"],"itemData":{"id":179,"type":"report","title":"Pathways to Getting a Life: transition planning for full lives","URL":"https://www.ndti.org.uk/assets/files/Pathways-o-GAL.pdf","author":[{"family":"UK Department of Health","given":""}],"issued":{"date-parts":[["2011"]]}}}],"schema":"https://github.com/citation-style-language/schema/raw/master/csl-citation.json"} </w:instrText>
      </w:r>
      <w:r w:rsidR="009A3FF0" w:rsidRPr="009A3FF0">
        <w:fldChar w:fldCharType="separate"/>
      </w:r>
      <w:r w:rsidR="00C0772E" w:rsidRPr="00C0772E">
        <w:t>(40)</w:t>
      </w:r>
      <w:r w:rsidR="009A3FF0" w:rsidRPr="009A3FF0">
        <w:fldChar w:fldCharType="end"/>
      </w:r>
      <w:r w:rsidR="00D94D02" w:rsidRPr="009A3FF0">
        <w:t xml:space="preserve"> Additionally, research has shown involvement in work experience during school years, and in particular, paid work, provides young disabled people with a significantly higher employment rate over the longer term.</w:t>
      </w:r>
      <w:r w:rsidR="009A3FF0">
        <w:t xml:space="preserve"> </w:t>
      </w:r>
      <w:r w:rsidR="009A3FF0">
        <w:fldChar w:fldCharType="begin"/>
      </w:r>
      <w:r w:rsidR="00C0772E">
        <w:instrText xml:space="preserve"> ADDIN ZOTERO_ITEM CSL_CITATION {"citationID":"dfr2rcVA","properties":{"formattedCitation":"(41)","plainCitation":"(41)","noteIndex":0},"citationItems":[{"id":326,"uris":["http://zotero.org/users/local/kvLunvBP/items/A35F8LIW"],"itemData":{"id":326,"type":"webpage","title":"Competitive Employment: Has It Become the “First Choice” Yet? - Paul Wehman, W. Grant Revell, Valerie Brooke, 2003","URL":"https://journals.sagepub.com/doi/10.1177/10442073030140030601","accessed":{"date-parts":[["2024",11,6]]}}}],"schema":"https://github.com/citation-style-language/schema/raw/master/csl-citation.json"} </w:instrText>
      </w:r>
      <w:r w:rsidR="009A3FF0">
        <w:fldChar w:fldCharType="separate"/>
      </w:r>
      <w:r w:rsidR="00C0772E" w:rsidRPr="00C0772E">
        <w:t>(41)</w:t>
      </w:r>
      <w:r w:rsidR="009A3FF0">
        <w:fldChar w:fldCharType="end"/>
      </w:r>
    </w:p>
    <w:p w14:paraId="59676647" w14:textId="68D3E10F" w:rsidR="00D94D02" w:rsidRDefault="00B574EA" w:rsidP="00D94D02">
      <w:pPr>
        <w:rPr>
          <w:rFonts w:ascii="Gill Sans MT" w:hAnsi="Gill Sans MT"/>
          <w:color w:val="000000"/>
          <w:szCs w:val="26"/>
          <w:lang w:eastAsia="en-IE"/>
        </w:rPr>
      </w:pPr>
      <w:r>
        <w:rPr>
          <w:rFonts w:ascii="Gill Sans MT" w:hAnsi="Gill Sans MT"/>
          <w:color w:val="000000"/>
          <w:szCs w:val="26"/>
          <w:lang w:eastAsia="en-IE"/>
        </w:rPr>
        <w:t xml:space="preserve">Actions to support career guidance were described in the original </w:t>
      </w:r>
      <w:r w:rsidR="00E063E3">
        <w:rPr>
          <w:rFonts w:ascii="Gill Sans MT" w:hAnsi="Gill Sans MT"/>
          <w:color w:val="000000"/>
          <w:szCs w:val="26"/>
          <w:lang w:eastAsia="en-IE"/>
        </w:rPr>
        <w:t>strategy,</w:t>
      </w:r>
      <w:r>
        <w:rPr>
          <w:rFonts w:ascii="Gill Sans MT" w:hAnsi="Gill Sans MT"/>
          <w:color w:val="000000"/>
          <w:szCs w:val="26"/>
          <w:lang w:eastAsia="en-IE"/>
        </w:rPr>
        <w:t xml:space="preserve"> and i</w:t>
      </w:r>
      <w:r w:rsidR="00DD2D40">
        <w:rPr>
          <w:rFonts w:ascii="Gill Sans MT" w:hAnsi="Gill Sans MT"/>
          <w:color w:val="000000"/>
          <w:szCs w:val="26"/>
          <w:lang w:eastAsia="en-IE"/>
        </w:rPr>
        <w:t>n 2018, the Department of Education commissioned an independent review of career guidance provision in Irish education.</w:t>
      </w:r>
      <w:r w:rsidR="006D0D5A" w:rsidRPr="006D0D5A">
        <w:rPr>
          <w:rFonts w:ascii="Gill Sans MT" w:hAnsi="Gill Sans MT"/>
          <w:color w:val="000000"/>
          <w:szCs w:val="26"/>
          <w:lang w:eastAsia="en-IE"/>
        </w:rPr>
        <w:t xml:space="preserve"> </w:t>
      </w:r>
      <w:r w:rsidR="006D0D5A">
        <w:rPr>
          <w:rFonts w:ascii="Gill Sans MT" w:hAnsi="Gill Sans MT"/>
          <w:color w:val="000000"/>
          <w:szCs w:val="26"/>
          <w:lang w:eastAsia="en-IE"/>
        </w:rPr>
        <w:fldChar w:fldCharType="begin"/>
      </w:r>
      <w:r w:rsidR="00C0772E">
        <w:rPr>
          <w:rFonts w:ascii="Gill Sans MT" w:hAnsi="Gill Sans MT"/>
          <w:color w:val="000000"/>
          <w:szCs w:val="26"/>
          <w:lang w:eastAsia="en-IE"/>
        </w:rPr>
        <w:instrText xml:space="preserve"> ADDIN ZOTERO_ITEM CSL_CITATION {"citationID":"lxJhKplM","properties":{"formattedCitation":"(42)","plainCitation":"(42)","noteIndex":0},"citationItems":[{"id":209,"uris":["http://zotero.org/users/local/kvLunvBP/items/ZJK83AJ9"],"itemData":{"id":209,"type":"report","abstract":"Indecon Review of Career Guidance","language":"en","title":"Indecon Review of Career Guidance","URL":"https://www.gov.ie/en/publication/01ce11-indecon-review-of-career-guidance/","author":[{"family":"Indecon","given":""}],"accessed":{"date-parts":[["2024",7,30]]},"issued":{"date-parts":[["2019"]]}}}],"schema":"https://github.com/citation-style-language/schema/raw/master/csl-citation.json"} </w:instrText>
      </w:r>
      <w:r w:rsidR="006D0D5A">
        <w:rPr>
          <w:rFonts w:ascii="Gill Sans MT" w:hAnsi="Gill Sans MT"/>
          <w:color w:val="000000"/>
          <w:szCs w:val="26"/>
          <w:lang w:eastAsia="en-IE"/>
        </w:rPr>
        <w:fldChar w:fldCharType="separate"/>
      </w:r>
      <w:r w:rsidR="00C0772E" w:rsidRPr="00C0772E">
        <w:rPr>
          <w:rFonts w:ascii="Gill Sans MT" w:hAnsi="Gill Sans MT"/>
        </w:rPr>
        <w:t>(42)</w:t>
      </w:r>
      <w:r w:rsidR="006D0D5A">
        <w:rPr>
          <w:rFonts w:ascii="Gill Sans MT" w:hAnsi="Gill Sans MT"/>
          <w:color w:val="000000"/>
          <w:szCs w:val="26"/>
          <w:lang w:eastAsia="en-IE"/>
        </w:rPr>
        <w:fldChar w:fldCharType="end"/>
      </w:r>
      <w:r w:rsidR="00DD2D40">
        <w:rPr>
          <w:rFonts w:ascii="Gill Sans MT" w:hAnsi="Gill Sans MT"/>
          <w:color w:val="000000"/>
          <w:szCs w:val="26"/>
          <w:lang w:eastAsia="en-IE"/>
        </w:rPr>
        <w:t xml:space="preserve"> Published in 2019, the review was limited in relation to issues concerning disabled students. However, it did</w:t>
      </w:r>
      <w:r w:rsidR="006D0D5A">
        <w:rPr>
          <w:rFonts w:ascii="Gill Sans MT" w:hAnsi="Gill Sans MT"/>
          <w:color w:val="000000"/>
          <w:szCs w:val="26"/>
          <w:lang w:eastAsia="en-IE"/>
        </w:rPr>
        <w:t xml:space="preserve"> </w:t>
      </w:r>
      <w:r w:rsidR="00DD2D40">
        <w:rPr>
          <w:rFonts w:ascii="Gill Sans MT" w:hAnsi="Gill Sans MT"/>
          <w:color w:val="000000"/>
          <w:szCs w:val="26"/>
          <w:lang w:eastAsia="en-IE"/>
        </w:rPr>
        <w:t xml:space="preserve">recommend that there be enhanced provision of career guidance training for teachers in special schools and improved access </w:t>
      </w:r>
      <w:r w:rsidR="00E063E3">
        <w:rPr>
          <w:rFonts w:ascii="Gill Sans MT" w:hAnsi="Gill Sans MT"/>
          <w:color w:val="000000"/>
          <w:szCs w:val="26"/>
          <w:lang w:eastAsia="en-IE"/>
        </w:rPr>
        <w:t xml:space="preserve">in </w:t>
      </w:r>
      <w:r w:rsidR="00DD2D40">
        <w:rPr>
          <w:rFonts w:ascii="Gill Sans MT" w:hAnsi="Gill Sans MT"/>
          <w:color w:val="000000"/>
          <w:szCs w:val="26"/>
          <w:lang w:eastAsia="en-IE"/>
        </w:rPr>
        <w:t>special schools to wider career guidance supports. This recommendation was in response to the more limited career guidance and work experience available to students in special schools</w:t>
      </w:r>
      <w:r w:rsidR="00E063E3">
        <w:rPr>
          <w:rFonts w:ascii="Gill Sans MT" w:hAnsi="Gill Sans MT"/>
          <w:color w:val="000000"/>
          <w:szCs w:val="26"/>
          <w:lang w:eastAsia="en-IE"/>
        </w:rPr>
        <w:t>, which</w:t>
      </w:r>
      <w:r w:rsidR="00DD2D40">
        <w:rPr>
          <w:rFonts w:ascii="Gill Sans MT" w:hAnsi="Gill Sans MT"/>
          <w:color w:val="000000"/>
          <w:szCs w:val="26"/>
          <w:lang w:eastAsia="en-IE"/>
        </w:rPr>
        <w:t xml:space="preserve"> are classified as primary schools. Guidance counselling services are provided in post-primary schools in Ireland</w:t>
      </w:r>
      <w:r w:rsidR="0069478E">
        <w:rPr>
          <w:rFonts w:ascii="Gill Sans MT" w:hAnsi="Gill Sans MT"/>
          <w:color w:val="000000"/>
          <w:szCs w:val="26"/>
          <w:lang w:eastAsia="en-IE"/>
        </w:rPr>
        <w:t xml:space="preserve"> and not yet in primary schools</w:t>
      </w:r>
      <w:r w:rsidR="00DD2D40">
        <w:rPr>
          <w:rFonts w:ascii="Gill Sans MT" w:hAnsi="Gill Sans MT"/>
          <w:color w:val="000000"/>
          <w:szCs w:val="26"/>
          <w:lang w:eastAsia="en-IE"/>
        </w:rPr>
        <w:t>.</w:t>
      </w:r>
      <w:r w:rsidR="00B34CE5">
        <w:rPr>
          <w:rFonts w:ascii="Gill Sans MT" w:hAnsi="Gill Sans MT"/>
          <w:color w:val="000000"/>
          <w:szCs w:val="26"/>
          <w:lang w:eastAsia="en-IE"/>
        </w:rPr>
        <w:t xml:space="preserve"> </w:t>
      </w:r>
      <w:r w:rsidR="0069478E">
        <w:rPr>
          <w:rFonts w:ascii="Gill Sans MT" w:hAnsi="Gill Sans MT"/>
          <w:color w:val="000000"/>
          <w:szCs w:val="26"/>
          <w:lang w:eastAsia="en-IE"/>
        </w:rPr>
        <w:t xml:space="preserve">Provision at primary level </w:t>
      </w:r>
      <w:r w:rsidR="0069478E" w:rsidRPr="0069478E">
        <w:rPr>
          <w:rFonts w:ascii="Gill Sans MT" w:hAnsi="Gill Sans MT"/>
          <w:color w:val="000000"/>
          <w:szCs w:val="26"/>
          <w:lang w:eastAsia="en-IE"/>
        </w:rPr>
        <w:t>is an action to be progressed in the implementation plan in the National Strategic Framework for Lifelong Guidance (2023)</w:t>
      </w:r>
      <w:r w:rsidR="0069478E">
        <w:rPr>
          <w:rFonts w:ascii="Gill Sans MT" w:hAnsi="Gill Sans MT"/>
          <w:color w:val="000000"/>
          <w:szCs w:val="26"/>
          <w:lang w:eastAsia="en-IE"/>
        </w:rPr>
        <w:t>.</w:t>
      </w:r>
    </w:p>
    <w:p w14:paraId="7F669DF6" w14:textId="654DF36E" w:rsidR="00D94D02" w:rsidRPr="00843CAD" w:rsidRDefault="00B34CE5" w:rsidP="00D94D02">
      <w:pPr>
        <w:rPr>
          <w:rFonts w:ascii="Gill Sans MT" w:hAnsi="Gill Sans MT"/>
          <w:color w:val="000000"/>
          <w:szCs w:val="26"/>
          <w:lang w:eastAsia="en-IE"/>
        </w:rPr>
      </w:pPr>
      <w:r>
        <w:rPr>
          <w:rFonts w:ascii="Gill Sans MT" w:hAnsi="Gill Sans MT"/>
          <w:color w:val="000000"/>
          <w:szCs w:val="26"/>
          <w:lang w:eastAsia="en-IE"/>
        </w:rPr>
        <w:t xml:space="preserve">The </w:t>
      </w:r>
      <w:r w:rsidR="0091045A">
        <w:rPr>
          <w:rFonts w:ascii="Gill Sans MT" w:hAnsi="Gill Sans MT"/>
          <w:color w:val="000000"/>
          <w:szCs w:val="26"/>
          <w:lang w:eastAsia="en-IE"/>
        </w:rPr>
        <w:t>midterm</w:t>
      </w:r>
      <w:r>
        <w:rPr>
          <w:rFonts w:ascii="Gill Sans MT" w:hAnsi="Gill Sans MT"/>
          <w:color w:val="000000"/>
          <w:szCs w:val="26"/>
          <w:lang w:eastAsia="en-IE"/>
        </w:rPr>
        <w:t xml:space="preserve"> review of the </w:t>
      </w:r>
      <w:r w:rsidR="00C809B2">
        <w:rPr>
          <w:rFonts w:ascii="Gill Sans MT" w:hAnsi="Gill Sans MT"/>
          <w:color w:val="000000"/>
          <w:szCs w:val="26"/>
          <w:lang w:eastAsia="en-IE"/>
        </w:rPr>
        <w:t>National Disability Inclusion Strategy (</w:t>
      </w:r>
      <w:r>
        <w:rPr>
          <w:rFonts w:ascii="Gill Sans MT" w:hAnsi="Gill Sans MT"/>
          <w:color w:val="000000"/>
          <w:szCs w:val="26"/>
          <w:lang w:eastAsia="en-IE"/>
        </w:rPr>
        <w:t>NDIS</w:t>
      </w:r>
      <w:r w:rsidR="00C809B2">
        <w:rPr>
          <w:rFonts w:ascii="Gill Sans MT" w:hAnsi="Gill Sans MT"/>
          <w:color w:val="000000"/>
          <w:szCs w:val="26"/>
          <w:lang w:eastAsia="en-IE"/>
        </w:rPr>
        <w:t>)</w:t>
      </w:r>
      <w:r>
        <w:rPr>
          <w:rFonts w:ascii="Gill Sans MT" w:hAnsi="Gill Sans MT"/>
          <w:color w:val="000000"/>
          <w:szCs w:val="26"/>
          <w:lang w:eastAsia="en-IE"/>
        </w:rPr>
        <w:t xml:space="preserve"> </w:t>
      </w:r>
      <w:r w:rsidR="00E063E3">
        <w:rPr>
          <w:rFonts w:ascii="Gill Sans MT" w:hAnsi="Gill Sans MT"/>
          <w:color w:val="000000"/>
          <w:szCs w:val="26"/>
          <w:lang w:eastAsia="en-IE"/>
        </w:rPr>
        <w:t>committed to</w:t>
      </w:r>
      <w:r>
        <w:rPr>
          <w:rFonts w:ascii="Gill Sans MT" w:hAnsi="Gill Sans MT"/>
          <w:color w:val="000000"/>
          <w:szCs w:val="26"/>
          <w:lang w:eastAsia="en-IE"/>
        </w:rPr>
        <w:t xml:space="preserve"> implement</w:t>
      </w:r>
      <w:r w:rsidR="00E063E3">
        <w:rPr>
          <w:rFonts w:ascii="Gill Sans MT" w:hAnsi="Gill Sans MT"/>
          <w:color w:val="000000"/>
          <w:szCs w:val="26"/>
          <w:lang w:eastAsia="en-IE"/>
        </w:rPr>
        <w:t>ing</w:t>
      </w:r>
      <w:r>
        <w:rPr>
          <w:rFonts w:ascii="Gill Sans MT" w:hAnsi="Gill Sans MT"/>
          <w:color w:val="000000"/>
          <w:szCs w:val="26"/>
          <w:lang w:eastAsia="en-IE"/>
        </w:rPr>
        <w:t xml:space="preserve"> the actions arising from </w:t>
      </w:r>
      <w:r w:rsidR="00E063E3">
        <w:rPr>
          <w:rFonts w:ascii="Gill Sans MT" w:hAnsi="Gill Sans MT"/>
          <w:color w:val="000000"/>
          <w:szCs w:val="26"/>
          <w:lang w:eastAsia="en-IE"/>
        </w:rPr>
        <w:t>the career guidance review</w:t>
      </w:r>
      <w:r>
        <w:rPr>
          <w:rFonts w:ascii="Gill Sans MT" w:hAnsi="Gill Sans MT"/>
          <w:color w:val="000000"/>
          <w:szCs w:val="26"/>
          <w:lang w:eastAsia="en-IE"/>
        </w:rPr>
        <w:t xml:space="preserve">. </w:t>
      </w:r>
      <w:r w:rsidR="006E2C0D">
        <w:rPr>
          <w:rFonts w:ascii="Gill Sans MT" w:hAnsi="Gill Sans MT"/>
          <w:color w:val="000000"/>
          <w:szCs w:val="26"/>
          <w:lang w:eastAsia="en-IE"/>
        </w:rPr>
        <w:t xml:space="preserve">Limited progress </w:t>
      </w:r>
      <w:r w:rsidR="00C809B2">
        <w:rPr>
          <w:rFonts w:ascii="Gill Sans MT" w:hAnsi="Gill Sans MT"/>
          <w:color w:val="000000"/>
          <w:szCs w:val="26"/>
          <w:lang w:eastAsia="en-IE"/>
        </w:rPr>
        <w:t>has been</w:t>
      </w:r>
      <w:r w:rsidR="00E063E3">
        <w:rPr>
          <w:rFonts w:ascii="Gill Sans MT" w:hAnsi="Gill Sans MT"/>
          <w:color w:val="000000"/>
          <w:szCs w:val="26"/>
          <w:lang w:eastAsia="en-IE"/>
        </w:rPr>
        <w:t xml:space="preserve"> made in</w:t>
      </w:r>
      <w:r>
        <w:rPr>
          <w:rFonts w:ascii="Gill Sans MT" w:hAnsi="Gill Sans MT"/>
          <w:color w:val="000000"/>
          <w:szCs w:val="26"/>
          <w:lang w:eastAsia="en-IE"/>
        </w:rPr>
        <w:t xml:space="preserve"> </w:t>
      </w:r>
      <w:r w:rsidR="00E063E3">
        <w:rPr>
          <w:rFonts w:ascii="Gill Sans MT" w:hAnsi="Gill Sans MT"/>
          <w:color w:val="000000"/>
          <w:szCs w:val="26"/>
          <w:lang w:eastAsia="en-IE"/>
        </w:rPr>
        <w:t xml:space="preserve">this respect. Where action </w:t>
      </w:r>
      <w:r w:rsidR="00C809B2">
        <w:rPr>
          <w:rFonts w:ascii="Gill Sans MT" w:hAnsi="Gill Sans MT"/>
          <w:color w:val="000000"/>
          <w:szCs w:val="26"/>
          <w:lang w:eastAsia="en-IE"/>
        </w:rPr>
        <w:t>has been</w:t>
      </w:r>
      <w:r w:rsidR="00E063E3">
        <w:rPr>
          <w:rFonts w:ascii="Gill Sans MT" w:hAnsi="Gill Sans MT"/>
          <w:color w:val="000000"/>
          <w:szCs w:val="26"/>
          <w:lang w:eastAsia="en-IE"/>
        </w:rPr>
        <w:t xml:space="preserve"> taken, it</w:t>
      </w:r>
      <w:r w:rsidR="00A827D7">
        <w:rPr>
          <w:rFonts w:ascii="Gill Sans MT" w:hAnsi="Gill Sans MT"/>
          <w:color w:val="000000"/>
          <w:szCs w:val="26"/>
          <w:lang w:eastAsia="en-IE"/>
        </w:rPr>
        <w:t xml:space="preserve"> </w:t>
      </w:r>
      <w:r w:rsidR="00C809B2">
        <w:rPr>
          <w:rFonts w:ascii="Gill Sans MT" w:hAnsi="Gill Sans MT"/>
          <w:color w:val="000000"/>
          <w:szCs w:val="26"/>
          <w:lang w:eastAsia="en-IE"/>
        </w:rPr>
        <w:t>has been</w:t>
      </w:r>
      <w:r w:rsidR="00A827D7">
        <w:rPr>
          <w:rFonts w:ascii="Gill Sans MT" w:hAnsi="Gill Sans MT"/>
          <w:color w:val="000000"/>
          <w:szCs w:val="26"/>
          <w:lang w:eastAsia="en-IE"/>
        </w:rPr>
        <w:t xml:space="preserve"> in relation to</w:t>
      </w:r>
      <w:r w:rsidR="00E063E3">
        <w:rPr>
          <w:rFonts w:ascii="Gill Sans MT" w:hAnsi="Gill Sans MT"/>
          <w:color w:val="000000"/>
          <w:szCs w:val="26"/>
          <w:lang w:eastAsia="en-IE"/>
        </w:rPr>
        <w:t xml:space="preserve"> the</w:t>
      </w:r>
      <w:r w:rsidR="00A827D7">
        <w:rPr>
          <w:rFonts w:ascii="Gill Sans MT" w:hAnsi="Gill Sans MT"/>
          <w:color w:val="000000"/>
          <w:szCs w:val="26"/>
          <w:lang w:eastAsia="en-IE"/>
        </w:rPr>
        <w:t xml:space="preserve"> provision of information, for example through a careers portal, rather than providing</w:t>
      </w:r>
      <w:r w:rsidR="00D94D02">
        <w:rPr>
          <w:rFonts w:ascii="Gill Sans MT" w:hAnsi="Gill Sans MT"/>
        </w:rPr>
        <w:t xml:space="preserve"> disabled students </w:t>
      </w:r>
      <w:r w:rsidR="00E063E3">
        <w:rPr>
          <w:rFonts w:ascii="Gill Sans MT" w:hAnsi="Gill Sans MT"/>
        </w:rPr>
        <w:t xml:space="preserve">with </w:t>
      </w:r>
      <w:r w:rsidR="00D94D02">
        <w:rPr>
          <w:rFonts w:ascii="Gill Sans MT" w:hAnsi="Gill Sans MT"/>
        </w:rPr>
        <w:t>appropriate</w:t>
      </w:r>
      <w:r w:rsidR="00E063E3">
        <w:rPr>
          <w:rFonts w:ascii="Gill Sans MT" w:hAnsi="Gill Sans MT"/>
        </w:rPr>
        <w:t>, individualised, and</w:t>
      </w:r>
      <w:r w:rsidR="00D94D02">
        <w:rPr>
          <w:rFonts w:ascii="Gill Sans MT" w:hAnsi="Gill Sans MT"/>
        </w:rPr>
        <w:t xml:space="preserve"> effective career guidance from a </w:t>
      </w:r>
      <w:r w:rsidR="006E2C0D">
        <w:rPr>
          <w:rFonts w:ascii="Gill Sans MT" w:hAnsi="Gill Sans MT"/>
        </w:rPr>
        <w:t xml:space="preserve">guidance </w:t>
      </w:r>
      <w:r w:rsidR="00D94D02">
        <w:rPr>
          <w:rFonts w:ascii="Gill Sans MT" w:hAnsi="Gill Sans MT"/>
        </w:rPr>
        <w:t>counsellor</w:t>
      </w:r>
      <w:r w:rsidR="00E063E3">
        <w:rPr>
          <w:rFonts w:ascii="Gill Sans MT" w:hAnsi="Gill Sans MT"/>
        </w:rPr>
        <w:t>.</w:t>
      </w:r>
      <w:r w:rsidR="00D94D02">
        <w:rPr>
          <w:rFonts w:ascii="Gill Sans MT" w:hAnsi="Gill Sans MT"/>
        </w:rPr>
        <w:t xml:space="preserve"> </w:t>
      </w:r>
      <w:r w:rsidR="00843CAD">
        <w:rPr>
          <w:rFonts w:ascii="Gill Sans MT" w:hAnsi="Gill Sans MT"/>
          <w:color w:val="000000"/>
          <w:szCs w:val="26"/>
          <w:lang w:eastAsia="en-IE"/>
        </w:rPr>
        <w:t xml:space="preserve">In December 2023, the government published the National Strategic Framework for Lifelong Guidance (2024-2030) </w:t>
      </w:r>
      <w:r w:rsidR="00843CAD">
        <w:rPr>
          <w:rFonts w:ascii="Gill Sans MT" w:hAnsi="Gill Sans MT"/>
          <w:color w:val="000000"/>
          <w:szCs w:val="26"/>
          <w:lang w:eastAsia="en-IE"/>
        </w:rPr>
        <w:fldChar w:fldCharType="begin"/>
      </w:r>
      <w:r w:rsidR="000979A7">
        <w:rPr>
          <w:rFonts w:ascii="Gill Sans MT" w:hAnsi="Gill Sans MT"/>
          <w:color w:val="000000"/>
          <w:szCs w:val="26"/>
          <w:lang w:eastAsia="en-IE"/>
        </w:rPr>
        <w:instrText xml:space="preserve"> ADDIN ZOTERO_ITEM CSL_CITATION {"citationID":"7hyYowyZ","properties":{"formattedCitation":"(43)","plainCitation":"(43)","noteIndex":0},"citationItems":[{"id":327,"uris":["http://zotero.org/users/local/kvLunvBP/items/U3JSRJWN"],"itemData":{"id":327,"type":"report","title":"National Strategic Framework for Lifelong Guidance","URL":"https://www.gov.ie/pdf/?file=https://assets.gov.ie/279193/8b0c3c0a-380f-4c82-9a7e-35af3432a318.pdf#page=null","author":[{"family":"Government of Ireland","given":""}],"issued":{"date-parts":[["2023"]]}}}],"schema":"https://github.com/citation-style-language/schema/raw/master/csl-citation.json"} </w:instrText>
      </w:r>
      <w:r w:rsidR="00843CAD">
        <w:rPr>
          <w:rFonts w:ascii="Gill Sans MT" w:hAnsi="Gill Sans MT"/>
          <w:color w:val="000000"/>
          <w:szCs w:val="26"/>
          <w:lang w:eastAsia="en-IE"/>
        </w:rPr>
        <w:fldChar w:fldCharType="separate"/>
      </w:r>
      <w:r w:rsidR="000979A7" w:rsidRPr="000979A7">
        <w:rPr>
          <w:rFonts w:ascii="Gill Sans MT" w:hAnsi="Gill Sans MT"/>
        </w:rPr>
        <w:t>(43)</w:t>
      </w:r>
      <w:r w:rsidR="00843CAD">
        <w:rPr>
          <w:rFonts w:ascii="Gill Sans MT" w:hAnsi="Gill Sans MT"/>
          <w:color w:val="000000"/>
          <w:szCs w:val="26"/>
          <w:lang w:eastAsia="en-IE"/>
        </w:rPr>
        <w:fldChar w:fldCharType="end"/>
      </w:r>
      <w:r w:rsidR="00843CAD">
        <w:rPr>
          <w:rFonts w:ascii="Gill Sans MT" w:hAnsi="Gill Sans MT"/>
          <w:color w:val="000000"/>
          <w:szCs w:val="26"/>
          <w:lang w:eastAsia="en-IE"/>
        </w:rPr>
        <w:t xml:space="preserve">, along with an action plan. </w:t>
      </w:r>
      <w:r w:rsidR="00843CAD">
        <w:rPr>
          <w:rFonts w:ascii="Gill Sans MT" w:hAnsi="Gill Sans MT"/>
          <w:color w:val="000000"/>
          <w:szCs w:val="26"/>
          <w:lang w:eastAsia="en-IE"/>
        </w:rPr>
        <w:fldChar w:fldCharType="begin"/>
      </w:r>
      <w:r w:rsidR="000979A7">
        <w:rPr>
          <w:rFonts w:ascii="Gill Sans MT" w:hAnsi="Gill Sans MT"/>
          <w:color w:val="000000"/>
          <w:szCs w:val="26"/>
          <w:lang w:eastAsia="en-IE"/>
        </w:rPr>
        <w:instrText xml:space="preserve"> ADDIN ZOTERO_ITEM CSL_CITATION {"citationID":"KqT6KoYV","properties":{"formattedCitation":"(44)","plainCitation":"(44)","noteIndex":0},"citationItems":[{"id":328,"uris":["http://zotero.org/users/local/kvLunvBP/items/HENPWKHL"],"itemData":{"id":328,"type":"report","title":"National Strategic Framework for Lifelong Guidance: Strategic Action Plan (2024-2030)","URL":"https://www.gov.ie/pdf/?file=https://assets.gov.ie/279196/ac7dfa38-00fb-4dcf-8285-0f187b76469c.pdf#page=null","author":[{"family":"Government of Ireland","given":""}],"issued":{"date-parts":[["2023"]]}}}],"schema":"https://github.com/citation-style-language/schema/raw/master/csl-citation.json"} </w:instrText>
      </w:r>
      <w:r w:rsidR="00843CAD">
        <w:rPr>
          <w:rFonts w:ascii="Gill Sans MT" w:hAnsi="Gill Sans MT"/>
          <w:color w:val="000000"/>
          <w:szCs w:val="26"/>
          <w:lang w:eastAsia="en-IE"/>
        </w:rPr>
        <w:fldChar w:fldCharType="separate"/>
      </w:r>
      <w:r w:rsidR="000979A7" w:rsidRPr="000979A7">
        <w:rPr>
          <w:rFonts w:ascii="Gill Sans MT" w:hAnsi="Gill Sans MT"/>
        </w:rPr>
        <w:t>(44)</w:t>
      </w:r>
      <w:r w:rsidR="00843CAD">
        <w:rPr>
          <w:rFonts w:ascii="Gill Sans MT" w:hAnsi="Gill Sans MT"/>
          <w:color w:val="000000"/>
          <w:szCs w:val="26"/>
          <w:lang w:eastAsia="en-IE"/>
        </w:rPr>
        <w:fldChar w:fldCharType="end"/>
      </w:r>
      <w:r w:rsidR="00843CAD">
        <w:rPr>
          <w:rFonts w:ascii="Gill Sans MT" w:hAnsi="Gill Sans MT"/>
          <w:color w:val="000000"/>
          <w:szCs w:val="26"/>
          <w:lang w:eastAsia="en-IE"/>
        </w:rPr>
        <w:t xml:space="preserve">  Actions relating to ensuring provision of guidance supports to students in special schools and improved transition planning are included. Work </w:t>
      </w:r>
      <w:r w:rsidR="006E2C0D" w:rsidRPr="006E2C0D">
        <w:rPr>
          <w:rFonts w:ascii="Gill Sans MT" w:hAnsi="Gill Sans MT"/>
        </w:rPr>
        <w:t xml:space="preserve">has </w:t>
      </w:r>
      <w:r w:rsidR="00843CAD">
        <w:rPr>
          <w:rFonts w:ascii="Gill Sans MT" w:hAnsi="Gill Sans MT"/>
        </w:rPr>
        <w:t>begun</w:t>
      </w:r>
      <w:r w:rsidR="006E2C0D" w:rsidRPr="006E2C0D">
        <w:rPr>
          <w:rFonts w:ascii="Gill Sans MT" w:hAnsi="Gill Sans MT"/>
        </w:rPr>
        <w:t xml:space="preserve"> in terms of progressing action 3.4 of the </w:t>
      </w:r>
      <w:r w:rsidR="006E2C0D">
        <w:t>National Strategic Framework for Lifelong Guidance</w:t>
      </w:r>
      <w:r w:rsidR="006E2C0D">
        <w:rPr>
          <w:rFonts w:ascii="Gill Sans MT" w:hAnsi="Gill Sans MT"/>
        </w:rPr>
        <w:t xml:space="preserve"> which seeks ‘</w:t>
      </w:r>
      <w:r w:rsidR="006E2C0D">
        <w:t>to support all individuals including those who are marginalised or have disabilities to access person-centred opportunities such as work-shadowing/work-experience.’</w:t>
      </w:r>
      <w:r w:rsidR="004B12F3">
        <w:rPr>
          <w:rFonts w:ascii="Gill Sans MT" w:hAnsi="Gill Sans MT"/>
        </w:rPr>
        <w:t xml:space="preserve"> </w:t>
      </w:r>
      <w:r w:rsidR="004B12F3">
        <w:rPr>
          <w:rFonts w:ascii="Gill Sans MT" w:hAnsi="Gill Sans MT"/>
        </w:rPr>
        <w:fldChar w:fldCharType="begin"/>
      </w:r>
      <w:r w:rsidR="000979A7">
        <w:rPr>
          <w:rFonts w:ascii="Gill Sans MT" w:hAnsi="Gill Sans MT"/>
        </w:rPr>
        <w:instrText xml:space="preserve"> ADDIN ZOTERO_ITEM CSL_CITATION {"citationID":"itrtP5xc","properties":{"formattedCitation":"(43)","plainCitation":"(43)","dontUpdate":true,"noteIndex":0},"citationItems":[{"id":328,"uris":["http://zotero.org/users/local/kvLunvBP/items/HENPWKHL"],"itemData":{"id":328,"type":"report","title":"National Strategic Framework for Lifelong Guidance: Strategic Action Plan (2024-2030)","URL":"https://www.gov.ie/pdf/?file=https://assets.gov.ie/279196/ac7dfa38-00fb-4dcf-8285-0f187b76469c.pdf#page=null","author":[{"family":"Government of Ireland","given":""}],"issued":{"date-parts":[["2023"]]}}}],"schema":"https://github.com/citation-style-language/schema/raw/master/csl-citation.json"} </w:instrText>
      </w:r>
      <w:r w:rsidR="004B12F3">
        <w:rPr>
          <w:rFonts w:ascii="Gill Sans MT" w:hAnsi="Gill Sans MT"/>
        </w:rPr>
        <w:fldChar w:fldCharType="separate"/>
      </w:r>
      <w:r w:rsidR="004B12F3" w:rsidRPr="004B12F3">
        <w:rPr>
          <w:rFonts w:ascii="Gill Sans MT" w:hAnsi="Gill Sans MT"/>
        </w:rPr>
        <w:t>(43</w:t>
      </w:r>
      <w:r w:rsidR="004B12F3">
        <w:rPr>
          <w:rFonts w:ascii="Gill Sans MT" w:hAnsi="Gill Sans MT"/>
        </w:rPr>
        <w:t>, p.5</w:t>
      </w:r>
      <w:r w:rsidR="004B12F3" w:rsidRPr="004B12F3">
        <w:rPr>
          <w:rFonts w:ascii="Gill Sans MT" w:hAnsi="Gill Sans MT"/>
        </w:rPr>
        <w:t>)</w:t>
      </w:r>
      <w:r w:rsidR="004B12F3">
        <w:rPr>
          <w:rFonts w:ascii="Gill Sans MT" w:hAnsi="Gill Sans MT"/>
        </w:rPr>
        <w:fldChar w:fldCharType="end"/>
      </w:r>
      <w:r w:rsidR="00475377">
        <w:t xml:space="preserve">. </w:t>
      </w:r>
      <w:r w:rsidR="006E2C0D" w:rsidRPr="006E2C0D">
        <w:rPr>
          <w:rFonts w:ascii="Gill Sans MT" w:hAnsi="Gill Sans MT"/>
        </w:rPr>
        <w:t>This action crosses a number of sectors and is a cross-government initiative. Th</w:t>
      </w:r>
      <w:r w:rsidR="00475377">
        <w:rPr>
          <w:rFonts w:ascii="Gill Sans MT" w:hAnsi="Gill Sans MT"/>
        </w:rPr>
        <w:t>e</w:t>
      </w:r>
      <w:r w:rsidR="006E2C0D" w:rsidRPr="006E2C0D">
        <w:rPr>
          <w:rFonts w:ascii="Gill Sans MT" w:hAnsi="Gill Sans MT"/>
        </w:rPr>
        <w:t xml:space="preserve"> work </w:t>
      </w:r>
      <w:r w:rsidR="00475377">
        <w:rPr>
          <w:rFonts w:ascii="Gill Sans MT" w:hAnsi="Gill Sans MT"/>
        </w:rPr>
        <w:t xml:space="preserve">to date </w:t>
      </w:r>
      <w:r w:rsidR="006E2C0D" w:rsidRPr="006E2C0D">
        <w:rPr>
          <w:rFonts w:ascii="Gill Sans MT" w:hAnsi="Gill Sans MT"/>
        </w:rPr>
        <w:t>includes preliminary meetings of various stakeholders</w:t>
      </w:r>
      <w:r w:rsidR="00475377">
        <w:rPr>
          <w:rFonts w:ascii="Gill Sans MT" w:hAnsi="Gill Sans MT"/>
        </w:rPr>
        <w:t xml:space="preserve"> and research</w:t>
      </w:r>
      <w:r w:rsidR="002B2D86">
        <w:rPr>
          <w:rFonts w:ascii="Gill Sans MT" w:hAnsi="Gill Sans MT"/>
        </w:rPr>
        <w:t xml:space="preserve"> work</w:t>
      </w:r>
      <w:r w:rsidR="00475377">
        <w:rPr>
          <w:rFonts w:ascii="Gill Sans MT" w:hAnsi="Gill Sans MT"/>
        </w:rPr>
        <w:t>, with</w:t>
      </w:r>
      <w:r w:rsidR="002B2D86">
        <w:rPr>
          <w:rFonts w:ascii="Gill Sans MT" w:hAnsi="Gill Sans MT"/>
        </w:rPr>
        <w:t xml:space="preserve"> a</w:t>
      </w:r>
      <w:r w:rsidR="006E2C0D" w:rsidRPr="006E2C0D">
        <w:rPr>
          <w:rFonts w:ascii="Gill Sans MT" w:hAnsi="Gill Sans MT"/>
        </w:rPr>
        <w:t xml:space="preserve"> paper </w:t>
      </w:r>
      <w:r w:rsidR="00475377">
        <w:rPr>
          <w:rFonts w:ascii="Gill Sans MT" w:hAnsi="Gill Sans MT"/>
        </w:rPr>
        <w:t xml:space="preserve">outlining </w:t>
      </w:r>
      <w:r w:rsidR="006E2C0D" w:rsidRPr="006E2C0D">
        <w:rPr>
          <w:rFonts w:ascii="Gill Sans MT" w:hAnsi="Gill Sans MT"/>
        </w:rPr>
        <w:t xml:space="preserve">what needs to be done in this area </w:t>
      </w:r>
      <w:r w:rsidR="002B2D86">
        <w:rPr>
          <w:rFonts w:ascii="Gill Sans MT" w:hAnsi="Gill Sans MT"/>
        </w:rPr>
        <w:t xml:space="preserve">currently </w:t>
      </w:r>
      <w:r w:rsidR="00475377">
        <w:rPr>
          <w:rFonts w:ascii="Gill Sans MT" w:hAnsi="Gill Sans MT"/>
        </w:rPr>
        <w:t>in preparation</w:t>
      </w:r>
      <w:r w:rsidR="006E2C0D" w:rsidRPr="006E2C0D">
        <w:rPr>
          <w:rFonts w:ascii="Gill Sans MT" w:hAnsi="Gill Sans MT"/>
        </w:rPr>
        <w:t xml:space="preserve">. This work will inform policy in this regard.  </w:t>
      </w:r>
      <w:r w:rsidR="00D94D02">
        <w:rPr>
          <w:rFonts w:ascii="Gill Sans MT" w:hAnsi="Gill Sans MT"/>
        </w:rPr>
        <w:t xml:space="preserve"> </w:t>
      </w:r>
    </w:p>
    <w:p w14:paraId="74ED69B9" w14:textId="77777777" w:rsidR="007430CE" w:rsidRDefault="00DD2D40" w:rsidP="00EC0082">
      <w:pPr>
        <w:rPr>
          <w:rFonts w:ascii="Gill Sans MT" w:hAnsi="Gill Sans MT"/>
        </w:rPr>
      </w:pPr>
      <w:r>
        <w:rPr>
          <w:rFonts w:ascii="Gill Sans MT" w:hAnsi="Gill Sans MT"/>
          <w:color w:val="000000"/>
          <w:szCs w:val="26"/>
          <w:lang w:eastAsia="en-IE"/>
        </w:rPr>
        <w:t>In 202</w:t>
      </w:r>
      <w:r w:rsidR="00B34CE5">
        <w:rPr>
          <w:rFonts w:ascii="Gill Sans MT" w:hAnsi="Gill Sans MT"/>
          <w:color w:val="000000"/>
          <w:szCs w:val="26"/>
          <w:lang w:eastAsia="en-IE"/>
        </w:rPr>
        <w:t>2</w:t>
      </w:r>
      <w:r w:rsidR="00E063E3">
        <w:rPr>
          <w:rFonts w:ascii="Gill Sans MT" w:hAnsi="Gill Sans MT"/>
          <w:color w:val="000000"/>
          <w:szCs w:val="26"/>
          <w:lang w:eastAsia="en-IE"/>
        </w:rPr>
        <w:t>,</w:t>
      </w:r>
      <w:r>
        <w:rPr>
          <w:rFonts w:ascii="Gill Sans MT" w:hAnsi="Gill Sans MT"/>
          <w:color w:val="000000"/>
          <w:szCs w:val="26"/>
          <w:lang w:eastAsia="en-IE"/>
        </w:rPr>
        <w:t xml:space="preserve"> the NDA published a literature review</w:t>
      </w:r>
      <w:r w:rsidR="00B34CE5">
        <w:rPr>
          <w:rFonts w:ascii="Gill Sans MT" w:hAnsi="Gill Sans MT"/>
          <w:color w:val="000000"/>
          <w:szCs w:val="26"/>
          <w:lang w:eastAsia="en-IE"/>
        </w:rPr>
        <w:t xml:space="preserve"> on learning</w:t>
      </w:r>
      <w:r w:rsidR="007430CE">
        <w:rPr>
          <w:rFonts w:ascii="Gill Sans MT" w:hAnsi="Gill Sans MT"/>
          <w:color w:val="000000"/>
          <w:szCs w:val="26"/>
          <w:lang w:eastAsia="en-IE"/>
        </w:rPr>
        <w:t>s</w:t>
      </w:r>
      <w:r w:rsidR="00B34CE5">
        <w:rPr>
          <w:rFonts w:ascii="Gill Sans MT" w:hAnsi="Gill Sans MT"/>
          <w:color w:val="000000"/>
          <w:szCs w:val="26"/>
          <w:lang w:eastAsia="en-IE"/>
        </w:rPr>
        <w:t xml:space="preserve"> from other jurisdictions on effective career guidance models for students with disabilities</w:t>
      </w:r>
      <w:r w:rsidR="00C809B2">
        <w:rPr>
          <w:rFonts w:ascii="Gill Sans MT" w:hAnsi="Gill Sans MT"/>
          <w:color w:val="000000"/>
          <w:szCs w:val="26"/>
          <w:lang w:eastAsia="en-IE"/>
        </w:rPr>
        <w:t>, a new action arising from the NDIS midterm review.</w:t>
      </w:r>
      <w:r>
        <w:rPr>
          <w:rFonts w:ascii="Gill Sans MT" w:hAnsi="Gill Sans MT"/>
          <w:color w:val="000000"/>
          <w:szCs w:val="26"/>
          <w:lang w:eastAsia="en-IE"/>
        </w:rPr>
        <w:t xml:space="preserve"> (33)</w:t>
      </w:r>
      <w:r w:rsidR="00B34CE5">
        <w:rPr>
          <w:rFonts w:ascii="Gill Sans MT" w:hAnsi="Gill Sans MT"/>
          <w:color w:val="000000"/>
          <w:szCs w:val="26"/>
          <w:lang w:eastAsia="en-IE"/>
        </w:rPr>
        <w:t xml:space="preserve"> This subsequently led to a</w:t>
      </w:r>
      <w:r>
        <w:rPr>
          <w:rFonts w:ascii="Gill Sans MT" w:hAnsi="Gill Sans MT"/>
          <w:color w:val="000000"/>
          <w:szCs w:val="26"/>
          <w:lang w:eastAsia="en-IE"/>
        </w:rPr>
        <w:t xml:space="preserve"> policy advice paper </w:t>
      </w:r>
      <w:r w:rsidR="00E063E3">
        <w:rPr>
          <w:rFonts w:ascii="Gill Sans MT" w:hAnsi="Gill Sans MT"/>
          <w:color w:val="000000"/>
          <w:szCs w:val="26"/>
          <w:lang w:eastAsia="en-IE"/>
        </w:rPr>
        <w:t xml:space="preserve">on </w:t>
      </w:r>
      <w:r>
        <w:rPr>
          <w:rFonts w:ascii="Gill Sans MT" w:hAnsi="Gill Sans MT"/>
          <w:color w:val="000000"/>
          <w:szCs w:val="26"/>
          <w:lang w:eastAsia="en-IE"/>
        </w:rPr>
        <w:t>career guidance</w:t>
      </w:r>
      <w:r w:rsidR="00B34CE5">
        <w:rPr>
          <w:rFonts w:ascii="Gill Sans MT" w:hAnsi="Gill Sans MT"/>
          <w:color w:val="000000"/>
          <w:szCs w:val="26"/>
          <w:lang w:eastAsia="en-IE"/>
        </w:rPr>
        <w:t xml:space="preserve"> for disabled students</w:t>
      </w:r>
      <w:r>
        <w:rPr>
          <w:rFonts w:ascii="Gill Sans MT" w:hAnsi="Gill Sans MT"/>
          <w:color w:val="000000"/>
          <w:szCs w:val="26"/>
          <w:lang w:eastAsia="en-IE"/>
        </w:rPr>
        <w:t xml:space="preserve"> </w:t>
      </w:r>
      <w:r w:rsidR="00E063E3">
        <w:rPr>
          <w:rFonts w:ascii="Gill Sans MT" w:hAnsi="Gill Sans MT"/>
          <w:color w:val="000000"/>
          <w:szCs w:val="26"/>
          <w:lang w:eastAsia="en-IE"/>
        </w:rPr>
        <w:t xml:space="preserve">which </w:t>
      </w:r>
      <w:r>
        <w:rPr>
          <w:rFonts w:ascii="Gill Sans MT" w:hAnsi="Gill Sans MT"/>
          <w:color w:val="000000"/>
          <w:szCs w:val="26"/>
          <w:lang w:eastAsia="en-IE"/>
        </w:rPr>
        <w:t>emphasised</w:t>
      </w:r>
      <w:r w:rsidRPr="00DD2D40">
        <w:rPr>
          <w:rFonts w:ascii="Gill Sans MT" w:hAnsi="Gill Sans MT"/>
          <w:color w:val="000000"/>
          <w:szCs w:val="26"/>
          <w:lang w:eastAsia="en-IE"/>
        </w:rPr>
        <w:t xml:space="preserve"> </w:t>
      </w:r>
      <w:r>
        <w:rPr>
          <w:rFonts w:ascii="Gill Sans MT" w:hAnsi="Gill Sans MT"/>
          <w:color w:val="000000"/>
          <w:szCs w:val="26"/>
          <w:lang w:eastAsia="en-IE"/>
        </w:rPr>
        <w:t xml:space="preserve">that career guidance should be available to all students, regardless of disability status or educational setting. </w:t>
      </w:r>
      <w:r w:rsidR="00E063E3">
        <w:rPr>
          <w:rFonts w:ascii="Gill Sans MT" w:hAnsi="Gill Sans MT"/>
          <w:color w:val="000000"/>
          <w:szCs w:val="26"/>
          <w:lang w:eastAsia="en-IE"/>
        </w:rPr>
        <w:t xml:space="preserve">(34) </w:t>
      </w:r>
      <w:r>
        <w:rPr>
          <w:rFonts w:ascii="Gill Sans MT" w:hAnsi="Gill Sans MT"/>
        </w:rPr>
        <w:t>To inform the advice paper</w:t>
      </w:r>
      <w:r w:rsidR="007430CE">
        <w:rPr>
          <w:rFonts w:ascii="Gill Sans MT" w:hAnsi="Gill Sans MT"/>
        </w:rPr>
        <w:t xml:space="preserve">, </w:t>
      </w:r>
      <w:r>
        <w:rPr>
          <w:rFonts w:ascii="Gill Sans MT" w:hAnsi="Gill Sans MT"/>
        </w:rPr>
        <w:t>the NDA</w:t>
      </w:r>
      <w:r w:rsidRPr="004D606F">
        <w:rPr>
          <w:rFonts w:ascii="Gill Sans MT" w:hAnsi="Gill Sans MT"/>
        </w:rPr>
        <w:t xml:space="preserve"> </w:t>
      </w:r>
      <w:r>
        <w:rPr>
          <w:rFonts w:ascii="Gill Sans MT" w:hAnsi="Gill Sans MT"/>
        </w:rPr>
        <w:t>convened</w:t>
      </w:r>
      <w:r w:rsidRPr="004D606F">
        <w:rPr>
          <w:rFonts w:ascii="Gill Sans MT" w:hAnsi="Gill Sans MT"/>
        </w:rPr>
        <w:t xml:space="preserve"> a roundtable discussion </w:t>
      </w:r>
      <w:r w:rsidR="007430CE">
        <w:rPr>
          <w:rFonts w:ascii="Gill Sans MT" w:hAnsi="Gill Sans MT"/>
        </w:rPr>
        <w:t xml:space="preserve">in May 2022 </w:t>
      </w:r>
      <w:r w:rsidRPr="004D606F">
        <w:rPr>
          <w:rFonts w:ascii="Gill Sans MT" w:hAnsi="Gill Sans MT"/>
        </w:rPr>
        <w:t>with</w:t>
      </w:r>
      <w:r>
        <w:rPr>
          <w:rFonts w:ascii="Gill Sans MT" w:hAnsi="Gill Sans MT"/>
        </w:rPr>
        <w:t xml:space="preserve"> </w:t>
      </w:r>
      <w:r w:rsidRPr="004D606F">
        <w:rPr>
          <w:rFonts w:ascii="Gill Sans MT" w:hAnsi="Gill Sans MT"/>
        </w:rPr>
        <w:t xml:space="preserve">education stakeholders to identify barriers </w:t>
      </w:r>
      <w:r>
        <w:rPr>
          <w:rFonts w:ascii="Gill Sans MT" w:hAnsi="Gill Sans MT"/>
        </w:rPr>
        <w:t xml:space="preserve">to effective career guidance for post-primary students with disabilities </w:t>
      </w:r>
      <w:r w:rsidRPr="004D606F">
        <w:rPr>
          <w:rFonts w:ascii="Gill Sans MT" w:hAnsi="Gill Sans MT"/>
        </w:rPr>
        <w:t xml:space="preserve">and how </w:t>
      </w:r>
      <w:r>
        <w:rPr>
          <w:rFonts w:ascii="Gill Sans MT" w:hAnsi="Gill Sans MT"/>
        </w:rPr>
        <w:t xml:space="preserve">these could be addressed. </w:t>
      </w:r>
      <w:r w:rsidRPr="004D606F">
        <w:rPr>
          <w:rFonts w:ascii="Gill Sans MT" w:hAnsi="Gill Sans MT"/>
        </w:rPr>
        <w:t xml:space="preserve">This was followed by a consultation with </w:t>
      </w:r>
      <w:r>
        <w:rPr>
          <w:rFonts w:ascii="Gill Sans MT" w:hAnsi="Gill Sans MT"/>
        </w:rPr>
        <w:t xml:space="preserve">young people </w:t>
      </w:r>
      <w:r w:rsidRPr="004D606F">
        <w:rPr>
          <w:rFonts w:ascii="Gill Sans MT" w:hAnsi="Gill Sans MT"/>
        </w:rPr>
        <w:t>with additional needs.</w:t>
      </w:r>
      <w:r w:rsidR="006A7618">
        <w:rPr>
          <w:rFonts w:ascii="Gill Sans MT" w:hAnsi="Gill Sans MT"/>
        </w:rPr>
        <w:t xml:space="preserve"> </w:t>
      </w:r>
    </w:p>
    <w:p w14:paraId="4636A6C2" w14:textId="77777777" w:rsidR="00EC0082" w:rsidRPr="00626162" w:rsidRDefault="00EC0082" w:rsidP="00EC0082">
      <w:pPr>
        <w:keepNext/>
        <w:spacing w:after="0"/>
        <w:outlineLvl w:val="2"/>
        <w:rPr>
          <w:rFonts w:ascii="Gill Sans MT" w:hAnsi="Gill Sans MT" w:cs="Arial Bold"/>
          <w:b/>
          <w:bCs/>
        </w:rPr>
      </w:pPr>
      <w:bookmarkStart w:id="138" w:name="_Toc182219504"/>
      <w:bookmarkStart w:id="139" w:name="_Toc182220207"/>
      <w:bookmarkStart w:id="140" w:name="_Toc182555555"/>
      <w:r w:rsidRPr="00626162">
        <w:rPr>
          <w:rFonts w:ascii="Gill Sans MT" w:hAnsi="Gill Sans MT" w:cs="Arial Bold"/>
          <w:b/>
          <w:bCs/>
        </w:rPr>
        <w:t>1.4.4 School leavers transitioning to work/further education/third level</w:t>
      </w:r>
      <w:bookmarkEnd w:id="138"/>
      <w:bookmarkEnd w:id="139"/>
      <w:bookmarkEnd w:id="140"/>
    </w:p>
    <w:p w14:paraId="39A84698" w14:textId="606F723A" w:rsidR="00EC0082" w:rsidRPr="0027213C" w:rsidRDefault="00B47724" w:rsidP="00EC0082">
      <w:pPr>
        <w:rPr>
          <w:rFonts w:ascii="Gill Sans MT" w:hAnsi="Gill Sans MT"/>
        </w:rPr>
      </w:pPr>
      <w:r w:rsidRPr="0027213C">
        <w:rPr>
          <w:rFonts w:ascii="Gill Sans MT" w:hAnsi="Gill Sans MT"/>
        </w:rPr>
        <w:t>During the lifetime of the CES,</w:t>
      </w:r>
      <w:r w:rsidR="00EC0082" w:rsidRPr="0027213C">
        <w:rPr>
          <w:rFonts w:ascii="Gill Sans MT" w:hAnsi="Gill Sans MT"/>
        </w:rPr>
        <w:t xml:space="preserve"> a more systematic and streamlined system has been introduced by the Health Service Executive (HSE)</w:t>
      </w:r>
      <w:r w:rsidR="006955FA">
        <w:rPr>
          <w:rFonts w:ascii="Gill Sans MT" w:hAnsi="Gill Sans MT"/>
        </w:rPr>
        <w:t>,</w:t>
      </w:r>
      <w:r w:rsidR="00EC0082" w:rsidRPr="0027213C">
        <w:rPr>
          <w:rFonts w:ascii="Gill Sans MT" w:hAnsi="Gill Sans MT"/>
        </w:rPr>
        <w:t xml:space="preserve"> with the independent guidance of the NDA</w:t>
      </w:r>
      <w:r w:rsidR="006955FA">
        <w:rPr>
          <w:rFonts w:ascii="Gill Sans MT" w:hAnsi="Gill Sans MT"/>
        </w:rPr>
        <w:t>,</w:t>
      </w:r>
      <w:r w:rsidR="00EC0082" w:rsidRPr="0027213C">
        <w:rPr>
          <w:rFonts w:ascii="Gill Sans MT" w:hAnsi="Gill Sans MT"/>
        </w:rPr>
        <w:t xml:space="preserve"> to assess the needs of school leavers</w:t>
      </w:r>
      <w:r w:rsidR="00F20AB3" w:rsidRPr="0027213C">
        <w:rPr>
          <w:rFonts w:ascii="Gill Sans MT" w:hAnsi="Gill Sans MT"/>
        </w:rPr>
        <w:t xml:space="preserve"> with disabilities. The system supports the young person to explore alternatives to moving directly to a day service placement</w:t>
      </w:r>
      <w:r w:rsidR="00C3450A">
        <w:rPr>
          <w:rFonts w:ascii="Gill Sans MT" w:hAnsi="Gill Sans MT"/>
        </w:rPr>
        <w:t>,</w:t>
      </w:r>
      <w:r w:rsidR="00F20AB3" w:rsidRPr="0027213C">
        <w:rPr>
          <w:rFonts w:ascii="Gill Sans MT" w:hAnsi="Gill Sans MT"/>
        </w:rPr>
        <w:t xml:space="preserve"> such as </w:t>
      </w:r>
      <w:r w:rsidR="00C3450A">
        <w:rPr>
          <w:rFonts w:ascii="Gill Sans MT" w:hAnsi="Gill Sans MT"/>
        </w:rPr>
        <w:t xml:space="preserve">engaging in </w:t>
      </w:r>
      <w:r w:rsidR="00F20AB3" w:rsidRPr="0027213C">
        <w:rPr>
          <w:rFonts w:ascii="Gill Sans MT" w:hAnsi="Gill Sans MT"/>
        </w:rPr>
        <w:t xml:space="preserve">further education or </w:t>
      </w:r>
      <w:r w:rsidR="00C3450A">
        <w:rPr>
          <w:rFonts w:ascii="Gill Sans MT" w:hAnsi="Gill Sans MT"/>
        </w:rPr>
        <w:t xml:space="preserve">taking up </w:t>
      </w:r>
      <w:r w:rsidR="00F20AB3" w:rsidRPr="0027213C">
        <w:rPr>
          <w:rFonts w:ascii="Gill Sans MT" w:hAnsi="Gill Sans MT"/>
        </w:rPr>
        <w:t>employment.</w:t>
      </w:r>
      <w:r w:rsidR="002F2B58">
        <w:rPr>
          <w:rFonts w:ascii="Gill Sans MT" w:hAnsi="Gill Sans MT"/>
        </w:rPr>
        <w:t xml:space="preserve"> </w:t>
      </w:r>
      <w:r w:rsidR="00962EBD">
        <w:rPr>
          <w:rFonts w:ascii="Gill Sans MT" w:hAnsi="Gill Sans MT"/>
        </w:rPr>
        <w:t>This system</w:t>
      </w:r>
      <w:r w:rsidR="002F2B58">
        <w:rPr>
          <w:rFonts w:ascii="Gill Sans MT" w:hAnsi="Gill Sans MT"/>
        </w:rPr>
        <w:t xml:space="preserve"> also estimates the resources needed to support that person should they go to a day service</w:t>
      </w:r>
      <w:r w:rsidR="00962EBD">
        <w:rPr>
          <w:rFonts w:ascii="Gill Sans MT" w:hAnsi="Gill Sans MT"/>
        </w:rPr>
        <w:t xml:space="preserve">. Some young people are choosing to </w:t>
      </w:r>
      <w:r w:rsidR="002F2B58">
        <w:rPr>
          <w:rFonts w:ascii="Gill Sans MT" w:hAnsi="Gill Sans MT"/>
        </w:rPr>
        <w:t>take up a personalised budget</w:t>
      </w:r>
      <w:r w:rsidR="00962EBD" w:rsidRPr="00233BC4">
        <w:rPr>
          <w:rStyle w:val="FootnoteReference"/>
        </w:rPr>
        <w:footnoteReference w:id="14"/>
      </w:r>
      <w:r w:rsidR="00962EBD">
        <w:rPr>
          <w:rFonts w:ascii="Gill Sans MT" w:hAnsi="Gill Sans MT"/>
        </w:rPr>
        <w:t xml:space="preserve"> as an alternative to attending a day service</w:t>
      </w:r>
      <w:r w:rsidR="002F2B58">
        <w:rPr>
          <w:rFonts w:ascii="Gill Sans MT" w:hAnsi="Gill Sans MT"/>
        </w:rPr>
        <w:t>.</w:t>
      </w:r>
      <w:r w:rsidR="00F20AB3" w:rsidRPr="0027213C">
        <w:rPr>
          <w:rFonts w:ascii="Gill Sans MT" w:hAnsi="Gill Sans MT"/>
        </w:rPr>
        <w:t xml:space="preserve"> </w:t>
      </w:r>
    </w:p>
    <w:p w14:paraId="249C9DBE" w14:textId="63AE455A" w:rsidR="00E21AAA" w:rsidRPr="00E21AAA" w:rsidRDefault="00E21AAA" w:rsidP="00EC0082">
      <w:pPr>
        <w:rPr>
          <w:rFonts w:ascii="Gill Sans MT" w:hAnsi="Gill Sans MT"/>
        </w:rPr>
      </w:pPr>
      <w:r w:rsidRPr="00AB4074">
        <w:rPr>
          <w:rFonts w:ascii="Gill Sans MT" w:hAnsi="Gill Sans MT"/>
        </w:rPr>
        <w:t xml:space="preserve">In 2018, the NCSE </w:t>
      </w:r>
      <w:r>
        <w:rPr>
          <w:rFonts w:ascii="Gill Sans MT" w:hAnsi="Gill Sans MT"/>
        </w:rPr>
        <w:t>published an information resource for school leavers on the post-school options of rehabilitative training and adult day services, including what the services entail, eligibility criteria, and information on how to apply</w:t>
      </w:r>
      <w:r w:rsidR="00E96207">
        <w:rPr>
          <w:rFonts w:ascii="Gill Sans MT" w:hAnsi="Gill Sans MT"/>
        </w:rPr>
        <w:t>.</w:t>
      </w:r>
      <w:r>
        <w:rPr>
          <w:rFonts w:ascii="Gill Sans MT" w:hAnsi="Gill Sans MT"/>
        </w:rPr>
        <w:t xml:space="preserve"> </w:t>
      </w:r>
      <w:r>
        <w:rPr>
          <w:rFonts w:ascii="Gill Sans MT" w:hAnsi="Gill Sans MT"/>
        </w:rPr>
        <w:fldChar w:fldCharType="begin"/>
      </w:r>
      <w:r w:rsidR="00C0772E">
        <w:rPr>
          <w:rFonts w:ascii="Gill Sans MT" w:hAnsi="Gill Sans MT"/>
        </w:rPr>
        <w:instrText xml:space="preserve"> ADDIN ZOTERO_ITEM CSL_CITATION {"citationID":"u8uvWY82","properties":{"formattedCitation":"(45)","plainCitation":"(45)","noteIndex":0},"citationItems":[{"id":176,"uris":["http://zotero.org/users/local/kvLunvBP/items/WS8FNEUV"],"itemData":{"id":176,"type":"report","title":"Leaving School? Information on some post-school options for rehabilitative training and adult day services.","URL":"https://ncse.ie/wp-content/uploads/2018/04/NCSE-Post-School-Options.pdf","author":[{"family":"National Council for Special Education","given":""}],"issued":{"date-parts":[["2018"]]}}}],"schema":"https://github.com/citation-style-language/schema/raw/master/csl-citation.json"} </w:instrText>
      </w:r>
      <w:r>
        <w:rPr>
          <w:rFonts w:ascii="Gill Sans MT" w:hAnsi="Gill Sans MT"/>
        </w:rPr>
        <w:fldChar w:fldCharType="separate"/>
      </w:r>
      <w:r w:rsidR="00C0772E" w:rsidRPr="00C0772E">
        <w:rPr>
          <w:rFonts w:ascii="Gill Sans MT" w:hAnsi="Gill Sans MT"/>
        </w:rPr>
        <w:t>(45)</w:t>
      </w:r>
      <w:r>
        <w:rPr>
          <w:rFonts w:ascii="Gill Sans MT" w:hAnsi="Gill Sans MT"/>
        </w:rPr>
        <w:fldChar w:fldCharType="end"/>
      </w:r>
      <w:r w:rsidR="00E96207">
        <w:rPr>
          <w:rFonts w:ascii="Gill Sans MT" w:hAnsi="Gill Sans MT"/>
        </w:rPr>
        <w:t xml:space="preserve"> </w:t>
      </w:r>
      <w:r>
        <w:rPr>
          <w:rFonts w:ascii="Gill Sans MT" w:hAnsi="Gill Sans MT"/>
        </w:rPr>
        <w:t xml:space="preserve">The resource also signposts other information sources for school leavers and provides a list of useful contacts. </w:t>
      </w:r>
    </w:p>
    <w:p w14:paraId="000A9439" w14:textId="3E787E9E" w:rsidR="006C06EE" w:rsidRPr="00B138FF" w:rsidRDefault="00626162" w:rsidP="00EC0082">
      <w:bookmarkStart w:id="141" w:name="_Hlk180155068"/>
      <w:r>
        <w:rPr>
          <w:rFonts w:ascii="Gill Sans MT" w:hAnsi="Gill Sans MT"/>
        </w:rPr>
        <w:t>In 2019, w</w:t>
      </w:r>
      <w:r w:rsidR="009446E5" w:rsidRPr="009446E5">
        <w:rPr>
          <w:rFonts w:ascii="Gill Sans MT" w:hAnsi="Gill Sans MT"/>
        </w:rPr>
        <w:t xml:space="preserve">ork was </w:t>
      </w:r>
      <w:r w:rsidR="00EC0082" w:rsidRPr="009446E5">
        <w:rPr>
          <w:rFonts w:ascii="Gill Sans MT" w:hAnsi="Gill Sans MT"/>
        </w:rPr>
        <w:t>commenced by</w:t>
      </w:r>
      <w:r w:rsidR="009446E5" w:rsidRPr="009446E5">
        <w:rPr>
          <w:rFonts w:ascii="Gill Sans MT" w:hAnsi="Gill Sans MT"/>
        </w:rPr>
        <w:t xml:space="preserve"> the</w:t>
      </w:r>
      <w:r w:rsidR="00EC0082" w:rsidRPr="009446E5">
        <w:rPr>
          <w:rFonts w:ascii="Gill Sans MT" w:hAnsi="Gill Sans MT"/>
        </w:rPr>
        <w:t xml:space="preserve"> NCSE and</w:t>
      </w:r>
      <w:r w:rsidR="009446E5" w:rsidRPr="009446E5">
        <w:rPr>
          <w:rFonts w:ascii="Gill Sans MT" w:hAnsi="Gill Sans MT"/>
        </w:rPr>
        <w:t xml:space="preserve"> the</w:t>
      </w:r>
      <w:r w:rsidR="00EC0082" w:rsidRPr="009446E5">
        <w:rPr>
          <w:rFonts w:ascii="Gill Sans MT" w:hAnsi="Gill Sans MT"/>
        </w:rPr>
        <w:t xml:space="preserve"> </w:t>
      </w:r>
      <w:r>
        <w:rPr>
          <w:rFonts w:ascii="Gill Sans MT" w:hAnsi="Gill Sans MT"/>
        </w:rPr>
        <w:t xml:space="preserve">HSE </w:t>
      </w:r>
      <w:r w:rsidR="00EC0082" w:rsidRPr="009446E5">
        <w:rPr>
          <w:rFonts w:ascii="Gill Sans MT" w:hAnsi="Gill Sans MT"/>
        </w:rPr>
        <w:t>to consider transition arrangements between HSE-funded services and education, and vice versa.</w:t>
      </w:r>
      <w:r w:rsidR="009446E5">
        <w:rPr>
          <w:rFonts w:ascii="Gill Sans MT" w:hAnsi="Gill Sans MT"/>
        </w:rPr>
        <w:t xml:space="preserve"> In 2022, the Minister for Education and </w:t>
      </w:r>
      <w:r w:rsidR="009545CE">
        <w:rPr>
          <w:rFonts w:ascii="Gill Sans MT" w:hAnsi="Gill Sans MT"/>
        </w:rPr>
        <w:t xml:space="preserve">the </w:t>
      </w:r>
      <w:r w:rsidR="009446E5">
        <w:rPr>
          <w:rFonts w:ascii="Gill Sans MT" w:hAnsi="Gill Sans MT"/>
        </w:rPr>
        <w:t xml:space="preserve">Minister of State for Special Education formally announced a pilot transitions programme to </w:t>
      </w:r>
      <w:r w:rsidR="009446E5" w:rsidRPr="009446E5">
        <w:rPr>
          <w:rFonts w:ascii="Gill Sans MT" w:hAnsi="Gill Sans MT"/>
        </w:rPr>
        <w:t>help young people with disabilities</w:t>
      </w:r>
      <w:r w:rsidR="008D75C4">
        <w:rPr>
          <w:rFonts w:ascii="Gill Sans MT" w:hAnsi="Gill Sans MT"/>
        </w:rPr>
        <w:t>,</w:t>
      </w:r>
      <w:r w:rsidR="009446E5" w:rsidRPr="009446E5">
        <w:rPr>
          <w:rFonts w:ascii="Gill Sans MT" w:hAnsi="Gill Sans MT"/>
        </w:rPr>
        <w:t xml:space="preserve"> </w:t>
      </w:r>
      <w:r w:rsidR="008D75C4" w:rsidRPr="008D75C4">
        <w:rPr>
          <w:rFonts w:ascii="Gill Sans MT" w:hAnsi="Gill Sans MT"/>
        </w:rPr>
        <w:t>in particular those with intellectual disabilities and other complex educational needs</w:t>
      </w:r>
      <w:r w:rsidR="008D75C4">
        <w:rPr>
          <w:rFonts w:ascii="Gill Sans MT" w:hAnsi="Gill Sans MT"/>
        </w:rPr>
        <w:t xml:space="preserve">, </w:t>
      </w:r>
      <w:r w:rsidR="009446E5" w:rsidRPr="009446E5">
        <w:rPr>
          <w:rFonts w:ascii="Gill Sans MT" w:hAnsi="Gill Sans MT"/>
        </w:rPr>
        <w:t xml:space="preserve">to </w:t>
      </w:r>
      <w:r w:rsidR="009545CE">
        <w:rPr>
          <w:rFonts w:ascii="Gill Sans MT" w:hAnsi="Gill Sans MT"/>
        </w:rPr>
        <w:t>navigate</w:t>
      </w:r>
      <w:r w:rsidR="009446E5" w:rsidRPr="009446E5">
        <w:rPr>
          <w:rFonts w:ascii="Gill Sans MT" w:hAnsi="Gill Sans MT"/>
        </w:rPr>
        <w:t xml:space="preserve"> their </w:t>
      </w:r>
      <w:r w:rsidR="009446E5">
        <w:rPr>
          <w:rFonts w:ascii="Gill Sans MT" w:hAnsi="Gill Sans MT"/>
        </w:rPr>
        <w:t>post-school options</w:t>
      </w:r>
      <w:r w:rsidR="008D75C4">
        <w:rPr>
          <w:rFonts w:ascii="Gill Sans MT" w:hAnsi="Gill Sans MT"/>
        </w:rPr>
        <w:t xml:space="preserve">. These may include </w:t>
      </w:r>
      <w:r w:rsidR="00067B72" w:rsidRPr="00067B72">
        <w:rPr>
          <w:rFonts w:ascii="Gill Sans MT" w:hAnsi="Gill Sans MT"/>
        </w:rPr>
        <w:t xml:space="preserve">further education, higher education, day services, placement in apprenticeships, employment, </w:t>
      </w:r>
      <w:r w:rsidR="00067B72">
        <w:rPr>
          <w:rFonts w:ascii="Gill Sans MT" w:hAnsi="Gill Sans MT"/>
        </w:rPr>
        <w:t>or</w:t>
      </w:r>
      <w:r w:rsidR="00067B72" w:rsidRPr="00067B72">
        <w:rPr>
          <w:rFonts w:ascii="Gill Sans MT" w:hAnsi="Gill Sans MT"/>
        </w:rPr>
        <w:t xml:space="preserve"> other personal life choices.</w:t>
      </w:r>
      <w:r w:rsidR="006C06EE">
        <w:rPr>
          <w:rFonts w:ascii="Gill Sans MT" w:hAnsi="Gill Sans MT"/>
        </w:rPr>
        <w:t xml:space="preserve"> </w:t>
      </w:r>
      <w:r w:rsidR="006C06EE">
        <w:rPr>
          <w:rFonts w:ascii="Gill Sans MT" w:hAnsi="Gill Sans MT"/>
        </w:rPr>
        <w:fldChar w:fldCharType="begin"/>
      </w:r>
      <w:r w:rsidR="00C0772E">
        <w:rPr>
          <w:rFonts w:ascii="Gill Sans MT" w:hAnsi="Gill Sans MT"/>
        </w:rPr>
        <w:instrText xml:space="preserve"> ADDIN ZOTERO_ITEM CSL_CITATION {"citationID":"s5Yn5kQV","properties":{"formattedCitation":"(46)","plainCitation":"(46)","noteIndex":0},"citationItems":[{"id":215,"uris":["http://zotero.org/users/local/kvLunvBP/items/QGRHFWXR"],"itemData":{"id":215,"type":"webpage","language":"en","title":"Ministers Foley and Madigan announce pilot project to support young school leavers with disabilities","URL":"https://www.gov.ie/en/press-release/58fb9-ministers-foley-and-madigan-announce-pilot-project-to-support-young-school-leavers-with-disabilities/","author":[{"family":"Department of Education","given":""}],"accessed":{"date-parts":[["2024",7,30]]},"issued":{"date-parts":[["2022",11,10]]}}}],"schema":"https://github.com/citation-style-language/schema/raw/master/csl-citation.json"} </w:instrText>
      </w:r>
      <w:r w:rsidR="006C06EE">
        <w:rPr>
          <w:rFonts w:ascii="Gill Sans MT" w:hAnsi="Gill Sans MT"/>
        </w:rPr>
        <w:fldChar w:fldCharType="separate"/>
      </w:r>
      <w:r w:rsidR="00C0772E" w:rsidRPr="00C0772E">
        <w:rPr>
          <w:rFonts w:ascii="Gill Sans MT" w:hAnsi="Gill Sans MT"/>
        </w:rPr>
        <w:t>(46)</w:t>
      </w:r>
      <w:r w:rsidR="006C06EE">
        <w:rPr>
          <w:rFonts w:ascii="Gill Sans MT" w:hAnsi="Gill Sans MT"/>
        </w:rPr>
        <w:fldChar w:fldCharType="end"/>
      </w:r>
      <w:r w:rsidR="006C06EE" w:rsidRPr="006C06EE">
        <w:t xml:space="preserve"> </w:t>
      </w:r>
      <w:bookmarkStart w:id="142" w:name="_Hlk181869107"/>
      <w:r w:rsidR="006C06EE" w:rsidRPr="006C06EE">
        <w:rPr>
          <w:rFonts w:ascii="Gill Sans MT" w:hAnsi="Gill Sans MT"/>
        </w:rPr>
        <w:t xml:space="preserve">The pilot </w:t>
      </w:r>
      <w:r w:rsidR="006C06EE">
        <w:rPr>
          <w:rFonts w:ascii="Gill Sans MT" w:hAnsi="Gill Sans MT"/>
        </w:rPr>
        <w:t>involve</w:t>
      </w:r>
      <w:r w:rsidR="00F72B45">
        <w:rPr>
          <w:rFonts w:ascii="Gill Sans MT" w:hAnsi="Gill Sans MT"/>
        </w:rPr>
        <w:t>d</w:t>
      </w:r>
      <w:r w:rsidR="006C06EE">
        <w:rPr>
          <w:rFonts w:ascii="Gill Sans MT" w:hAnsi="Gill Sans MT"/>
        </w:rPr>
        <w:t xml:space="preserve"> 20 schools in</w:t>
      </w:r>
      <w:r w:rsidR="006C06EE" w:rsidRPr="006C06EE">
        <w:rPr>
          <w:rFonts w:ascii="Gill Sans MT" w:hAnsi="Gill Sans MT"/>
        </w:rPr>
        <w:t xml:space="preserve"> </w:t>
      </w:r>
      <w:r w:rsidR="006C06EE">
        <w:rPr>
          <w:rFonts w:ascii="Gill Sans MT" w:hAnsi="Gill Sans MT"/>
        </w:rPr>
        <w:t xml:space="preserve">clusters in </w:t>
      </w:r>
      <w:r w:rsidR="006C06EE" w:rsidRPr="006C06EE">
        <w:rPr>
          <w:rFonts w:ascii="Gill Sans MT" w:hAnsi="Gill Sans MT"/>
        </w:rPr>
        <w:t xml:space="preserve">Galway and </w:t>
      </w:r>
      <w:r w:rsidR="006955FA" w:rsidRPr="006C06EE">
        <w:rPr>
          <w:rFonts w:ascii="Gill Sans MT" w:hAnsi="Gill Sans MT"/>
        </w:rPr>
        <w:t xml:space="preserve">Dublin working collaboratively with a project coordinator over </w:t>
      </w:r>
      <w:r w:rsidR="006955FA">
        <w:rPr>
          <w:rFonts w:ascii="Gill Sans MT" w:hAnsi="Gill Sans MT"/>
        </w:rPr>
        <w:t>a two-year period</w:t>
      </w:r>
      <w:r w:rsidR="005962C8">
        <w:rPr>
          <w:rFonts w:ascii="Gill Sans MT" w:hAnsi="Gill Sans MT"/>
        </w:rPr>
        <w:t xml:space="preserve"> </w:t>
      </w:r>
      <w:r w:rsidR="005962C8">
        <w:t xml:space="preserve">(seven mainstream and three special schools in Galway; seven mainstream and three special schools in Dublin). </w:t>
      </w:r>
      <w:bookmarkEnd w:id="142"/>
      <w:r w:rsidR="00786736" w:rsidRPr="00786736">
        <w:rPr>
          <w:rFonts w:ascii="Gill Sans MT" w:hAnsi="Gill Sans MT"/>
        </w:rPr>
        <w:t xml:space="preserve">The pilot project </w:t>
      </w:r>
      <w:r w:rsidR="00786736">
        <w:rPr>
          <w:rFonts w:ascii="Gill Sans MT" w:hAnsi="Gill Sans MT"/>
        </w:rPr>
        <w:t>is being</w:t>
      </w:r>
      <w:r w:rsidR="00786736" w:rsidRPr="00786736">
        <w:rPr>
          <w:rFonts w:ascii="Gill Sans MT" w:hAnsi="Gill Sans MT"/>
        </w:rPr>
        <w:t xml:space="preserve"> overseen by the National Council for Special Education (NCSE)</w:t>
      </w:r>
      <w:r w:rsidR="00786736">
        <w:rPr>
          <w:rFonts w:ascii="Gill Sans MT" w:hAnsi="Gill Sans MT"/>
        </w:rPr>
        <w:t xml:space="preserve"> and the D</w:t>
      </w:r>
      <w:r w:rsidR="00786736" w:rsidRPr="00786736">
        <w:rPr>
          <w:rFonts w:ascii="Gill Sans MT" w:hAnsi="Gill Sans MT"/>
        </w:rPr>
        <w:t xml:space="preserve">epartment </w:t>
      </w:r>
      <w:r w:rsidR="00786736">
        <w:rPr>
          <w:rFonts w:ascii="Gill Sans MT" w:hAnsi="Gill Sans MT"/>
        </w:rPr>
        <w:t xml:space="preserve">of Education </w:t>
      </w:r>
      <w:r w:rsidR="000574C5">
        <w:rPr>
          <w:rFonts w:ascii="Gill Sans MT" w:hAnsi="Gill Sans MT"/>
        </w:rPr>
        <w:t xml:space="preserve">with the involvement of agencies, schools, disability service providers funded by the HSE. The Department of Education </w:t>
      </w:r>
      <w:r w:rsidR="00786736">
        <w:rPr>
          <w:rFonts w:ascii="Gill Sans MT" w:hAnsi="Gill Sans MT"/>
        </w:rPr>
        <w:t>is</w:t>
      </w:r>
      <w:r w:rsidR="00786736" w:rsidRPr="00786736">
        <w:rPr>
          <w:rFonts w:ascii="Gill Sans MT" w:hAnsi="Gill Sans MT"/>
        </w:rPr>
        <w:t xml:space="preserve"> monitor</w:t>
      </w:r>
      <w:r w:rsidR="00786736">
        <w:rPr>
          <w:rFonts w:ascii="Gill Sans MT" w:hAnsi="Gill Sans MT"/>
        </w:rPr>
        <w:t>ing</w:t>
      </w:r>
      <w:r w:rsidR="00786736" w:rsidRPr="00786736">
        <w:rPr>
          <w:rFonts w:ascii="Gill Sans MT" w:hAnsi="Gill Sans MT"/>
        </w:rPr>
        <w:t xml:space="preserve"> the progress of the programme </w:t>
      </w:r>
      <w:r w:rsidR="00786736">
        <w:rPr>
          <w:rFonts w:ascii="Gill Sans MT" w:hAnsi="Gill Sans MT"/>
        </w:rPr>
        <w:t>to examine</w:t>
      </w:r>
      <w:r w:rsidR="00786736" w:rsidRPr="00786736">
        <w:rPr>
          <w:rFonts w:ascii="Gill Sans MT" w:hAnsi="Gill Sans MT"/>
        </w:rPr>
        <w:t xml:space="preserve"> its potential for application to other schools</w:t>
      </w:r>
      <w:r w:rsidR="00E96207">
        <w:rPr>
          <w:rFonts w:ascii="Gill Sans MT" w:hAnsi="Gill Sans MT"/>
        </w:rPr>
        <w:t>.</w:t>
      </w:r>
      <w:r w:rsidR="00786736">
        <w:rPr>
          <w:rFonts w:ascii="Gill Sans MT" w:hAnsi="Gill Sans MT"/>
        </w:rPr>
        <w:t xml:space="preserve"> </w:t>
      </w:r>
      <w:bookmarkEnd w:id="141"/>
      <w:r w:rsidR="00786736">
        <w:rPr>
          <w:rFonts w:ascii="Gill Sans MT" w:hAnsi="Gill Sans MT"/>
        </w:rPr>
        <w:fldChar w:fldCharType="begin"/>
      </w:r>
      <w:r w:rsidR="00C0772E">
        <w:rPr>
          <w:rFonts w:ascii="Gill Sans MT" w:hAnsi="Gill Sans MT"/>
        </w:rPr>
        <w:instrText xml:space="preserve"> ADDIN ZOTERO_ITEM CSL_CITATION {"citationID":"0GBSo8Lr","properties":{"formattedCitation":"(46)","plainCitation":"(46)","noteIndex":0},"citationItems":[{"id":215,"uris":["http://zotero.org/users/local/kvLunvBP/items/QGRHFWXR"],"itemData":{"id":215,"type":"webpage","language":"en","title":"Ministers Foley and Madigan announce pilot project to support young school leavers with disabilities","URL":"https://www.gov.ie/en/press-release/58fb9-ministers-foley-and-madigan-announce-pilot-project-to-support-young-school-leavers-with-disabilities/","author":[{"family":"Department of Education","given":""}],"accessed":{"date-parts":[["2024",7,30]]},"issued":{"date-parts":[["2022",11,10]]}}}],"schema":"https://github.com/citation-style-language/schema/raw/master/csl-citation.json"} </w:instrText>
      </w:r>
      <w:r w:rsidR="00786736">
        <w:rPr>
          <w:rFonts w:ascii="Gill Sans MT" w:hAnsi="Gill Sans MT"/>
        </w:rPr>
        <w:fldChar w:fldCharType="separate"/>
      </w:r>
      <w:r w:rsidR="00C0772E" w:rsidRPr="00C0772E">
        <w:rPr>
          <w:rFonts w:ascii="Gill Sans MT" w:hAnsi="Gill Sans MT"/>
        </w:rPr>
        <w:t>(46)</w:t>
      </w:r>
      <w:r w:rsidR="00786736">
        <w:rPr>
          <w:rFonts w:ascii="Gill Sans MT" w:hAnsi="Gill Sans MT"/>
        </w:rPr>
        <w:fldChar w:fldCharType="end"/>
      </w:r>
    </w:p>
    <w:p w14:paraId="0D742D95" w14:textId="6339B680" w:rsidR="00F72B45" w:rsidRPr="00F72B45" w:rsidRDefault="00F72B45" w:rsidP="00EC0082">
      <w:r w:rsidRPr="007E7F1B">
        <w:t>Initial findings and learnings from the first phase of the pilot indicated that the additional supports were significantly more beneficial to special schools. However, due to the different needs and levels of ability across special schools</w:t>
      </w:r>
      <w:r>
        <w:t>,</w:t>
      </w:r>
      <w:r w:rsidRPr="007E7F1B">
        <w:t xml:space="preserve"> the supports needed to be tailored to meet the individual needs of each school. Based on these initial learnings and to test the pilot further</w:t>
      </w:r>
      <w:r>
        <w:t>,</w:t>
      </w:r>
      <w:r w:rsidRPr="007E7F1B">
        <w:t xml:space="preserve"> it was decided to expand the pilot programme to 41 special schools</w:t>
      </w:r>
      <w:r w:rsidR="00B138FF">
        <w:t xml:space="preserve"> </w:t>
      </w:r>
      <w:r w:rsidRPr="007E7F1B">
        <w:t xml:space="preserve">for the 2024/25 school year. This new phase of the pilot will </w:t>
      </w:r>
      <w:bookmarkStart w:id="143" w:name="_Hlk187996377"/>
      <w:r w:rsidRPr="007E7F1B">
        <w:t>provide additional learnings that will be used to inform the strategic development of guidance policy for all special schools.</w:t>
      </w:r>
      <w:bookmarkEnd w:id="143"/>
    </w:p>
    <w:p w14:paraId="478DDB17" w14:textId="17813476" w:rsidR="00ED4240" w:rsidRPr="00ED4240" w:rsidRDefault="000574C5" w:rsidP="00ED4240">
      <w:pPr>
        <w:spacing w:after="120"/>
      </w:pPr>
      <w:r>
        <w:rPr>
          <w:rFonts w:ascii="Gill Sans MT" w:hAnsi="Gill Sans MT"/>
        </w:rPr>
        <w:t>In addition to the transition</w:t>
      </w:r>
      <w:r w:rsidR="00635135">
        <w:rPr>
          <w:rFonts w:ascii="Gill Sans MT" w:hAnsi="Gill Sans MT"/>
        </w:rPr>
        <w:t>s</w:t>
      </w:r>
      <w:r>
        <w:rPr>
          <w:rFonts w:ascii="Gill Sans MT" w:hAnsi="Gill Sans MT"/>
        </w:rPr>
        <w:t xml:space="preserve"> pilot overseen by the NCSE, </w:t>
      </w:r>
      <w:r>
        <w:t>t</w:t>
      </w:r>
      <w:r w:rsidR="00ED4240" w:rsidRPr="00ED4240">
        <w:t xml:space="preserve">he Department of Education and Walkinstown Association for People with an Intellectual Disability (WALK) have </w:t>
      </w:r>
      <w:r w:rsidR="00635135">
        <w:t>undertaken an</w:t>
      </w:r>
      <w:r w:rsidR="00ED4240" w:rsidRPr="00ED4240">
        <w:t xml:space="preserve"> innovative collaboration </w:t>
      </w:r>
      <w:r w:rsidR="00635135">
        <w:t>on transitions</w:t>
      </w:r>
      <w:r w:rsidR="00ED4240" w:rsidRPr="00ED4240">
        <w:t>. This project is based in</w:t>
      </w:r>
      <w:r w:rsidR="00635135">
        <w:t xml:space="preserve"> </w:t>
      </w:r>
      <w:r w:rsidR="00ED4240" w:rsidRPr="00ED4240">
        <w:t xml:space="preserve">10 schools – </w:t>
      </w:r>
      <w:r w:rsidR="00635135">
        <w:t xml:space="preserve">seven </w:t>
      </w:r>
      <w:r w:rsidR="00ED4240" w:rsidRPr="00ED4240">
        <w:t xml:space="preserve">special schools and </w:t>
      </w:r>
      <w:r w:rsidR="00635135">
        <w:t>three</w:t>
      </w:r>
      <w:r w:rsidR="00ED4240" w:rsidRPr="00ED4240">
        <w:t xml:space="preserve"> post-primary schools – </w:t>
      </w:r>
      <w:r w:rsidR="00E11DFA">
        <w:t xml:space="preserve">and </w:t>
      </w:r>
      <w:r w:rsidR="00ED4240" w:rsidRPr="00ED4240">
        <w:t>deliver</w:t>
      </w:r>
      <w:r w:rsidR="00E11DFA">
        <w:t>s</w:t>
      </w:r>
      <w:r w:rsidR="00ED4240" w:rsidRPr="00ED4240">
        <w:t xml:space="preserve"> the existing WALK PEER Supported Transitions Programme. </w:t>
      </w:r>
      <w:bookmarkStart w:id="144" w:name="_Hlk181869567"/>
      <w:bookmarkStart w:id="145" w:name="_Hlk181869519"/>
      <w:r w:rsidR="00ED4240" w:rsidRPr="00ED4240">
        <w:t>WALK have tried and tested the methodology behind the WALK PEER Supported Transitions Programme</w:t>
      </w:r>
      <w:r w:rsidR="009D5A1B">
        <w:t>.</w:t>
      </w:r>
      <w:r w:rsidR="0002641B">
        <w:t xml:space="preserve"> </w:t>
      </w:r>
      <w:r w:rsidR="0002641B">
        <w:fldChar w:fldCharType="begin"/>
      </w:r>
      <w:r w:rsidR="00C0772E">
        <w:instrText xml:space="preserve"> ADDIN ZOTERO_ITEM CSL_CITATION {"citationID":"ODjkqQ3f","properties":{"formattedCitation":"(47)","plainCitation":"(47)","noteIndex":0},"citationItems":[{"id":332,"uris":["http://zotero.org/users/local/kvLunvBP/items/4G47EYFH"],"itemData":{"id":332,"type":"webpage","title":"Transition stories: Voices of school leavers with intellectual disabilities - Scanlon - 2021 - British Journal of Learning Disabilities - Wiley Online Library","URL":"https://onlinelibrary.wiley.com/doi/full/10.1111/bld.12433","accessed":{"date-parts":[["2024",11,6]]}}}],"schema":"https://github.com/citation-style-language/schema/raw/master/csl-citation.json"} </w:instrText>
      </w:r>
      <w:r w:rsidR="0002641B">
        <w:fldChar w:fldCharType="separate"/>
      </w:r>
      <w:r w:rsidR="00C0772E" w:rsidRPr="00C0772E">
        <w:t>(47)</w:t>
      </w:r>
      <w:r w:rsidR="0002641B">
        <w:fldChar w:fldCharType="end"/>
      </w:r>
      <w:r w:rsidR="00ED4240" w:rsidRPr="00ED4240">
        <w:t xml:space="preserve"> </w:t>
      </w:r>
      <w:bookmarkEnd w:id="144"/>
      <w:bookmarkEnd w:id="145"/>
      <w:r w:rsidR="00ED4240" w:rsidRPr="00ED4240">
        <w:t xml:space="preserve">An important element of the </w:t>
      </w:r>
      <w:r w:rsidR="00273AE2">
        <w:t xml:space="preserve">programme is </w:t>
      </w:r>
      <w:r w:rsidR="00ED4240" w:rsidRPr="00ED4240">
        <w:t>ensuring participating students have all the information they and their families/carers need to make an informed decision about their post-school transition destination. For those who choose to take up places in HSE</w:t>
      </w:r>
      <w:r w:rsidR="00273AE2">
        <w:t>-</w:t>
      </w:r>
      <w:r w:rsidR="00ED4240" w:rsidRPr="00ED4240">
        <w:t>funded Disability services, they exit the WALK PEER Programme and bring their Transition Plan with them to the service of their choice. If they choose to defer the offer of a place in the HSE funded Disability Service, then they continue to be supported by the WALK PEER Programme for up to three years to ensure their transition plan is as successful as possible. Since development of the WALK PEER Programme, no post-school participant has returned to request their place in HSE funded disability services.</w:t>
      </w:r>
      <w:r w:rsidR="00273AE2" w:rsidRPr="00233BC4">
        <w:rPr>
          <w:rStyle w:val="FootnoteReference"/>
        </w:rPr>
        <w:footnoteReference w:id="15"/>
      </w:r>
    </w:p>
    <w:p w14:paraId="00197037" w14:textId="32028793" w:rsidR="009D5A1B" w:rsidRDefault="002A3209" w:rsidP="00EC0082">
      <w:pPr>
        <w:rPr>
          <w:rFonts w:ascii="Gill Sans MT" w:hAnsi="Gill Sans MT"/>
        </w:rPr>
      </w:pPr>
      <w:r>
        <w:rPr>
          <w:rFonts w:ascii="Gill Sans MT" w:hAnsi="Gill Sans MT"/>
        </w:rPr>
        <w:t>A</w:t>
      </w:r>
      <w:r w:rsidR="009D5A1B">
        <w:rPr>
          <w:rFonts w:ascii="Gill Sans MT" w:hAnsi="Gill Sans MT"/>
        </w:rPr>
        <w:t xml:space="preserve"> wide range of post</w:t>
      </w:r>
      <w:r w:rsidR="00FA2016">
        <w:rPr>
          <w:rFonts w:ascii="Gill Sans MT" w:hAnsi="Gill Sans MT"/>
        </w:rPr>
        <w:t>-</w:t>
      </w:r>
      <w:r w:rsidR="009D5A1B">
        <w:rPr>
          <w:rFonts w:ascii="Gill Sans MT" w:hAnsi="Gill Sans MT"/>
        </w:rPr>
        <w:t xml:space="preserve">school options for all learners with disabilities is </w:t>
      </w:r>
      <w:r w:rsidR="00A157F5">
        <w:rPr>
          <w:rFonts w:ascii="Gill Sans MT" w:hAnsi="Gill Sans MT"/>
        </w:rPr>
        <w:t>crucial,</w:t>
      </w:r>
      <w:r>
        <w:rPr>
          <w:rFonts w:ascii="Gill Sans MT" w:hAnsi="Gill Sans MT"/>
        </w:rPr>
        <w:t xml:space="preserve"> and this was </w:t>
      </w:r>
      <w:r w:rsidR="00FA2016">
        <w:rPr>
          <w:rFonts w:ascii="Gill Sans MT" w:hAnsi="Gill Sans MT"/>
        </w:rPr>
        <w:t>clear from</w:t>
      </w:r>
      <w:r w:rsidR="009D5A1B">
        <w:rPr>
          <w:rFonts w:ascii="Gill Sans MT" w:hAnsi="Gill Sans MT"/>
        </w:rPr>
        <w:t xml:space="preserve"> the </w:t>
      </w:r>
      <w:r>
        <w:rPr>
          <w:rFonts w:ascii="Gill Sans MT" w:hAnsi="Gill Sans MT"/>
        </w:rPr>
        <w:t xml:space="preserve">NDA </w:t>
      </w:r>
      <w:r w:rsidR="009D5A1B">
        <w:rPr>
          <w:rFonts w:ascii="Gill Sans MT" w:hAnsi="Gill Sans MT"/>
        </w:rPr>
        <w:t>consultation with young disabled people</w:t>
      </w:r>
      <w:r>
        <w:rPr>
          <w:rFonts w:ascii="Gill Sans MT" w:hAnsi="Gill Sans MT"/>
        </w:rPr>
        <w:t xml:space="preserve"> on career guidance</w:t>
      </w:r>
      <w:r w:rsidR="009D5A1B">
        <w:rPr>
          <w:rFonts w:ascii="Gill Sans MT" w:hAnsi="Gill Sans MT"/>
        </w:rPr>
        <w:t>.</w:t>
      </w:r>
      <w:r w:rsidR="0002641B">
        <w:t xml:space="preserve"> </w:t>
      </w:r>
      <w:r w:rsidR="0002641B">
        <w:fldChar w:fldCharType="begin"/>
      </w:r>
      <w:r w:rsidR="00C0772E">
        <w:instrText xml:space="preserve"> ADDIN ZOTERO_ITEM CSL_CITATION {"citationID":"rEEmMsuR","properties":{"formattedCitation":"(10)","plainCitation":"(10)","noteIndex":0},"citationItems":[{"id":214,"uris":["http://zotero.org/users/local/kvLunvBP/items/Y9Y95KM7"],"itemData":{"id":214,"type":"report","title":"NDA Independent advice on the provision of Career Guidance in schools for learners with disabilities in Ireland","URL":"https://nda.ie/publications/nda-independent-advice-on-the-provision-of-career-guidance-in-schools-for-learners-with-disabilities-in-ireland","author":[{"family":"National Disability Authority","given":""}],"issued":{"date-parts":[["2023"]]}}}],"schema":"https://github.com/citation-style-language/schema/raw/master/csl-citation.json"} </w:instrText>
      </w:r>
      <w:r w:rsidR="0002641B">
        <w:fldChar w:fldCharType="separate"/>
      </w:r>
      <w:r w:rsidR="00C0772E" w:rsidRPr="00C0772E">
        <w:t>(10)</w:t>
      </w:r>
      <w:r w:rsidR="0002641B">
        <w:fldChar w:fldCharType="end"/>
      </w:r>
      <w:r w:rsidR="009D5A1B">
        <w:rPr>
          <w:rFonts w:ascii="Gill Sans MT" w:hAnsi="Gill Sans MT"/>
        </w:rPr>
        <w:t xml:space="preserve"> In addition to the transition</w:t>
      </w:r>
      <w:r w:rsidR="00FA2016">
        <w:rPr>
          <w:rFonts w:ascii="Gill Sans MT" w:hAnsi="Gill Sans MT"/>
        </w:rPr>
        <w:t>s</w:t>
      </w:r>
      <w:r w:rsidR="009D5A1B">
        <w:rPr>
          <w:rFonts w:ascii="Gill Sans MT" w:hAnsi="Gill Sans MT"/>
        </w:rPr>
        <w:t xml:space="preserve"> pilot programmes underway</w:t>
      </w:r>
      <w:r>
        <w:rPr>
          <w:rFonts w:ascii="Gill Sans MT" w:hAnsi="Gill Sans MT"/>
        </w:rPr>
        <w:t xml:space="preserve">, the innovations in PATH 4 funding school extend the access to higher education for young disabled people. </w:t>
      </w:r>
      <w:r w:rsidR="00FA2016">
        <w:rPr>
          <w:rFonts w:ascii="Gill Sans MT" w:hAnsi="Gill Sans MT"/>
        </w:rPr>
        <w:t>Other</w:t>
      </w:r>
      <w:r>
        <w:rPr>
          <w:rFonts w:ascii="Gill Sans MT" w:hAnsi="Gill Sans MT"/>
        </w:rPr>
        <w:t xml:space="preserve"> important options are the</w:t>
      </w:r>
      <w:r w:rsidR="009D5A1B">
        <w:rPr>
          <w:rFonts w:ascii="Gill Sans MT" w:hAnsi="Gill Sans MT"/>
        </w:rPr>
        <w:t xml:space="preserve"> S</w:t>
      </w:r>
      <w:r w:rsidR="00841030">
        <w:rPr>
          <w:rFonts w:ascii="Gill Sans MT" w:hAnsi="Gill Sans MT"/>
        </w:rPr>
        <w:t xml:space="preserve">OLAS </w:t>
      </w:r>
      <w:r>
        <w:rPr>
          <w:rFonts w:ascii="Gill Sans MT" w:hAnsi="Gill Sans MT"/>
        </w:rPr>
        <w:t>provision of</w:t>
      </w:r>
      <w:r w:rsidR="009D5A1B">
        <w:rPr>
          <w:rFonts w:ascii="Gill Sans MT" w:hAnsi="Gill Sans MT"/>
        </w:rPr>
        <w:t xml:space="preserve"> Specialist Training</w:t>
      </w:r>
      <w:r w:rsidR="00841030">
        <w:rPr>
          <w:rFonts w:ascii="Gill Sans MT" w:hAnsi="Gill Sans MT"/>
        </w:rPr>
        <w:t>,</w:t>
      </w:r>
      <w:r w:rsidR="009D5A1B">
        <w:rPr>
          <w:rFonts w:ascii="Gill Sans MT" w:hAnsi="Gill Sans MT"/>
        </w:rPr>
        <w:t xml:space="preserve"> </w:t>
      </w:r>
      <w:r>
        <w:rPr>
          <w:rFonts w:ascii="Gill Sans MT" w:hAnsi="Gill Sans MT"/>
        </w:rPr>
        <w:t>which is currently being reviewed</w:t>
      </w:r>
      <w:r w:rsidR="00841030">
        <w:rPr>
          <w:rFonts w:ascii="Gill Sans MT" w:hAnsi="Gill Sans MT"/>
        </w:rPr>
        <w:t>,</w:t>
      </w:r>
      <w:r w:rsidR="009D5A1B">
        <w:rPr>
          <w:rFonts w:ascii="Gill Sans MT" w:hAnsi="Gill Sans MT"/>
        </w:rPr>
        <w:t xml:space="preserve"> and the HSE </w:t>
      </w:r>
      <w:r>
        <w:rPr>
          <w:rFonts w:ascii="Gill Sans MT" w:hAnsi="Gill Sans MT"/>
        </w:rPr>
        <w:t>provision of</w:t>
      </w:r>
      <w:r w:rsidR="009D5A1B">
        <w:rPr>
          <w:rFonts w:ascii="Gill Sans MT" w:hAnsi="Gill Sans MT"/>
        </w:rPr>
        <w:t xml:space="preserve"> Rehabilitative Training</w:t>
      </w:r>
      <w:r>
        <w:rPr>
          <w:rFonts w:ascii="Gill Sans MT" w:hAnsi="Gill Sans MT"/>
        </w:rPr>
        <w:t xml:space="preserve">, also </w:t>
      </w:r>
      <w:r w:rsidR="00841030">
        <w:rPr>
          <w:rFonts w:ascii="Gill Sans MT" w:hAnsi="Gill Sans MT"/>
        </w:rPr>
        <w:t>currently</w:t>
      </w:r>
      <w:r w:rsidR="00A157F5">
        <w:rPr>
          <w:rFonts w:ascii="Gill Sans MT" w:hAnsi="Gill Sans MT"/>
        </w:rPr>
        <w:t xml:space="preserve"> under review</w:t>
      </w:r>
      <w:r w:rsidR="009D5A1B">
        <w:rPr>
          <w:rFonts w:ascii="Gill Sans MT" w:hAnsi="Gill Sans MT"/>
        </w:rPr>
        <w:t xml:space="preserve">. </w:t>
      </w:r>
      <w:r w:rsidR="00841030">
        <w:rPr>
          <w:rFonts w:ascii="Gill Sans MT" w:hAnsi="Gill Sans MT"/>
        </w:rPr>
        <w:t xml:space="preserve">These </w:t>
      </w:r>
      <w:r w:rsidR="009D5A1B">
        <w:rPr>
          <w:rFonts w:ascii="Gill Sans MT" w:hAnsi="Gill Sans MT"/>
        </w:rPr>
        <w:t xml:space="preserve">options are important steps on the pathway to employment. No information </w:t>
      </w:r>
      <w:r>
        <w:rPr>
          <w:rFonts w:ascii="Gill Sans MT" w:hAnsi="Gill Sans MT"/>
        </w:rPr>
        <w:t>on the</w:t>
      </w:r>
      <w:r w:rsidR="00A157F5">
        <w:rPr>
          <w:rFonts w:ascii="Gill Sans MT" w:hAnsi="Gill Sans MT"/>
        </w:rPr>
        <w:t xml:space="preserve"> outcomes of these reviews was available at the time of publication.</w:t>
      </w:r>
    </w:p>
    <w:p w14:paraId="7CB91859" w14:textId="59FB4B4D" w:rsidR="00EC0082" w:rsidRPr="00610024" w:rsidRDefault="00EC0082" w:rsidP="00EC0082">
      <w:pPr>
        <w:keepNext/>
        <w:spacing w:after="0"/>
        <w:outlineLvl w:val="2"/>
        <w:rPr>
          <w:rFonts w:ascii="Gill Sans MT" w:hAnsi="Gill Sans MT" w:cs="Arial Bold"/>
          <w:b/>
          <w:bCs/>
        </w:rPr>
      </w:pPr>
      <w:bookmarkStart w:id="146" w:name="_Toc182219505"/>
      <w:bookmarkStart w:id="147" w:name="_Toc182220208"/>
      <w:bookmarkStart w:id="148" w:name="_Toc182555556"/>
      <w:r w:rsidRPr="00610024">
        <w:rPr>
          <w:rFonts w:ascii="Gill Sans MT" w:hAnsi="Gill Sans MT" w:cs="Arial Bold"/>
          <w:b/>
          <w:bCs/>
          <w:lang w:eastAsia="en-IE"/>
        </w:rPr>
        <w:t>1.4.5 N</w:t>
      </w:r>
      <w:r w:rsidR="00B11579">
        <w:rPr>
          <w:rFonts w:ascii="Gill Sans MT" w:hAnsi="Gill Sans MT" w:cs="Arial Bold"/>
          <w:b/>
          <w:bCs/>
          <w:lang w:eastAsia="en-IE"/>
        </w:rPr>
        <w:t>umber</w:t>
      </w:r>
      <w:r w:rsidRPr="00610024">
        <w:rPr>
          <w:rFonts w:ascii="Gill Sans MT" w:hAnsi="Gill Sans MT" w:cs="Arial Bold"/>
          <w:b/>
          <w:bCs/>
          <w:lang w:eastAsia="en-IE"/>
        </w:rPr>
        <w:t xml:space="preserve"> of deferrals of adult day services to take up further education and training</w:t>
      </w:r>
      <w:bookmarkEnd w:id="146"/>
      <w:bookmarkEnd w:id="147"/>
      <w:bookmarkEnd w:id="148"/>
      <w:r w:rsidRPr="00610024">
        <w:rPr>
          <w:rFonts w:ascii="Gill Sans MT" w:hAnsi="Gill Sans MT" w:cs="Arial Bold"/>
          <w:b/>
          <w:bCs/>
          <w:lang w:eastAsia="en-IE"/>
        </w:rPr>
        <w:t xml:space="preserve"> </w:t>
      </w:r>
    </w:p>
    <w:p w14:paraId="27C93AA1" w14:textId="59BFF7F1" w:rsidR="002E17CE" w:rsidRDefault="00EC0082" w:rsidP="00EC0082">
      <w:pPr>
        <w:rPr>
          <w:rFonts w:ascii="Gill Sans MT" w:hAnsi="Gill Sans MT"/>
          <w:color w:val="000000"/>
          <w:szCs w:val="26"/>
        </w:rPr>
      </w:pPr>
      <w:r w:rsidRPr="00610024">
        <w:rPr>
          <w:rFonts w:ascii="Gill Sans MT" w:hAnsi="Gill Sans MT"/>
          <w:color w:val="000000"/>
        </w:rPr>
        <w:t>Until 2018</w:t>
      </w:r>
      <w:r w:rsidR="00610024" w:rsidRPr="00610024">
        <w:rPr>
          <w:rFonts w:ascii="Gill Sans MT" w:hAnsi="Gill Sans MT"/>
          <w:color w:val="000000"/>
        </w:rPr>
        <w:t xml:space="preserve">, </w:t>
      </w:r>
      <w:r w:rsidRPr="00610024">
        <w:rPr>
          <w:rFonts w:ascii="Gill Sans MT" w:hAnsi="Gill Sans MT"/>
          <w:color w:val="000000"/>
        </w:rPr>
        <w:t>school leavers with disabilities were assessed and offered a place in an adult day service or in rehabilitative training (RT)</w:t>
      </w:r>
      <w:r w:rsidR="00D13C97">
        <w:rPr>
          <w:rFonts w:ascii="Gill Sans MT" w:hAnsi="Gill Sans MT"/>
          <w:color w:val="000000"/>
        </w:rPr>
        <w:t>, and i</w:t>
      </w:r>
      <w:r w:rsidR="00610024" w:rsidRPr="00610024">
        <w:rPr>
          <w:rFonts w:ascii="Gill Sans MT" w:hAnsi="Gill Sans MT"/>
          <w:color w:val="000000"/>
        </w:rPr>
        <w:t>f</w:t>
      </w:r>
      <w:r w:rsidRPr="00610024">
        <w:rPr>
          <w:rFonts w:ascii="Gill Sans MT" w:hAnsi="Gill Sans MT"/>
          <w:color w:val="000000"/>
        </w:rPr>
        <w:t xml:space="preserve"> the person did not accept this offer, their place </w:t>
      </w:r>
      <w:r w:rsidR="00610024" w:rsidRPr="00610024">
        <w:rPr>
          <w:rFonts w:ascii="Gill Sans MT" w:hAnsi="Gill Sans MT"/>
          <w:color w:val="000000"/>
        </w:rPr>
        <w:t>was lost</w:t>
      </w:r>
      <w:r w:rsidR="00A66906">
        <w:rPr>
          <w:rFonts w:ascii="Gill Sans MT" w:hAnsi="Gill Sans MT"/>
          <w:color w:val="000000"/>
        </w:rPr>
        <w:t>,</w:t>
      </w:r>
      <w:r w:rsidRPr="00610024">
        <w:rPr>
          <w:rFonts w:ascii="Gill Sans MT" w:hAnsi="Gill Sans MT"/>
          <w:color w:val="000000"/>
        </w:rPr>
        <w:t xml:space="preserve"> and it was not possible to re-enter the system. </w:t>
      </w:r>
      <w:r w:rsidR="00610024">
        <w:rPr>
          <w:rFonts w:ascii="Gill Sans MT" w:hAnsi="Gill Sans MT"/>
          <w:color w:val="000000"/>
        </w:rPr>
        <w:t>In acknowledgement that some disabled school leavers wished to enter further education, training, or employment before taking a place in a day service or RT</w:t>
      </w:r>
      <w:r w:rsidR="00610024" w:rsidRPr="00610024">
        <w:rPr>
          <w:rFonts w:ascii="Gill Sans MT" w:hAnsi="Gill Sans MT"/>
          <w:color w:val="000000"/>
        </w:rPr>
        <w:t xml:space="preserve">, </w:t>
      </w:r>
      <w:r w:rsidR="00610024" w:rsidRPr="00610024">
        <w:rPr>
          <w:rFonts w:ascii="Gill Sans MT" w:hAnsi="Gill Sans MT"/>
          <w:color w:val="000000"/>
          <w:szCs w:val="26"/>
        </w:rPr>
        <w:t xml:space="preserve">a </w:t>
      </w:r>
      <w:r w:rsidRPr="00610024">
        <w:rPr>
          <w:rFonts w:ascii="Gill Sans MT" w:hAnsi="Gill Sans MT"/>
          <w:color w:val="000000"/>
          <w:szCs w:val="26"/>
        </w:rPr>
        <w:t>deferral process was piloted in 2018</w:t>
      </w:r>
      <w:r w:rsidR="00610024" w:rsidRPr="00610024">
        <w:rPr>
          <w:rFonts w:ascii="Gill Sans MT" w:hAnsi="Gill Sans MT"/>
          <w:color w:val="000000"/>
          <w:szCs w:val="26"/>
        </w:rPr>
        <w:t xml:space="preserve">. </w:t>
      </w:r>
    </w:p>
    <w:p w14:paraId="1F96EE75" w14:textId="0604F445" w:rsidR="00D05792" w:rsidRDefault="00EC0082" w:rsidP="0017071A">
      <w:r w:rsidRPr="00610024">
        <w:rPr>
          <w:rFonts w:ascii="Gill Sans MT" w:hAnsi="Gill Sans MT"/>
          <w:szCs w:val="26"/>
        </w:rPr>
        <w:t>HSE records show</w:t>
      </w:r>
      <w:r w:rsidR="00610024">
        <w:rPr>
          <w:rFonts w:ascii="Gill Sans MT" w:hAnsi="Gill Sans MT"/>
          <w:szCs w:val="26"/>
        </w:rPr>
        <w:t>ed</w:t>
      </w:r>
      <w:r w:rsidRPr="00610024">
        <w:rPr>
          <w:rFonts w:ascii="Gill Sans MT" w:hAnsi="Gill Sans MT"/>
          <w:szCs w:val="26"/>
        </w:rPr>
        <w:t xml:space="preserve"> that 71 people availed of the pilot deferral process in 2019</w:t>
      </w:r>
      <w:r w:rsidR="00E96207">
        <w:rPr>
          <w:rFonts w:ascii="Gill Sans MT" w:hAnsi="Gill Sans MT"/>
          <w:szCs w:val="26"/>
        </w:rPr>
        <w:t>.</w:t>
      </w:r>
      <w:r w:rsidR="003A48E3">
        <w:rPr>
          <w:rFonts w:ascii="Gill Sans MT" w:hAnsi="Gill Sans MT"/>
          <w:szCs w:val="26"/>
        </w:rPr>
        <w:t xml:space="preserve"> </w:t>
      </w:r>
      <w:r w:rsidR="003A48E3">
        <w:rPr>
          <w:rFonts w:ascii="Gill Sans MT" w:hAnsi="Gill Sans MT"/>
          <w:szCs w:val="26"/>
        </w:rPr>
        <w:fldChar w:fldCharType="begin"/>
      </w:r>
      <w:r w:rsidR="003A48E3">
        <w:rPr>
          <w:rFonts w:ascii="Gill Sans MT" w:hAnsi="Gill Sans MT"/>
          <w:szCs w:val="26"/>
        </w:rPr>
        <w:instrText xml:space="preserve"> ADDIN ZOTERO_ITEM CSL_CITATION {"citationID":"Gq5Q06Ly","properties":{"formattedCitation":"(4)","plainCitation":"(4)","noteIndex":0},"citationItems":[{"id":189,"uris":["http://zotero.org/users/local/kvLunvBP/items/GF4CIXZT"],"itemData":{"id":189,"type":"report","abstract":"Provides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sidR="003A48E3">
        <w:rPr>
          <w:rFonts w:ascii="Gill Sans MT" w:hAnsi="Gill Sans MT"/>
          <w:szCs w:val="26"/>
        </w:rPr>
        <w:fldChar w:fldCharType="separate"/>
      </w:r>
      <w:r w:rsidR="003A48E3" w:rsidRPr="003A48E3">
        <w:rPr>
          <w:rFonts w:ascii="Gill Sans MT" w:hAnsi="Gill Sans MT"/>
        </w:rPr>
        <w:t>(4)</w:t>
      </w:r>
      <w:r w:rsidR="003A48E3">
        <w:rPr>
          <w:rFonts w:ascii="Gill Sans MT" w:hAnsi="Gill Sans MT"/>
          <w:szCs w:val="26"/>
        </w:rPr>
        <w:fldChar w:fldCharType="end"/>
      </w:r>
      <w:r w:rsidRPr="00610024">
        <w:rPr>
          <w:rFonts w:ascii="Gill Sans MT" w:hAnsi="Gill Sans MT"/>
          <w:szCs w:val="26"/>
        </w:rPr>
        <w:t xml:space="preserve"> </w:t>
      </w:r>
      <w:r w:rsidR="0017071A" w:rsidRPr="0017071A">
        <w:rPr>
          <w:rFonts w:ascii="Gill Sans MT" w:hAnsi="Gill Sans MT"/>
          <w:szCs w:val="26"/>
        </w:rPr>
        <w:t>As of December 2020</w:t>
      </w:r>
      <w:r w:rsidR="002E17CE">
        <w:rPr>
          <w:rFonts w:ascii="Gill Sans MT" w:hAnsi="Gill Sans MT"/>
          <w:szCs w:val="26"/>
        </w:rPr>
        <w:t xml:space="preserve"> this had increased to</w:t>
      </w:r>
      <w:r w:rsidR="0017071A" w:rsidRPr="0017071A">
        <w:rPr>
          <w:rFonts w:ascii="Gill Sans MT" w:hAnsi="Gill Sans MT"/>
          <w:szCs w:val="26"/>
        </w:rPr>
        <w:t xml:space="preserve"> 206 young</w:t>
      </w:r>
      <w:r w:rsidR="00476090">
        <w:rPr>
          <w:rFonts w:ascii="Gill Sans MT" w:hAnsi="Gill Sans MT"/>
          <w:szCs w:val="26"/>
        </w:rPr>
        <w:t xml:space="preserve"> people</w:t>
      </w:r>
      <w:r w:rsidR="0017071A">
        <w:rPr>
          <w:rFonts w:ascii="Gill Sans MT" w:hAnsi="Gill Sans MT"/>
          <w:szCs w:val="26"/>
        </w:rPr>
        <w:t>. Of these</w:t>
      </w:r>
      <w:r w:rsidR="0017071A" w:rsidRPr="0017071A">
        <w:rPr>
          <w:rFonts w:ascii="Gill Sans MT" w:hAnsi="Gill Sans MT"/>
          <w:szCs w:val="26"/>
        </w:rPr>
        <w:t>, only 14 returned to access a day service</w:t>
      </w:r>
      <w:r w:rsidR="00476090">
        <w:rPr>
          <w:rFonts w:ascii="Gill Sans MT" w:hAnsi="Gill Sans MT"/>
          <w:szCs w:val="26"/>
        </w:rPr>
        <w:t>,</w:t>
      </w:r>
      <w:r w:rsidR="0017071A">
        <w:rPr>
          <w:rFonts w:ascii="Gill Sans MT" w:hAnsi="Gill Sans MT"/>
          <w:szCs w:val="26"/>
        </w:rPr>
        <w:t xml:space="preserve"> and</w:t>
      </w:r>
      <w:r w:rsidR="0017071A" w:rsidRPr="0017071A">
        <w:rPr>
          <w:rFonts w:ascii="Gill Sans MT" w:hAnsi="Gill Sans MT"/>
          <w:szCs w:val="26"/>
        </w:rPr>
        <w:t xml:space="preserve"> 27 cho</w:t>
      </w:r>
      <w:r w:rsidR="0017071A">
        <w:rPr>
          <w:rFonts w:ascii="Gill Sans MT" w:hAnsi="Gill Sans MT"/>
          <w:szCs w:val="26"/>
        </w:rPr>
        <w:t xml:space="preserve">se </w:t>
      </w:r>
      <w:r w:rsidR="0017071A" w:rsidRPr="0017071A">
        <w:rPr>
          <w:rFonts w:ascii="Gill Sans MT" w:hAnsi="Gill Sans MT"/>
          <w:szCs w:val="26"/>
        </w:rPr>
        <w:t>to be removed from the deferral list entirely</w:t>
      </w:r>
      <w:r w:rsidR="00E96207">
        <w:rPr>
          <w:rFonts w:ascii="Gill Sans MT" w:hAnsi="Gill Sans MT"/>
          <w:szCs w:val="26"/>
        </w:rPr>
        <w:t>.</w:t>
      </w:r>
      <w:r w:rsidR="00701CAE">
        <w:rPr>
          <w:rFonts w:ascii="Gill Sans MT" w:hAnsi="Gill Sans MT"/>
          <w:szCs w:val="26"/>
        </w:rPr>
        <w:t xml:space="preserve"> </w:t>
      </w:r>
      <w:r w:rsidR="00701CAE">
        <w:rPr>
          <w:rFonts w:ascii="Gill Sans MT" w:hAnsi="Gill Sans MT"/>
          <w:szCs w:val="26"/>
        </w:rPr>
        <w:fldChar w:fldCharType="begin"/>
      </w:r>
      <w:r w:rsidR="00C0772E">
        <w:rPr>
          <w:rFonts w:ascii="Gill Sans MT" w:hAnsi="Gill Sans MT"/>
          <w:szCs w:val="26"/>
        </w:rPr>
        <w:instrText xml:space="preserve"> ADDIN ZOTERO_ITEM CSL_CITATION {"citationID":"G2MCwHzB","properties":{"formattedCitation":"(48)","plainCitation":"(48)","noteIndex":0},"citationItems":[{"id":217,"uris":["http://zotero.org/users/local/kvLunvBP/items/RMEF49TY"],"itemData":{"id":217,"type":"webpage","language":"en","title":"Minister for Disabilities announces the HSE deferral of its day service placement for school leavers with disabilities","URL":"https://www.gov.ie/en/press-release/b47f4-minister-for-disabilities-announces-the-hse-deferral-of-its-day-service-placement-for-school-leavers-with-disabilities/","author":[{"family":"Department of Health","given":""}],"accessed":{"date-parts":[["2024",7,30]]},"issued":{"date-parts":[["2021",9,10]]}}}],"schema":"https://github.com/citation-style-language/schema/raw/master/csl-citation.json"} </w:instrText>
      </w:r>
      <w:r w:rsidR="00701CAE">
        <w:rPr>
          <w:rFonts w:ascii="Gill Sans MT" w:hAnsi="Gill Sans MT"/>
          <w:szCs w:val="26"/>
        </w:rPr>
        <w:fldChar w:fldCharType="separate"/>
      </w:r>
      <w:r w:rsidR="00C0772E" w:rsidRPr="00C0772E">
        <w:rPr>
          <w:rFonts w:ascii="Gill Sans MT" w:hAnsi="Gill Sans MT"/>
        </w:rPr>
        <w:t>(48)</w:t>
      </w:r>
      <w:r w:rsidR="00701CAE">
        <w:rPr>
          <w:rFonts w:ascii="Gill Sans MT" w:hAnsi="Gill Sans MT"/>
          <w:szCs w:val="26"/>
        </w:rPr>
        <w:fldChar w:fldCharType="end"/>
      </w:r>
      <w:r w:rsidR="002E17CE">
        <w:t xml:space="preserve"> </w:t>
      </w:r>
      <w:r w:rsidR="00701CAE">
        <w:t>By</w:t>
      </w:r>
      <w:r w:rsidR="0017071A">
        <w:t xml:space="preserve"> 2024,</w:t>
      </w:r>
      <w:r w:rsidR="00D05792">
        <w:t xml:space="preserve"> 448 young people </w:t>
      </w:r>
      <w:r w:rsidR="00096339">
        <w:t xml:space="preserve">had </w:t>
      </w:r>
      <w:r w:rsidR="0017071A">
        <w:t>chose</w:t>
      </w:r>
      <w:r w:rsidR="00096339">
        <w:t>n</w:t>
      </w:r>
      <w:r w:rsidR="00D05792">
        <w:t xml:space="preserve"> to defer their acceptance of a day service </w:t>
      </w:r>
      <w:r w:rsidR="0017071A">
        <w:t>to pursue other</w:t>
      </w:r>
      <w:r w:rsidR="00D05792">
        <w:t xml:space="preserve"> pathways</w:t>
      </w:r>
      <w:r w:rsidR="007F2B66">
        <w:t>,</w:t>
      </w:r>
      <w:r w:rsidR="0017071A">
        <w:t xml:space="preserve"> </w:t>
      </w:r>
      <w:r w:rsidR="00096339">
        <w:t>31 of whom</w:t>
      </w:r>
      <w:r w:rsidR="00D05792">
        <w:t xml:space="preserve"> returned to commence a disability day service</w:t>
      </w:r>
      <w:r w:rsidR="0017071A">
        <w:t xml:space="preserve">, </w:t>
      </w:r>
      <w:r w:rsidR="007F2B66">
        <w:t xml:space="preserve">with </w:t>
      </w:r>
      <w:r w:rsidR="00D05792">
        <w:t>368 people continu</w:t>
      </w:r>
      <w:r w:rsidR="007F2B66">
        <w:t>ing</w:t>
      </w:r>
      <w:r w:rsidR="00D05792">
        <w:t xml:space="preserve"> to defer their placement</w:t>
      </w:r>
      <w:r w:rsidR="00E96207">
        <w:t>.</w:t>
      </w:r>
      <w:r w:rsidR="00701CAE">
        <w:t xml:space="preserve"> </w:t>
      </w:r>
      <w:r w:rsidR="00701CAE">
        <w:rPr>
          <w:rFonts w:ascii="Gill Sans MT" w:hAnsi="Gill Sans MT"/>
          <w:szCs w:val="26"/>
        </w:rPr>
        <w:fldChar w:fldCharType="begin"/>
      </w:r>
      <w:r w:rsidR="00C0772E">
        <w:rPr>
          <w:rFonts w:ascii="Gill Sans MT" w:hAnsi="Gill Sans MT"/>
          <w:szCs w:val="26"/>
        </w:rPr>
        <w:instrText xml:space="preserve"> ADDIN ZOTERO_ITEM CSL_CITATION {"citationID":"olTRAjIA","properties":{"formattedCitation":"(49)","plainCitation":"(49)","noteIndex":0},"citationItems":[{"id":216,"uris":["http://zotero.org/users/local/kvLunvBP/items/FIKIFGFM"],"itemData":{"id":216,"type":"webpage","language":"en","title":"Minister Rabbitte announces extension to deferral process for school leavers entering a disability day service","URL":"https://www.gov.ie/en/press-release/cc427-minister-rabbitte-announces-extension-to-deferral-process-for-school-leavers-entering-a-disability-day-service/","author":[{"family":"Department of Children, Equality, Disabiity, Integration and Youth","given":""}],"accessed":{"date-parts":[["2024",7,30]]},"issued":{"date-parts":[["2024",6,14]]}}}],"schema":"https://github.com/citation-style-language/schema/raw/master/csl-citation.json"} </w:instrText>
      </w:r>
      <w:r w:rsidR="00701CAE">
        <w:rPr>
          <w:rFonts w:ascii="Gill Sans MT" w:hAnsi="Gill Sans MT"/>
          <w:szCs w:val="26"/>
        </w:rPr>
        <w:fldChar w:fldCharType="separate"/>
      </w:r>
      <w:r w:rsidR="00C0772E" w:rsidRPr="00C0772E">
        <w:rPr>
          <w:rFonts w:ascii="Gill Sans MT" w:hAnsi="Gill Sans MT"/>
        </w:rPr>
        <w:t>(49)</w:t>
      </w:r>
      <w:r w:rsidR="00701CAE">
        <w:rPr>
          <w:rFonts w:ascii="Gill Sans MT" w:hAnsi="Gill Sans MT"/>
          <w:szCs w:val="26"/>
        </w:rPr>
        <w:fldChar w:fldCharType="end"/>
      </w:r>
    </w:p>
    <w:p w14:paraId="65F1115D" w14:textId="2E36263D" w:rsidR="00610024" w:rsidRDefault="00F243DC" w:rsidP="00EC0082">
      <w:pPr>
        <w:rPr>
          <w:rFonts w:ascii="Gill Sans MT" w:hAnsi="Gill Sans MT"/>
          <w:szCs w:val="26"/>
        </w:rPr>
      </w:pPr>
      <w:r w:rsidRPr="00F243DC">
        <w:rPr>
          <w:rFonts w:ascii="Gill Sans MT" w:hAnsi="Gill Sans MT"/>
          <w:szCs w:val="26"/>
        </w:rPr>
        <w:t xml:space="preserve">The deferral process </w:t>
      </w:r>
      <w:r>
        <w:rPr>
          <w:rFonts w:ascii="Gill Sans MT" w:hAnsi="Gill Sans MT"/>
          <w:szCs w:val="26"/>
        </w:rPr>
        <w:t>was</w:t>
      </w:r>
      <w:r w:rsidRPr="00F243DC">
        <w:rPr>
          <w:rFonts w:ascii="Gill Sans MT" w:hAnsi="Gill Sans MT"/>
          <w:szCs w:val="26"/>
        </w:rPr>
        <w:t xml:space="preserve"> place</w:t>
      </w:r>
      <w:r>
        <w:rPr>
          <w:rFonts w:ascii="Gill Sans MT" w:hAnsi="Gill Sans MT"/>
          <w:szCs w:val="26"/>
        </w:rPr>
        <w:t>d</w:t>
      </w:r>
      <w:r w:rsidRPr="00F243DC">
        <w:rPr>
          <w:rFonts w:ascii="Gill Sans MT" w:hAnsi="Gill Sans MT"/>
          <w:szCs w:val="26"/>
        </w:rPr>
        <w:t xml:space="preserve"> on a permanent footing for all young people </w:t>
      </w:r>
      <w:r w:rsidR="00953D76" w:rsidRPr="00F243DC">
        <w:rPr>
          <w:rFonts w:ascii="Gill Sans MT" w:hAnsi="Gill Sans MT"/>
          <w:szCs w:val="26"/>
        </w:rPr>
        <w:t>leaving</w:t>
      </w:r>
      <w:r w:rsidRPr="00F243DC">
        <w:rPr>
          <w:rFonts w:ascii="Gill Sans MT" w:hAnsi="Gill Sans MT"/>
          <w:szCs w:val="26"/>
        </w:rPr>
        <w:t xml:space="preserve"> school and rehabilitative training from September 2022</w:t>
      </w:r>
      <w:r w:rsidR="00E96207">
        <w:rPr>
          <w:rFonts w:ascii="Gill Sans MT" w:hAnsi="Gill Sans MT"/>
          <w:szCs w:val="26"/>
        </w:rPr>
        <w:t>.</w:t>
      </w:r>
      <w:r w:rsidR="00701CAE">
        <w:rPr>
          <w:rFonts w:ascii="Gill Sans MT" w:hAnsi="Gill Sans MT"/>
          <w:szCs w:val="26"/>
        </w:rPr>
        <w:t xml:space="preserve"> </w:t>
      </w:r>
      <w:r w:rsidR="00701CAE">
        <w:rPr>
          <w:rFonts w:ascii="Gill Sans MT" w:hAnsi="Gill Sans MT"/>
          <w:szCs w:val="26"/>
        </w:rPr>
        <w:fldChar w:fldCharType="begin"/>
      </w:r>
      <w:r w:rsidR="00C0772E">
        <w:rPr>
          <w:rFonts w:ascii="Gill Sans MT" w:hAnsi="Gill Sans MT"/>
          <w:szCs w:val="26"/>
        </w:rPr>
        <w:instrText xml:space="preserve"> ADDIN ZOTERO_ITEM CSL_CITATION {"citationID":"LyQkPOdR","properties":{"formattedCitation":"(48)","plainCitation":"(48)","noteIndex":0},"citationItems":[{"id":217,"uris":["http://zotero.org/users/local/kvLunvBP/items/RMEF49TY"],"itemData":{"id":217,"type":"webpage","language":"en","title":"Minister for Disabilities announces the HSE deferral of its day service placement for school leavers with disabilities","URL":"https://www.gov.ie/en/press-release/b47f4-minister-for-disabilities-announces-the-hse-deferral-of-its-day-service-placement-for-school-leavers-with-disabilities/","author":[{"family":"Department of Health","given":""}],"accessed":{"date-parts":[["2024",7,30]]},"issued":{"date-parts":[["2021",9,10]]}}}],"schema":"https://github.com/citation-style-language/schema/raw/master/csl-citation.json"} </w:instrText>
      </w:r>
      <w:r w:rsidR="00701CAE">
        <w:rPr>
          <w:rFonts w:ascii="Gill Sans MT" w:hAnsi="Gill Sans MT"/>
          <w:szCs w:val="26"/>
        </w:rPr>
        <w:fldChar w:fldCharType="separate"/>
      </w:r>
      <w:r w:rsidR="00C0772E" w:rsidRPr="00C0772E">
        <w:rPr>
          <w:rFonts w:ascii="Gill Sans MT" w:hAnsi="Gill Sans MT"/>
        </w:rPr>
        <w:t>(48)</w:t>
      </w:r>
      <w:r w:rsidR="00701CAE">
        <w:rPr>
          <w:rFonts w:ascii="Gill Sans MT" w:hAnsi="Gill Sans MT"/>
          <w:szCs w:val="26"/>
        </w:rPr>
        <w:fldChar w:fldCharType="end"/>
      </w:r>
      <w:r>
        <w:rPr>
          <w:rFonts w:ascii="Gill Sans MT" w:hAnsi="Gill Sans MT"/>
          <w:szCs w:val="26"/>
        </w:rPr>
        <w:t xml:space="preserve"> </w:t>
      </w:r>
    </w:p>
    <w:p w14:paraId="73338146" w14:textId="63B04240" w:rsidR="000A158A" w:rsidRPr="00476090" w:rsidRDefault="00685B03" w:rsidP="00EC0082">
      <w:pPr>
        <w:rPr>
          <w:rFonts w:ascii="Gill Sans MT" w:hAnsi="Gill Sans MT"/>
        </w:rPr>
      </w:pPr>
      <w:r w:rsidRPr="000A158A">
        <w:rPr>
          <w:rFonts w:ascii="Gill Sans MT" w:hAnsi="Gill Sans MT"/>
          <w:szCs w:val="26"/>
        </w:rPr>
        <w:t xml:space="preserve">In June 2024, </w:t>
      </w:r>
      <w:r>
        <w:rPr>
          <w:rFonts w:ascii="Gill Sans MT" w:hAnsi="Gill Sans MT"/>
          <w:szCs w:val="26"/>
        </w:rPr>
        <w:t>it was announced that the option for school leavers</w:t>
      </w:r>
      <w:r w:rsidRPr="000A158A">
        <w:rPr>
          <w:rFonts w:ascii="Gill Sans MT" w:hAnsi="Gill Sans MT"/>
          <w:szCs w:val="26"/>
        </w:rPr>
        <w:t xml:space="preserve"> to defer a specialist disability day service </w:t>
      </w:r>
      <w:r>
        <w:rPr>
          <w:rFonts w:ascii="Gill Sans MT" w:hAnsi="Gill Sans MT"/>
          <w:szCs w:val="26"/>
        </w:rPr>
        <w:t>was</w:t>
      </w:r>
      <w:r w:rsidRPr="000A158A">
        <w:rPr>
          <w:rFonts w:ascii="Gill Sans MT" w:hAnsi="Gill Sans MT"/>
          <w:szCs w:val="26"/>
        </w:rPr>
        <w:t xml:space="preserve"> extended </w:t>
      </w:r>
      <w:r w:rsidR="008561FE">
        <w:rPr>
          <w:rFonts w:ascii="Gill Sans MT" w:hAnsi="Gill Sans MT"/>
          <w:szCs w:val="26"/>
        </w:rPr>
        <w:t>by three</w:t>
      </w:r>
      <w:r w:rsidRPr="000A158A">
        <w:rPr>
          <w:rFonts w:ascii="Gill Sans MT" w:hAnsi="Gill Sans MT"/>
          <w:szCs w:val="26"/>
        </w:rPr>
        <w:t xml:space="preserve"> years to </w:t>
      </w:r>
      <w:r w:rsidR="008561FE">
        <w:rPr>
          <w:rFonts w:ascii="Gill Sans MT" w:hAnsi="Gill Sans MT"/>
          <w:szCs w:val="26"/>
        </w:rPr>
        <w:t>five</w:t>
      </w:r>
      <w:r w:rsidRPr="000A158A">
        <w:rPr>
          <w:rFonts w:ascii="Gill Sans MT" w:hAnsi="Gill Sans MT"/>
          <w:szCs w:val="26"/>
        </w:rPr>
        <w:t xml:space="preserve"> years</w:t>
      </w:r>
      <w:r>
        <w:rPr>
          <w:rFonts w:ascii="Gill Sans MT" w:hAnsi="Gill Sans MT"/>
          <w:szCs w:val="26"/>
        </w:rPr>
        <w:t xml:space="preserve"> by the HSE</w:t>
      </w:r>
      <w:r w:rsidR="00E96207">
        <w:rPr>
          <w:rFonts w:ascii="Gill Sans MT" w:hAnsi="Gill Sans MT"/>
          <w:szCs w:val="26"/>
        </w:rPr>
        <w:t>.</w:t>
      </w:r>
      <w:r w:rsidR="00701CAE">
        <w:rPr>
          <w:rFonts w:ascii="Gill Sans MT" w:hAnsi="Gill Sans MT"/>
          <w:szCs w:val="26"/>
        </w:rPr>
        <w:t xml:space="preserve"> </w:t>
      </w:r>
      <w:r w:rsidR="00701CAE">
        <w:rPr>
          <w:rFonts w:ascii="Gill Sans MT" w:hAnsi="Gill Sans MT"/>
          <w:szCs w:val="26"/>
        </w:rPr>
        <w:fldChar w:fldCharType="begin"/>
      </w:r>
      <w:r w:rsidR="00C0772E">
        <w:rPr>
          <w:rFonts w:ascii="Gill Sans MT" w:hAnsi="Gill Sans MT"/>
          <w:szCs w:val="26"/>
        </w:rPr>
        <w:instrText xml:space="preserve"> ADDIN ZOTERO_ITEM CSL_CITATION {"citationID":"yLZSehnX","properties":{"formattedCitation":"(49)","plainCitation":"(49)","noteIndex":0},"citationItems":[{"id":216,"uris":["http://zotero.org/users/local/kvLunvBP/items/FIKIFGFM"],"itemData":{"id":216,"type":"webpage","language":"en","title":"Minister Rabbitte announces extension to deferral process for school leavers entering a disability day service","URL":"https://www.gov.ie/en/press-release/cc427-minister-rabbitte-announces-extension-to-deferral-process-for-school-leavers-entering-a-disability-day-service/","author":[{"family":"Department of Children, Equality, Disabiity, Integration and Youth","given":""}],"accessed":{"date-parts":[["2024",7,30]]},"issued":{"date-parts":[["2024",6,14]]}}}],"schema":"https://github.com/citation-style-language/schema/raw/master/csl-citation.json"} </w:instrText>
      </w:r>
      <w:r w:rsidR="00701CAE">
        <w:rPr>
          <w:rFonts w:ascii="Gill Sans MT" w:hAnsi="Gill Sans MT"/>
          <w:szCs w:val="26"/>
        </w:rPr>
        <w:fldChar w:fldCharType="separate"/>
      </w:r>
      <w:r w:rsidR="00C0772E" w:rsidRPr="00C0772E">
        <w:rPr>
          <w:rFonts w:ascii="Gill Sans MT" w:hAnsi="Gill Sans MT"/>
        </w:rPr>
        <w:t>(49)</w:t>
      </w:r>
      <w:r w:rsidR="00701CAE">
        <w:rPr>
          <w:rFonts w:ascii="Gill Sans MT" w:hAnsi="Gill Sans MT"/>
          <w:szCs w:val="26"/>
        </w:rPr>
        <w:fldChar w:fldCharType="end"/>
      </w:r>
      <w:r w:rsidR="002E17CE">
        <w:rPr>
          <w:rFonts w:ascii="Gill Sans MT" w:hAnsi="Gill Sans MT"/>
          <w:szCs w:val="26"/>
        </w:rPr>
        <w:t xml:space="preserve"> </w:t>
      </w:r>
    </w:p>
    <w:p w14:paraId="59BBC158" w14:textId="77777777" w:rsidR="00EC0082" w:rsidRPr="00384C64" w:rsidRDefault="00EC0082" w:rsidP="00EC0082">
      <w:pPr>
        <w:keepNext/>
        <w:spacing w:after="60"/>
        <w:outlineLvl w:val="1"/>
        <w:rPr>
          <w:rFonts w:ascii="Gill Sans MT" w:hAnsi="Gill Sans MT" w:cs="Arial Bold"/>
          <w:b/>
          <w:bCs/>
          <w:iCs/>
          <w:sz w:val="28"/>
          <w:szCs w:val="28"/>
          <w:lang w:eastAsia="en-IE"/>
        </w:rPr>
      </w:pPr>
      <w:bookmarkStart w:id="149" w:name="_Toc182219506"/>
      <w:bookmarkStart w:id="150" w:name="_Toc182220209"/>
      <w:bookmarkStart w:id="151" w:name="_Toc182555557"/>
      <w:bookmarkStart w:id="152" w:name="_Toc182555714"/>
      <w:r w:rsidRPr="00384C64">
        <w:rPr>
          <w:rFonts w:ascii="Gill Sans MT" w:hAnsi="Gill Sans MT" w:cs="Arial Bold"/>
          <w:b/>
          <w:bCs/>
          <w:iCs/>
          <w:sz w:val="28"/>
          <w:szCs w:val="28"/>
          <w:lang w:eastAsia="en-IE"/>
        </w:rPr>
        <w:t>1.5 Destination of persons exiting Rehabilitative Training – i.e. to work, further education and training, or other (Outcome)</w:t>
      </w:r>
      <w:bookmarkEnd w:id="149"/>
      <w:bookmarkEnd w:id="150"/>
      <w:bookmarkEnd w:id="151"/>
      <w:bookmarkEnd w:id="152"/>
    </w:p>
    <w:p w14:paraId="58C3C2DA" w14:textId="1B9F5700" w:rsidR="00384C64" w:rsidRDefault="00EC0082" w:rsidP="00EC0082">
      <w:pPr>
        <w:rPr>
          <w:rFonts w:ascii="Gill Sans MT" w:hAnsi="Gill Sans MT"/>
          <w:szCs w:val="26"/>
          <w:highlight w:val="yellow"/>
          <w:lang w:eastAsia="en-IE"/>
        </w:rPr>
      </w:pPr>
      <w:r w:rsidRPr="004D05A1">
        <w:rPr>
          <w:rFonts w:ascii="Gill Sans MT" w:hAnsi="Gill Sans MT"/>
          <w:szCs w:val="26"/>
          <w:lang w:eastAsia="en-IE"/>
        </w:rPr>
        <w:t>Rehabilitative training</w:t>
      </w:r>
      <w:r w:rsidR="005630B7">
        <w:rPr>
          <w:rFonts w:ascii="Gill Sans MT" w:hAnsi="Gill Sans MT"/>
          <w:szCs w:val="26"/>
          <w:lang w:eastAsia="en-IE"/>
        </w:rPr>
        <w:t xml:space="preserve"> (RT)</w:t>
      </w:r>
      <w:r w:rsidRPr="004D05A1">
        <w:rPr>
          <w:rFonts w:ascii="Gill Sans MT" w:hAnsi="Gill Sans MT"/>
          <w:szCs w:val="26"/>
          <w:lang w:eastAsia="en-IE"/>
        </w:rPr>
        <w:t xml:space="preserve"> is a training programme of up to </w:t>
      </w:r>
      <w:r w:rsidR="005630B7">
        <w:rPr>
          <w:rFonts w:ascii="Gill Sans MT" w:hAnsi="Gill Sans MT"/>
          <w:szCs w:val="26"/>
          <w:lang w:eastAsia="en-IE"/>
        </w:rPr>
        <w:t>four</w:t>
      </w:r>
      <w:r w:rsidRPr="004D05A1">
        <w:rPr>
          <w:rFonts w:ascii="Gill Sans MT" w:hAnsi="Gill Sans MT"/>
          <w:szCs w:val="26"/>
          <w:lang w:eastAsia="en-IE"/>
        </w:rPr>
        <w:t xml:space="preserve"> years</w:t>
      </w:r>
      <w:r w:rsidR="00251454">
        <w:rPr>
          <w:rFonts w:ascii="Gill Sans MT" w:hAnsi="Gill Sans MT"/>
          <w:szCs w:val="26"/>
          <w:lang w:eastAsia="en-IE"/>
        </w:rPr>
        <w:t>’</w:t>
      </w:r>
      <w:r w:rsidRPr="004D05A1">
        <w:rPr>
          <w:rFonts w:ascii="Gill Sans MT" w:hAnsi="Gill Sans MT"/>
          <w:szCs w:val="26"/>
          <w:lang w:eastAsia="en-IE"/>
        </w:rPr>
        <w:t xml:space="preserve"> duration </w:t>
      </w:r>
      <w:r w:rsidR="005630B7">
        <w:rPr>
          <w:rFonts w:ascii="Gill Sans MT" w:hAnsi="Gill Sans MT"/>
          <w:szCs w:val="26"/>
          <w:lang w:eastAsia="en-IE"/>
        </w:rPr>
        <w:t>that</w:t>
      </w:r>
      <w:r w:rsidRPr="004D05A1">
        <w:rPr>
          <w:rFonts w:ascii="Gill Sans MT" w:hAnsi="Gill Sans MT"/>
          <w:szCs w:val="26"/>
          <w:lang w:eastAsia="en-IE"/>
        </w:rPr>
        <w:t xml:space="preserve"> focuses on the development of participants’ life skills, social skills</w:t>
      </w:r>
      <w:r w:rsidR="00251454">
        <w:rPr>
          <w:rFonts w:ascii="Gill Sans MT" w:hAnsi="Gill Sans MT"/>
          <w:szCs w:val="26"/>
          <w:lang w:eastAsia="en-IE"/>
        </w:rPr>
        <w:t>,</w:t>
      </w:r>
      <w:r w:rsidRPr="004D05A1">
        <w:rPr>
          <w:rFonts w:ascii="Gill Sans MT" w:hAnsi="Gill Sans MT"/>
          <w:szCs w:val="26"/>
          <w:lang w:eastAsia="en-IE"/>
        </w:rPr>
        <w:t xml:space="preserve"> and basic work skills</w:t>
      </w:r>
      <w:r w:rsidR="005630B7">
        <w:rPr>
          <w:rFonts w:ascii="Gill Sans MT" w:hAnsi="Gill Sans MT"/>
          <w:szCs w:val="26"/>
          <w:lang w:eastAsia="en-IE"/>
        </w:rPr>
        <w:t xml:space="preserve">. The goal of RT is to support individuals to </w:t>
      </w:r>
      <w:r w:rsidRPr="004D05A1">
        <w:rPr>
          <w:rFonts w:ascii="Gill Sans MT" w:hAnsi="Gill Sans MT"/>
          <w:szCs w:val="26"/>
          <w:lang w:eastAsia="en-IE"/>
        </w:rPr>
        <w:t>progress to greater levels of independence and integration in their own communit</w:t>
      </w:r>
      <w:r w:rsidR="00251454">
        <w:rPr>
          <w:rFonts w:ascii="Gill Sans MT" w:hAnsi="Gill Sans MT"/>
          <w:szCs w:val="26"/>
          <w:lang w:eastAsia="en-IE"/>
        </w:rPr>
        <w:t>ies</w:t>
      </w:r>
      <w:r w:rsidRPr="004D05A1">
        <w:rPr>
          <w:rFonts w:ascii="Gill Sans MT" w:hAnsi="Gill Sans MT"/>
          <w:szCs w:val="26"/>
          <w:lang w:eastAsia="en-IE"/>
        </w:rPr>
        <w:t xml:space="preserve">. </w:t>
      </w:r>
      <w:r w:rsidR="005630B7">
        <w:rPr>
          <w:rFonts w:ascii="Gill Sans MT" w:hAnsi="Gill Sans MT"/>
          <w:szCs w:val="26"/>
          <w:lang w:eastAsia="en-IE"/>
        </w:rPr>
        <w:t>Funding for RT is provided by the</w:t>
      </w:r>
      <w:r w:rsidRPr="004D05A1">
        <w:rPr>
          <w:rFonts w:ascii="Gill Sans MT" w:hAnsi="Gill Sans MT"/>
          <w:szCs w:val="26"/>
          <w:lang w:eastAsia="en-IE"/>
        </w:rPr>
        <w:t xml:space="preserve"> HSE</w:t>
      </w:r>
      <w:r w:rsidR="005630B7">
        <w:rPr>
          <w:rFonts w:ascii="Gill Sans MT" w:hAnsi="Gill Sans MT"/>
          <w:szCs w:val="26"/>
          <w:lang w:eastAsia="en-IE"/>
        </w:rPr>
        <w:t>,</w:t>
      </w:r>
      <w:r w:rsidRPr="004D05A1">
        <w:rPr>
          <w:rFonts w:ascii="Gill Sans MT" w:hAnsi="Gill Sans MT"/>
          <w:szCs w:val="26"/>
          <w:lang w:eastAsia="en-IE"/>
        </w:rPr>
        <w:t xml:space="preserve"> but delivery is primarily </w:t>
      </w:r>
      <w:r w:rsidR="005630B7">
        <w:rPr>
          <w:rFonts w:ascii="Gill Sans MT" w:hAnsi="Gill Sans MT"/>
          <w:szCs w:val="26"/>
          <w:lang w:eastAsia="en-IE"/>
        </w:rPr>
        <w:t>by</w:t>
      </w:r>
      <w:r w:rsidRPr="004D05A1">
        <w:rPr>
          <w:rFonts w:ascii="Gill Sans MT" w:hAnsi="Gill Sans MT"/>
          <w:szCs w:val="26"/>
          <w:lang w:eastAsia="en-IE"/>
        </w:rPr>
        <w:t xml:space="preserve"> voluntary agencies throughout the country. </w:t>
      </w:r>
      <w:r w:rsidR="005630B7">
        <w:rPr>
          <w:rFonts w:ascii="Gill Sans MT" w:hAnsi="Gill Sans MT"/>
          <w:szCs w:val="26"/>
          <w:lang w:eastAsia="en-IE"/>
        </w:rPr>
        <w:t xml:space="preserve">Rehabilitative training </w:t>
      </w:r>
      <w:r w:rsidRPr="004D05A1">
        <w:rPr>
          <w:rFonts w:ascii="Gill Sans MT" w:hAnsi="Gill Sans MT"/>
          <w:szCs w:val="26"/>
          <w:lang w:eastAsia="en-IE"/>
        </w:rPr>
        <w:t xml:space="preserve">is available to people with varying profiles and support needs between the ages of 18-65 that are willing to engage and would benefit from the opportunities afforded through participation. </w:t>
      </w:r>
    </w:p>
    <w:p w14:paraId="7FC52339" w14:textId="7D8F2EF7" w:rsidR="006F5598" w:rsidRDefault="00E543B5" w:rsidP="00EC0082">
      <w:pPr>
        <w:rPr>
          <w:rFonts w:ascii="Gill Sans MT" w:hAnsi="Gill Sans MT"/>
          <w:szCs w:val="26"/>
          <w:lang w:eastAsia="en-IE"/>
        </w:rPr>
      </w:pPr>
      <w:r>
        <w:rPr>
          <w:rFonts w:ascii="Gill Sans MT" w:hAnsi="Gill Sans MT"/>
          <w:szCs w:val="26"/>
          <w:lang w:eastAsia="en-IE"/>
        </w:rPr>
        <w:fldChar w:fldCharType="begin"/>
      </w:r>
      <w:r>
        <w:rPr>
          <w:rFonts w:ascii="Gill Sans MT" w:hAnsi="Gill Sans MT"/>
          <w:szCs w:val="26"/>
          <w:lang w:eastAsia="en-IE"/>
        </w:rPr>
        <w:instrText xml:space="preserve"> REF _Ref179895799 \h </w:instrText>
      </w:r>
      <w:r>
        <w:rPr>
          <w:rFonts w:ascii="Gill Sans MT" w:hAnsi="Gill Sans MT"/>
          <w:szCs w:val="26"/>
          <w:lang w:eastAsia="en-IE"/>
        </w:rPr>
      </w:r>
      <w:r>
        <w:rPr>
          <w:rFonts w:ascii="Gill Sans MT" w:hAnsi="Gill Sans MT"/>
          <w:szCs w:val="26"/>
          <w:lang w:eastAsia="en-IE"/>
        </w:rPr>
        <w:fldChar w:fldCharType="separate"/>
      </w:r>
      <w:r w:rsidR="009C4192">
        <w:t xml:space="preserve">Table </w:t>
      </w:r>
      <w:r w:rsidR="009C4192">
        <w:rPr>
          <w:noProof/>
        </w:rPr>
        <w:t>7</w:t>
      </w:r>
      <w:r>
        <w:rPr>
          <w:rFonts w:ascii="Gill Sans MT" w:hAnsi="Gill Sans MT"/>
          <w:szCs w:val="26"/>
          <w:lang w:eastAsia="en-IE"/>
        </w:rPr>
        <w:fldChar w:fldCharType="end"/>
      </w:r>
      <w:r>
        <w:rPr>
          <w:rFonts w:ascii="Gill Sans MT" w:hAnsi="Gill Sans MT"/>
          <w:szCs w:val="26"/>
          <w:lang w:eastAsia="en-IE"/>
        </w:rPr>
        <w:t xml:space="preserve"> </w:t>
      </w:r>
      <w:r w:rsidR="00EC0082" w:rsidRPr="0027213C">
        <w:rPr>
          <w:rFonts w:ascii="Gill Sans MT" w:hAnsi="Gill Sans MT"/>
          <w:szCs w:val="26"/>
          <w:lang w:eastAsia="en-IE"/>
        </w:rPr>
        <w:t>below shows the RT outcomes from 2015 to 20</w:t>
      </w:r>
      <w:r w:rsidR="006F5598">
        <w:rPr>
          <w:rFonts w:ascii="Gill Sans MT" w:hAnsi="Gill Sans MT"/>
          <w:szCs w:val="26"/>
          <w:lang w:eastAsia="en-IE"/>
        </w:rPr>
        <w:t>23</w:t>
      </w:r>
      <w:r w:rsidR="00EC0082" w:rsidRPr="00233BC4">
        <w:rPr>
          <w:rStyle w:val="FootnoteReference"/>
        </w:rPr>
        <w:footnoteReference w:id="16"/>
      </w:r>
      <w:r w:rsidR="00EC0082" w:rsidRPr="0027213C">
        <w:rPr>
          <w:rFonts w:ascii="Gill Sans MT" w:hAnsi="Gill Sans MT"/>
          <w:szCs w:val="26"/>
          <w:lang w:eastAsia="en-IE"/>
        </w:rPr>
        <w:t xml:space="preserve">. The figures show an annual increase in the proportion of exits </w:t>
      </w:r>
      <w:r w:rsidR="000169EA">
        <w:rPr>
          <w:rFonts w:ascii="Gill Sans MT" w:hAnsi="Gill Sans MT"/>
          <w:szCs w:val="26"/>
          <w:lang w:eastAsia="en-IE"/>
        </w:rPr>
        <w:t xml:space="preserve">from RT </w:t>
      </w:r>
      <w:r w:rsidR="00EC0082" w:rsidRPr="0027213C">
        <w:rPr>
          <w:rFonts w:ascii="Gill Sans MT" w:hAnsi="Gill Sans MT"/>
          <w:szCs w:val="26"/>
          <w:lang w:eastAsia="en-IE"/>
        </w:rPr>
        <w:t>into HSE-funded day services</w:t>
      </w:r>
      <w:r w:rsidR="000169EA">
        <w:rPr>
          <w:rFonts w:ascii="Gill Sans MT" w:hAnsi="Gill Sans MT"/>
          <w:szCs w:val="26"/>
          <w:lang w:eastAsia="en-IE"/>
        </w:rPr>
        <w:t>,</w:t>
      </w:r>
      <w:r w:rsidR="00EC0082" w:rsidRPr="0027213C">
        <w:rPr>
          <w:rFonts w:ascii="Gill Sans MT" w:hAnsi="Gill Sans MT"/>
          <w:szCs w:val="26"/>
          <w:lang w:eastAsia="en-IE"/>
        </w:rPr>
        <w:t xml:space="preserve"> from 27% in 2015 to 4</w:t>
      </w:r>
      <w:r w:rsidR="006F5598">
        <w:rPr>
          <w:rFonts w:ascii="Gill Sans MT" w:hAnsi="Gill Sans MT"/>
          <w:szCs w:val="26"/>
          <w:lang w:eastAsia="en-IE"/>
        </w:rPr>
        <w:t>9</w:t>
      </w:r>
      <w:r w:rsidR="00EC0082" w:rsidRPr="0027213C">
        <w:rPr>
          <w:rFonts w:ascii="Gill Sans MT" w:hAnsi="Gill Sans MT"/>
          <w:szCs w:val="26"/>
          <w:lang w:eastAsia="en-IE"/>
        </w:rPr>
        <w:t>% in 20</w:t>
      </w:r>
      <w:r w:rsidR="006F5598">
        <w:rPr>
          <w:rFonts w:ascii="Gill Sans MT" w:hAnsi="Gill Sans MT"/>
          <w:szCs w:val="26"/>
          <w:lang w:eastAsia="en-IE"/>
        </w:rPr>
        <w:t>20, before beginning to drop again</w:t>
      </w:r>
      <w:r w:rsidR="00EC0082" w:rsidRPr="0027213C">
        <w:rPr>
          <w:rFonts w:ascii="Gill Sans MT" w:hAnsi="Gill Sans MT"/>
          <w:szCs w:val="26"/>
          <w:lang w:eastAsia="en-IE"/>
        </w:rPr>
        <w:t xml:space="preserve">. </w:t>
      </w:r>
      <w:r w:rsidR="006F5598">
        <w:rPr>
          <w:rFonts w:ascii="Gill Sans MT" w:hAnsi="Gill Sans MT"/>
          <w:szCs w:val="26"/>
          <w:lang w:eastAsia="en-IE"/>
        </w:rPr>
        <w:t xml:space="preserve">In 2023, the most recent year for which data are available, 44% of exits from RT were to HSE-funded day services, still considerably higher than the 2015 figure. </w:t>
      </w:r>
      <w:r w:rsidR="00EC0082" w:rsidRPr="0027213C">
        <w:rPr>
          <w:rFonts w:ascii="Gill Sans MT" w:hAnsi="Gill Sans MT"/>
          <w:szCs w:val="26"/>
          <w:lang w:eastAsia="en-IE"/>
        </w:rPr>
        <w:t>The proportion of those in RT exiting into employment decreased from 9% in 2015 to 7% in 20</w:t>
      </w:r>
      <w:r w:rsidR="006F5598">
        <w:rPr>
          <w:rFonts w:ascii="Gill Sans MT" w:hAnsi="Gill Sans MT"/>
          <w:szCs w:val="26"/>
          <w:lang w:eastAsia="en-IE"/>
        </w:rPr>
        <w:t>23, with fluctuation over the intervening years.</w:t>
      </w:r>
      <w:r w:rsidR="00EC0082" w:rsidRPr="0027213C">
        <w:rPr>
          <w:rFonts w:ascii="Gill Sans MT" w:hAnsi="Gill Sans MT"/>
          <w:szCs w:val="26"/>
          <w:lang w:eastAsia="en-IE"/>
        </w:rPr>
        <w:t xml:space="preserve"> </w:t>
      </w:r>
      <w:r w:rsidR="006F5598">
        <w:rPr>
          <w:rFonts w:ascii="Gill Sans MT" w:hAnsi="Gill Sans MT"/>
          <w:szCs w:val="26"/>
          <w:lang w:eastAsia="en-IE"/>
        </w:rPr>
        <w:t>T</w:t>
      </w:r>
      <w:r w:rsidR="00EC0082" w:rsidRPr="0027213C">
        <w:rPr>
          <w:rFonts w:ascii="Gill Sans MT" w:hAnsi="Gill Sans MT"/>
          <w:szCs w:val="26"/>
          <w:lang w:eastAsia="en-IE"/>
        </w:rPr>
        <w:t>h</w:t>
      </w:r>
      <w:r w:rsidR="000979A7">
        <w:rPr>
          <w:rFonts w:ascii="Gill Sans MT" w:hAnsi="Gill Sans MT"/>
          <w:szCs w:val="26"/>
          <w:lang w:eastAsia="en-IE"/>
        </w:rPr>
        <w:t>e proportion of those</w:t>
      </w:r>
      <w:r w:rsidR="00EC0082" w:rsidRPr="0027213C">
        <w:rPr>
          <w:rFonts w:ascii="Gill Sans MT" w:hAnsi="Gill Sans MT"/>
          <w:szCs w:val="26"/>
          <w:lang w:eastAsia="en-IE"/>
        </w:rPr>
        <w:t xml:space="preserve"> exiting into training and education has also decreased from 23% in 2015 to 19% in 20</w:t>
      </w:r>
      <w:r w:rsidR="006F5598">
        <w:rPr>
          <w:rFonts w:ascii="Gill Sans MT" w:hAnsi="Gill Sans MT"/>
          <w:szCs w:val="26"/>
          <w:lang w:eastAsia="en-IE"/>
        </w:rPr>
        <w:t xml:space="preserve">23. </w:t>
      </w:r>
      <w:r w:rsidR="00EC0082" w:rsidRPr="0027213C">
        <w:rPr>
          <w:rFonts w:ascii="Gill Sans MT" w:hAnsi="Gill Sans MT"/>
          <w:szCs w:val="26"/>
          <w:lang w:eastAsia="en-IE"/>
        </w:rPr>
        <w:t xml:space="preserve">While fewer exits into employment and education and training accounts for some of the notable growth in exits to HSE-funded day services, this growth is also accounted for in a reduction of ‘other’ exits – including ceasing to attend due to illness or into no occupation. </w:t>
      </w:r>
    </w:p>
    <w:p w14:paraId="6938355E" w14:textId="42A2C9BC" w:rsidR="00702D1E" w:rsidRPr="006F5598" w:rsidRDefault="00EC0082" w:rsidP="00EC0082">
      <w:pPr>
        <w:rPr>
          <w:rFonts w:ascii="Gill Sans MT" w:hAnsi="Gill Sans MT"/>
          <w:szCs w:val="26"/>
          <w:shd w:val="clear" w:color="auto" w:fill="FFFFFF" w:themeFill="background1"/>
          <w:lang w:eastAsia="en-IE"/>
        </w:rPr>
        <w:sectPr w:rsidR="00702D1E" w:rsidRPr="006F5598" w:rsidSect="00197E26">
          <w:pgSz w:w="11906" w:h="16838"/>
          <w:pgMar w:top="1440" w:right="1440" w:bottom="1440" w:left="1440" w:header="708" w:footer="708" w:gutter="0"/>
          <w:cols w:space="708"/>
          <w:docGrid w:linePitch="360"/>
        </w:sectPr>
      </w:pPr>
      <w:r w:rsidRPr="0027213C">
        <w:rPr>
          <w:rFonts w:ascii="Gill Sans MT" w:hAnsi="Gill Sans MT"/>
          <w:szCs w:val="26"/>
          <w:lang w:eastAsia="en-IE"/>
        </w:rPr>
        <w:t xml:space="preserve">It </w:t>
      </w:r>
      <w:r w:rsidR="006F5598">
        <w:rPr>
          <w:rFonts w:ascii="Gill Sans MT" w:hAnsi="Gill Sans MT"/>
          <w:szCs w:val="26"/>
          <w:lang w:eastAsia="en-IE"/>
        </w:rPr>
        <w:t>was</w:t>
      </w:r>
      <w:r w:rsidRPr="0027213C">
        <w:rPr>
          <w:rFonts w:ascii="Gill Sans MT" w:hAnsi="Gill Sans MT"/>
          <w:szCs w:val="26"/>
          <w:lang w:eastAsia="en-IE"/>
        </w:rPr>
        <w:t xml:space="preserve"> hoped that the proportion of those exiting into employment and further education or training relative to day services </w:t>
      </w:r>
      <w:r w:rsidR="006F5598">
        <w:rPr>
          <w:rFonts w:ascii="Gill Sans MT" w:hAnsi="Gill Sans MT"/>
          <w:szCs w:val="26"/>
          <w:lang w:eastAsia="en-IE"/>
        </w:rPr>
        <w:t>would increase over the lifetime of the CES, but this has not occurred</w:t>
      </w:r>
      <w:r w:rsidRPr="005155EE">
        <w:rPr>
          <w:rFonts w:ascii="Gill Sans MT" w:hAnsi="Gill Sans MT"/>
          <w:szCs w:val="26"/>
          <w:shd w:val="clear" w:color="auto" w:fill="FFFFFF" w:themeFill="background1"/>
          <w:lang w:eastAsia="en-IE"/>
        </w:rPr>
        <w:t>.</w:t>
      </w:r>
      <w:r w:rsidR="006F5598">
        <w:rPr>
          <w:rFonts w:ascii="Gill Sans MT" w:hAnsi="Gill Sans MT"/>
          <w:szCs w:val="26"/>
          <w:shd w:val="clear" w:color="auto" w:fill="FFFFFF" w:themeFill="background1"/>
          <w:lang w:eastAsia="en-IE"/>
        </w:rPr>
        <w:t xml:space="preserve"> </w:t>
      </w:r>
      <w:r w:rsidR="00155BF8">
        <w:rPr>
          <w:lang w:eastAsia="en-IE"/>
        </w:rPr>
        <w:t>In 2023, t</w:t>
      </w:r>
      <w:r w:rsidR="00155BF8" w:rsidRPr="00BA52F3">
        <w:rPr>
          <w:lang w:eastAsia="en-IE"/>
        </w:rPr>
        <w:t>he HSE commissioned</w:t>
      </w:r>
      <w:r w:rsidR="00155BF8">
        <w:rPr>
          <w:lang w:eastAsia="en-IE"/>
        </w:rPr>
        <w:t xml:space="preserve"> a national review of rehabilitative training programmes. At the time of publication, a report on this review had not yet been released.</w:t>
      </w:r>
      <w:r w:rsidR="006F5598">
        <w:rPr>
          <w:rFonts w:ascii="Gill Sans MT" w:hAnsi="Gill Sans MT"/>
          <w:szCs w:val="26"/>
          <w:shd w:val="clear" w:color="auto" w:fill="FFFFFF" w:themeFill="background1"/>
          <w:lang w:eastAsia="en-IE"/>
        </w:rPr>
        <w:t xml:space="preserve"> It is hoped that findings and recommendations arising from this review might contribute to increased exits from RT into employment and further education or training over time.</w:t>
      </w:r>
    </w:p>
    <w:p w14:paraId="1BA3EDE8" w14:textId="4ABFB5F3" w:rsidR="006074AA" w:rsidRDefault="006074AA" w:rsidP="00702D1E">
      <w:pPr>
        <w:pStyle w:val="Caption"/>
        <w:keepNext/>
        <w:rPr>
          <w:rFonts w:ascii="Gill Sans MT" w:hAnsi="Gill Sans MT"/>
          <w:lang w:eastAsia="en-IE"/>
        </w:rPr>
      </w:pPr>
      <w:bookmarkStart w:id="153" w:name="_Ref179895799"/>
      <w:bookmarkStart w:id="154" w:name="_Toc182219711"/>
      <w:r>
        <w:t xml:space="preserve">Table </w:t>
      </w:r>
      <w:r>
        <w:fldChar w:fldCharType="begin"/>
      </w:r>
      <w:r>
        <w:instrText xml:space="preserve"> SEQ Table \* ARABIC </w:instrText>
      </w:r>
      <w:r>
        <w:fldChar w:fldCharType="separate"/>
      </w:r>
      <w:r w:rsidR="009C4192">
        <w:rPr>
          <w:noProof/>
        </w:rPr>
        <w:t>7</w:t>
      </w:r>
      <w:r>
        <w:fldChar w:fldCharType="end"/>
      </w:r>
      <w:bookmarkEnd w:id="153"/>
      <w:r>
        <w:t xml:space="preserve">: </w:t>
      </w:r>
      <w:r w:rsidRPr="00F70F1F">
        <w:rPr>
          <w:rFonts w:ascii="Gill Sans MT" w:hAnsi="Gill Sans MT"/>
          <w:lang w:eastAsia="en-IE"/>
        </w:rPr>
        <w:t>Rehabilitative Training Outcomes 2015-20</w:t>
      </w:r>
      <w:r>
        <w:rPr>
          <w:rFonts w:ascii="Gill Sans MT" w:hAnsi="Gill Sans MT"/>
          <w:lang w:eastAsia="en-IE"/>
        </w:rPr>
        <w:t>2</w:t>
      </w:r>
      <w:r w:rsidR="00251454">
        <w:rPr>
          <w:rFonts w:ascii="Gill Sans MT" w:hAnsi="Gill Sans MT"/>
          <w:lang w:eastAsia="en-IE"/>
        </w:rPr>
        <w:t>3</w:t>
      </w:r>
      <w:bookmarkEnd w:id="154"/>
    </w:p>
    <w:tbl>
      <w:tblPr>
        <w:tblStyle w:val="TableGrid"/>
        <w:tblpPr w:leftFromText="180" w:rightFromText="180" w:vertAnchor="text" w:horzAnchor="page" w:tblpX="1921" w:tblpY="142"/>
        <w:tblW w:w="0" w:type="auto"/>
        <w:tblLook w:val="04A0" w:firstRow="1" w:lastRow="0" w:firstColumn="1" w:lastColumn="0" w:noHBand="0" w:noVBand="1"/>
      </w:tblPr>
      <w:tblGrid>
        <w:gridCol w:w="2842"/>
        <w:gridCol w:w="1085"/>
        <w:gridCol w:w="1085"/>
        <w:gridCol w:w="1086"/>
        <w:gridCol w:w="1085"/>
        <w:gridCol w:w="1086"/>
        <w:gridCol w:w="1085"/>
        <w:gridCol w:w="1086"/>
        <w:gridCol w:w="1085"/>
        <w:gridCol w:w="1086"/>
      </w:tblGrid>
      <w:tr w:rsidR="00702D1E" w:rsidRPr="00F70F1F" w14:paraId="7E2F6B03" w14:textId="77777777" w:rsidTr="00702D1E">
        <w:trPr>
          <w:trHeight w:val="1155"/>
          <w:tblHeader/>
        </w:trPr>
        <w:tc>
          <w:tcPr>
            <w:tcW w:w="0" w:type="auto"/>
            <w:noWrap/>
          </w:tcPr>
          <w:p w14:paraId="6444A11C" w14:textId="77777777" w:rsidR="00702D1E" w:rsidRPr="00F70F1F" w:rsidRDefault="00702D1E" w:rsidP="00B42243">
            <w:pPr>
              <w:spacing w:after="0"/>
              <w:rPr>
                <w:rFonts w:ascii="Gill Sans MT" w:hAnsi="Gill Sans MT"/>
              </w:rPr>
            </w:pPr>
          </w:p>
        </w:tc>
        <w:tc>
          <w:tcPr>
            <w:tcW w:w="1085" w:type="dxa"/>
            <w:noWrap/>
          </w:tcPr>
          <w:p w14:paraId="37E58BEF" w14:textId="77777777" w:rsidR="00702D1E" w:rsidRPr="00F70F1F" w:rsidRDefault="00702D1E" w:rsidP="00B42243">
            <w:pPr>
              <w:spacing w:after="0"/>
              <w:jc w:val="right"/>
              <w:rPr>
                <w:rFonts w:ascii="Gill Sans MT" w:hAnsi="Gill Sans MT"/>
                <w:b/>
              </w:rPr>
            </w:pPr>
            <w:r w:rsidRPr="00F70F1F">
              <w:rPr>
                <w:rFonts w:ascii="Gill Sans MT" w:hAnsi="Gill Sans MT"/>
                <w:b/>
              </w:rPr>
              <w:t>2015</w:t>
            </w:r>
          </w:p>
          <w:p w14:paraId="7C3624B7"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442B78F7" w14:textId="77777777" w:rsidR="00702D1E" w:rsidRPr="00F70F1F" w:rsidRDefault="00702D1E" w:rsidP="00640F70">
            <w:pPr>
              <w:spacing w:after="0"/>
              <w:jc w:val="right"/>
              <w:rPr>
                <w:rFonts w:ascii="Gill Sans MT" w:hAnsi="Gill Sans MT"/>
                <w:b/>
              </w:rPr>
            </w:pPr>
            <w:r w:rsidRPr="00F70F1F">
              <w:rPr>
                <w:rFonts w:ascii="Gill Sans MT" w:hAnsi="Gill Sans MT"/>
                <w:b/>
              </w:rPr>
              <w:t>(n)</w:t>
            </w:r>
          </w:p>
        </w:tc>
        <w:tc>
          <w:tcPr>
            <w:tcW w:w="1085" w:type="dxa"/>
            <w:noWrap/>
          </w:tcPr>
          <w:p w14:paraId="52CC7891" w14:textId="77777777" w:rsidR="00702D1E" w:rsidRPr="00F70F1F" w:rsidRDefault="00702D1E" w:rsidP="00B42243">
            <w:pPr>
              <w:spacing w:after="0"/>
              <w:jc w:val="right"/>
              <w:rPr>
                <w:rFonts w:ascii="Gill Sans MT" w:hAnsi="Gill Sans MT"/>
                <w:b/>
              </w:rPr>
            </w:pPr>
            <w:r w:rsidRPr="00F70F1F">
              <w:rPr>
                <w:rFonts w:ascii="Gill Sans MT" w:hAnsi="Gill Sans MT"/>
                <w:b/>
              </w:rPr>
              <w:t>2016</w:t>
            </w:r>
          </w:p>
          <w:p w14:paraId="093A2E8B"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18183223" w14:textId="77777777" w:rsidR="00702D1E" w:rsidRPr="00F70F1F" w:rsidRDefault="00702D1E" w:rsidP="00640F70">
            <w:pPr>
              <w:spacing w:after="0"/>
              <w:jc w:val="right"/>
              <w:rPr>
                <w:rFonts w:ascii="Gill Sans MT" w:hAnsi="Gill Sans MT"/>
                <w:b/>
              </w:rPr>
            </w:pPr>
            <w:r w:rsidRPr="00F70F1F">
              <w:rPr>
                <w:rFonts w:ascii="Gill Sans MT" w:hAnsi="Gill Sans MT"/>
                <w:b/>
              </w:rPr>
              <w:t>(n)</w:t>
            </w:r>
          </w:p>
        </w:tc>
        <w:tc>
          <w:tcPr>
            <w:tcW w:w="1086" w:type="dxa"/>
            <w:noWrap/>
          </w:tcPr>
          <w:p w14:paraId="73481F8F" w14:textId="77777777" w:rsidR="00702D1E" w:rsidRPr="00F70F1F" w:rsidRDefault="00702D1E" w:rsidP="00B42243">
            <w:pPr>
              <w:spacing w:after="0"/>
              <w:jc w:val="right"/>
              <w:rPr>
                <w:rFonts w:ascii="Gill Sans MT" w:hAnsi="Gill Sans MT"/>
                <w:b/>
              </w:rPr>
            </w:pPr>
            <w:r w:rsidRPr="00F70F1F">
              <w:rPr>
                <w:rFonts w:ascii="Gill Sans MT" w:hAnsi="Gill Sans MT"/>
                <w:b/>
              </w:rPr>
              <w:t>2017</w:t>
            </w:r>
          </w:p>
          <w:p w14:paraId="30EFAFA7"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76327980" w14:textId="77777777" w:rsidR="00702D1E" w:rsidRPr="00F70F1F" w:rsidRDefault="00702D1E" w:rsidP="00640F70">
            <w:pPr>
              <w:spacing w:after="0"/>
              <w:jc w:val="right"/>
              <w:rPr>
                <w:rFonts w:ascii="Gill Sans MT" w:hAnsi="Gill Sans MT"/>
                <w:b/>
              </w:rPr>
            </w:pPr>
            <w:r w:rsidRPr="00F70F1F">
              <w:rPr>
                <w:rFonts w:ascii="Gill Sans MT" w:hAnsi="Gill Sans MT"/>
                <w:b/>
              </w:rPr>
              <w:t>(n)</w:t>
            </w:r>
          </w:p>
        </w:tc>
        <w:tc>
          <w:tcPr>
            <w:tcW w:w="1085" w:type="dxa"/>
            <w:noWrap/>
          </w:tcPr>
          <w:p w14:paraId="096C098E" w14:textId="77777777" w:rsidR="00702D1E" w:rsidRPr="00F70F1F" w:rsidRDefault="00702D1E" w:rsidP="00B42243">
            <w:pPr>
              <w:spacing w:after="0"/>
              <w:jc w:val="right"/>
              <w:rPr>
                <w:rFonts w:ascii="Gill Sans MT" w:hAnsi="Gill Sans MT"/>
                <w:b/>
              </w:rPr>
            </w:pPr>
            <w:r w:rsidRPr="00F70F1F">
              <w:rPr>
                <w:rFonts w:ascii="Gill Sans MT" w:hAnsi="Gill Sans MT"/>
                <w:b/>
              </w:rPr>
              <w:t>2018</w:t>
            </w:r>
          </w:p>
          <w:p w14:paraId="10B74F5A"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636BDD1A" w14:textId="77777777" w:rsidR="00702D1E" w:rsidRPr="00F70F1F" w:rsidRDefault="00702D1E" w:rsidP="00640F70">
            <w:pPr>
              <w:spacing w:after="0"/>
              <w:jc w:val="right"/>
              <w:rPr>
                <w:rFonts w:ascii="Gill Sans MT" w:hAnsi="Gill Sans MT"/>
                <w:b/>
              </w:rPr>
            </w:pPr>
            <w:r w:rsidRPr="00F70F1F">
              <w:rPr>
                <w:rFonts w:ascii="Gill Sans MT" w:hAnsi="Gill Sans MT"/>
                <w:b/>
              </w:rPr>
              <w:t>(n)</w:t>
            </w:r>
          </w:p>
        </w:tc>
        <w:tc>
          <w:tcPr>
            <w:tcW w:w="1086" w:type="dxa"/>
            <w:noWrap/>
          </w:tcPr>
          <w:p w14:paraId="3C0E0B22" w14:textId="77777777" w:rsidR="00702D1E" w:rsidRPr="00F70F1F" w:rsidRDefault="00702D1E" w:rsidP="00B42243">
            <w:pPr>
              <w:spacing w:after="0"/>
              <w:jc w:val="right"/>
              <w:rPr>
                <w:rFonts w:ascii="Gill Sans MT" w:hAnsi="Gill Sans MT"/>
                <w:b/>
              </w:rPr>
            </w:pPr>
            <w:r w:rsidRPr="00F70F1F">
              <w:rPr>
                <w:rFonts w:ascii="Gill Sans MT" w:hAnsi="Gill Sans MT"/>
                <w:b/>
              </w:rPr>
              <w:t>2019</w:t>
            </w:r>
          </w:p>
          <w:p w14:paraId="01CDE548"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52E1AB09" w14:textId="77777777" w:rsidR="00702D1E" w:rsidRPr="00F70F1F" w:rsidRDefault="00702D1E" w:rsidP="00640F70">
            <w:pPr>
              <w:spacing w:after="0"/>
              <w:jc w:val="right"/>
              <w:rPr>
                <w:rFonts w:ascii="Gill Sans MT" w:hAnsi="Gill Sans MT"/>
                <w:b/>
              </w:rPr>
            </w:pPr>
            <w:r w:rsidRPr="00F70F1F">
              <w:rPr>
                <w:rFonts w:ascii="Gill Sans MT" w:hAnsi="Gill Sans MT"/>
                <w:b/>
              </w:rPr>
              <w:t>(n)</w:t>
            </w:r>
          </w:p>
        </w:tc>
        <w:tc>
          <w:tcPr>
            <w:tcW w:w="1085" w:type="dxa"/>
          </w:tcPr>
          <w:p w14:paraId="366B54BC" w14:textId="77777777" w:rsidR="00702D1E" w:rsidRPr="00F70F1F" w:rsidRDefault="00702D1E" w:rsidP="00B42243">
            <w:pPr>
              <w:spacing w:after="0"/>
              <w:jc w:val="right"/>
              <w:rPr>
                <w:rFonts w:ascii="Gill Sans MT" w:hAnsi="Gill Sans MT"/>
                <w:b/>
              </w:rPr>
            </w:pPr>
            <w:r w:rsidRPr="00F70F1F">
              <w:rPr>
                <w:rFonts w:ascii="Gill Sans MT" w:hAnsi="Gill Sans MT"/>
                <w:b/>
              </w:rPr>
              <w:t>20</w:t>
            </w:r>
            <w:r>
              <w:rPr>
                <w:rFonts w:ascii="Gill Sans MT" w:hAnsi="Gill Sans MT"/>
                <w:b/>
              </w:rPr>
              <w:t>20</w:t>
            </w:r>
          </w:p>
          <w:p w14:paraId="4E9E8052"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31ADA354" w14:textId="77777777" w:rsidR="00702D1E" w:rsidRPr="00F70F1F" w:rsidRDefault="00702D1E" w:rsidP="00B42243">
            <w:pPr>
              <w:spacing w:after="0"/>
              <w:jc w:val="right"/>
              <w:rPr>
                <w:rFonts w:ascii="Gill Sans MT" w:hAnsi="Gill Sans MT"/>
                <w:b/>
              </w:rPr>
            </w:pPr>
            <w:r w:rsidRPr="00F70F1F">
              <w:rPr>
                <w:rFonts w:ascii="Gill Sans MT" w:hAnsi="Gill Sans MT"/>
                <w:b/>
              </w:rPr>
              <w:t>(n)</w:t>
            </w:r>
          </w:p>
        </w:tc>
        <w:tc>
          <w:tcPr>
            <w:tcW w:w="1086" w:type="dxa"/>
          </w:tcPr>
          <w:p w14:paraId="6D5FA9AD" w14:textId="77777777" w:rsidR="00702D1E" w:rsidRDefault="00702D1E" w:rsidP="00B42243">
            <w:pPr>
              <w:spacing w:after="0"/>
              <w:jc w:val="right"/>
              <w:rPr>
                <w:rFonts w:ascii="Gill Sans MT" w:hAnsi="Gill Sans MT"/>
                <w:b/>
              </w:rPr>
            </w:pPr>
            <w:r>
              <w:rPr>
                <w:rFonts w:ascii="Gill Sans MT" w:hAnsi="Gill Sans MT"/>
                <w:b/>
              </w:rPr>
              <w:t>2021</w:t>
            </w:r>
          </w:p>
          <w:p w14:paraId="09FD3BBA"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52E8F502" w14:textId="77777777" w:rsidR="00702D1E" w:rsidRPr="00F70F1F" w:rsidRDefault="00702D1E" w:rsidP="00B42243">
            <w:pPr>
              <w:spacing w:after="0"/>
              <w:jc w:val="right"/>
              <w:rPr>
                <w:rFonts w:ascii="Gill Sans MT" w:hAnsi="Gill Sans MT"/>
                <w:b/>
              </w:rPr>
            </w:pPr>
            <w:r w:rsidRPr="00F70F1F">
              <w:rPr>
                <w:rFonts w:ascii="Gill Sans MT" w:hAnsi="Gill Sans MT"/>
                <w:b/>
              </w:rPr>
              <w:t>(n)</w:t>
            </w:r>
          </w:p>
        </w:tc>
        <w:tc>
          <w:tcPr>
            <w:tcW w:w="1085" w:type="dxa"/>
          </w:tcPr>
          <w:p w14:paraId="4E0C2E89" w14:textId="77777777" w:rsidR="00702D1E" w:rsidRDefault="00702D1E" w:rsidP="00B42243">
            <w:pPr>
              <w:spacing w:after="0"/>
              <w:jc w:val="right"/>
              <w:rPr>
                <w:rFonts w:ascii="Gill Sans MT" w:hAnsi="Gill Sans MT"/>
                <w:b/>
              </w:rPr>
            </w:pPr>
            <w:r>
              <w:rPr>
                <w:rFonts w:ascii="Gill Sans MT" w:hAnsi="Gill Sans MT"/>
                <w:b/>
              </w:rPr>
              <w:t>2022</w:t>
            </w:r>
          </w:p>
          <w:p w14:paraId="44620B52"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0059228F" w14:textId="77777777" w:rsidR="00702D1E" w:rsidRDefault="00702D1E" w:rsidP="00B42243">
            <w:pPr>
              <w:spacing w:after="0"/>
              <w:jc w:val="right"/>
              <w:rPr>
                <w:rFonts w:ascii="Gill Sans MT" w:hAnsi="Gill Sans MT"/>
                <w:b/>
              </w:rPr>
            </w:pPr>
            <w:r w:rsidRPr="00F70F1F">
              <w:rPr>
                <w:rFonts w:ascii="Gill Sans MT" w:hAnsi="Gill Sans MT"/>
                <w:b/>
              </w:rPr>
              <w:t>(n)</w:t>
            </w:r>
          </w:p>
        </w:tc>
        <w:tc>
          <w:tcPr>
            <w:tcW w:w="1086" w:type="dxa"/>
          </w:tcPr>
          <w:p w14:paraId="768F6C49" w14:textId="77777777" w:rsidR="00702D1E" w:rsidRDefault="00702D1E" w:rsidP="00B42243">
            <w:pPr>
              <w:spacing w:after="0"/>
              <w:jc w:val="right"/>
              <w:rPr>
                <w:rFonts w:ascii="Gill Sans MT" w:hAnsi="Gill Sans MT"/>
                <w:b/>
              </w:rPr>
            </w:pPr>
            <w:r>
              <w:rPr>
                <w:rFonts w:ascii="Gill Sans MT" w:hAnsi="Gill Sans MT"/>
                <w:b/>
              </w:rPr>
              <w:t>2023</w:t>
            </w:r>
          </w:p>
          <w:p w14:paraId="773A3064" w14:textId="77777777" w:rsidR="00702D1E" w:rsidRPr="00F70F1F" w:rsidRDefault="00702D1E" w:rsidP="00640F70">
            <w:pPr>
              <w:spacing w:after="0"/>
              <w:jc w:val="right"/>
              <w:rPr>
                <w:rFonts w:ascii="Gill Sans MT" w:hAnsi="Gill Sans MT"/>
                <w:b/>
              </w:rPr>
            </w:pPr>
            <w:r w:rsidRPr="00F70F1F">
              <w:rPr>
                <w:rFonts w:ascii="Gill Sans MT" w:hAnsi="Gill Sans MT"/>
                <w:b/>
              </w:rPr>
              <w:t>%</w:t>
            </w:r>
          </w:p>
          <w:p w14:paraId="0E5F6EEE" w14:textId="77777777" w:rsidR="00702D1E" w:rsidRDefault="00702D1E" w:rsidP="00B42243">
            <w:pPr>
              <w:spacing w:after="0"/>
              <w:jc w:val="right"/>
              <w:rPr>
                <w:rFonts w:ascii="Gill Sans MT" w:hAnsi="Gill Sans MT"/>
                <w:b/>
              </w:rPr>
            </w:pPr>
            <w:r w:rsidRPr="00F70F1F">
              <w:rPr>
                <w:rFonts w:ascii="Gill Sans MT" w:hAnsi="Gill Sans MT"/>
                <w:b/>
              </w:rPr>
              <w:t>(n)</w:t>
            </w:r>
          </w:p>
        </w:tc>
      </w:tr>
      <w:tr w:rsidR="00702D1E" w:rsidRPr="00F70F1F" w14:paraId="17033151" w14:textId="77777777" w:rsidTr="00B42243">
        <w:trPr>
          <w:trHeight w:val="813"/>
        </w:trPr>
        <w:tc>
          <w:tcPr>
            <w:tcW w:w="0" w:type="auto"/>
            <w:noWrap/>
          </w:tcPr>
          <w:p w14:paraId="7C294806" w14:textId="77777777" w:rsidR="00702D1E" w:rsidRPr="00F70F1F" w:rsidRDefault="00702D1E" w:rsidP="00B42243">
            <w:pPr>
              <w:spacing w:after="0"/>
              <w:rPr>
                <w:rFonts w:ascii="Gill Sans MT" w:hAnsi="Gill Sans MT"/>
              </w:rPr>
            </w:pPr>
            <w:r w:rsidRPr="00F70F1F">
              <w:rPr>
                <w:rFonts w:ascii="Gill Sans MT" w:hAnsi="Gill Sans MT"/>
              </w:rPr>
              <w:t>Employment*</w:t>
            </w:r>
          </w:p>
        </w:tc>
        <w:tc>
          <w:tcPr>
            <w:tcW w:w="1085" w:type="dxa"/>
            <w:noWrap/>
          </w:tcPr>
          <w:p w14:paraId="56BD0AC9"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9%</w:t>
            </w:r>
          </w:p>
          <w:p w14:paraId="2D539D8F" w14:textId="77777777" w:rsidR="00702D1E" w:rsidRPr="00F70F1F" w:rsidRDefault="00702D1E" w:rsidP="00B42243">
            <w:pPr>
              <w:spacing w:after="0"/>
              <w:jc w:val="right"/>
              <w:rPr>
                <w:rFonts w:ascii="Gill Sans MT" w:hAnsi="Gill Sans MT"/>
              </w:rPr>
            </w:pPr>
            <w:r w:rsidRPr="00F70F1F">
              <w:rPr>
                <w:rFonts w:ascii="Gill Sans MT" w:hAnsi="Gill Sans MT"/>
              </w:rPr>
              <w:t>(112)</w:t>
            </w:r>
          </w:p>
        </w:tc>
        <w:tc>
          <w:tcPr>
            <w:tcW w:w="1085" w:type="dxa"/>
            <w:noWrap/>
          </w:tcPr>
          <w:p w14:paraId="7BD036EF"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5%</w:t>
            </w:r>
          </w:p>
          <w:p w14:paraId="7DD873AB" w14:textId="77777777" w:rsidR="00702D1E" w:rsidRPr="00F70F1F" w:rsidRDefault="00702D1E" w:rsidP="00B42243">
            <w:pPr>
              <w:spacing w:after="0"/>
              <w:jc w:val="right"/>
              <w:rPr>
                <w:rFonts w:ascii="Gill Sans MT" w:hAnsi="Gill Sans MT"/>
              </w:rPr>
            </w:pPr>
            <w:r w:rsidRPr="00F70F1F">
              <w:rPr>
                <w:rFonts w:ascii="Gill Sans MT" w:hAnsi="Gill Sans MT"/>
              </w:rPr>
              <w:t>(74)</w:t>
            </w:r>
          </w:p>
        </w:tc>
        <w:tc>
          <w:tcPr>
            <w:tcW w:w="1086" w:type="dxa"/>
            <w:noWrap/>
          </w:tcPr>
          <w:p w14:paraId="73DA6945"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6%</w:t>
            </w:r>
          </w:p>
          <w:p w14:paraId="1D05698A" w14:textId="77777777" w:rsidR="00702D1E" w:rsidRPr="00F70F1F" w:rsidRDefault="00702D1E" w:rsidP="00B42243">
            <w:pPr>
              <w:spacing w:after="0"/>
              <w:jc w:val="right"/>
              <w:rPr>
                <w:rFonts w:ascii="Gill Sans MT" w:hAnsi="Gill Sans MT"/>
              </w:rPr>
            </w:pPr>
            <w:r w:rsidRPr="00F70F1F">
              <w:rPr>
                <w:rFonts w:ascii="Gill Sans MT" w:hAnsi="Gill Sans MT"/>
              </w:rPr>
              <w:t>(73)</w:t>
            </w:r>
          </w:p>
        </w:tc>
        <w:tc>
          <w:tcPr>
            <w:tcW w:w="1085" w:type="dxa"/>
            <w:noWrap/>
          </w:tcPr>
          <w:p w14:paraId="73AE9524"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6%</w:t>
            </w:r>
          </w:p>
          <w:p w14:paraId="0B9C8742" w14:textId="77777777" w:rsidR="00702D1E" w:rsidRPr="00F70F1F" w:rsidRDefault="00702D1E" w:rsidP="00B42243">
            <w:pPr>
              <w:spacing w:after="0"/>
              <w:jc w:val="right"/>
              <w:rPr>
                <w:rFonts w:ascii="Gill Sans MT" w:hAnsi="Gill Sans MT"/>
              </w:rPr>
            </w:pPr>
            <w:r w:rsidRPr="00F70F1F">
              <w:rPr>
                <w:rFonts w:ascii="Gill Sans MT" w:hAnsi="Gill Sans MT"/>
              </w:rPr>
              <w:t>(64)</w:t>
            </w:r>
          </w:p>
        </w:tc>
        <w:tc>
          <w:tcPr>
            <w:tcW w:w="1086" w:type="dxa"/>
            <w:noWrap/>
          </w:tcPr>
          <w:p w14:paraId="0EFDA826"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7%</w:t>
            </w:r>
          </w:p>
          <w:p w14:paraId="342883FC" w14:textId="77777777" w:rsidR="00702D1E" w:rsidRPr="00F70F1F" w:rsidRDefault="00702D1E" w:rsidP="00B42243">
            <w:pPr>
              <w:spacing w:after="0"/>
              <w:jc w:val="right"/>
              <w:rPr>
                <w:rFonts w:ascii="Gill Sans MT" w:hAnsi="Gill Sans MT"/>
              </w:rPr>
            </w:pPr>
            <w:r w:rsidRPr="00F70F1F">
              <w:rPr>
                <w:rFonts w:ascii="Gill Sans MT" w:hAnsi="Gill Sans MT"/>
              </w:rPr>
              <w:t>(80)</w:t>
            </w:r>
          </w:p>
        </w:tc>
        <w:tc>
          <w:tcPr>
            <w:tcW w:w="1085" w:type="dxa"/>
          </w:tcPr>
          <w:p w14:paraId="686CDED7"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6%</w:t>
            </w:r>
          </w:p>
          <w:p w14:paraId="115C2DA5" w14:textId="1B07A42D"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(53)</w:t>
            </w:r>
          </w:p>
        </w:tc>
        <w:tc>
          <w:tcPr>
            <w:tcW w:w="1086" w:type="dxa"/>
          </w:tcPr>
          <w:p w14:paraId="11774EE4"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9%</w:t>
            </w:r>
          </w:p>
          <w:p w14:paraId="184FD747" w14:textId="7F263AEE"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(84)</w:t>
            </w:r>
          </w:p>
        </w:tc>
        <w:tc>
          <w:tcPr>
            <w:tcW w:w="1085" w:type="dxa"/>
          </w:tcPr>
          <w:p w14:paraId="057E9E9F"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7%</w:t>
            </w:r>
          </w:p>
          <w:p w14:paraId="4A028B72" w14:textId="5E6995F0"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(73)</w:t>
            </w:r>
          </w:p>
        </w:tc>
        <w:tc>
          <w:tcPr>
            <w:tcW w:w="1086" w:type="dxa"/>
          </w:tcPr>
          <w:p w14:paraId="7B6BB48E"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7%</w:t>
            </w:r>
          </w:p>
          <w:p w14:paraId="5EAC6749" w14:textId="12312D07"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(65)</w:t>
            </w:r>
          </w:p>
        </w:tc>
      </w:tr>
      <w:tr w:rsidR="00702D1E" w:rsidRPr="00F70F1F" w14:paraId="6C72B9FC" w14:textId="77777777" w:rsidTr="00B42243">
        <w:trPr>
          <w:trHeight w:val="843"/>
        </w:trPr>
        <w:tc>
          <w:tcPr>
            <w:tcW w:w="0" w:type="auto"/>
            <w:noWrap/>
          </w:tcPr>
          <w:p w14:paraId="7087A313" w14:textId="77777777" w:rsidR="00702D1E" w:rsidRPr="00F70F1F" w:rsidRDefault="00702D1E" w:rsidP="00B42243">
            <w:pPr>
              <w:spacing w:after="0"/>
              <w:rPr>
                <w:rFonts w:ascii="Gill Sans MT" w:hAnsi="Gill Sans MT"/>
              </w:rPr>
            </w:pPr>
            <w:r w:rsidRPr="00F70F1F">
              <w:rPr>
                <w:rFonts w:ascii="Gill Sans MT" w:hAnsi="Gill Sans MT"/>
              </w:rPr>
              <w:t>Training and Education**</w:t>
            </w:r>
          </w:p>
        </w:tc>
        <w:tc>
          <w:tcPr>
            <w:tcW w:w="1085" w:type="dxa"/>
            <w:noWrap/>
          </w:tcPr>
          <w:p w14:paraId="1E880804"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23%</w:t>
            </w:r>
          </w:p>
          <w:p w14:paraId="63A83B85" w14:textId="77777777" w:rsidR="00702D1E" w:rsidRPr="00F70F1F" w:rsidRDefault="00702D1E" w:rsidP="00B42243">
            <w:pPr>
              <w:spacing w:after="0"/>
              <w:jc w:val="right"/>
              <w:rPr>
                <w:rFonts w:ascii="Gill Sans MT" w:hAnsi="Gill Sans MT"/>
              </w:rPr>
            </w:pPr>
            <w:r w:rsidRPr="00F70F1F">
              <w:rPr>
                <w:rFonts w:ascii="Gill Sans MT" w:hAnsi="Gill Sans MT"/>
              </w:rPr>
              <w:t>(282)</w:t>
            </w:r>
          </w:p>
        </w:tc>
        <w:tc>
          <w:tcPr>
            <w:tcW w:w="1085" w:type="dxa"/>
            <w:noWrap/>
          </w:tcPr>
          <w:p w14:paraId="480054C0"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18%</w:t>
            </w:r>
          </w:p>
          <w:p w14:paraId="4FC0381E" w14:textId="77777777" w:rsidR="00702D1E" w:rsidRPr="00F70F1F" w:rsidRDefault="00702D1E" w:rsidP="00B42243">
            <w:pPr>
              <w:spacing w:after="0"/>
              <w:jc w:val="right"/>
              <w:rPr>
                <w:rFonts w:ascii="Gill Sans MT" w:hAnsi="Gill Sans MT"/>
              </w:rPr>
            </w:pPr>
            <w:r w:rsidRPr="00F70F1F">
              <w:rPr>
                <w:rFonts w:ascii="Gill Sans MT" w:hAnsi="Gill Sans MT"/>
              </w:rPr>
              <w:t>(288)</w:t>
            </w:r>
          </w:p>
        </w:tc>
        <w:tc>
          <w:tcPr>
            <w:tcW w:w="1086" w:type="dxa"/>
            <w:noWrap/>
          </w:tcPr>
          <w:p w14:paraId="1C35C618"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22%</w:t>
            </w:r>
          </w:p>
          <w:p w14:paraId="55FD4F79" w14:textId="77777777" w:rsidR="00702D1E" w:rsidRPr="00F70F1F" w:rsidRDefault="00702D1E" w:rsidP="00B42243">
            <w:pPr>
              <w:spacing w:after="0"/>
              <w:jc w:val="right"/>
              <w:rPr>
                <w:rFonts w:ascii="Gill Sans MT" w:hAnsi="Gill Sans MT"/>
              </w:rPr>
            </w:pPr>
            <w:r w:rsidRPr="00F70F1F">
              <w:rPr>
                <w:rFonts w:ascii="Gill Sans MT" w:hAnsi="Gill Sans MT"/>
              </w:rPr>
              <w:t>(257)</w:t>
            </w:r>
          </w:p>
        </w:tc>
        <w:tc>
          <w:tcPr>
            <w:tcW w:w="1085" w:type="dxa"/>
            <w:noWrap/>
          </w:tcPr>
          <w:p w14:paraId="71DEBD1B"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22%</w:t>
            </w:r>
          </w:p>
          <w:p w14:paraId="0909A115" w14:textId="77777777" w:rsidR="00702D1E" w:rsidRPr="00F70F1F" w:rsidRDefault="00702D1E" w:rsidP="00B42243">
            <w:pPr>
              <w:spacing w:after="0"/>
              <w:jc w:val="right"/>
              <w:rPr>
                <w:rFonts w:ascii="Gill Sans MT" w:hAnsi="Gill Sans MT"/>
              </w:rPr>
            </w:pPr>
            <w:r w:rsidRPr="00F70F1F">
              <w:rPr>
                <w:rFonts w:ascii="Gill Sans MT" w:hAnsi="Gill Sans MT"/>
              </w:rPr>
              <w:t>(243)</w:t>
            </w:r>
          </w:p>
        </w:tc>
        <w:tc>
          <w:tcPr>
            <w:tcW w:w="1086" w:type="dxa"/>
            <w:noWrap/>
          </w:tcPr>
          <w:p w14:paraId="5175683D"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19%</w:t>
            </w:r>
          </w:p>
          <w:p w14:paraId="202CBC30" w14:textId="77777777" w:rsidR="00702D1E" w:rsidRPr="00F70F1F" w:rsidRDefault="00702D1E" w:rsidP="00B42243">
            <w:pPr>
              <w:spacing w:after="0"/>
              <w:jc w:val="right"/>
              <w:rPr>
                <w:rFonts w:ascii="Gill Sans MT" w:hAnsi="Gill Sans MT"/>
              </w:rPr>
            </w:pPr>
            <w:r w:rsidRPr="00F70F1F">
              <w:rPr>
                <w:rFonts w:ascii="Gill Sans MT" w:hAnsi="Gill Sans MT"/>
              </w:rPr>
              <w:t>(204)</w:t>
            </w:r>
          </w:p>
        </w:tc>
        <w:tc>
          <w:tcPr>
            <w:tcW w:w="1085" w:type="dxa"/>
          </w:tcPr>
          <w:p w14:paraId="3A2E3DD1"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16%</w:t>
            </w:r>
          </w:p>
          <w:p w14:paraId="6F3C309C" w14:textId="504121A5"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(141)</w:t>
            </w:r>
          </w:p>
        </w:tc>
        <w:tc>
          <w:tcPr>
            <w:tcW w:w="1086" w:type="dxa"/>
          </w:tcPr>
          <w:p w14:paraId="41B8EAA0"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19%</w:t>
            </w:r>
          </w:p>
          <w:p w14:paraId="7321D332" w14:textId="7855EC18"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(174)</w:t>
            </w:r>
          </w:p>
        </w:tc>
        <w:tc>
          <w:tcPr>
            <w:tcW w:w="1085" w:type="dxa"/>
          </w:tcPr>
          <w:p w14:paraId="63D3266A"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21%</w:t>
            </w:r>
          </w:p>
          <w:p w14:paraId="73B00F2F" w14:textId="0543BC97"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(206)</w:t>
            </w:r>
          </w:p>
        </w:tc>
        <w:tc>
          <w:tcPr>
            <w:tcW w:w="1086" w:type="dxa"/>
          </w:tcPr>
          <w:p w14:paraId="1F4A5891"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19%</w:t>
            </w:r>
          </w:p>
          <w:p w14:paraId="44437F2D" w14:textId="27C0D32E"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(192)</w:t>
            </w:r>
          </w:p>
        </w:tc>
      </w:tr>
      <w:tr w:rsidR="00702D1E" w:rsidRPr="00F70F1F" w14:paraId="5A8B5C45" w14:textId="77777777" w:rsidTr="00B42243">
        <w:trPr>
          <w:trHeight w:val="836"/>
        </w:trPr>
        <w:tc>
          <w:tcPr>
            <w:tcW w:w="0" w:type="auto"/>
            <w:noWrap/>
          </w:tcPr>
          <w:p w14:paraId="0855F42F" w14:textId="77777777" w:rsidR="00702D1E" w:rsidRPr="00F70F1F" w:rsidRDefault="00702D1E" w:rsidP="00B42243">
            <w:pPr>
              <w:spacing w:after="0"/>
              <w:rPr>
                <w:rFonts w:ascii="Gill Sans MT" w:hAnsi="Gill Sans MT"/>
              </w:rPr>
            </w:pPr>
            <w:r w:rsidRPr="00F70F1F">
              <w:rPr>
                <w:rFonts w:ascii="Gill Sans MT" w:hAnsi="Gill Sans MT"/>
              </w:rPr>
              <w:t>HSE-funded Day Service</w:t>
            </w:r>
          </w:p>
        </w:tc>
        <w:tc>
          <w:tcPr>
            <w:tcW w:w="1085" w:type="dxa"/>
            <w:noWrap/>
          </w:tcPr>
          <w:p w14:paraId="64855775"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27%</w:t>
            </w:r>
          </w:p>
          <w:p w14:paraId="6A792008" w14:textId="77777777" w:rsidR="00702D1E" w:rsidRPr="00F70F1F" w:rsidRDefault="00702D1E" w:rsidP="00B42243">
            <w:pPr>
              <w:spacing w:after="0"/>
              <w:jc w:val="right"/>
              <w:rPr>
                <w:rFonts w:ascii="Gill Sans MT" w:hAnsi="Gill Sans MT"/>
              </w:rPr>
            </w:pPr>
            <w:r w:rsidRPr="00F70F1F">
              <w:rPr>
                <w:rFonts w:ascii="Gill Sans MT" w:hAnsi="Gill Sans MT"/>
              </w:rPr>
              <w:t>(341)</w:t>
            </w:r>
          </w:p>
        </w:tc>
        <w:tc>
          <w:tcPr>
            <w:tcW w:w="1085" w:type="dxa"/>
            <w:noWrap/>
          </w:tcPr>
          <w:p w14:paraId="43CECEC3"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30%</w:t>
            </w:r>
          </w:p>
          <w:p w14:paraId="6FDEF258" w14:textId="77777777" w:rsidR="00702D1E" w:rsidRPr="00F70F1F" w:rsidRDefault="00702D1E" w:rsidP="00B42243">
            <w:pPr>
              <w:spacing w:after="0"/>
              <w:jc w:val="right"/>
              <w:rPr>
                <w:rFonts w:ascii="Gill Sans MT" w:hAnsi="Gill Sans MT"/>
              </w:rPr>
            </w:pPr>
            <w:r w:rsidRPr="00F70F1F">
              <w:rPr>
                <w:rFonts w:ascii="Gill Sans MT" w:hAnsi="Gill Sans MT"/>
              </w:rPr>
              <w:t>(472)</w:t>
            </w:r>
          </w:p>
        </w:tc>
        <w:tc>
          <w:tcPr>
            <w:tcW w:w="1086" w:type="dxa"/>
            <w:noWrap/>
          </w:tcPr>
          <w:p w14:paraId="5703FC33"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34%</w:t>
            </w:r>
          </w:p>
          <w:p w14:paraId="4EEF0F76" w14:textId="77777777" w:rsidR="00702D1E" w:rsidRPr="00F70F1F" w:rsidRDefault="00702D1E" w:rsidP="00B42243">
            <w:pPr>
              <w:spacing w:after="0"/>
              <w:jc w:val="right"/>
              <w:rPr>
                <w:rFonts w:ascii="Gill Sans MT" w:hAnsi="Gill Sans MT"/>
              </w:rPr>
            </w:pPr>
            <w:r w:rsidRPr="00F70F1F">
              <w:rPr>
                <w:rFonts w:ascii="Gill Sans MT" w:hAnsi="Gill Sans MT"/>
              </w:rPr>
              <w:t>(405)</w:t>
            </w:r>
          </w:p>
        </w:tc>
        <w:tc>
          <w:tcPr>
            <w:tcW w:w="1085" w:type="dxa"/>
            <w:noWrap/>
          </w:tcPr>
          <w:p w14:paraId="44310107"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41%</w:t>
            </w:r>
          </w:p>
          <w:p w14:paraId="2701373F" w14:textId="77777777" w:rsidR="00702D1E" w:rsidRPr="00F70F1F" w:rsidRDefault="00702D1E" w:rsidP="00B42243">
            <w:pPr>
              <w:spacing w:after="0"/>
              <w:jc w:val="right"/>
              <w:rPr>
                <w:rFonts w:ascii="Gill Sans MT" w:hAnsi="Gill Sans MT"/>
              </w:rPr>
            </w:pPr>
            <w:r w:rsidRPr="00F70F1F">
              <w:rPr>
                <w:rFonts w:ascii="Gill Sans MT" w:hAnsi="Gill Sans MT"/>
              </w:rPr>
              <w:t>(452)</w:t>
            </w:r>
          </w:p>
        </w:tc>
        <w:tc>
          <w:tcPr>
            <w:tcW w:w="1086" w:type="dxa"/>
            <w:noWrap/>
          </w:tcPr>
          <w:p w14:paraId="74B12D39"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48%</w:t>
            </w:r>
          </w:p>
          <w:p w14:paraId="4C20CC88" w14:textId="77777777" w:rsidR="00702D1E" w:rsidRPr="00F70F1F" w:rsidRDefault="00702D1E" w:rsidP="00B42243">
            <w:pPr>
              <w:spacing w:after="0"/>
              <w:jc w:val="right"/>
              <w:rPr>
                <w:rFonts w:ascii="Gill Sans MT" w:hAnsi="Gill Sans MT"/>
              </w:rPr>
            </w:pPr>
            <w:r w:rsidRPr="00F70F1F">
              <w:rPr>
                <w:rFonts w:ascii="Gill Sans MT" w:hAnsi="Gill Sans MT"/>
              </w:rPr>
              <w:t>(528)</w:t>
            </w:r>
          </w:p>
        </w:tc>
        <w:tc>
          <w:tcPr>
            <w:tcW w:w="1085" w:type="dxa"/>
          </w:tcPr>
          <w:p w14:paraId="264D04DE"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49%</w:t>
            </w:r>
          </w:p>
          <w:p w14:paraId="21535BBE" w14:textId="66C6B20A"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(427)</w:t>
            </w:r>
          </w:p>
        </w:tc>
        <w:tc>
          <w:tcPr>
            <w:tcW w:w="1086" w:type="dxa"/>
          </w:tcPr>
          <w:p w14:paraId="4715CFA8"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47%</w:t>
            </w:r>
          </w:p>
          <w:p w14:paraId="15F355CD" w14:textId="6B8D799A"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(446)</w:t>
            </w:r>
          </w:p>
        </w:tc>
        <w:tc>
          <w:tcPr>
            <w:tcW w:w="1085" w:type="dxa"/>
          </w:tcPr>
          <w:p w14:paraId="7C9D5369"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43%</w:t>
            </w:r>
          </w:p>
          <w:p w14:paraId="332F61C8" w14:textId="4997A34C"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(432)</w:t>
            </w:r>
          </w:p>
        </w:tc>
        <w:tc>
          <w:tcPr>
            <w:tcW w:w="1086" w:type="dxa"/>
          </w:tcPr>
          <w:p w14:paraId="6252291D"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44%</w:t>
            </w:r>
          </w:p>
          <w:p w14:paraId="3BC6F3FF" w14:textId="6CC57B35" w:rsidR="00702D1E" w:rsidRPr="00F70F1F" w:rsidRDefault="00702D1E" w:rsidP="00B42243">
            <w:pPr>
              <w:spacing w:after="0"/>
              <w:jc w:val="right"/>
              <w:rPr>
                <w:rFonts w:ascii="Gill Sans MT" w:hAnsi="Gill Sans MT"/>
                <w:szCs w:val="26"/>
                <w:lang w:eastAsia="en-IE"/>
              </w:rPr>
            </w:pPr>
            <w:r>
              <w:rPr>
                <w:rFonts w:ascii="Gill Sans MT" w:hAnsi="Gill Sans MT"/>
                <w:szCs w:val="26"/>
                <w:lang w:eastAsia="en-IE"/>
              </w:rPr>
              <w:t>(434)</w:t>
            </w:r>
          </w:p>
        </w:tc>
      </w:tr>
      <w:tr w:rsidR="00702D1E" w:rsidRPr="00F70F1F" w14:paraId="1C15378C" w14:textId="77777777" w:rsidTr="00B42243">
        <w:trPr>
          <w:trHeight w:val="835"/>
        </w:trPr>
        <w:tc>
          <w:tcPr>
            <w:tcW w:w="0" w:type="auto"/>
            <w:noWrap/>
          </w:tcPr>
          <w:p w14:paraId="2F5FACB7" w14:textId="77777777" w:rsidR="00702D1E" w:rsidRPr="00F70F1F" w:rsidRDefault="00702D1E" w:rsidP="00B42243">
            <w:pPr>
              <w:spacing w:after="0"/>
              <w:rPr>
                <w:rFonts w:ascii="Gill Sans MT" w:hAnsi="Gill Sans MT"/>
              </w:rPr>
            </w:pPr>
            <w:r w:rsidRPr="00F70F1F">
              <w:rPr>
                <w:rFonts w:ascii="Gill Sans MT" w:hAnsi="Gill Sans MT"/>
              </w:rPr>
              <w:t>Other***</w:t>
            </w:r>
          </w:p>
        </w:tc>
        <w:tc>
          <w:tcPr>
            <w:tcW w:w="1085" w:type="dxa"/>
            <w:noWrap/>
          </w:tcPr>
          <w:p w14:paraId="0471C6AB"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41%</w:t>
            </w:r>
          </w:p>
          <w:p w14:paraId="1BDF4DF6" w14:textId="77777777" w:rsidR="00702D1E" w:rsidRPr="00F70F1F" w:rsidRDefault="00702D1E" w:rsidP="00B42243">
            <w:pPr>
              <w:spacing w:after="0"/>
              <w:jc w:val="right"/>
              <w:rPr>
                <w:rFonts w:ascii="Gill Sans MT" w:hAnsi="Gill Sans MT"/>
              </w:rPr>
            </w:pPr>
            <w:r w:rsidRPr="00F70F1F">
              <w:rPr>
                <w:rFonts w:ascii="Gill Sans MT" w:hAnsi="Gill Sans MT"/>
              </w:rPr>
              <w:t>(508</w:t>
            </w:r>
            <w:r>
              <w:rPr>
                <w:rFonts w:ascii="Gill Sans MT" w:hAnsi="Gill Sans MT"/>
              </w:rPr>
              <w:t>)</w:t>
            </w:r>
          </w:p>
        </w:tc>
        <w:tc>
          <w:tcPr>
            <w:tcW w:w="1085" w:type="dxa"/>
            <w:noWrap/>
          </w:tcPr>
          <w:p w14:paraId="60BEA6EA"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46%</w:t>
            </w:r>
          </w:p>
          <w:p w14:paraId="0D1642F7" w14:textId="77777777" w:rsidR="00702D1E" w:rsidRPr="00F70F1F" w:rsidRDefault="00702D1E" w:rsidP="00B42243">
            <w:pPr>
              <w:spacing w:after="0"/>
              <w:jc w:val="right"/>
              <w:rPr>
                <w:rFonts w:ascii="Gill Sans MT" w:hAnsi="Gill Sans MT"/>
              </w:rPr>
            </w:pPr>
            <w:r w:rsidRPr="00F70F1F">
              <w:rPr>
                <w:rFonts w:ascii="Gill Sans MT" w:hAnsi="Gill Sans MT"/>
              </w:rPr>
              <w:t>(723)</w:t>
            </w:r>
          </w:p>
        </w:tc>
        <w:tc>
          <w:tcPr>
            <w:tcW w:w="1086" w:type="dxa"/>
            <w:noWrap/>
          </w:tcPr>
          <w:p w14:paraId="2A13BD0C"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38%</w:t>
            </w:r>
          </w:p>
          <w:p w14:paraId="52483B7E" w14:textId="77777777" w:rsidR="00702D1E" w:rsidRPr="00F70F1F" w:rsidRDefault="00702D1E" w:rsidP="00B42243">
            <w:pPr>
              <w:spacing w:after="0"/>
              <w:jc w:val="right"/>
              <w:rPr>
                <w:rFonts w:ascii="Gill Sans MT" w:hAnsi="Gill Sans MT"/>
              </w:rPr>
            </w:pPr>
            <w:r w:rsidRPr="00F70F1F">
              <w:rPr>
                <w:rFonts w:ascii="Gill Sans MT" w:hAnsi="Gill Sans MT"/>
              </w:rPr>
              <w:t>(458)</w:t>
            </w:r>
          </w:p>
        </w:tc>
        <w:tc>
          <w:tcPr>
            <w:tcW w:w="1085" w:type="dxa"/>
            <w:noWrap/>
          </w:tcPr>
          <w:p w14:paraId="381F2B36"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30%</w:t>
            </w:r>
          </w:p>
          <w:p w14:paraId="1EC999AD" w14:textId="77777777" w:rsidR="00702D1E" w:rsidRPr="00F70F1F" w:rsidRDefault="00702D1E" w:rsidP="00B42243">
            <w:pPr>
              <w:spacing w:after="0"/>
              <w:jc w:val="right"/>
              <w:rPr>
                <w:rFonts w:ascii="Gill Sans MT" w:hAnsi="Gill Sans MT"/>
              </w:rPr>
            </w:pPr>
            <w:r w:rsidRPr="00F70F1F">
              <w:rPr>
                <w:rFonts w:ascii="Gill Sans MT" w:hAnsi="Gill Sans MT"/>
              </w:rPr>
              <w:t>(333)</w:t>
            </w:r>
          </w:p>
        </w:tc>
        <w:tc>
          <w:tcPr>
            <w:tcW w:w="1086" w:type="dxa"/>
            <w:noWrap/>
          </w:tcPr>
          <w:p w14:paraId="37193A45" w14:textId="77777777" w:rsidR="00702D1E" w:rsidRPr="00F70F1F" w:rsidRDefault="00702D1E" w:rsidP="00B42243">
            <w:pPr>
              <w:spacing w:after="0"/>
              <w:jc w:val="right"/>
              <w:rPr>
                <w:rFonts w:ascii="Gill Sans MT" w:hAnsi="Gill Sans MT"/>
              </w:rPr>
            </w:pPr>
            <w:r w:rsidRPr="00F70F1F">
              <w:rPr>
                <w:rFonts w:ascii="Gill Sans MT" w:hAnsi="Gill Sans MT"/>
                <w:szCs w:val="26"/>
                <w:lang w:eastAsia="en-IE"/>
              </w:rPr>
              <w:t>26%</w:t>
            </w:r>
          </w:p>
          <w:p w14:paraId="5DDD3A4A" w14:textId="77777777" w:rsidR="00702D1E" w:rsidRPr="00F70F1F" w:rsidRDefault="00702D1E" w:rsidP="00B42243">
            <w:pPr>
              <w:spacing w:after="0"/>
              <w:jc w:val="right"/>
              <w:rPr>
                <w:rFonts w:ascii="Gill Sans MT" w:hAnsi="Gill Sans MT"/>
              </w:rPr>
            </w:pPr>
            <w:r w:rsidRPr="00F70F1F">
              <w:rPr>
                <w:rFonts w:ascii="Gill Sans MT" w:hAnsi="Gill Sans MT"/>
              </w:rPr>
              <w:t>(289)</w:t>
            </w:r>
          </w:p>
        </w:tc>
        <w:tc>
          <w:tcPr>
            <w:tcW w:w="1085" w:type="dxa"/>
          </w:tcPr>
          <w:p w14:paraId="1D8AF66E"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29%</w:t>
            </w:r>
          </w:p>
          <w:p w14:paraId="0B11FED4" w14:textId="3791903A"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(253)</w:t>
            </w:r>
          </w:p>
        </w:tc>
        <w:tc>
          <w:tcPr>
            <w:tcW w:w="1086" w:type="dxa"/>
          </w:tcPr>
          <w:p w14:paraId="2D49CC1F"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25%</w:t>
            </w:r>
          </w:p>
          <w:p w14:paraId="4C69CB9A" w14:textId="530BF3EC"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(236)</w:t>
            </w:r>
          </w:p>
        </w:tc>
        <w:tc>
          <w:tcPr>
            <w:tcW w:w="1085" w:type="dxa"/>
          </w:tcPr>
          <w:p w14:paraId="780F79C5"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29%</w:t>
            </w:r>
          </w:p>
          <w:p w14:paraId="11B4C2D1" w14:textId="40F23B57"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(286)</w:t>
            </w:r>
          </w:p>
        </w:tc>
        <w:tc>
          <w:tcPr>
            <w:tcW w:w="1086" w:type="dxa"/>
          </w:tcPr>
          <w:p w14:paraId="2327BA66" w14:textId="77777777" w:rsidR="00702D1E" w:rsidRDefault="00702D1E" w:rsidP="00B42243">
            <w:pPr>
              <w:spacing w:after="0"/>
              <w:jc w:val="right"/>
              <w:rPr>
                <w:rFonts w:ascii="Gill Sans MT" w:hAnsi="Gill Sans MT"/>
                <w:szCs w:val="26"/>
                <w:lang w:eastAsia="en-IE"/>
              </w:rPr>
            </w:pPr>
            <w:r>
              <w:rPr>
                <w:rFonts w:ascii="Gill Sans MT" w:hAnsi="Gill Sans MT"/>
                <w:szCs w:val="26"/>
                <w:lang w:eastAsia="en-IE"/>
              </w:rPr>
              <w:t>31%</w:t>
            </w:r>
          </w:p>
          <w:p w14:paraId="5EA286AB" w14:textId="529EAA42" w:rsidR="006F5598" w:rsidRPr="00F70F1F" w:rsidRDefault="006F5598" w:rsidP="00B42243">
            <w:pPr>
              <w:spacing w:after="0"/>
              <w:jc w:val="right"/>
              <w:rPr>
                <w:rFonts w:ascii="Gill Sans MT" w:hAnsi="Gill Sans MT"/>
                <w:szCs w:val="26"/>
                <w:lang w:eastAsia="en-IE"/>
              </w:rPr>
            </w:pPr>
            <w:r>
              <w:rPr>
                <w:rFonts w:ascii="Gill Sans MT" w:hAnsi="Gill Sans MT"/>
                <w:szCs w:val="26"/>
                <w:lang w:eastAsia="en-IE"/>
              </w:rPr>
              <w:t>(304)</w:t>
            </w:r>
          </w:p>
        </w:tc>
      </w:tr>
      <w:tr w:rsidR="00702D1E" w:rsidRPr="00EC0082" w14:paraId="6FD6B699" w14:textId="77777777" w:rsidTr="00702D1E">
        <w:trPr>
          <w:trHeight w:val="300"/>
        </w:trPr>
        <w:tc>
          <w:tcPr>
            <w:tcW w:w="0" w:type="auto"/>
            <w:noWrap/>
            <w:hideMark/>
          </w:tcPr>
          <w:p w14:paraId="7500BF23" w14:textId="77777777" w:rsidR="00702D1E" w:rsidRPr="00F70F1F" w:rsidRDefault="00702D1E" w:rsidP="00B42243">
            <w:pPr>
              <w:spacing w:after="0"/>
              <w:rPr>
                <w:rFonts w:ascii="Gill Sans MT" w:hAnsi="Gill Sans MT"/>
                <w:b/>
              </w:rPr>
            </w:pPr>
            <w:r w:rsidRPr="00F70F1F">
              <w:rPr>
                <w:rFonts w:ascii="Gill Sans MT" w:hAnsi="Gill Sans MT"/>
                <w:b/>
              </w:rPr>
              <w:t>Total</w:t>
            </w:r>
          </w:p>
        </w:tc>
        <w:tc>
          <w:tcPr>
            <w:tcW w:w="1085" w:type="dxa"/>
            <w:noWrap/>
            <w:hideMark/>
          </w:tcPr>
          <w:p w14:paraId="38B19448" w14:textId="77777777" w:rsidR="00702D1E" w:rsidRPr="00F70F1F" w:rsidRDefault="00702D1E" w:rsidP="00B42243">
            <w:pPr>
              <w:spacing w:after="0"/>
              <w:jc w:val="right"/>
              <w:rPr>
                <w:rFonts w:ascii="Gill Sans MT" w:hAnsi="Gill Sans MT"/>
                <w:b/>
              </w:rPr>
            </w:pPr>
            <w:r w:rsidRPr="00F70F1F">
              <w:rPr>
                <w:rFonts w:ascii="Gill Sans MT" w:hAnsi="Gill Sans MT"/>
                <w:b/>
              </w:rPr>
              <w:t>1,243</w:t>
            </w:r>
          </w:p>
        </w:tc>
        <w:tc>
          <w:tcPr>
            <w:tcW w:w="1085" w:type="dxa"/>
            <w:noWrap/>
            <w:hideMark/>
          </w:tcPr>
          <w:p w14:paraId="0F925DA9" w14:textId="77777777" w:rsidR="00702D1E" w:rsidRPr="00F70F1F" w:rsidRDefault="00702D1E" w:rsidP="00B42243">
            <w:pPr>
              <w:spacing w:after="0"/>
              <w:jc w:val="right"/>
              <w:rPr>
                <w:rFonts w:ascii="Gill Sans MT" w:hAnsi="Gill Sans MT"/>
                <w:b/>
              </w:rPr>
            </w:pPr>
            <w:r w:rsidRPr="00F70F1F">
              <w:rPr>
                <w:rFonts w:ascii="Gill Sans MT" w:hAnsi="Gill Sans MT"/>
                <w:b/>
              </w:rPr>
              <w:t>1,557</w:t>
            </w:r>
          </w:p>
        </w:tc>
        <w:tc>
          <w:tcPr>
            <w:tcW w:w="1086" w:type="dxa"/>
            <w:noWrap/>
            <w:hideMark/>
          </w:tcPr>
          <w:p w14:paraId="7D1FC527" w14:textId="77777777" w:rsidR="00702D1E" w:rsidRPr="00F70F1F" w:rsidRDefault="00702D1E" w:rsidP="00B42243">
            <w:pPr>
              <w:spacing w:after="0"/>
              <w:jc w:val="right"/>
              <w:rPr>
                <w:rFonts w:ascii="Gill Sans MT" w:hAnsi="Gill Sans MT"/>
                <w:b/>
              </w:rPr>
            </w:pPr>
            <w:r w:rsidRPr="00F70F1F">
              <w:rPr>
                <w:rFonts w:ascii="Gill Sans MT" w:hAnsi="Gill Sans MT"/>
                <w:b/>
              </w:rPr>
              <w:t>1,193</w:t>
            </w:r>
          </w:p>
        </w:tc>
        <w:tc>
          <w:tcPr>
            <w:tcW w:w="1085" w:type="dxa"/>
            <w:noWrap/>
            <w:hideMark/>
          </w:tcPr>
          <w:p w14:paraId="46DB622D" w14:textId="77777777" w:rsidR="00702D1E" w:rsidRPr="00F70F1F" w:rsidRDefault="00702D1E" w:rsidP="00B42243">
            <w:pPr>
              <w:spacing w:after="0"/>
              <w:jc w:val="right"/>
              <w:rPr>
                <w:rFonts w:ascii="Gill Sans MT" w:hAnsi="Gill Sans MT"/>
                <w:b/>
              </w:rPr>
            </w:pPr>
            <w:r w:rsidRPr="00F70F1F">
              <w:rPr>
                <w:rFonts w:ascii="Gill Sans MT" w:hAnsi="Gill Sans MT"/>
                <w:b/>
              </w:rPr>
              <w:t>1,092</w:t>
            </w:r>
          </w:p>
        </w:tc>
        <w:tc>
          <w:tcPr>
            <w:tcW w:w="1086" w:type="dxa"/>
            <w:noWrap/>
            <w:hideMark/>
          </w:tcPr>
          <w:p w14:paraId="69523FAC" w14:textId="77777777" w:rsidR="00702D1E" w:rsidRPr="00F70F1F" w:rsidRDefault="00702D1E" w:rsidP="00B42243">
            <w:pPr>
              <w:spacing w:after="0"/>
              <w:jc w:val="right"/>
              <w:rPr>
                <w:rFonts w:ascii="Gill Sans MT" w:hAnsi="Gill Sans MT"/>
                <w:b/>
              </w:rPr>
            </w:pPr>
            <w:r w:rsidRPr="00F70F1F">
              <w:rPr>
                <w:rFonts w:ascii="Gill Sans MT" w:hAnsi="Gill Sans MT"/>
                <w:b/>
              </w:rPr>
              <w:t>1,101</w:t>
            </w:r>
          </w:p>
        </w:tc>
        <w:tc>
          <w:tcPr>
            <w:tcW w:w="1085" w:type="dxa"/>
          </w:tcPr>
          <w:p w14:paraId="136195D5" w14:textId="73CC76DD" w:rsidR="00702D1E" w:rsidRPr="00F70F1F" w:rsidRDefault="006F5598" w:rsidP="00B42243">
            <w:pPr>
              <w:spacing w:after="0"/>
              <w:jc w:val="right"/>
              <w:rPr>
                <w:rFonts w:ascii="Gill Sans MT" w:hAnsi="Gill Sans MT"/>
                <w:b/>
              </w:rPr>
            </w:pPr>
            <w:r>
              <w:rPr>
                <w:rFonts w:ascii="Gill Sans MT" w:hAnsi="Gill Sans MT"/>
                <w:b/>
              </w:rPr>
              <w:t>874</w:t>
            </w:r>
          </w:p>
        </w:tc>
        <w:tc>
          <w:tcPr>
            <w:tcW w:w="1086" w:type="dxa"/>
          </w:tcPr>
          <w:p w14:paraId="21BDD8E2" w14:textId="2ECEBC05" w:rsidR="00702D1E" w:rsidRPr="00F70F1F" w:rsidRDefault="006F5598" w:rsidP="00B42243">
            <w:pPr>
              <w:spacing w:after="0"/>
              <w:jc w:val="right"/>
              <w:rPr>
                <w:rFonts w:ascii="Gill Sans MT" w:hAnsi="Gill Sans MT"/>
                <w:b/>
              </w:rPr>
            </w:pPr>
            <w:r>
              <w:rPr>
                <w:rFonts w:ascii="Gill Sans MT" w:hAnsi="Gill Sans MT"/>
                <w:b/>
              </w:rPr>
              <w:t>940</w:t>
            </w:r>
          </w:p>
        </w:tc>
        <w:tc>
          <w:tcPr>
            <w:tcW w:w="1085" w:type="dxa"/>
          </w:tcPr>
          <w:p w14:paraId="0B361B0A" w14:textId="7BA3295B" w:rsidR="00702D1E" w:rsidRPr="00F70F1F" w:rsidRDefault="006F5598" w:rsidP="00B42243">
            <w:pPr>
              <w:spacing w:after="0"/>
              <w:jc w:val="right"/>
              <w:rPr>
                <w:rFonts w:ascii="Gill Sans MT" w:hAnsi="Gill Sans MT"/>
                <w:b/>
              </w:rPr>
            </w:pPr>
            <w:r>
              <w:rPr>
                <w:rFonts w:ascii="Gill Sans MT" w:hAnsi="Gill Sans MT"/>
                <w:b/>
              </w:rPr>
              <w:t>997</w:t>
            </w:r>
          </w:p>
        </w:tc>
        <w:tc>
          <w:tcPr>
            <w:tcW w:w="1086" w:type="dxa"/>
          </w:tcPr>
          <w:p w14:paraId="35B8064E" w14:textId="54561525" w:rsidR="00702D1E" w:rsidRPr="00F70F1F" w:rsidRDefault="006F5598" w:rsidP="00B42243">
            <w:pPr>
              <w:spacing w:after="0"/>
              <w:jc w:val="right"/>
              <w:rPr>
                <w:rFonts w:ascii="Gill Sans MT" w:hAnsi="Gill Sans MT"/>
                <w:b/>
              </w:rPr>
            </w:pPr>
            <w:r>
              <w:rPr>
                <w:rFonts w:ascii="Gill Sans MT" w:hAnsi="Gill Sans MT"/>
                <w:b/>
              </w:rPr>
              <w:t>995</w:t>
            </w:r>
          </w:p>
        </w:tc>
      </w:tr>
    </w:tbl>
    <w:p w14:paraId="628D8F01" w14:textId="77777777" w:rsidR="00702D1E" w:rsidRDefault="00702D1E" w:rsidP="00702D1E">
      <w:pPr>
        <w:rPr>
          <w:lang w:eastAsia="en-IE"/>
        </w:rPr>
      </w:pPr>
    </w:p>
    <w:p w14:paraId="21A75BE4" w14:textId="77777777" w:rsidR="00702D1E" w:rsidRPr="00702D1E" w:rsidRDefault="00702D1E" w:rsidP="00702D1E">
      <w:pPr>
        <w:rPr>
          <w:lang w:eastAsia="en-IE"/>
        </w:rPr>
      </w:pPr>
      <w:r>
        <w:rPr>
          <w:lang w:eastAsia="en-IE"/>
        </w:rPr>
        <w:tab/>
      </w:r>
    </w:p>
    <w:p w14:paraId="733ACFE7" w14:textId="5FE2FA40" w:rsidR="00702D1E" w:rsidRPr="00702D1E" w:rsidRDefault="00702D1E" w:rsidP="00702D1E">
      <w:pPr>
        <w:rPr>
          <w:lang w:eastAsia="en-IE"/>
        </w:rPr>
      </w:pPr>
    </w:p>
    <w:p w14:paraId="3DF9D31D" w14:textId="77777777" w:rsidR="00702D1E" w:rsidRDefault="00702D1E" w:rsidP="00EC0082">
      <w:pPr>
        <w:spacing w:before="120" w:after="0"/>
        <w:jc w:val="center"/>
        <w:rPr>
          <w:rFonts w:ascii="Gill Sans MT" w:hAnsi="Gill Sans MT"/>
          <w:sz w:val="20"/>
          <w:szCs w:val="20"/>
          <w:lang w:eastAsia="en-IE"/>
        </w:rPr>
      </w:pPr>
    </w:p>
    <w:p w14:paraId="058B9FDA" w14:textId="77777777" w:rsidR="00702D1E" w:rsidRDefault="00702D1E" w:rsidP="00EC0082">
      <w:pPr>
        <w:spacing w:before="120" w:after="0"/>
        <w:jc w:val="center"/>
        <w:rPr>
          <w:rFonts w:ascii="Gill Sans MT" w:hAnsi="Gill Sans MT"/>
          <w:sz w:val="20"/>
          <w:szCs w:val="20"/>
          <w:lang w:eastAsia="en-IE"/>
        </w:rPr>
      </w:pPr>
    </w:p>
    <w:p w14:paraId="4633F9AF" w14:textId="77777777" w:rsidR="00702D1E" w:rsidRDefault="00702D1E" w:rsidP="00EC0082">
      <w:pPr>
        <w:spacing w:before="120" w:after="0"/>
        <w:jc w:val="center"/>
        <w:rPr>
          <w:rFonts w:ascii="Gill Sans MT" w:hAnsi="Gill Sans MT"/>
          <w:sz w:val="20"/>
          <w:szCs w:val="20"/>
          <w:lang w:eastAsia="en-IE"/>
        </w:rPr>
      </w:pPr>
    </w:p>
    <w:p w14:paraId="08514CDE" w14:textId="77777777" w:rsidR="00702D1E" w:rsidRDefault="00702D1E" w:rsidP="00EC0082">
      <w:pPr>
        <w:spacing w:before="120" w:after="0"/>
        <w:jc w:val="center"/>
        <w:rPr>
          <w:rFonts w:ascii="Gill Sans MT" w:hAnsi="Gill Sans MT"/>
          <w:sz w:val="20"/>
          <w:szCs w:val="20"/>
          <w:lang w:eastAsia="en-IE"/>
        </w:rPr>
      </w:pPr>
    </w:p>
    <w:p w14:paraId="0DA24B84" w14:textId="77777777" w:rsidR="00702D1E" w:rsidRDefault="00702D1E" w:rsidP="00EC0082">
      <w:pPr>
        <w:spacing w:before="120" w:after="0"/>
        <w:jc w:val="center"/>
        <w:rPr>
          <w:rFonts w:ascii="Gill Sans MT" w:hAnsi="Gill Sans MT"/>
          <w:sz w:val="20"/>
          <w:szCs w:val="20"/>
          <w:lang w:eastAsia="en-IE"/>
        </w:rPr>
      </w:pPr>
    </w:p>
    <w:p w14:paraId="45B26035" w14:textId="77777777" w:rsidR="00702D1E" w:rsidRDefault="00702D1E" w:rsidP="00EC0082">
      <w:pPr>
        <w:spacing w:before="120" w:after="0"/>
        <w:jc w:val="center"/>
        <w:rPr>
          <w:rFonts w:ascii="Gill Sans MT" w:hAnsi="Gill Sans MT"/>
          <w:sz w:val="20"/>
          <w:szCs w:val="20"/>
          <w:lang w:eastAsia="en-IE"/>
        </w:rPr>
      </w:pPr>
    </w:p>
    <w:p w14:paraId="1103F106" w14:textId="77777777" w:rsidR="00702D1E" w:rsidRDefault="00702D1E" w:rsidP="00EC0082">
      <w:pPr>
        <w:spacing w:before="120" w:after="0"/>
        <w:jc w:val="center"/>
        <w:rPr>
          <w:rFonts w:ascii="Gill Sans MT" w:hAnsi="Gill Sans MT"/>
          <w:sz w:val="20"/>
          <w:szCs w:val="20"/>
          <w:lang w:eastAsia="en-IE"/>
        </w:rPr>
      </w:pPr>
    </w:p>
    <w:p w14:paraId="09B1D71C" w14:textId="77777777" w:rsidR="00702D1E" w:rsidRDefault="00702D1E" w:rsidP="00EC0082">
      <w:pPr>
        <w:spacing w:before="120" w:after="0"/>
        <w:jc w:val="center"/>
        <w:rPr>
          <w:rFonts w:ascii="Gill Sans MT" w:hAnsi="Gill Sans MT"/>
          <w:sz w:val="20"/>
          <w:szCs w:val="20"/>
          <w:lang w:eastAsia="en-IE"/>
        </w:rPr>
      </w:pPr>
    </w:p>
    <w:p w14:paraId="43EB8EBE" w14:textId="77777777" w:rsidR="00702D1E" w:rsidRDefault="00702D1E" w:rsidP="00EC0082">
      <w:pPr>
        <w:spacing w:before="120" w:after="0"/>
        <w:jc w:val="center"/>
        <w:rPr>
          <w:rFonts w:ascii="Gill Sans MT" w:hAnsi="Gill Sans MT"/>
          <w:sz w:val="20"/>
          <w:szCs w:val="20"/>
          <w:lang w:eastAsia="en-IE"/>
        </w:rPr>
      </w:pPr>
    </w:p>
    <w:p w14:paraId="4AE2C3E9" w14:textId="77777777" w:rsidR="00702D1E" w:rsidRDefault="00702D1E" w:rsidP="00EC0082">
      <w:pPr>
        <w:spacing w:before="120" w:after="0"/>
        <w:jc w:val="center"/>
        <w:rPr>
          <w:rFonts w:ascii="Gill Sans MT" w:hAnsi="Gill Sans MT"/>
          <w:sz w:val="20"/>
          <w:szCs w:val="20"/>
          <w:lang w:eastAsia="en-IE"/>
        </w:rPr>
      </w:pPr>
    </w:p>
    <w:p w14:paraId="75A8883B" w14:textId="07A4A9C9" w:rsidR="00EC0082" w:rsidRPr="00BA52F3" w:rsidRDefault="00EC0082" w:rsidP="00CC6190">
      <w:pPr>
        <w:spacing w:before="120" w:after="0"/>
        <w:rPr>
          <w:rFonts w:ascii="Gill Sans MT" w:hAnsi="Gill Sans MT"/>
          <w:sz w:val="20"/>
          <w:szCs w:val="20"/>
          <w:lang w:eastAsia="en-IE"/>
        </w:rPr>
      </w:pPr>
      <w:r w:rsidRPr="00BA52F3">
        <w:rPr>
          <w:rFonts w:ascii="Gill Sans MT" w:hAnsi="Gill Sans MT"/>
          <w:sz w:val="20"/>
          <w:szCs w:val="20"/>
          <w:lang w:eastAsia="en-IE"/>
        </w:rPr>
        <w:t>*Employment figures combines numbers engaged in D</w:t>
      </w:r>
      <w:r w:rsidR="00BA52F3">
        <w:rPr>
          <w:rFonts w:ascii="Gill Sans MT" w:hAnsi="Gill Sans MT"/>
          <w:sz w:val="20"/>
          <w:szCs w:val="20"/>
          <w:lang w:eastAsia="en-IE"/>
        </w:rPr>
        <w:t>S</w:t>
      </w:r>
      <w:r w:rsidRPr="00BA52F3">
        <w:rPr>
          <w:rFonts w:ascii="Gill Sans MT" w:hAnsi="Gill Sans MT"/>
          <w:sz w:val="20"/>
          <w:szCs w:val="20"/>
          <w:lang w:eastAsia="en-IE"/>
        </w:rPr>
        <w:t>P employment programmes; supported employment, sheltered employment (included up until 2017 – then abolished), open and self-employment</w:t>
      </w:r>
      <w:r w:rsidR="00F065F7" w:rsidRPr="00BA52F3">
        <w:rPr>
          <w:rFonts w:ascii="Gill Sans MT" w:hAnsi="Gill Sans MT"/>
          <w:sz w:val="20"/>
          <w:szCs w:val="20"/>
          <w:lang w:eastAsia="en-IE"/>
        </w:rPr>
        <w:t>.</w:t>
      </w:r>
    </w:p>
    <w:p w14:paraId="205DF54C" w14:textId="4F9831DC" w:rsidR="00702D1E" w:rsidRPr="00BA52F3" w:rsidRDefault="00EC0082" w:rsidP="00CC6190">
      <w:pPr>
        <w:spacing w:before="120" w:after="0"/>
        <w:rPr>
          <w:rFonts w:ascii="Gill Sans MT" w:hAnsi="Gill Sans MT"/>
          <w:sz w:val="20"/>
          <w:szCs w:val="20"/>
          <w:lang w:eastAsia="en-IE"/>
        </w:rPr>
      </w:pPr>
      <w:r w:rsidRPr="00BA52F3">
        <w:rPr>
          <w:rFonts w:ascii="Gill Sans MT" w:hAnsi="Gill Sans MT"/>
          <w:sz w:val="20"/>
          <w:szCs w:val="20"/>
          <w:lang w:eastAsia="en-IE"/>
        </w:rPr>
        <w:t>** Combines numbers engaged in ETB mainstream, ETB specialist training, F</w:t>
      </w:r>
      <w:r w:rsidRPr="00BA52F3">
        <w:rPr>
          <w:rFonts w:ascii="Gill Sans MT" w:hAnsi="Gill Sans MT"/>
          <w:b/>
          <w:bCs/>
          <w:color w:val="5F6368"/>
          <w:sz w:val="20"/>
          <w:szCs w:val="20"/>
          <w:shd w:val="clear" w:color="auto" w:fill="FFFFFF"/>
        </w:rPr>
        <w:t>á</w:t>
      </w:r>
      <w:r w:rsidRPr="00BA52F3">
        <w:rPr>
          <w:rFonts w:ascii="Gill Sans MT" w:hAnsi="Gill Sans MT"/>
          <w:sz w:val="20"/>
          <w:szCs w:val="20"/>
          <w:lang w:eastAsia="en-IE"/>
        </w:rPr>
        <w:t>ilte Ireland training; Teagasc training; PLC education, private education, ETB education; 3</w:t>
      </w:r>
      <w:r w:rsidRPr="00BA52F3">
        <w:rPr>
          <w:rFonts w:ascii="Gill Sans MT" w:hAnsi="Gill Sans MT"/>
          <w:sz w:val="20"/>
          <w:szCs w:val="20"/>
          <w:vertAlign w:val="superscript"/>
          <w:lang w:eastAsia="en-IE"/>
        </w:rPr>
        <w:t>rd</w:t>
      </w:r>
      <w:r w:rsidRPr="00BA52F3">
        <w:rPr>
          <w:rFonts w:ascii="Gill Sans MT" w:hAnsi="Gill Sans MT"/>
          <w:sz w:val="20"/>
          <w:szCs w:val="20"/>
          <w:lang w:eastAsia="en-IE"/>
        </w:rPr>
        <w:t xml:space="preserve"> level education</w:t>
      </w:r>
      <w:r w:rsidR="00F065F7" w:rsidRPr="00BA52F3">
        <w:rPr>
          <w:rFonts w:ascii="Gill Sans MT" w:hAnsi="Gill Sans MT"/>
          <w:sz w:val="20"/>
          <w:szCs w:val="20"/>
          <w:lang w:eastAsia="en-IE"/>
        </w:rPr>
        <w:t>.</w:t>
      </w:r>
    </w:p>
    <w:p w14:paraId="78042DFF" w14:textId="77777777" w:rsidR="006F5598" w:rsidRDefault="00EC0082" w:rsidP="00CC6190">
      <w:pPr>
        <w:spacing w:before="120" w:after="0"/>
        <w:rPr>
          <w:rFonts w:ascii="Gill Sans MT" w:hAnsi="Gill Sans MT"/>
          <w:sz w:val="20"/>
          <w:szCs w:val="20"/>
          <w:lang w:eastAsia="en-IE"/>
        </w:rPr>
        <w:sectPr w:rsidR="006F5598" w:rsidSect="00702D1E">
          <w:pgSz w:w="16838" w:h="11906" w:orient="landscape"/>
          <w:pgMar w:top="1440" w:right="1440" w:bottom="1440" w:left="1440" w:header="708" w:footer="708" w:gutter="0"/>
          <w:cols w:space="708"/>
          <w:docGrid w:linePitch="360"/>
        </w:sectPr>
      </w:pPr>
      <w:r w:rsidRPr="00BA52F3">
        <w:rPr>
          <w:rFonts w:ascii="Gill Sans MT" w:hAnsi="Gill Sans MT"/>
          <w:sz w:val="20"/>
          <w:szCs w:val="20"/>
          <w:lang w:eastAsia="en-IE"/>
        </w:rPr>
        <w:t>*** Combines numbers that have ceased to attend; illness; mental health services; voluntary/community work; unoccupied</w:t>
      </w:r>
      <w:r w:rsidR="00F065F7" w:rsidRPr="00BA52F3">
        <w:rPr>
          <w:rFonts w:ascii="Gill Sans MT" w:hAnsi="Gill Sans MT"/>
          <w:sz w:val="20"/>
          <w:szCs w:val="20"/>
          <w:lang w:eastAsia="en-IE"/>
        </w:rPr>
        <w:t>.</w:t>
      </w:r>
    </w:p>
    <w:p w14:paraId="2609632B" w14:textId="2BF67C5F" w:rsidR="00BA52F3" w:rsidRPr="006F5598" w:rsidRDefault="00BA52F3" w:rsidP="006F5598">
      <w:pPr>
        <w:spacing w:before="120" w:after="0"/>
        <w:jc w:val="center"/>
        <w:rPr>
          <w:rFonts w:ascii="Gill Sans MT" w:hAnsi="Gill Sans MT"/>
          <w:sz w:val="20"/>
          <w:szCs w:val="20"/>
          <w:lang w:eastAsia="en-IE"/>
        </w:rPr>
      </w:pPr>
    </w:p>
    <w:p w14:paraId="03809324" w14:textId="2B2C7E48" w:rsidR="00EC0082" w:rsidRPr="00DF41E7" w:rsidRDefault="00EC0082" w:rsidP="00EC0082">
      <w:pPr>
        <w:keepNext/>
        <w:spacing w:after="60"/>
        <w:outlineLvl w:val="1"/>
        <w:rPr>
          <w:rFonts w:ascii="Gill Sans MT" w:hAnsi="Gill Sans MT" w:cs="Arial Bold"/>
          <w:b/>
          <w:bCs/>
          <w:iCs/>
          <w:sz w:val="28"/>
          <w:szCs w:val="28"/>
        </w:rPr>
      </w:pPr>
      <w:bookmarkStart w:id="155" w:name="_Toc182219507"/>
      <w:bookmarkStart w:id="156" w:name="_Toc182220210"/>
      <w:bookmarkStart w:id="157" w:name="_Toc182555558"/>
      <w:bookmarkStart w:id="158" w:name="_Toc182555715"/>
      <w:r w:rsidRPr="00DF41E7">
        <w:rPr>
          <w:rFonts w:ascii="Gill Sans MT" w:hAnsi="Gill Sans MT" w:cs="Arial Bold"/>
          <w:b/>
          <w:bCs/>
          <w:iCs/>
          <w:sz w:val="28"/>
          <w:szCs w:val="28"/>
        </w:rPr>
        <w:t>1.6 Proportion of Disability Allowance recipients aged 16-19 (Process)</w:t>
      </w:r>
      <w:bookmarkEnd w:id="155"/>
      <w:bookmarkEnd w:id="156"/>
      <w:bookmarkEnd w:id="157"/>
      <w:bookmarkEnd w:id="158"/>
      <w:r w:rsidRPr="00DF41E7">
        <w:rPr>
          <w:rFonts w:ascii="Gill Sans MT" w:hAnsi="Gill Sans MT" w:cs="Arial Bold"/>
          <w:b/>
          <w:bCs/>
          <w:iCs/>
          <w:sz w:val="28"/>
          <w:szCs w:val="28"/>
        </w:rPr>
        <w:t xml:space="preserve"> </w:t>
      </w:r>
    </w:p>
    <w:p w14:paraId="103386BF" w14:textId="0C83FE28" w:rsidR="003B0809" w:rsidRDefault="003B0809" w:rsidP="003B0809">
      <w:pPr>
        <w:rPr>
          <w:rFonts w:ascii="Gill Sans MT" w:hAnsi="Gill Sans MT"/>
          <w:szCs w:val="26"/>
          <w:lang w:eastAsia="en-IE"/>
        </w:rPr>
      </w:pPr>
      <w:r>
        <w:rPr>
          <w:rFonts w:ascii="Gill Sans MT" w:hAnsi="Gill Sans MT"/>
          <w:szCs w:val="26"/>
          <w:lang w:eastAsia="en-IE"/>
        </w:rPr>
        <w:t>A</w:t>
      </w:r>
      <w:r w:rsidR="000E1C0A">
        <w:rPr>
          <w:rFonts w:ascii="Gill Sans MT" w:hAnsi="Gill Sans MT"/>
          <w:szCs w:val="26"/>
          <w:lang w:eastAsia="en-IE"/>
        </w:rPr>
        <w:t xml:space="preserve"> 2021</w:t>
      </w:r>
      <w:r>
        <w:rPr>
          <w:rFonts w:ascii="Gill Sans MT" w:hAnsi="Gill Sans MT"/>
          <w:szCs w:val="26"/>
          <w:lang w:eastAsia="en-IE"/>
        </w:rPr>
        <w:t xml:space="preserve"> review of disability, work and inclusion in Ireland by the OECD highlight</w:t>
      </w:r>
      <w:r w:rsidR="000E1C0A">
        <w:rPr>
          <w:rFonts w:ascii="Gill Sans MT" w:hAnsi="Gill Sans MT"/>
          <w:szCs w:val="26"/>
          <w:lang w:eastAsia="en-IE"/>
        </w:rPr>
        <w:t>ed</w:t>
      </w:r>
      <w:r>
        <w:rPr>
          <w:rFonts w:ascii="Gill Sans MT" w:hAnsi="Gill Sans MT"/>
          <w:szCs w:val="26"/>
          <w:lang w:eastAsia="en-IE"/>
        </w:rPr>
        <w:t xml:space="preserve"> that while people in Ireland are eligible for disability allowance from the age of 16, other </w:t>
      </w:r>
      <w:r w:rsidRPr="003B0809">
        <w:rPr>
          <w:rFonts w:ascii="Gill Sans MT" w:hAnsi="Gill Sans MT"/>
          <w:szCs w:val="26"/>
          <w:lang w:eastAsia="en-IE"/>
        </w:rPr>
        <w:t xml:space="preserve">OECD countries </w:t>
      </w:r>
      <w:r>
        <w:rPr>
          <w:rFonts w:ascii="Gill Sans MT" w:hAnsi="Gill Sans MT"/>
          <w:szCs w:val="26"/>
          <w:lang w:eastAsia="en-IE"/>
        </w:rPr>
        <w:t>do not</w:t>
      </w:r>
      <w:r w:rsidRPr="003B0809">
        <w:rPr>
          <w:rFonts w:ascii="Gill Sans MT" w:hAnsi="Gill Sans MT"/>
          <w:szCs w:val="26"/>
          <w:lang w:eastAsia="en-IE"/>
        </w:rPr>
        <w:t xml:space="preserve"> grant disability benefits before exhaust</w:t>
      </w:r>
      <w:r>
        <w:rPr>
          <w:rFonts w:ascii="Gill Sans MT" w:hAnsi="Gill Sans MT"/>
          <w:szCs w:val="26"/>
          <w:lang w:eastAsia="en-IE"/>
        </w:rPr>
        <w:t>ing</w:t>
      </w:r>
      <w:r w:rsidRPr="003B0809">
        <w:rPr>
          <w:rFonts w:ascii="Gill Sans MT" w:hAnsi="Gill Sans MT"/>
          <w:szCs w:val="26"/>
          <w:lang w:eastAsia="en-IE"/>
        </w:rPr>
        <w:t xml:space="preserve"> all possibilities of vocational rehabilitation, </w:t>
      </w:r>
      <w:r>
        <w:rPr>
          <w:rFonts w:ascii="Gill Sans MT" w:hAnsi="Gill Sans MT"/>
          <w:szCs w:val="26"/>
          <w:lang w:eastAsia="en-IE"/>
        </w:rPr>
        <w:t>while others</w:t>
      </w:r>
      <w:r w:rsidRPr="003B0809">
        <w:rPr>
          <w:rFonts w:ascii="Gill Sans MT" w:hAnsi="Gill Sans MT"/>
          <w:szCs w:val="26"/>
          <w:lang w:eastAsia="en-IE"/>
        </w:rPr>
        <w:t xml:space="preserve"> </w:t>
      </w:r>
      <w:r w:rsidR="000E1C0A">
        <w:rPr>
          <w:rFonts w:ascii="Gill Sans MT" w:hAnsi="Gill Sans MT"/>
          <w:szCs w:val="26"/>
          <w:lang w:eastAsia="en-IE"/>
        </w:rPr>
        <w:t xml:space="preserve">still </w:t>
      </w:r>
      <w:r w:rsidRPr="003B0809">
        <w:rPr>
          <w:rFonts w:ascii="Gill Sans MT" w:hAnsi="Gill Sans MT"/>
          <w:szCs w:val="26"/>
          <w:lang w:eastAsia="en-IE"/>
        </w:rPr>
        <w:t>(</w:t>
      </w:r>
      <w:r>
        <w:rPr>
          <w:rFonts w:ascii="Gill Sans MT" w:hAnsi="Gill Sans MT"/>
          <w:szCs w:val="26"/>
          <w:lang w:eastAsia="en-IE"/>
        </w:rPr>
        <w:t xml:space="preserve">for example, </w:t>
      </w:r>
      <w:r w:rsidRPr="003B0809">
        <w:rPr>
          <w:rFonts w:ascii="Gill Sans MT" w:hAnsi="Gill Sans MT"/>
          <w:szCs w:val="26"/>
          <w:lang w:eastAsia="en-IE"/>
        </w:rPr>
        <w:t xml:space="preserve">Denmark) </w:t>
      </w:r>
      <w:r>
        <w:rPr>
          <w:rFonts w:ascii="Gill Sans MT" w:hAnsi="Gill Sans MT"/>
          <w:szCs w:val="26"/>
          <w:lang w:eastAsia="en-IE"/>
        </w:rPr>
        <w:t xml:space="preserve">do not grant any </w:t>
      </w:r>
      <w:r w:rsidRPr="003B0809">
        <w:rPr>
          <w:rFonts w:ascii="Gill Sans MT" w:hAnsi="Gill Sans MT"/>
          <w:szCs w:val="26"/>
          <w:lang w:eastAsia="en-IE"/>
        </w:rPr>
        <w:t xml:space="preserve">long-term disability </w:t>
      </w:r>
      <w:r>
        <w:rPr>
          <w:rFonts w:ascii="Gill Sans MT" w:hAnsi="Gill Sans MT"/>
          <w:szCs w:val="26"/>
          <w:lang w:eastAsia="en-IE"/>
        </w:rPr>
        <w:t>payment to people under the</w:t>
      </w:r>
      <w:r w:rsidRPr="003B0809">
        <w:rPr>
          <w:rFonts w:ascii="Gill Sans MT" w:hAnsi="Gill Sans MT"/>
          <w:szCs w:val="26"/>
          <w:lang w:eastAsia="en-IE"/>
        </w:rPr>
        <w:t xml:space="preserve"> </w:t>
      </w:r>
      <w:r>
        <w:rPr>
          <w:rFonts w:ascii="Gill Sans MT" w:hAnsi="Gill Sans MT"/>
          <w:szCs w:val="26"/>
          <w:lang w:eastAsia="en-IE"/>
        </w:rPr>
        <w:t xml:space="preserve">age of </w:t>
      </w:r>
      <w:r w:rsidRPr="003B0809">
        <w:rPr>
          <w:rFonts w:ascii="Gill Sans MT" w:hAnsi="Gill Sans MT"/>
          <w:szCs w:val="26"/>
          <w:lang w:eastAsia="en-IE"/>
        </w:rPr>
        <w:t xml:space="preserve">40, </w:t>
      </w:r>
      <w:r w:rsidR="00E51B4C">
        <w:rPr>
          <w:rFonts w:ascii="Gill Sans MT" w:hAnsi="Gill Sans MT"/>
          <w:szCs w:val="26"/>
          <w:lang w:eastAsia="en-IE"/>
        </w:rPr>
        <w:t>‘</w:t>
      </w:r>
      <w:r w:rsidRPr="003B0809">
        <w:rPr>
          <w:rFonts w:ascii="Gill Sans MT" w:hAnsi="Gill Sans MT"/>
          <w:szCs w:val="26"/>
          <w:lang w:eastAsia="en-IE"/>
        </w:rPr>
        <w:t>thus putting massive pressure on the public authorities to improve employability and find employment for young adults with disabilities</w:t>
      </w:r>
      <w:r w:rsidR="00E51B4C">
        <w:rPr>
          <w:rFonts w:ascii="Gill Sans MT" w:hAnsi="Gill Sans MT"/>
          <w:szCs w:val="26"/>
          <w:lang w:eastAsia="en-IE"/>
        </w:rPr>
        <w:t>’</w:t>
      </w:r>
      <w:r w:rsidR="00BB69D6">
        <w:rPr>
          <w:rFonts w:ascii="Gill Sans MT" w:hAnsi="Gill Sans MT"/>
          <w:szCs w:val="26"/>
          <w:lang w:eastAsia="en-IE"/>
        </w:rPr>
        <w:t xml:space="preserve"> </w:t>
      </w:r>
      <w:r w:rsidR="00BB69D6">
        <w:rPr>
          <w:rFonts w:ascii="Gill Sans MT" w:hAnsi="Gill Sans MT"/>
          <w:szCs w:val="26"/>
          <w:lang w:eastAsia="en-IE"/>
        </w:rPr>
        <w:fldChar w:fldCharType="begin"/>
      </w:r>
      <w:r w:rsidR="0072399C">
        <w:rPr>
          <w:rFonts w:ascii="Gill Sans MT" w:hAnsi="Gill Sans MT"/>
          <w:szCs w:val="26"/>
          <w:lang w:eastAsia="en-IE"/>
        </w:rPr>
        <w:instrText xml:space="preserve"> ADDIN ZOTERO_ITEM CSL_CITATION {"citationID":"VYI6Ii4K","properties":{"formattedCitation":"(5)","plainCitation":"(5)","dontUpdate":true,"noteIndex":0},"citationItems":[{"id":293,"uris":["http://zotero.org/users/local/kvLunvBP/items/LXXBCRRX"],"itemData":{"id":293,"type":"book","abstract":"Across OECD countries, one in seven working-age adults identifies as having a disability. This report proposes policy recommendations to the Irish government to improve the participation of persons with disabilities.","event-place":"Paris","language":"en","publisher":"Organisation for Economic Co-operation and Development","publisher-place":"Paris","source":"OECD iLibrary","title":"Disability, Work and Inclusion in Ireland: Engaging and Supporting Employers","title-short":"Disability, Work and Inclusion in Ireland","URL":"https://www.oecd-ilibrary.org/employment/disability-work-and-inclusion-in-ireland_74b45baa-en","author":[{"literal":"OECD"}],"accessed":{"date-parts":[["2024",10,18]]},"issued":{"date-parts":[["2021"]]}}}],"schema":"https://github.com/citation-style-language/schema/raw/master/csl-citation.json"} </w:instrText>
      </w:r>
      <w:r w:rsidR="00BB69D6">
        <w:rPr>
          <w:rFonts w:ascii="Gill Sans MT" w:hAnsi="Gill Sans MT"/>
          <w:szCs w:val="26"/>
          <w:lang w:eastAsia="en-IE"/>
        </w:rPr>
        <w:fldChar w:fldCharType="separate"/>
      </w:r>
      <w:r w:rsidR="00BB69D6" w:rsidRPr="00BB69D6">
        <w:rPr>
          <w:rFonts w:ascii="Gill Sans MT" w:hAnsi="Gill Sans MT"/>
        </w:rPr>
        <w:t>(5</w:t>
      </w:r>
      <w:r w:rsidR="000E1C0A">
        <w:rPr>
          <w:rFonts w:ascii="Gill Sans MT" w:hAnsi="Gill Sans MT"/>
        </w:rPr>
        <w:t>, p. 20</w:t>
      </w:r>
      <w:r w:rsidR="00BB69D6" w:rsidRPr="00BB69D6">
        <w:rPr>
          <w:rFonts w:ascii="Gill Sans MT" w:hAnsi="Gill Sans MT"/>
        </w:rPr>
        <w:t>)</w:t>
      </w:r>
      <w:r w:rsidR="00BB69D6">
        <w:rPr>
          <w:rFonts w:ascii="Gill Sans MT" w:hAnsi="Gill Sans MT"/>
          <w:szCs w:val="26"/>
          <w:lang w:eastAsia="en-IE"/>
        </w:rPr>
        <w:fldChar w:fldCharType="end"/>
      </w:r>
      <w:r w:rsidRPr="003B0809">
        <w:rPr>
          <w:rFonts w:ascii="Gill Sans MT" w:hAnsi="Gill Sans MT"/>
          <w:szCs w:val="26"/>
          <w:lang w:eastAsia="en-IE"/>
        </w:rPr>
        <w:t>.</w:t>
      </w:r>
      <w:r w:rsidR="00BB69D6">
        <w:rPr>
          <w:rFonts w:ascii="Gill Sans MT" w:hAnsi="Gill Sans MT"/>
          <w:szCs w:val="26"/>
          <w:lang w:eastAsia="en-IE"/>
        </w:rPr>
        <w:t xml:space="preserve"> The review recommend</w:t>
      </w:r>
      <w:r w:rsidR="000E1C0A">
        <w:rPr>
          <w:rFonts w:ascii="Gill Sans MT" w:hAnsi="Gill Sans MT"/>
          <w:szCs w:val="26"/>
          <w:lang w:eastAsia="en-IE"/>
        </w:rPr>
        <w:t>ed</w:t>
      </w:r>
      <w:r w:rsidR="00BB69D6">
        <w:rPr>
          <w:rFonts w:ascii="Gill Sans MT" w:hAnsi="Gill Sans MT"/>
          <w:szCs w:val="26"/>
          <w:lang w:eastAsia="en-IE"/>
        </w:rPr>
        <w:t xml:space="preserve"> that Ireland </w:t>
      </w:r>
      <w:r w:rsidR="000E1C0A">
        <w:rPr>
          <w:rFonts w:ascii="Gill Sans MT" w:hAnsi="Gill Sans MT"/>
          <w:szCs w:val="26"/>
          <w:lang w:eastAsia="en-IE"/>
        </w:rPr>
        <w:t xml:space="preserve">focus on early intervention with young people who transition from education to DA in order to improve their labour market outcomes. </w:t>
      </w:r>
    </w:p>
    <w:p w14:paraId="4525DFDB" w14:textId="762A2837" w:rsidR="00DF41E7" w:rsidRDefault="00EC0082" w:rsidP="00EC0082">
      <w:pPr>
        <w:rPr>
          <w:rFonts w:ascii="Gill Sans MT" w:hAnsi="Gill Sans MT"/>
          <w:szCs w:val="26"/>
          <w:lang w:eastAsia="en-IE"/>
        </w:rPr>
      </w:pPr>
      <w:r w:rsidRPr="00DF41E7">
        <w:rPr>
          <w:rFonts w:ascii="Gill Sans MT" w:hAnsi="Gill Sans MT"/>
          <w:szCs w:val="26"/>
          <w:lang w:eastAsia="en-IE"/>
        </w:rPr>
        <w:t xml:space="preserve">The proportion of all Disability Allowance (DA) recipients aged 16-19 </w:t>
      </w:r>
      <w:r w:rsidR="00F065F7">
        <w:rPr>
          <w:rFonts w:ascii="Gill Sans MT" w:hAnsi="Gill Sans MT"/>
          <w:szCs w:val="26"/>
          <w:lang w:eastAsia="en-IE"/>
        </w:rPr>
        <w:t xml:space="preserve">increased </w:t>
      </w:r>
      <w:r w:rsidRPr="00DF41E7">
        <w:rPr>
          <w:rFonts w:ascii="Gill Sans MT" w:hAnsi="Gill Sans MT"/>
          <w:szCs w:val="26"/>
          <w:lang w:eastAsia="en-IE"/>
        </w:rPr>
        <w:t>between 2015 and 20</w:t>
      </w:r>
      <w:r w:rsidR="00F21380">
        <w:rPr>
          <w:rFonts w:ascii="Gill Sans MT" w:hAnsi="Gill Sans MT"/>
          <w:szCs w:val="26"/>
          <w:lang w:eastAsia="en-IE"/>
        </w:rPr>
        <w:t>22</w:t>
      </w:r>
      <w:r w:rsidRPr="00DF41E7">
        <w:rPr>
          <w:rFonts w:ascii="Gill Sans MT" w:hAnsi="Gill Sans MT"/>
          <w:szCs w:val="26"/>
          <w:lang w:eastAsia="en-IE"/>
        </w:rPr>
        <w:t xml:space="preserve">. In 2015, </w:t>
      </w:r>
      <w:r w:rsidR="00F065F7">
        <w:rPr>
          <w:rFonts w:ascii="Gill Sans MT" w:hAnsi="Gill Sans MT"/>
          <w:szCs w:val="26"/>
          <w:lang w:eastAsia="en-IE"/>
        </w:rPr>
        <w:t>5</w:t>
      </w:r>
      <w:r w:rsidRPr="00DF41E7">
        <w:rPr>
          <w:rFonts w:ascii="Gill Sans MT" w:hAnsi="Gill Sans MT"/>
          <w:szCs w:val="26"/>
          <w:lang w:eastAsia="en-IE"/>
        </w:rPr>
        <w:t xml:space="preserve">% of DA recipients were aged 16 to 19, </w:t>
      </w:r>
      <w:r w:rsidR="00F21380">
        <w:rPr>
          <w:rFonts w:ascii="Gill Sans MT" w:hAnsi="Gill Sans MT"/>
          <w:szCs w:val="26"/>
          <w:lang w:eastAsia="en-IE"/>
        </w:rPr>
        <w:t>which</w:t>
      </w:r>
      <w:r w:rsidRPr="00DF41E7">
        <w:rPr>
          <w:rFonts w:ascii="Gill Sans MT" w:hAnsi="Gill Sans MT"/>
          <w:szCs w:val="26"/>
          <w:lang w:eastAsia="en-IE"/>
        </w:rPr>
        <w:t xml:space="preserve"> increased </w:t>
      </w:r>
      <w:r w:rsidR="009D2551">
        <w:rPr>
          <w:rFonts w:ascii="Gill Sans MT" w:hAnsi="Gill Sans MT"/>
          <w:szCs w:val="26"/>
          <w:lang w:eastAsia="en-IE"/>
        </w:rPr>
        <w:t>to 8%</w:t>
      </w:r>
      <w:r w:rsidR="00F065F7">
        <w:rPr>
          <w:rFonts w:ascii="Gill Sans MT" w:hAnsi="Gill Sans MT"/>
          <w:szCs w:val="26"/>
          <w:lang w:eastAsia="en-IE"/>
        </w:rPr>
        <w:t xml:space="preserve"> in 2022. The</w:t>
      </w:r>
      <w:r w:rsidR="009D2551">
        <w:rPr>
          <w:rFonts w:ascii="Gill Sans MT" w:hAnsi="Gill Sans MT"/>
          <w:szCs w:val="26"/>
          <w:lang w:eastAsia="en-IE"/>
        </w:rPr>
        <w:t xml:space="preserve"> number of </w:t>
      </w:r>
      <w:r w:rsidR="00F065F7">
        <w:rPr>
          <w:rFonts w:ascii="Gill Sans MT" w:hAnsi="Gill Sans MT"/>
          <w:szCs w:val="26"/>
          <w:lang w:eastAsia="en-IE"/>
        </w:rPr>
        <w:t xml:space="preserve">DA </w:t>
      </w:r>
      <w:r w:rsidR="009D2551">
        <w:rPr>
          <w:rFonts w:ascii="Gill Sans MT" w:hAnsi="Gill Sans MT"/>
          <w:szCs w:val="26"/>
          <w:lang w:eastAsia="en-IE"/>
        </w:rPr>
        <w:t>recipients</w:t>
      </w:r>
      <w:r w:rsidR="00F065F7">
        <w:rPr>
          <w:rFonts w:ascii="Gill Sans MT" w:hAnsi="Gill Sans MT"/>
          <w:szCs w:val="26"/>
          <w:lang w:eastAsia="en-IE"/>
        </w:rPr>
        <w:t xml:space="preserve"> aged 16 to 19</w:t>
      </w:r>
      <w:r w:rsidR="009D2551">
        <w:rPr>
          <w:rFonts w:ascii="Gill Sans MT" w:hAnsi="Gill Sans MT"/>
          <w:szCs w:val="26"/>
          <w:lang w:eastAsia="en-IE"/>
        </w:rPr>
        <w:t xml:space="preserve"> increased more in this time period than in any other age group (by app</w:t>
      </w:r>
      <w:r w:rsidR="00E564B3">
        <w:rPr>
          <w:rFonts w:ascii="Gill Sans MT" w:hAnsi="Gill Sans MT"/>
          <w:szCs w:val="26"/>
          <w:lang w:eastAsia="en-IE"/>
        </w:rPr>
        <w:t>r</w:t>
      </w:r>
      <w:r w:rsidR="009D2551">
        <w:rPr>
          <w:rFonts w:ascii="Gill Sans MT" w:hAnsi="Gill Sans MT"/>
          <w:szCs w:val="26"/>
          <w:lang w:eastAsia="en-IE"/>
        </w:rPr>
        <w:t>oximately 6,000 recipients, a 92% increase)</w:t>
      </w:r>
      <w:r w:rsidR="006D273A">
        <w:rPr>
          <w:rFonts w:ascii="Gill Sans MT" w:hAnsi="Gill Sans MT"/>
          <w:szCs w:val="26"/>
          <w:lang w:eastAsia="en-IE"/>
        </w:rPr>
        <w:t>.</w:t>
      </w:r>
      <w:r w:rsidR="00E564B3">
        <w:rPr>
          <w:rFonts w:ascii="Gill Sans MT" w:hAnsi="Gill Sans MT"/>
          <w:szCs w:val="26"/>
          <w:lang w:eastAsia="en-IE"/>
        </w:rPr>
        <w:t xml:space="preserve"> </w:t>
      </w:r>
      <w:r w:rsidR="00E564B3">
        <w:rPr>
          <w:rFonts w:ascii="Gill Sans MT" w:hAnsi="Gill Sans MT"/>
          <w:szCs w:val="26"/>
          <w:lang w:eastAsia="en-IE"/>
        </w:rPr>
        <w:fldChar w:fldCharType="begin"/>
      </w:r>
      <w:r w:rsidR="00C0772E">
        <w:rPr>
          <w:rFonts w:ascii="Gill Sans MT" w:hAnsi="Gill Sans MT"/>
          <w:szCs w:val="26"/>
          <w:lang w:eastAsia="en-IE"/>
        </w:rPr>
        <w:instrText xml:space="preserve"> ADDIN ZOTERO_ITEM CSL_CITATION {"citationID":"jX0ZOwGU","properties":{"formattedCitation":"(50)","plainCitation":"(50)","noteIndex":0},"citationItems":[{"id":177,"uris":["http://zotero.org/users/local/kvLunvBP/items/T68S4C3H"],"itemData":{"id":177,"type":"report","title":"Spending Review. An Assessment of the Disability Allowance Scheme Trends and Characteristics","URL":"https://www.gov.ie/pdf/?file=https://assets.gov.ie/271075/fbfe982e-a189-434f-a130-e4c97e51df6f.pdf#page=null","author":[{"family":"Doyle","given":"Aoife"}],"issued":{"date-parts":[["2023"]]}}}],"schema":"https://github.com/citation-style-language/schema/raw/master/csl-citation.json"} </w:instrText>
      </w:r>
      <w:r w:rsidR="00E564B3">
        <w:rPr>
          <w:rFonts w:ascii="Gill Sans MT" w:hAnsi="Gill Sans MT"/>
          <w:szCs w:val="26"/>
          <w:lang w:eastAsia="en-IE"/>
        </w:rPr>
        <w:fldChar w:fldCharType="separate"/>
      </w:r>
      <w:r w:rsidR="00C0772E" w:rsidRPr="00C0772E">
        <w:rPr>
          <w:rFonts w:ascii="Gill Sans MT" w:hAnsi="Gill Sans MT"/>
        </w:rPr>
        <w:t>(50)</w:t>
      </w:r>
      <w:r w:rsidR="00E564B3">
        <w:rPr>
          <w:rFonts w:ascii="Gill Sans MT" w:hAnsi="Gill Sans MT"/>
          <w:szCs w:val="26"/>
          <w:lang w:eastAsia="en-IE"/>
        </w:rPr>
        <w:fldChar w:fldCharType="end"/>
      </w:r>
    </w:p>
    <w:p w14:paraId="707C7535" w14:textId="7C16E0C0" w:rsidR="003B0809" w:rsidRDefault="0041322C" w:rsidP="00EC0082">
      <w:pPr>
        <w:rPr>
          <w:rFonts w:ascii="Gill Sans MT" w:hAnsi="Gill Sans MT"/>
          <w:szCs w:val="26"/>
          <w:lang w:eastAsia="en-IE"/>
        </w:rPr>
      </w:pPr>
      <w:r>
        <w:rPr>
          <w:rFonts w:ascii="Gill Sans MT" w:hAnsi="Gill Sans MT"/>
          <w:szCs w:val="26"/>
          <w:lang w:eastAsia="en-IE"/>
        </w:rPr>
        <w:t xml:space="preserve">A rise in the numbers of young people receiving disability allowance </w:t>
      </w:r>
      <w:r w:rsidR="00767F08">
        <w:rPr>
          <w:rFonts w:ascii="Gill Sans MT" w:hAnsi="Gill Sans MT"/>
          <w:szCs w:val="26"/>
          <w:lang w:eastAsia="en-IE"/>
        </w:rPr>
        <w:t>had been</w:t>
      </w:r>
      <w:r>
        <w:rPr>
          <w:rFonts w:ascii="Gill Sans MT" w:hAnsi="Gill Sans MT"/>
          <w:szCs w:val="26"/>
          <w:lang w:eastAsia="en-IE"/>
        </w:rPr>
        <w:t xml:space="preserve"> predicted, given</w:t>
      </w:r>
      <w:r w:rsidR="00767F08">
        <w:rPr>
          <w:rFonts w:ascii="Gill Sans MT" w:hAnsi="Gill Sans MT"/>
          <w:szCs w:val="26"/>
          <w:lang w:eastAsia="en-IE"/>
        </w:rPr>
        <w:t xml:space="preserve"> the</w:t>
      </w:r>
      <w:r w:rsidRPr="0041322C">
        <w:rPr>
          <w:rFonts w:ascii="Gill Sans MT" w:hAnsi="Gill Sans MT"/>
          <w:szCs w:val="26"/>
          <w:lang w:eastAsia="en-IE"/>
        </w:rPr>
        <w:t xml:space="preserve"> increase in the prevalence of disabilit</w:t>
      </w:r>
      <w:r w:rsidR="006204FD">
        <w:rPr>
          <w:rFonts w:ascii="Gill Sans MT" w:hAnsi="Gill Sans MT"/>
          <w:szCs w:val="26"/>
          <w:lang w:eastAsia="en-IE"/>
        </w:rPr>
        <w:t>y</w:t>
      </w:r>
      <w:r w:rsidRPr="0041322C">
        <w:rPr>
          <w:rFonts w:ascii="Gill Sans MT" w:hAnsi="Gill Sans MT"/>
          <w:szCs w:val="26"/>
          <w:lang w:eastAsia="en-IE"/>
        </w:rPr>
        <w:t xml:space="preserve"> </w:t>
      </w:r>
      <w:r>
        <w:rPr>
          <w:rFonts w:ascii="Gill Sans MT" w:hAnsi="Gill Sans MT"/>
          <w:szCs w:val="26"/>
          <w:lang w:eastAsia="en-IE"/>
        </w:rPr>
        <w:t>a</w:t>
      </w:r>
      <w:r w:rsidRPr="0041322C">
        <w:rPr>
          <w:rFonts w:ascii="Gill Sans MT" w:hAnsi="Gill Sans MT"/>
          <w:szCs w:val="26"/>
          <w:lang w:eastAsia="en-IE"/>
        </w:rPr>
        <w:t>mong</w:t>
      </w:r>
      <w:r>
        <w:rPr>
          <w:rFonts w:ascii="Gill Sans MT" w:hAnsi="Gill Sans MT"/>
          <w:szCs w:val="26"/>
          <w:lang w:eastAsia="en-IE"/>
        </w:rPr>
        <w:t xml:space="preserve"> both</w:t>
      </w:r>
      <w:r w:rsidRPr="0041322C">
        <w:rPr>
          <w:rFonts w:ascii="Gill Sans MT" w:hAnsi="Gill Sans MT"/>
          <w:szCs w:val="26"/>
          <w:lang w:eastAsia="en-IE"/>
        </w:rPr>
        <w:t xml:space="preserve"> younger and older age cohorts</w:t>
      </w:r>
      <w:r w:rsidR="00767F08">
        <w:rPr>
          <w:rFonts w:ascii="Gill Sans MT" w:hAnsi="Gill Sans MT"/>
          <w:szCs w:val="26"/>
          <w:lang w:eastAsia="en-IE"/>
        </w:rPr>
        <w:t xml:space="preserve"> </w:t>
      </w:r>
      <w:r w:rsidR="00FF5AB0">
        <w:rPr>
          <w:rFonts w:ascii="Gill Sans MT" w:hAnsi="Gill Sans MT"/>
          <w:szCs w:val="26"/>
          <w:lang w:eastAsia="en-IE"/>
        </w:rPr>
        <w:t>and the</w:t>
      </w:r>
      <w:r w:rsidRPr="0041322C">
        <w:rPr>
          <w:rFonts w:ascii="Gill Sans MT" w:hAnsi="Gill Sans MT"/>
          <w:szCs w:val="26"/>
          <w:lang w:eastAsia="en-IE"/>
        </w:rPr>
        <w:t xml:space="preserve"> overall rise in the younger age population </w:t>
      </w:r>
      <w:r w:rsidR="00767F08">
        <w:rPr>
          <w:rFonts w:ascii="Gill Sans MT" w:hAnsi="Gill Sans MT"/>
          <w:szCs w:val="26"/>
          <w:lang w:eastAsia="en-IE"/>
        </w:rPr>
        <w:t xml:space="preserve">seen </w:t>
      </w:r>
      <w:r w:rsidRPr="0041322C">
        <w:rPr>
          <w:rFonts w:ascii="Gill Sans MT" w:hAnsi="Gill Sans MT"/>
          <w:szCs w:val="26"/>
          <w:lang w:eastAsia="en-IE"/>
        </w:rPr>
        <w:t>in Census 2016</w:t>
      </w:r>
      <w:r>
        <w:rPr>
          <w:rFonts w:ascii="Gill Sans MT" w:hAnsi="Gill Sans MT"/>
          <w:szCs w:val="26"/>
          <w:lang w:eastAsia="en-IE"/>
        </w:rPr>
        <w:t>. However, it was hoped that this expected increase would be mitigated by the work of the CES, through raised expectations of young people with disabilities and increased supports provided for other activities</w:t>
      </w:r>
      <w:r w:rsidR="006D273A">
        <w:rPr>
          <w:rFonts w:ascii="Gill Sans MT" w:hAnsi="Gill Sans MT"/>
          <w:szCs w:val="26"/>
          <w:lang w:eastAsia="en-IE"/>
        </w:rPr>
        <w:t>.</w:t>
      </w:r>
      <w:r w:rsidR="006204FD">
        <w:rPr>
          <w:rFonts w:ascii="Gill Sans MT" w:hAnsi="Gill Sans MT"/>
          <w:szCs w:val="26"/>
          <w:lang w:eastAsia="en-IE"/>
        </w:rPr>
        <w:t xml:space="preserve"> </w:t>
      </w:r>
      <w:r w:rsidR="006204FD">
        <w:rPr>
          <w:rFonts w:ascii="Gill Sans MT" w:hAnsi="Gill Sans MT"/>
          <w:szCs w:val="26"/>
          <w:lang w:eastAsia="en-IE"/>
        </w:rPr>
        <w:fldChar w:fldCharType="begin"/>
      </w:r>
      <w:r w:rsidR="006204FD">
        <w:rPr>
          <w:rFonts w:ascii="Gill Sans MT" w:hAnsi="Gill Sans MT"/>
          <w:szCs w:val="26"/>
          <w:lang w:eastAsia="en-IE"/>
        </w:rPr>
        <w:instrText xml:space="preserve"> ADDIN ZOTERO_ITEM CSL_CITATION {"citationID":"sPMBBUiG","properties":{"formattedCitation":"(4)","plainCitation":"(4)","noteIndex":0},"citationItems":[{"id":189,"uris":["http://zotero.org/users/local/kvLunvBP/items/GF4CIXZT"],"itemData":{"id":189,"type":"report","abstract":"Provides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sidR="006204FD">
        <w:rPr>
          <w:rFonts w:ascii="Gill Sans MT" w:hAnsi="Gill Sans MT"/>
          <w:szCs w:val="26"/>
          <w:lang w:eastAsia="en-IE"/>
        </w:rPr>
        <w:fldChar w:fldCharType="separate"/>
      </w:r>
      <w:r w:rsidR="006204FD" w:rsidRPr="006204FD">
        <w:rPr>
          <w:rFonts w:ascii="Gill Sans MT" w:hAnsi="Gill Sans MT"/>
        </w:rPr>
        <w:t>(4)</w:t>
      </w:r>
      <w:r w:rsidR="006204FD">
        <w:rPr>
          <w:rFonts w:ascii="Gill Sans MT" w:hAnsi="Gill Sans MT"/>
          <w:szCs w:val="26"/>
          <w:lang w:eastAsia="en-IE"/>
        </w:rPr>
        <w:fldChar w:fldCharType="end"/>
      </w:r>
      <w:r>
        <w:rPr>
          <w:rFonts w:ascii="Gill Sans MT" w:hAnsi="Gill Sans MT"/>
          <w:szCs w:val="26"/>
          <w:lang w:eastAsia="en-IE"/>
        </w:rPr>
        <w:t xml:space="preserve"> </w:t>
      </w:r>
      <w:r w:rsidR="000E1C0A">
        <w:rPr>
          <w:rFonts w:ascii="Gill Sans MT" w:hAnsi="Gill Sans MT"/>
          <w:szCs w:val="26"/>
          <w:lang w:eastAsia="en-IE"/>
        </w:rPr>
        <w:t>Plans for early engagement with those transitioning directly from education to DA were paused during the pandemic, but</w:t>
      </w:r>
      <w:bookmarkStart w:id="159" w:name="_Hlk177468210"/>
      <w:r w:rsidR="000E1C0A">
        <w:rPr>
          <w:rFonts w:ascii="Gill Sans MT" w:hAnsi="Gill Sans MT"/>
          <w:szCs w:val="26"/>
          <w:lang w:eastAsia="en-IE"/>
        </w:rPr>
        <w:t xml:space="preserve"> </w:t>
      </w:r>
      <w:r w:rsidR="003B0809" w:rsidRPr="0061602E">
        <w:rPr>
          <w:lang w:eastAsia="en-IE"/>
        </w:rPr>
        <w:t xml:space="preserve">Early </w:t>
      </w:r>
      <w:r w:rsidR="003B0809">
        <w:rPr>
          <w:lang w:eastAsia="en-IE"/>
        </w:rPr>
        <w:t>Engagement</w:t>
      </w:r>
      <w:r w:rsidR="000E1C0A">
        <w:rPr>
          <w:lang w:eastAsia="en-IE"/>
        </w:rPr>
        <w:t>,</w:t>
      </w:r>
      <w:r w:rsidR="003B0809">
        <w:rPr>
          <w:lang w:eastAsia="en-IE"/>
        </w:rPr>
        <w:t xml:space="preserve"> the targeted, voluntary provision of employment services to young people receiving Disability Allowance, </w:t>
      </w:r>
      <w:r w:rsidR="000E1C0A">
        <w:rPr>
          <w:lang w:eastAsia="en-IE"/>
        </w:rPr>
        <w:t xml:space="preserve">was </w:t>
      </w:r>
      <w:r w:rsidR="003B0809">
        <w:rPr>
          <w:lang w:eastAsia="en-IE"/>
        </w:rPr>
        <w:t xml:space="preserve">introduced in July 2022. Between July and December 2022, designated Disability Liaison Officers engaged with 2,666 jobseekers with a disability. </w:t>
      </w:r>
      <w:r w:rsidR="003B0809">
        <w:rPr>
          <w:lang w:eastAsia="en-IE"/>
        </w:rPr>
        <w:fldChar w:fldCharType="begin"/>
      </w:r>
      <w:r w:rsidR="00C0772E">
        <w:rPr>
          <w:lang w:eastAsia="en-IE"/>
        </w:rPr>
        <w:instrText xml:space="preserve"> ADDIN ZOTERO_ITEM CSL_CITATION {"citationID":"DuvqtQYy","properties":{"formattedCitation":"(51)","plainCitation":"(51)","noteIndex":0},"citationItems":[{"id":242,"uris":["http://zotero.org/users/local/kvLunvBP/items/CHC4CSWQ"],"itemData":{"id":242,"type":"report","language":"en","source":"Zotero","title":"Department of Social Protection Annual Report 2022","URL":"https://www.gov.ie/pdf/?file=https://assets.gov.ie/266156/f20b1997-df82-4916-bea5-2badf9e982a0.pdf#page=null","author":[{"family":"Department of Social Protection","given":""}],"issued":{"date-parts":[["2023"]]}}}],"schema":"https://github.com/citation-style-language/schema/raw/master/csl-citation.json"} </w:instrText>
      </w:r>
      <w:r w:rsidR="003B0809">
        <w:rPr>
          <w:lang w:eastAsia="en-IE"/>
        </w:rPr>
        <w:fldChar w:fldCharType="separate"/>
      </w:r>
      <w:r w:rsidR="00C0772E" w:rsidRPr="00C0772E">
        <w:t>(51)</w:t>
      </w:r>
      <w:r w:rsidR="003B0809">
        <w:rPr>
          <w:lang w:eastAsia="en-IE"/>
        </w:rPr>
        <w:fldChar w:fldCharType="end"/>
      </w:r>
      <w:r w:rsidR="003B0809">
        <w:rPr>
          <w:lang w:eastAsia="en-IE"/>
        </w:rPr>
        <w:t xml:space="preserve"> </w:t>
      </w:r>
      <w:r w:rsidR="003B0809">
        <w:t xml:space="preserve">The </w:t>
      </w:r>
      <w:r w:rsidR="003B0809">
        <w:rPr>
          <w:lang w:eastAsia="en-IE"/>
        </w:rPr>
        <w:t>Early Engagement process continued in 2023, with 21,300 Disability Allowance recipients contacted and offered the opportunity to meet with a specially trained employment services adviser. More than 9,000 of those contacted</w:t>
      </w:r>
      <w:r w:rsidR="0082543C">
        <w:rPr>
          <w:lang w:eastAsia="en-IE"/>
        </w:rPr>
        <w:t xml:space="preserve"> in 2023</w:t>
      </w:r>
      <w:r w:rsidR="003B0809">
        <w:rPr>
          <w:lang w:eastAsia="en-IE"/>
        </w:rPr>
        <w:t xml:space="preserve"> engaged with employment services, and 705 participants</w:t>
      </w:r>
      <w:r w:rsidR="0082543C">
        <w:rPr>
          <w:lang w:eastAsia="en-IE"/>
        </w:rPr>
        <w:t xml:space="preserve"> (3.3% of those contacted)</w:t>
      </w:r>
      <w:r w:rsidR="003B0809">
        <w:rPr>
          <w:lang w:eastAsia="en-IE"/>
        </w:rPr>
        <w:t xml:space="preserve"> had successfully transitioned from their DA payment to employment by the end of </w:t>
      </w:r>
      <w:r w:rsidR="0082543C">
        <w:rPr>
          <w:lang w:eastAsia="en-IE"/>
        </w:rPr>
        <w:t>the year</w:t>
      </w:r>
      <w:r w:rsidR="003B0809">
        <w:rPr>
          <w:lang w:eastAsia="en-IE"/>
        </w:rPr>
        <w:t xml:space="preserve">. </w:t>
      </w:r>
      <w:r w:rsidR="003B0809">
        <w:rPr>
          <w:lang w:eastAsia="en-IE"/>
        </w:rPr>
        <w:fldChar w:fldCharType="begin"/>
      </w:r>
      <w:r w:rsidR="00C0772E">
        <w:rPr>
          <w:lang w:eastAsia="en-IE"/>
        </w:rPr>
        <w:instrText xml:space="preserve"> ADDIN ZOTERO_ITEM CSL_CITATION {"citationID":"WNszqJ4l","properties":{"formattedCitation":"(52)","plainCitation":"(52)","noteIndex":0},"citationItems":[{"id":243,"uris":["http://zotero.org/users/local/kvLunvBP/items/6AJA3P5X"],"itemData":{"id":243,"type":"report","title":"Department of Social Protection Annual Report 2023","URL":"https://www.gov.ie/en/publication/3758a-annual-report-2023/","author":[{"family":"Department of Social Protection","given":""}],"issued":{"date-parts":[["2024"]]}}}],"schema":"https://github.com/citation-style-language/schema/raw/master/csl-citation.json"} </w:instrText>
      </w:r>
      <w:r w:rsidR="003B0809">
        <w:rPr>
          <w:lang w:eastAsia="en-IE"/>
        </w:rPr>
        <w:fldChar w:fldCharType="separate"/>
      </w:r>
      <w:r w:rsidR="00C0772E" w:rsidRPr="00C0772E">
        <w:t>(52)</w:t>
      </w:r>
      <w:r w:rsidR="003B0809">
        <w:rPr>
          <w:lang w:eastAsia="en-IE"/>
        </w:rPr>
        <w:fldChar w:fldCharType="end"/>
      </w:r>
      <w:bookmarkEnd w:id="159"/>
    </w:p>
    <w:p w14:paraId="7057B0A5" w14:textId="5ECDBA12" w:rsidR="00CB305F" w:rsidRPr="00D4436B" w:rsidRDefault="00CB305F" w:rsidP="00CB305F">
      <w:pPr>
        <w:keepNext/>
        <w:spacing w:after="60"/>
        <w:outlineLvl w:val="1"/>
        <w:rPr>
          <w:rFonts w:ascii="Gill Sans MT" w:hAnsi="Gill Sans MT" w:cs="Arial Bold"/>
          <w:b/>
          <w:bCs/>
          <w:iCs/>
          <w:sz w:val="28"/>
          <w:szCs w:val="28"/>
        </w:rPr>
      </w:pPr>
      <w:bookmarkStart w:id="160" w:name="_Toc182219508"/>
      <w:bookmarkStart w:id="161" w:name="_Toc182220211"/>
      <w:bookmarkStart w:id="162" w:name="_Toc182555559"/>
      <w:bookmarkStart w:id="163" w:name="_Toc182555716"/>
      <w:r w:rsidRPr="00D4436B">
        <w:rPr>
          <w:rFonts w:ascii="Gill Sans MT" w:hAnsi="Gill Sans MT" w:cs="Arial Bold"/>
          <w:b/>
          <w:bCs/>
          <w:iCs/>
          <w:sz w:val="28"/>
          <w:szCs w:val="28"/>
        </w:rPr>
        <w:t>1.7 Numbers of Back to Education Allowance recipients with disabilities (Process)</w:t>
      </w:r>
      <w:bookmarkEnd w:id="160"/>
      <w:bookmarkEnd w:id="161"/>
      <w:bookmarkEnd w:id="162"/>
      <w:bookmarkEnd w:id="163"/>
      <w:r w:rsidRPr="00D4436B">
        <w:rPr>
          <w:rFonts w:ascii="Gill Sans MT" w:hAnsi="Gill Sans MT" w:cs="Arial Bold"/>
          <w:b/>
          <w:bCs/>
          <w:iCs/>
          <w:sz w:val="28"/>
          <w:szCs w:val="28"/>
        </w:rPr>
        <w:t xml:space="preserve"> </w:t>
      </w:r>
    </w:p>
    <w:p w14:paraId="6F209DA1" w14:textId="203D505D" w:rsidR="00CB305F" w:rsidRDefault="00CB305F" w:rsidP="00CB305F">
      <w:pPr>
        <w:tabs>
          <w:tab w:val="left" w:pos="6390"/>
        </w:tabs>
        <w:rPr>
          <w:rFonts w:ascii="Gill Sans MT" w:hAnsi="Gill Sans MT"/>
          <w:szCs w:val="26"/>
          <w:highlight w:val="yellow"/>
        </w:rPr>
      </w:pPr>
      <w:r w:rsidRPr="00FB3A55">
        <w:rPr>
          <w:rFonts w:ascii="Gill Sans MT" w:hAnsi="Gill Sans MT"/>
          <w:szCs w:val="26"/>
        </w:rPr>
        <w:t>The Back to Education Allowance (BTEA)</w:t>
      </w:r>
      <w:r>
        <w:rPr>
          <w:rFonts w:ascii="Gill Sans MT" w:hAnsi="Gill Sans MT"/>
          <w:szCs w:val="26"/>
        </w:rPr>
        <w:t xml:space="preserve"> is a </w:t>
      </w:r>
      <w:r w:rsidR="004815E0">
        <w:rPr>
          <w:rFonts w:ascii="Gill Sans MT" w:hAnsi="Gill Sans MT"/>
          <w:szCs w:val="26"/>
        </w:rPr>
        <w:t>scheme</w:t>
      </w:r>
      <w:r>
        <w:rPr>
          <w:rFonts w:ascii="Gill Sans MT" w:hAnsi="Gill Sans MT"/>
          <w:szCs w:val="26"/>
        </w:rPr>
        <w:t xml:space="preserve"> to financially support people in receipt of either a jobseeker’s payment, a one parent family payment, or a disability or caring payment to undertake further or higher education. </w:t>
      </w:r>
      <w:r>
        <w:rPr>
          <w:rFonts w:ascii="Gill Sans MT" w:hAnsi="Gill Sans MT"/>
          <w:szCs w:val="26"/>
        </w:rPr>
        <w:fldChar w:fldCharType="begin"/>
      </w:r>
      <w:r w:rsidR="00C0772E">
        <w:rPr>
          <w:rFonts w:ascii="Gill Sans MT" w:hAnsi="Gill Sans MT"/>
          <w:szCs w:val="26"/>
        </w:rPr>
        <w:instrText xml:space="preserve"> ADDIN ZOTERO_ITEM CSL_CITATION {"citationID":"8HvgZ1iz","properties":{"formattedCitation":"(53)","plainCitation":"(53)","noteIndex":0},"citationItems":[{"id":193,"uris":["http://zotero.org/users/local/kvLunvBP/items/79U465BC"],"itemData":{"id":193,"type":"webpage","language":"en","title":"Operational Guidelines: Back to Education Allowance","title-short":"Operational Guidelines","URL":"https://www.gov.ie/en/publication/5afe0f-operational-guidelines-back-to-education-allowance/","author":[{"family":"Department of Social Protection","given":""}],"accessed":{"date-parts":[["2024",7,23]]},"issued":{"date-parts":[["2019",8,7]]}}}],"schema":"https://github.com/citation-style-language/schema/raw/master/csl-citation.json"} </w:instrText>
      </w:r>
      <w:r>
        <w:rPr>
          <w:rFonts w:ascii="Gill Sans MT" w:hAnsi="Gill Sans MT"/>
          <w:szCs w:val="26"/>
        </w:rPr>
        <w:fldChar w:fldCharType="separate"/>
      </w:r>
      <w:r w:rsidR="00C0772E" w:rsidRPr="00C0772E">
        <w:rPr>
          <w:rFonts w:ascii="Gill Sans MT" w:hAnsi="Gill Sans MT"/>
        </w:rPr>
        <w:t>(53)</w:t>
      </w:r>
      <w:r>
        <w:rPr>
          <w:rFonts w:ascii="Gill Sans MT" w:hAnsi="Gill Sans MT"/>
          <w:szCs w:val="26"/>
        </w:rPr>
        <w:fldChar w:fldCharType="end"/>
      </w:r>
      <w:r>
        <w:rPr>
          <w:rFonts w:ascii="Gill Sans MT" w:hAnsi="Gill Sans MT"/>
          <w:szCs w:val="26"/>
        </w:rPr>
        <w:t xml:space="preserve"> </w:t>
      </w:r>
      <w:r w:rsidRPr="00FB3A55">
        <w:rPr>
          <w:rFonts w:ascii="Gill Sans MT" w:hAnsi="Gill Sans MT"/>
          <w:szCs w:val="26"/>
        </w:rPr>
        <w:t xml:space="preserve"> </w:t>
      </w:r>
    </w:p>
    <w:p w14:paraId="514C14B6" w14:textId="06A3AE1A" w:rsidR="00CB305F" w:rsidRPr="00EC0082" w:rsidRDefault="00CB305F" w:rsidP="00CB305F">
      <w:pPr>
        <w:tabs>
          <w:tab w:val="left" w:pos="6390"/>
        </w:tabs>
        <w:rPr>
          <w:rFonts w:ascii="Gill Sans MT" w:hAnsi="Gill Sans MT"/>
          <w:szCs w:val="26"/>
          <w:highlight w:val="yellow"/>
        </w:rPr>
      </w:pPr>
      <w:r>
        <w:rPr>
          <w:rFonts w:ascii="Gill Sans MT" w:hAnsi="Gill Sans MT"/>
          <w:szCs w:val="26"/>
        </w:rPr>
        <w:fldChar w:fldCharType="begin"/>
      </w:r>
      <w:r>
        <w:rPr>
          <w:rFonts w:ascii="Gill Sans MT" w:hAnsi="Gill Sans MT"/>
          <w:szCs w:val="26"/>
        </w:rPr>
        <w:instrText xml:space="preserve"> REF _Ref179895834 \h </w:instrText>
      </w:r>
      <w:r>
        <w:rPr>
          <w:rFonts w:ascii="Gill Sans MT" w:hAnsi="Gill Sans MT"/>
          <w:szCs w:val="26"/>
        </w:rPr>
      </w:r>
      <w:r>
        <w:rPr>
          <w:rFonts w:ascii="Gill Sans MT" w:hAnsi="Gill Sans MT"/>
          <w:szCs w:val="26"/>
        </w:rPr>
        <w:fldChar w:fldCharType="separate"/>
      </w:r>
      <w:r w:rsidR="009C4192">
        <w:t xml:space="preserve">Table </w:t>
      </w:r>
      <w:r w:rsidR="009C4192">
        <w:rPr>
          <w:noProof/>
        </w:rPr>
        <w:t>8</w:t>
      </w:r>
      <w:r>
        <w:rPr>
          <w:rFonts w:ascii="Gill Sans MT" w:hAnsi="Gill Sans MT"/>
          <w:szCs w:val="26"/>
        </w:rPr>
        <w:fldChar w:fldCharType="end"/>
      </w:r>
      <w:r>
        <w:rPr>
          <w:rFonts w:ascii="Gill Sans MT" w:hAnsi="Gill Sans MT"/>
          <w:szCs w:val="26"/>
        </w:rPr>
        <w:t xml:space="preserve"> </w:t>
      </w:r>
      <w:r w:rsidRPr="00B67E35">
        <w:rPr>
          <w:rFonts w:ascii="Gill Sans MT" w:hAnsi="Gill Sans MT"/>
          <w:szCs w:val="26"/>
        </w:rPr>
        <w:t xml:space="preserve">below shows that the numbers moving from disability supports to the BTEA decreased each year between 2015 and </w:t>
      </w:r>
      <w:r>
        <w:rPr>
          <w:rFonts w:ascii="Gill Sans MT" w:hAnsi="Gill Sans MT"/>
          <w:szCs w:val="26"/>
        </w:rPr>
        <w:t>2023.</w:t>
      </w:r>
      <w:r w:rsidR="00120872" w:rsidRPr="00233BC4">
        <w:rPr>
          <w:rStyle w:val="FootnoteReference"/>
        </w:rPr>
        <w:footnoteReference w:id="17"/>
      </w:r>
      <w:r w:rsidR="00120872">
        <w:rPr>
          <w:rFonts w:ascii="Gill Sans MT" w:hAnsi="Gill Sans MT"/>
          <w:szCs w:val="26"/>
        </w:rPr>
        <w:t xml:space="preserve"> </w:t>
      </w:r>
      <w:r w:rsidRPr="007D1B9C">
        <w:rPr>
          <w:rFonts w:ascii="Gill Sans MT" w:hAnsi="Gill Sans MT"/>
          <w:szCs w:val="26"/>
        </w:rPr>
        <w:t xml:space="preserve">The total number of BTEA recipients </w:t>
      </w:r>
      <w:r>
        <w:rPr>
          <w:rFonts w:ascii="Gill Sans MT" w:hAnsi="Gill Sans MT"/>
          <w:szCs w:val="26"/>
        </w:rPr>
        <w:t xml:space="preserve">also decreased </w:t>
      </w:r>
      <w:r w:rsidR="00731596">
        <w:rPr>
          <w:rFonts w:ascii="Gill Sans MT" w:hAnsi="Gill Sans MT"/>
          <w:szCs w:val="26"/>
        </w:rPr>
        <w:t>over this period</w:t>
      </w:r>
      <w:r>
        <w:rPr>
          <w:rFonts w:ascii="Gill Sans MT" w:hAnsi="Gill Sans MT"/>
          <w:szCs w:val="26"/>
        </w:rPr>
        <w:t xml:space="preserve">. </w:t>
      </w:r>
      <w:r w:rsidRPr="007D1B9C">
        <w:rPr>
          <w:rFonts w:ascii="Gill Sans MT" w:hAnsi="Gill Sans MT"/>
          <w:szCs w:val="26"/>
        </w:rPr>
        <w:t>The percentage of all BTEA recipients who had moved from disability supports increased from 1.8% to 2.</w:t>
      </w:r>
      <w:r>
        <w:rPr>
          <w:rFonts w:ascii="Gill Sans MT" w:hAnsi="Gill Sans MT"/>
          <w:szCs w:val="26"/>
        </w:rPr>
        <w:t>5</w:t>
      </w:r>
      <w:r w:rsidRPr="007D1B9C">
        <w:rPr>
          <w:rFonts w:ascii="Gill Sans MT" w:hAnsi="Gill Sans MT"/>
          <w:szCs w:val="26"/>
        </w:rPr>
        <w:t>% between 2015 and 20</w:t>
      </w:r>
      <w:r>
        <w:rPr>
          <w:rFonts w:ascii="Gill Sans MT" w:hAnsi="Gill Sans MT"/>
          <w:szCs w:val="26"/>
        </w:rPr>
        <w:t>23</w:t>
      </w:r>
      <w:r w:rsidRPr="007D1B9C">
        <w:rPr>
          <w:rFonts w:ascii="Gill Sans MT" w:hAnsi="Gill Sans MT"/>
          <w:szCs w:val="26"/>
        </w:rPr>
        <w:t xml:space="preserve">, although this fluctuated </w:t>
      </w:r>
      <w:r>
        <w:rPr>
          <w:rFonts w:ascii="Gill Sans MT" w:hAnsi="Gill Sans MT"/>
          <w:szCs w:val="26"/>
        </w:rPr>
        <w:t>over the years</w:t>
      </w:r>
      <w:r w:rsidRPr="007D1B9C">
        <w:rPr>
          <w:rFonts w:ascii="Gill Sans MT" w:hAnsi="Gill Sans MT"/>
          <w:szCs w:val="26"/>
        </w:rPr>
        <w:t>.</w:t>
      </w:r>
    </w:p>
    <w:p w14:paraId="6EC36142" w14:textId="0CBBBBB5" w:rsidR="00CB305F" w:rsidRDefault="00CB305F" w:rsidP="00CB305F">
      <w:pPr>
        <w:pStyle w:val="Caption"/>
        <w:keepNext/>
        <w:rPr>
          <w:rFonts w:ascii="Gill Sans MT" w:hAnsi="Gill Sans MT"/>
        </w:rPr>
      </w:pPr>
      <w:bookmarkStart w:id="164" w:name="_Ref179895834"/>
      <w:bookmarkStart w:id="165" w:name="_Toc182219712"/>
      <w:r>
        <w:t xml:space="preserve">Table </w:t>
      </w:r>
      <w:r>
        <w:fldChar w:fldCharType="begin"/>
      </w:r>
      <w:r>
        <w:instrText xml:space="preserve"> SEQ Table \* ARABIC </w:instrText>
      </w:r>
      <w:r>
        <w:fldChar w:fldCharType="separate"/>
      </w:r>
      <w:r w:rsidR="009C4192">
        <w:rPr>
          <w:noProof/>
        </w:rPr>
        <w:t>8</w:t>
      </w:r>
      <w:r>
        <w:fldChar w:fldCharType="end"/>
      </w:r>
      <w:bookmarkEnd w:id="164"/>
      <w:r>
        <w:t xml:space="preserve">: </w:t>
      </w:r>
      <w:r w:rsidRPr="002A7988">
        <w:rPr>
          <w:rFonts w:ascii="Gill Sans MT" w:hAnsi="Gill Sans MT"/>
        </w:rPr>
        <w:t xml:space="preserve">Back to Education Allowance recipients moving from disability </w:t>
      </w:r>
      <w:r>
        <w:rPr>
          <w:rFonts w:ascii="Gill Sans MT" w:hAnsi="Gill Sans MT"/>
        </w:rPr>
        <w:t>payments</w:t>
      </w:r>
      <w:r w:rsidRPr="002A7988">
        <w:rPr>
          <w:rFonts w:ascii="Gill Sans MT" w:hAnsi="Gill Sans MT"/>
        </w:rPr>
        <w:t xml:space="preserve"> 2015-2023</w:t>
      </w:r>
      <w:bookmarkEnd w:id="165"/>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34"/>
        <w:gridCol w:w="2835"/>
        <w:gridCol w:w="2410"/>
        <w:gridCol w:w="2693"/>
      </w:tblGrid>
      <w:tr w:rsidR="00CB305F" w:rsidRPr="00B01C06" w14:paraId="6364A298" w14:textId="77777777" w:rsidTr="00F80F8B">
        <w:trPr>
          <w:tblHeader/>
        </w:trPr>
        <w:tc>
          <w:tcPr>
            <w:tcW w:w="1134" w:type="dxa"/>
            <w:shd w:val="clear" w:color="auto" w:fill="auto"/>
          </w:tcPr>
          <w:p w14:paraId="58770455" w14:textId="77777777" w:rsidR="00CB305F" w:rsidRPr="00B01C06" w:rsidRDefault="00CB305F" w:rsidP="00E52014">
            <w:pPr>
              <w:spacing w:after="0"/>
              <w:rPr>
                <w:b/>
              </w:rPr>
            </w:pPr>
            <w:r w:rsidRPr="00B01C06">
              <w:rPr>
                <w:b/>
              </w:rPr>
              <w:t>Year</w:t>
            </w:r>
          </w:p>
        </w:tc>
        <w:tc>
          <w:tcPr>
            <w:tcW w:w="2835" w:type="dxa"/>
            <w:shd w:val="clear" w:color="auto" w:fill="auto"/>
          </w:tcPr>
          <w:p w14:paraId="68EE0552" w14:textId="77777777" w:rsidR="00CB305F" w:rsidRPr="00B01C06" w:rsidRDefault="00CB305F" w:rsidP="00E52014">
            <w:pPr>
              <w:spacing w:after="0"/>
              <w:rPr>
                <w:b/>
              </w:rPr>
            </w:pPr>
            <w:r w:rsidRPr="00B01C06">
              <w:rPr>
                <w:b/>
              </w:rPr>
              <w:t>Number moved to BTEA from disability supports</w:t>
            </w:r>
          </w:p>
        </w:tc>
        <w:tc>
          <w:tcPr>
            <w:tcW w:w="2410" w:type="dxa"/>
          </w:tcPr>
          <w:p w14:paraId="0E4F0FD5" w14:textId="77777777" w:rsidR="00CB305F" w:rsidRPr="00B01C06" w:rsidRDefault="00CB305F" w:rsidP="00E52014">
            <w:pPr>
              <w:spacing w:after="0"/>
              <w:rPr>
                <w:b/>
              </w:rPr>
            </w:pPr>
            <w:r w:rsidRPr="00B01C06">
              <w:rPr>
                <w:b/>
              </w:rPr>
              <w:t>Total number of BTEA recipients</w:t>
            </w:r>
          </w:p>
        </w:tc>
        <w:tc>
          <w:tcPr>
            <w:tcW w:w="2693" w:type="dxa"/>
          </w:tcPr>
          <w:p w14:paraId="0A1F0738" w14:textId="790DDF85" w:rsidR="00CB305F" w:rsidRPr="00B01C06" w:rsidRDefault="00CB305F" w:rsidP="00E52014">
            <w:pPr>
              <w:spacing w:after="0"/>
              <w:rPr>
                <w:b/>
              </w:rPr>
            </w:pPr>
            <w:r w:rsidRPr="00B01C06">
              <w:rPr>
                <w:b/>
              </w:rPr>
              <w:t>Percentage of overall BTEA recipients who had moved from disability supports</w:t>
            </w:r>
            <w:r w:rsidR="00A77FF8">
              <w:rPr>
                <w:b/>
              </w:rPr>
              <w:t xml:space="preserve"> (%)</w:t>
            </w:r>
          </w:p>
        </w:tc>
      </w:tr>
      <w:tr w:rsidR="00CB305F" w:rsidRPr="00B01C06" w14:paraId="6CA50091" w14:textId="77777777" w:rsidTr="00F80F8B">
        <w:tc>
          <w:tcPr>
            <w:tcW w:w="1134" w:type="dxa"/>
            <w:shd w:val="clear" w:color="auto" w:fill="auto"/>
          </w:tcPr>
          <w:p w14:paraId="26BE845A" w14:textId="77777777" w:rsidR="00CB305F" w:rsidRPr="00B01C06" w:rsidRDefault="00CB305F" w:rsidP="00E52014">
            <w:pPr>
              <w:spacing w:after="0"/>
              <w:rPr>
                <w:b/>
              </w:rPr>
            </w:pPr>
            <w:r w:rsidRPr="00B01C06">
              <w:rPr>
                <w:b/>
              </w:rPr>
              <w:t>2015</w:t>
            </w:r>
          </w:p>
        </w:tc>
        <w:tc>
          <w:tcPr>
            <w:tcW w:w="2835" w:type="dxa"/>
            <w:shd w:val="clear" w:color="auto" w:fill="auto"/>
          </w:tcPr>
          <w:p w14:paraId="75E83015" w14:textId="77777777" w:rsidR="00CB305F" w:rsidRPr="00B01C06" w:rsidRDefault="00CB305F" w:rsidP="00E52014">
            <w:pPr>
              <w:spacing w:after="0"/>
              <w:jc w:val="right"/>
            </w:pPr>
            <w:r w:rsidRPr="00B01C06">
              <w:t>318</w:t>
            </w:r>
          </w:p>
        </w:tc>
        <w:tc>
          <w:tcPr>
            <w:tcW w:w="2410" w:type="dxa"/>
          </w:tcPr>
          <w:p w14:paraId="67898917" w14:textId="77777777" w:rsidR="00CB305F" w:rsidRPr="00B01C06" w:rsidRDefault="00CB305F" w:rsidP="00E52014">
            <w:pPr>
              <w:spacing w:after="0"/>
              <w:jc w:val="right"/>
            </w:pPr>
            <w:r w:rsidRPr="00B01C06">
              <w:t>17,879</w:t>
            </w:r>
          </w:p>
        </w:tc>
        <w:tc>
          <w:tcPr>
            <w:tcW w:w="2693" w:type="dxa"/>
          </w:tcPr>
          <w:p w14:paraId="225D341D" w14:textId="5087E599" w:rsidR="00CB305F" w:rsidRPr="00B01C06" w:rsidRDefault="00CB305F" w:rsidP="00E52014">
            <w:pPr>
              <w:spacing w:after="0"/>
              <w:jc w:val="right"/>
            </w:pPr>
            <w:r w:rsidRPr="00B01C06">
              <w:t>1.8</w:t>
            </w:r>
          </w:p>
        </w:tc>
      </w:tr>
      <w:tr w:rsidR="00CB305F" w:rsidRPr="00B01C06" w14:paraId="7AEE6E4E" w14:textId="77777777" w:rsidTr="00F80F8B">
        <w:tc>
          <w:tcPr>
            <w:tcW w:w="1134" w:type="dxa"/>
            <w:shd w:val="clear" w:color="auto" w:fill="auto"/>
          </w:tcPr>
          <w:p w14:paraId="1113B82F" w14:textId="77777777" w:rsidR="00CB305F" w:rsidRPr="00B01C06" w:rsidRDefault="00CB305F" w:rsidP="00E52014">
            <w:pPr>
              <w:spacing w:after="0"/>
              <w:rPr>
                <w:b/>
              </w:rPr>
            </w:pPr>
            <w:r w:rsidRPr="00B01C06">
              <w:rPr>
                <w:b/>
              </w:rPr>
              <w:t>2016</w:t>
            </w:r>
          </w:p>
        </w:tc>
        <w:tc>
          <w:tcPr>
            <w:tcW w:w="2835" w:type="dxa"/>
            <w:shd w:val="clear" w:color="auto" w:fill="auto"/>
          </w:tcPr>
          <w:p w14:paraId="3C8DA024" w14:textId="77777777" w:rsidR="00CB305F" w:rsidRPr="00B01C06" w:rsidRDefault="00CB305F" w:rsidP="00E52014">
            <w:pPr>
              <w:spacing w:after="0"/>
              <w:jc w:val="right"/>
            </w:pPr>
            <w:r w:rsidRPr="00B01C06">
              <w:t>276</w:t>
            </w:r>
          </w:p>
        </w:tc>
        <w:tc>
          <w:tcPr>
            <w:tcW w:w="2410" w:type="dxa"/>
          </w:tcPr>
          <w:p w14:paraId="20456058" w14:textId="77777777" w:rsidR="00CB305F" w:rsidRPr="00B01C06" w:rsidRDefault="00CB305F" w:rsidP="00E52014">
            <w:pPr>
              <w:spacing w:after="0"/>
              <w:jc w:val="right"/>
            </w:pPr>
            <w:r w:rsidRPr="00B01C06">
              <w:t>13,895</w:t>
            </w:r>
          </w:p>
        </w:tc>
        <w:tc>
          <w:tcPr>
            <w:tcW w:w="2693" w:type="dxa"/>
          </w:tcPr>
          <w:p w14:paraId="208DCC97" w14:textId="4D61C643" w:rsidR="00CB305F" w:rsidRPr="00B01C06" w:rsidRDefault="00CB305F" w:rsidP="00E52014">
            <w:pPr>
              <w:spacing w:after="0"/>
              <w:jc w:val="right"/>
            </w:pPr>
            <w:r w:rsidRPr="00B01C06">
              <w:t>2.0</w:t>
            </w:r>
          </w:p>
        </w:tc>
      </w:tr>
      <w:tr w:rsidR="00CB305F" w:rsidRPr="00B01C06" w14:paraId="15E1A16E" w14:textId="77777777" w:rsidTr="00F80F8B">
        <w:tc>
          <w:tcPr>
            <w:tcW w:w="1134" w:type="dxa"/>
            <w:shd w:val="clear" w:color="auto" w:fill="auto"/>
          </w:tcPr>
          <w:p w14:paraId="280AA20B" w14:textId="77777777" w:rsidR="00CB305F" w:rsidRPr="00B01C06" w:rsidRDefault="00CB305F" w:rsidP="00E52014">
            <w:pPr>
              <w:spacing w:after="0"/>
              <w:rPr>
                <w:b/>
              </w:rPr>
            </w:pPr>
            <w:r w:rsidRPr="00B01C06">
              <w:rPr>
                <w:b/>
              </w:rPr>
              <w:t>2017</w:t>
            </w:r>
          </w:p>
        </w:tc>
        <w:tc>
          <w:tcPr>
            <w:tcW w:w="2835" w:type="dxa"/>
            <w:shd w:val="clear" w:color="auto" w:fill="auto"/>
          </w:tcPr>
          <w:p w14:paraId="3AF755A4" w14:textId="77777777" w:rsidR="00CB305F" w:rsidRPr="00B01C06" w:rsidRDefault="00CB305F" w:rsidP="00E52014">
            <w:pPr>
              <w:spacing w:after="0"/>
              <w:jc w:val="right"/>
            </w:pPr>
            <w:r w:rsidRPr="00B01C06">
              <w:t>201</w:t>
            </w:r>
          </w:p>
        </w:tc>
        <w:tc>
          <w:tcPr>
            <w:tcW w:w="2410" w:type="dxa"/>
          </w:tcPr>
          <w:p w14:paraId="3D9D3FA8" w14:textId="77777777" w:rsidR="00CB305F" w:rsidRPr="00B01C06" w:rsidRDefault="00CB305F" w:rsidP="00E52014">
            <w:pPr>
              <w:spacing w:after="0"/>
              <w:jc w:val="right"/>
            </w:pPr>
            <w:r w:rsidRPr="00B01C06">
              <w:t>10,916</w:t>
            </w:r>
          </w:p>
        </w:tc>
        <w:tc>
          <w:tcPr>
            <w:tcW w:w="2693" w:type="dxa"/>
          </w:tcPr>
          <w:p w14:paraId="549FEA05" w14:textId="44CC7E1A" w:rsidR="00CB305F" w:rsidRPr="00B01C06" w:rsidRDefault="00CB305F" w:rsidP="00E52014">
            <w:pPr>
              <w:spacing w:after="0"/>
              <w:jc w:val="right"/>
            </w:pPr>
            <w:r w:rsidRPr="00B01C06">
              <w:t>1.8</w:t>
            </w:r>
          </w:p>
        </w:tc>
      </w:tr>
      <w:tr w:rsidR="00CB305F" w:rsidRPr="00B01C06" w14:paraId="087A8F56" w14:textId="77777777" w:rsidTr="00F80F8B">
        <w:tc>
          <w:tcPr>
            <w:tcW w:w="1134" w:type="dxa"/>
            <w:shd w:val="clear" w:color="auto" w:fill="auto"/>
          </w:tcPr>
          <w:p w14:paraId="0BFAA3C0" w14:textId="77777777" w:rsidR="00CB305F" w:rsidRPr="00B01C06" w:rsidRDefault="00CB305F" w:rsidP="00E52014">
            <w:pPr>
              <w:spacing w:after="0"/>
              <w:rPr>
                <w:b/>
              </w:rPr>
            </w:pPr>
            <w:r w:rsidRPr="00B01C06">
              <w:rPr>
                <w:b/>
              </w:rPr>
              <w:t>2018</w:t>
            </w:r>
          </w:p>
        </w:tc>
        <w:tc>
          <w:tcPr>
            <w:tcW w:w="2835" w:type="dxa"/>
            <w:shd w:val="clear" w:color="auto" w:fill="auto"/>
          </w:tcPr>
          <w:p w14:paraId="2968A55D" w14:textId="77777777" w:rsidR="00CB305F" w:rsidRPr="00B01C06" w:rsidRDefault="00CB305F" w:rsidP="00E52014">
            <w:pPr>
              <w:spacing w:after="0"/>
              <w:jc w:val="right"/>
            </w:pPr>
            <w:r w:rsidRPr="00B01C06">
              <w:t>199</w:t>
            </w:r>
          </w:p>
        </w:tc>
        <w:tc>
          <w:tcPr>
            <w:tcW w:w="2410" w:type="dxa"/>
          </w:tcPr>
          <w:p w14:paraId="2E9CA57F" w14:textId="77777777" w:rsidR="00CB305F" w:rsidRPr="00B01C06" w:rsidRDefault="00CB305F" w:rsidP="00E52014">
            <w:pPr>
              <w:spacing w:after="0"/>
              <w:jc w:val="right"/>
            </w:pPr>
            <w:r w:rsidRPr="00B01C06">
              <w:t>8,816</w:t>
            </w:r>
          </w:p>
        </w:tc>
        <w:tc>
          <w:tcPr>
            <w:tcW w:w="2693" w:type="dxa"/>
          </w:tcPr>
          <w:p w14:paraId="4A85C244" w14:textId="15EF8C46" w:rsidR="00CB305F" w:rsidRPr="00B01C06" w:rsidRDefault="00CB305F" w:rsidP="00E52014">
            <w:pPr>
              <w:spacing w:after="0"/>
              <w:jc w:val="right"/>
            </w:pPr>
            <w:r w:rsidRPr="00B01C06">
              <w:t>2.3</w:t>
            </w:r>
          </w:p>
        </w:tc>
      </w:tr>
      <w:tr w:rsidR="00CB305F" w:rsidRPr="00B01C06" w14:paraId="4B1E6037" w14:textId="77777777" w:rsidTr="00F80F8B">
        <w:tc>
          <w:tcPr>
            <w:tcW w:w="1134" w:type="dxa"/>
            <w:shd w:val="clear" w:color="auto" w:fill="auto"/>
          </w:tcPr>
          <w:p w14:paraId="60D9878B" w14:textId="77777777" w:rsidR="00CB305F" w:rsidRPr="00BF1BC8" w:rsidRDefault="00CB305F" w:rsidP="00E52014">
            <w:pPr>
              <w:spacing w:after="0"/>
              <w:rPr>
                <w:b/>
              </w:rPr>
            </w:pPr>
            <w:r w:rsidRPr="00BF1BC8">
              <w:rPr>
                <w:b/>
              </w:rPr>
              <w:t>2019</w:t>
            </w:r>
          </w:p>
        </w:tc>
        <w:tc>
          <w:tcPr>
            <w:tcW w:w="2835" w:type="dxa"/>
            <w:shd w:val="clear" w:color="auto" w:fill="auto"/>
          </w:tcPr>
          <w:p w14:paraId="1431CD45" w14:textId="77777777" w:rsidR="00CB305F" w:rsidRPr="00BF1BC8" w:rsidRDefault="00CB305F" w:rsidP="00E52014">
            <w:pPr>
              <w:spacing w:after="0"/>
              <w:jc w:val="right"/>
            </w:pPr>
            <w:r w:rsidRPr="00BF1BC8">
              <w:t>157</w:t>
            </w:r>
          </w:p>
        </w:tc>
        <w:tc>
          <w:tcPr>
            <w:tcW w:w="2410" w:type="dxa"/>
          </w:tcPr>
          <w:p w14:paraId="559C8783" w14:textId="77777777" w:rsidR="00CB305F" w:rsidRPr="00BF1BC8" w:rsidRDefault="00CB305F" w:rsidP="00E52014">
            <w:pPr>
              <w:spacing w:after="0"/>
              <w:jc w:val="right"/>
            </w:pPr>
            <w:r w:rsidRPr="00BF1BC8">
              <w:t>7,283</w:t>
            </w:r>
          </w:p>
        </w:tc>
        <w:tc>
          <w:tcPr>
            <w:tcW w:w="2693" w:type="dxa"/>
          </w:tcPr>
          <w:p w14:paraId="71079650" w14:textId="086E1DB8" w:rsidR="00CB305F" w:rsidRPr="00B01C06" w:rsidRDefault="00CB305F" w:rsidP="00E52014">
            <w:pPr>
              <w:spacing w:after="0"/>
              <w:jc w:val="right"/>
            </w:pPr>
            <w:r>
              <w:t>2.2</w:t>
            </w:r>
          </w:p>
        </w:tc>
      </w:tr>
      <w:tr w:rsidR="00CB305F" w:rsidRPr="00B01C06" w14:paraId="4C5F5878" w14:textId="77777777" w:rsidTr="00F80F8B">
        <w:tc>
          <w:tcPr>
            <w:tcW w:w="1134" w:type="dxa"/>
            <w:shd w:val="clear" w:color="auto" w:fill="auto"/>
          </w:tcPr>
          <w:p w14:paraId="675E0036" w14:textId="77777777" w:rsidR="00CB305F" w:rsidRPr="00BF1BC8" w:rsidRDefault="00CB305F" w:rsidP="00E52014">
            <w:pPr>
              <w:spacing w:after="0"/>
              <w:rPr>
                <w:b/>
              </w:rPr>
            </w:pPr>
            <w:r w:rsidRPr="00BF1BC8">
              <w:rPr>
                <w:b/>
              </w:rPr>
              <w:t>2020</w:t>
            </w:r>
          </w:p>
        </w:tc>
        <w:tc>
          <w:tcPr>
            <w:tcW w:w="2835" w:type="dxa"/>
            <w:shd w:val="clear" w:color="auto" w:fill="auto"/>
          </w:tcPr>
          <w:p w14:paraId="1C3AF67B" w14:textId="77777777" w:rsidR="00CB305F" w:rsidRPr="00BF1BC8" w:rsidRDefault="00CB305F" w:rsidP="00E52014">
            <w:pPr>
              <w:spacing w:after="0"/>
              <w:jc w:val="right"/>
            </w:pPr>
            <w:r w:rsidRPr="00BF1BC8">
              <w:t>140</w:t>
            </w:r>
          </w:p>
        </w:tc>
        <w:tc>
          <w:tcPr>
            <w:tcW w:w="2410" w:type="dxa"/>
          </w:tcPr>
          <w:p w14:paraId="1D0E7E83" w14:textId="77777777" w:rsidR="00CB305F" w:rsidRPr="00BF1BC8" w:rsidRDefault="00CB305F" w:rsidP="00E52014">
            <w:pPr>
              <w:spacing w:after="0"/>
              <w:jc w:val="right"/>
            </w:pPr>
            <w:r w:rsidRPr="00BF1BC8">
              <w:t>6,387</w:t>
            </w:r>
          </w:p>
        </w:tc>
        <w:tc>
          <w:tcPr>
            <w:tcW w:w="2693" w:type="dxa"/>
          </w:tcPr>
          <w:p w14:paraId="50183969" w14:textId="3D7224A8" w:rsidR="00CB305F" w:rsidRPr="00B01C06" w:rsidRDefault="00CB305F" w:rsidP="00E52014">
            <w:pPr>
              <w:spacing w:after="0"/>
              <w:jc w:val="right"/>
            </w:pPr>
            <w:r>
              <w:t>2.2</w:t>
            </w:r>
          </w:p>
        </w:tc>
      </w:tr>
      <w:tr w:rsidR="00CB305F" w:rsidRPr="00B01C06" w14:paraId="698DB7A5" w14:textId="77777777" w:rsidTr="00F80F8B">
        <w:tc>
          <w:tcPr>
            <w:tcW w:w="1134" w:type="dxa"/>
            <w:shd w:val="clear" w:color="auto" w:fill="auto"/>
          </w:tcPr>
          <w:p w14:paraId="00D1DFF2" w14:textId="77777777" w:rsidR="00CB305F" w:rsidRPr="00BF1BC8" w:rsidRDefault="00CB305F" w:rsidP="00E52014">
            <w:pPr>
              <w:spacing w:after="0"/>
              <w:rPr>
                <w:b/>
              </w:rPr>
            </w:pPr>
            <w:r w:rsidRPr="00BF1BC8">
              <w:rPr>
                <w:b/>
              </w:rPr>
              <w:t>2021</w:t>
            </w:r>
          </w:p>
        </w:tc>
        <w:tc>
          <w:tcPr>
            <w:tcW w:w="2835" w:type="dxa"/>
            <w:shd w:val="clear" w:color="auto" w:fill="auto"/>
          </w:tcPr>
          <w:p w14:paraId="0E88ED0E" w14:textId="77777777" w:rsidR="00CB305F" w:rsidRPr="00BF1BC8" w:rsidRDefault="00CB305F" w:rsidP="00E52014">
            <w:pPr>
              <w:spacing w:after="0"/>
              <w:jc w:val="right"/>
            </w:pPr>
            <w:r w:rsidRPr="00BF1BC8">
              <w:t>146</w:t>
            </w:r>
          </w:p>
        </w:tc>
        <w:tc>
          <w:tcPr>
            <w:tcW w:w="2410" w:type="dxa"/>
          </w:tcPr>
          <w:p w14:paraId="35FAF706" w14:textId="77777777" w:rsidR="00CB305F" w:rsidRPr="00BF1BC8" w:rsidRDefault="00CB305F" w:rsidP="00E52014">
            <w:pPr>
              <w:spacing w:after="0"/>
              <w:jc w:val="right"/>
            </w:pPr>
            <w:r w:rsidRPr="00BF1BC8">
              <w:t>5,545</w:t>
            </w:r>
          </w:p>
        </w:tc>
        <w:tc>
          <w:tcPr>
            <w:tcW w:w="2693" w:type="dxa"/>
          </w:tcPr>
          <w:p w14:paraId="77E3645A" w14:textId="5B0FB7D8" w:rsidR="00CB305F" w:rsidRPr="00B01C06" w:rsidRDefault="00CB305F" w:rsidP="00E52014">
            <w:pPr>
              <w:spacing w:after="0"/>
              <w:jc w:val="right"/>
            </w:pPr>
            <w:r>
              <w:t>2.6</w:t>
            </w:r>
          </w:p>
        </w:tc>
      </w:tr>
      <w:tr w:rsidR="00CB305F" w:rsidRPr="00B01C06" w14:paraId="3893B0FC" w14:textId="77777777" w:rsidTr="00F80F8B">
        <w:tc>
          <w:tcPr>
            <w:tcW w:w="1134" w:type="dxa"/>
            <w:shd w:val="clear" w:color="auto" w:fill="auto"/>
          </w:tcPr>
          <w:p w14:paraId="7CCB24F5" w14:textId="77777777" w:rsidR="00CB305F" w:rsidRPr="00BF1BC8" w:rsidRDefault="00CB305F" w:rsidP="00E52014">
            <w:pPr>
              <w:spacing w:after="0"/>
              <w:rPr>
                <w:b/>
              </w:rPr>
            </w:pPr>
            <w:r w:rsidRPr="00BF1BC8">
              <w:rPr>
                <w:b/>
              </w:rPr>
              <w:t>2022</w:t>
            </w:r>
          </w:p>
        </w:tc>
        <w:tc>
          <w:tcPr>
            <w:tcW w:w="2835" w:type="dxa"/>
            <w:shd w:val="clear" w:color="auto" w:fill="auto"/>
          </w:tcPr>
          <w:p w14:paraId="1855BA0D" w14:textId="77777777" w:rsidR="00CB305F" w:rsidRPr="00BF1BC8" w:rsidRDefault="00CB305F" w:rsidP="00E52014">
            <w:pPr>
              <w:spacing w:after="0"/>
              <w:jc w:val="right"/>
            </w:pPr>
            <w:r w:rsidRPr="00BF1BC8">
              <w:t>86</w:t>
            </w:r>
          </w:p>
        </w:tc>
        <w:tc>
          <w:tcPr>
            <w:tcW w:w="2410" w:type="dxa"/>
          </w:tcPr>
          <w:p w14:paraId="2BCF3FB1" w14:textId="77777777" w:rsidR="00CB305F" w:rsidRPr="00BF1BC8" w:rsidRDefault="00CB305F" w:rsidP="00E52014">
            <w:pPr>
              <w:spacing w:after="0"/>
              <w:jc w:val="right"/>
            </w:pPr>
            <w:r w:rsidRPr="00BF1BC8">
              <w:t>3,846</w:t>
            </w:r>
          </w:p>
        </w:tc>
        <w:tc>
          <w:tcPr>
            <w:tcW w:w="2693" w:type="dxa"/>
          </w:tcPr>
          <w:p w14:paraId="48CB4144" w14:textId="087FADDF" w:rsidR="00CB305F" w:rsidRPr="00B01C06" w:rsidRDefault="00CB305F" w:rsidP="00E52014">
            <w:pPr>
              <w:spacing w:after="0"/>
              <w:jc w:val="right"/>
            </w:pPr>
            <w:r>
              <w:t>2.2</w:t>
            </w:r>
          </w:p>
        </w:tc>
      </w:tr>
      <w:tr w:rsidR="00CB305F" w:rsidRPr="00B01C06" w14:paraId="7AE712E6" w14:textId="77777777" w:rsidTr="00F80F8B">
        <w:tc>
          <w:tcPr>
            <w:tcW w:w="1134" w:type="dxa"/>
            <w:shd w:val="clear" w:color="auto" w:fill="auto"/>
          </w:tcPr>
          <w:p w14:paraId="14F980E0" w14:textId="77777777" w:rsidR="00CB305F" w:rsidRPr="00BF1BC8" w:rsidRDefault="00CB305F" w:rsidP="00E52014">
            <w:pPr>
              <w:spacing w:after="0"/>
              <w:rPr>
                <w:b/>
              </w:rPr>
            </w:pPr>
            <w:r w:rsidRPr="00BF1BC8">
              <w:rPr>
                <w:b/>
              </w:rPr>
              <w:t>2023</w:t>
            </w:r>
          </w:p>
        </w:tc>
        <w:tc>
          <w:tcPr>
            <w:tcW w:w="2835" w:type="dxa"/>
            <w:shd w:val="clear" w:color="auto" w:fill="auto"/>
          </w:tcPr>
          <w:p w14:paraId="42D1D63C" w14:textId="77777777" w:rsidR="00CB305F" w:rsidRPr="00BF1BC8" w:rsidRDefault="00CB305F" w:rsidP="00E52014">
            <w:pPr>
              <w:spacing w:after="0"/>
              <w:jc w:val="right"/>
            </w:pPr>
            <w:r w:rsidRPr="00BF1BC8">
              <w:t>90</w:t>
            </w:r>
          </w:p>
        </w:tc>
        <w:tc>
          <w:tcPr>
            <w:tcW w:w="2410" w:type="dxa"/>
          </w:tcPr>
          <w:p w14:paraId="071492DE" w14:textId="77777777" w:rsidR="00CB305F" w:rsidRPr="00BF1BC8" w:rsidRDefault="00CB305F" w:rsidP="00E52014">
            <w:pPr>
              <w:spacing w:after="0"/>
              <w:jc w:val="right"/>
            </w:pPr>
            <w:r w:rsidRPr="00BF1BC8">
              <w:t>3,542</w:t>
            </w:r>
          </w:p>
        </w:tc>
        <w:tc>
          <w:tcPr>
            <w:tcW w:w="2693" w:type="dxa"/>
          </w:tcPr>
          <w:p w14:paraId="3B5304AC" w14:textId="4E23641A" w:rsidR="00CB305F" w:rsidRPr="00B01C06" w:rsidRDefault="00CB305F" w:rsidP="00E52014">
            <w:pPr>
              <w:spacing w:after="0"/>
              <w:jc w:val="right"/>
            </w:pPr>
            <w:r>
              <w:t>2.5</w:t>
            </w:r>
          </w:p>
        </w:tc>
      </w:tr>
    </w:tbl>
    <w:p w14:paraId="0DCCE849" w14:textId="763DF39D" w:rsidR="00CB305F" w:rsidRPr="00120872" w:rsidRDefault="00120872" w:rsidP="00120872">
      <w:pPr>
        <w:jc w:val="center"/>
        <w:rPr>
          <w:sz w:val="22"/>
          <w:szCs w:val="22"/>
        </w:rPr>
      </w:pPr>
      <w:r w:rsidRPr="00120872">
        <w:rPr>
          <w:sz w:val="22"/>
          <w:szCs w:val="22"/>
        </w:rPr>
        <w:t>Source: Department of Social Protection</w:t>
      </w:r>
    </w:p>
    <w:p w14:paraId="375E5D67" w14:textId="25C343FF" w:rsidR="00EC0082" w:rsidRPr="0089192E" w:rsidRDefault="00EC0082" w:rsidP="00EC0082">
      <w:pPr>
        <w:keepNext/>
        <w:spacing w:before="240" w:after="60"/>
        <w:outlineLvl w:val="1"/>
        <w:rPr>
          <w:rFonts w:ascii="Gill Sans MT" w:hAnsi="Gill Sans MT" w:cs="Arial Bold"/>
          <w:b/>
          <w:bCs/>
          <w:iCs/>
          <w:sz w:val="28"/>
          <w:szCs w:val="28"/>
        </w:rPr>
      </w:pPr>
      <w:bookmarkStart w:id="166" w:name="_Toc182219509"/>
      <w:bookmarkStart w:id="167" w:name="_Toc182220212"/>
      <w:bookmarkStart w:id="168" w:name="_Toc182555560"/>
      <w:bookmarkStart w:id="169" w:name="_Toc182555717"/>
      <w:r w:rsidRPr="0089192E">
        <w:rPr>
          <w:rFonts w:ascii="Gill Sans MT" w:hAnsi="Gill Sans MT" w:cs="Arial Bold"/>
          <w:b/>
          <w:bCs/>
          <w:iCs/>
          <w:sz w:val="28"/>
          <w:szCs w:val="28"/>
        </w:rPr>
        <w:t>1.8 The proportion of persons with disabilities who are early school leavers compared to persons without disabilities (</w:t>
      </w:r>
      <w:r w:rsidR="000C1CDD">
        <w:rPr>
          <w:rFonts w:ascii="Gill Sans MT" w:hAnsi="Gill Sans MT" w:cs="Arial Bold"/>
          <w:b/>
          <w:bCs/>
          <w:iCs/>
          <w:sz w:val="28"/>
          <w:szCs w:val="28"/>
        </w:rPr>
        <w:t>Outcome</w:t>
      </w:r>
      <w:r w:rsidRPr="0089192E">
        <w:rPr>
          <w:rFonts w:ascii="Gill Sans MT" w:hAnsi="Gill Sans MT" w:cs="Arial Bold"/>
          <w:b/>
          <w:bCs/>
          <w:iCs/>
          <w:sz w:val="28"/>
          <w:szCs w:val="28"/>
        </w:rPr>
        <w:t>)</w:t>
      </w:r>
      <w:bookmarkEnd w:id="166"/>
      <w:bookmarkEnd w:id="167"/>
      <w:bookmarkEnd w:id="168"/>
      <w:bookmarkEnd w:id="169"/>
      <w:r w:rsidRPr="0089192E">
        <w:rPr>
          <w:rFonts w:ascii="Gill Sans MT" w:hAnsi="Gill Sans MT" w:cs="Arial Bold"/>
          <w:b/>
          <w:bCs/>
          <w:iCs/>
          <w:sz w:val="28"/>
          <w:szCs w:val="28"/>
        </w:rPr>
        <w:t xml:space="preserve"> </w:t>
      </w:r>
    </w:p>
    <w:p w14:paraId="3A321661" w14:textId="627CD97A" w:rsidR="00EC0082" w:rsidRPr="001C0CE9" w:rsidRDefault="00EC0082" w:rsidP="00EC0082">
      <w:pPr>
        <w:rPr>
          <w:rFonts w:ascii="Gill Sans MT" w:hAnsi="Gill Sans MT"/>
        </w:rPr>
      </w:pPr>
      <w:r w:rsidRPr="001C0CE9">
        <w:rPr>
          <w:rFonts w:ascii="Gill Sans MT" w:hAnsi="Gill Sans MT"/>
        </w:rPr>
        <w:t xml:space="preserve">Persons with disabilities traditionally have higher than average early school leaving rates. Accordingly, early school leaving </w:t>
      </w:r>
      <w:r w:rsidR="001C0CE9" w:rsidRPr="001C0CE9">
        <w:rPr>
          <w:rFonts w:ascii="Gill Sans MT" w:hAnsi="Gill Sans MT"/>
        </w:rPr>
        <w:t>was added as a</w:t>
      </w:r>
      <w:r w:rsidRPr="001C0CE9">
        <w:rPr>
          <w:rFonts w:ascii="Gill Sans MT" w:hAnsi="Gill Sans MT"/>
        </w:rPr>
        <w:t xml:space="preserve"> new indicator under this strategic priority</w:t>
      </w:r>
      <w:r w:rsidR="001C0CE9">
        <w:rPr>
          <w:rFonts w:ascii="Gill Sans MT" w:hAnsi="Gill Sans MT"/>
        </w:rPr>
        <w:t xml:space="preserve"> at the time of the </w:t>
      </w:r>
      <w:r w:rsidR="0091045A">
        <w:rPr>
          <w:rFonts w:ascii="Gill Sans MT" w:hAnsi="Gill Sans MT"/>
        </w:rPr>
        <w:t>midterm</w:t>
      </w:r>
      <w:r w:rsidR="001C0CE9">
        <w:rPr>
          <w:rFonts w:ascii="Gill Sans MT" w:hAnsi="Gill Sans MT"/>
        </w:rPr>
        <w:t xml:space="preserve"> review, offering </w:t>
      </w:r>
      <w:r w:rsidRPr="001C0CE9">
        <w:rPr>
          <w:rFonts w:ascii="Gill Sans MT" w:hAnsi="Gill Sans MT"/>
        </w:rPr>
        <w:t xml:space="preserve">another way to consider the inclusion of persons with disabilities in education. Early school leaving </w:t>
      </w:r>
      <w:r w:rsidR="001C0CE9">
        <w:rPr>
          <w:rFonts w:ascii="Gill Sans MT" w:hAnsi="Gill Sans MT"/>
        </w:rPr>
        <w:t>was</w:t>
      </w:r>
      <w:r w:rsidRPr="001C0CE9">
        <w:rPr>
          <w:rFonts w:ascii="Gill Sans MT" w:hAnsi="Gill Sans MT"/>
        </w:rPr>
        <w:t xml:space="preserve"> defined as having left full time education before the age of 16.</w:t>
      </w:r>
      <w:r w:rsidR="0030584B" w:rsidRPr="001C0CE9">
        <w:rPr>
          <w:rFonts w:ascii="Gill Sans MT" w:hAnsi="Gill Sans MT"/>
        </w:rPr>
        <w:t xml:space="preserve">  </w:t>
      </w:r>
    </w:p>
    <w:p w14:paraId="6F763C60" w14:textId="5AA42554" w:rsidR="00005DF2" w:rsidRPr="0011301B" w:rsidRDefault="00EC0082" w:rsidP="00005DF2">
      <w:pPr>
        <w:shd w:val="clear" w:color="auto" w:fill="FFFFFF" w:themeFill="background1"/>
      </w:pPr>
      <w:r w:rsidRPr="001C0CE9">
        <w:rPr>
          <w:rFonts w:ascii="Gill Sans MT" w:hAnsi="Gill Sans MT"/>
        </w:rPr>
        <w:t>In census 2011, 22.9% of those with disabilities aged 15 and over were early school leavers compared to 8.7% of those without disabilities. By 2016, this gap had narrowed</w:t>
      </w:r>
      <w:r w:rsidR="000B6E53">
        <w:rPr>
          <w:rFonts w:ascii="Gill Sans MT" w:hAnsi="Gill Sans MT"/>
        </w:rPr>
        <w:t>,</w:t>
      </w:r>
      <w:r w:rsidRPr="001C0CE9">
        <w:rPr>
          <w:rFonts w:ascii="Gill Sans MT" w:hAnsi="Gill Sans MT"/>
        </w:rPr>
        <w:t xml:space="preserve"> and the proportion of early school leavers had dropped </w:t>
      </w:r>
      <w:r w:rsidR="000B6E53">
        <w:rPr>
          <w:rFonts w:ascii="Gill Sans MT" w:hAnsi="Gill Sans MT"/>
        </w:rPr>
        <w:t>among the population</w:t>
      </w:r>
      <w:r w:rsidRPr="001C0CE9">
        <w:rPr>
          <w:rFonts w:ascii="Gill Sans MT" w:hAnsi="Gill Sans MT"/>
        </w:rPr>
        <w:t xml:space="preserve"> with disabilities (18.1%) and without (6.4%</w:t>
      </w:r>
      <w:r w:rsidR="000B6E53">
        <w:rPr>
          <w:rFonts w:ascii="Gill Sans MT" w:hAnsi="Gill Sans MT"/>
        </w:rPr>
        <w:t>)</w:t>
      </w:r>
      <w:r w:rsidRPr="001C0CE9">
        <w:rPr>
          <w:rFonts w:ascii="Gill Sans MT" w:hAnsi="Gill Sans MT"/>
        </w:rPr>
        <w:t xml:space="preserve">. </w:t>
      </w:r>
      <w:r w:rsidR="00005DF2" w:rsidRPr="0011301B">
        <w:t xml:space="preserve">Due to </w:t>
      </w:r>
      <w:r w:rsidR="00005DF2">
        <w:t>changes in the Census disability questions already described and a lack of an alternative data source, it is not possible to provide an update for this indicator at the end of the strategy.</w:t>
      </w:r>
    </w:p>
    <w:p w14:paraId="2E915889" w14:textId="39141EF7" w:rsidR="00EC0082" w:rsidRPr="001C0CE9" w:rsidRDefault="00005DF2" w:rsidP="00EC0082">
      <w:pPr>
        <w:rPr>
          <w:rFonts w:ascii="Gill Sans MT" w:hAnsi="Gill Sans MT"/>
        </w:rPr>
      </w:pPr>
      <w:r>
        <w:rPr>
          <w:rFonts w:ascii="Gill Sans MT" w:hAnsi="Gill Sans MT"/>
        </w:rPr>
        <w:t>However, data</w:t>
      </w:r>
      <w:r w:rsidR="00FF0933">
        <w:rPr>
          <w:rFonts w:ascii="Gill Sans MT" w:hAnsi="Gill Sans MT"/>
        </w:rPr>
        <w:t xml:space="preserve"> are available</w:t>
      </w:r>
      <w:r>
        <w:rPr>
          <w:rFonts w:ascii="Gill Sans MT" w:hAnsi="Gill Sans MT"/>
        </w:rPr>
        <w:t xml:space="preserve"> on young people who are not in employment, education</w:t>
      </w:r>
      <w:r w:rsidR="007235D7">
        <w:rPr>
          <w:rFonts w:ascii="Gill Sans MT" w:hAnsi="Gill Sans MT"/>
        </w:rPr>
        <w:t>,</w:t>
      </w:r>
      <w:r>
        <w:rPr>
          <w:rFonts w:ascii="Gill Sans MT" w:hAnsi="Gill Sans MT"/>
        </w:rPr>
        <w:t xml:space="preserve"> or training (NEET)</w:t>
      </w:r>
      <w:r w:rsidR="00FF0933">
        <w:rPr>
          <w:rFonts w:ascii="Gill Sans MT" w:hAnsi="Gill Sans MT"/>
        </w:rPr>
        <w:t>,</w:t>
      </w:r>
      <w:r>
        <w:rPr>
          <w:rFonts w:ascii="Gill Sans MT" w:hAnsi="Gill Sans MT"/>
        </w:rPr>
        <w:t xml:space="preserve"> </w:t>
      </w:r>
      <w:r w:rsidR="00FF0933">
        <w:rPr>
          <w:rFonts w:ascii="Gill Sans MT" w:hAnsi="Gill Sans MT"/>
        </w:rPr>
        <w:t xml:space="preserve">and these are </w:t>
      </w:r>
      <w:r>
        <w:rPr>
          <w:rFonts w:ascii="Gill Sans MT" w:hAnsi="Gill Sans MT"/>
        </w:rPr>
        <w:t>presented in section 2.8</w:t>
      </w:r>
      <w:r w:rsidR="00FF0933">
        <w:rPr>
          <w:rFonts w:ascii="Gill Sans MT" w:hAnsi="Gill Sans MT"/>
        </w:rPr>
        <w:t>.</w:t>
      </w:r>
    </w:p>
    <w:p w14:paraId="0CD89437" w14:textId="011A09FB" w:rsidR="00252BE6" w:rsidRDefault="00252BE6" w:rsidP="00252BE6">
      <w:pPr>
        <w:pStyle w:val="Heading2"/>
      </w:pPr>
      <w:bookmarkStart w:id="170" w:name="_Toc182219510"/>
      <w:bookmarkStart w:id="171" w:name="_Toc182220213"/>
      <w:bookmarkStart w:id="172" w:name="_Toc182555561"/>
      <w:bookmarkStart w:id="173" w:name="_Toc182555718"/>
      <w:r>
        <w:t xml:space="preserve">Overview of </w:t>
      </w:r>
      <w:bookmarkEnd w:id="170"/>
      <w:bookmarkEnd w:id="171"/>
      <w:bookmarkEnd w:id="172"/>
      <w:bookmarkEnd w:id="173"/>
      <w:r w:rsidR="00147EEF">
        <w:t>Strategic Priority One</w:t>
      </w:r>
    </w:p>
    <w:p w14:paraId="0CAD9265" w14:textId="77777777" w:rsidR="00127C0A" w:rsidRDefault="00FA25D1" w:rsidP="00531316">
      <w:r>
        <w:t>The goal of this priority area was to ensure that e</w:t>
      </w:r>
      <w:r w:rsidRPr="00FA25D1">
        <w:t xml:space="preserve">ach </w:t>
      </w:r>
      <w:r>
        <w:t>disabled person</w:t>
      </w:r>
      <w:r w:rsidRPr="00FA25D1">
        <w:t xml:space="preserve"> ha</w:t>
      </w:r>
      <w:r>
        <w:t>s</w:t>
      </w:r>
      <w:r w:rsidRPr="00FA25D1">
        <w:t xml:space="preserve"> the education, skills, competence</w:t>
      </w:r>
      <w:r w:rsidR="00AD6E92">
        <w:t>,</w:t>
      </w:r>
      <w:r w:rsidRPr="00FA25D1">
        <w:t xml:space="preserve"> and independence to obtain </w:t>
      </w:r>
      <w:r>
        <w:t xml:space="preserve">work. </w:t>
      </w:r>
      <w:r w:rsidR="00AD6E92">
        <w:t>Positive developments</w:t>
      </w:r>
      <w:r w:rsidR="00127C0A">
        <w:t xml:space="preserve"> under this priority area</w:t>
      </w:r>
      <w:r w:rsidR="00AD6E92">
        <w:t xml:space="preserve"> relate to improvements in inclusion seen from preschool age right through to further and higher education. These developments are welcome. </w:t>
      </w:r>
    </w:p>
    <w:p w14:paraId="4B949AAE" w14:textId="04D34B8D" w:rsidR="00531316" w:rsidRDefault="00AD6E92" w:rsidP="00531316">
      <w:r>
        <w:t xml:space="preserve">However, gaps in educational attainment, qualifications, and employment outcomes remain between people with and without disabilities. One contributing factor is likely to be the continued lack of </w:t>
      </w:r>
      <w:r w:rsidR="00613950" w:rsidRPr="00AD6E92">
        <w:t xml:space="preserve">provision of </w:t>
      </w:r>
      <w:r w:rsidR="00371A0C">
        <w:t xml:space="preserve">individualised </w:t>
      </w:r>
      <w:r w:rsidR="00613950" w:rsidRPr="00AD6E92">
        <w:t>career guidance for young</w:t>
      </w:r>
      <w:r w:rsidRPr="00AD6E92">
        <w:t xml:space="preserve"> disabled</w:t>
      </w:r>
      <w:r w:rsidR="00613950" w:rsidRPr="00AD6E92">
        <w:t xml:space="preserve"> learners while at school</w:t>
      </w:r>
      <w:r>
        <w:t xml:space="preserve">, which had been identified as a major gap early in the CES drafting process, </w:t>
      </w:r>
      <w:r w:rsidR="00371A0C">
        <w:t>and which has recently</w:t>
      </w:r>
      <w:r w:rsidR="00D63078">
        <w:t xml:space="preserve"> begun to be</w:t>
      </w:r>
      <w:r w:rsidR="00F6239E">
        <w:t xml:space="preserve"> </w:t>
      </w:r>
      <w:r>
        <w:t>meaningfully addressed.</w:t>
      </w:r>
      <w:r w:rsidR="00613950" w:rsidRPr="00AD6E92">
        <w:t xml:space="preserve"> </w:t>
      </w:r>
      <w:r w:rsidRPr="00AD6E92">
        <w:t>Research has shown</w:t>
      </w:r>
      <w:r w:rsidR="00531316" w:rsidRPr="00AD6E92">
        <w:t xml:space="preserve"> that a focus on employment and career planning need</w:t>
      </w:r>
      <w:r w:rsidRPr="00AD6E92">
        <w:t xml:space="preserve">s </w:t>
      </w:r>
      <w:r w:rsidR="00531316" w:rsidRPr="00AD6E92">
        <w:t xml:space="preserve">to start as early as age 13 or the first year of post-primary school </w:t>
      </w:r>
      <w:r w:rsidRPr="00AD6E92">
        <w:t>to be most effective</w:t>
      </w:r>
      <w:r w:rsidR="00531316" w:rsidRPr="00AD6E92">
        <w:t>. Additionally, research ha</w:t>
      </w:r>
      <w:r w:rsidRPr="00AD6E92">
        <w:t>s</w:t>
      </w:r>
      <w:r w:rsidR="00531316" w:rsidRPr="00AD6E92">
        <w:t xml:space="preserve"> shown involvement in work experience during school years, and in particular, paid work, provide</w:t>
      </w:r>
      <w:r>
        <w:t>s</w:t>
      </w:r>
      <w:r w:rsidR="00531316" w:rsidRPr="00AD6E92">
        <w:t xml:space="preserve"> young disabled people with a significantly higher employment rate over the longer term.</w:t>
      </w:r>
      <w:r w:rsidR="00656507">
        <w:t xml:space="preserve"> </w:t>
      </w:r>
      <w:r w:rsidR="00656507">
        <w:fldChar w:fldCharType="begin"/>
      </w:r>
      <w:r w:rsidR="00C0772E">
        <w:instrText xml:space="preserve"> ADDIN ZOTERO_ITEM CSL_CITATION {"citationID":"9CPFCsq5","properties":{"formattedCitation":"(41)","plainCitation":"(41)","noteIndex":0},"citationItems":[{"id":326,"uris":["http://zotero.org/users/local/kvLunvBP/items/A35F8LIW"],"itemData":{"id":326,"type":"webpage","title":"Competitive Employment: Has It Become the “First Choice” Yet? - Paul Wehman, W. Grant Revell, Valerie Brooke, 2003","URL":"https://journals.sagepub.com/doi/10.1177/10442073030140030601","accessed":{"date-parts":[["2024",11,6]]}}}],"schema":"https://github.com/citation-style-language/schema/raw/master/csl-citation.json"} </w:instrText>
      </w:r>
      <w:r w:rsidR="00656507">
        <w:fldChar w:fldCharType="separate"/>
      </w:r>
      <w:r w:rsidR="00C0772E" w:rsidRPr="00C0772E">
        <w:t>(41)</w:t>
      </w:r>
      <w:r w:rsidR="00656507">
        <w:fldChar w:fldCharType="end"/>
      </w:r>
      <w:r w:rsidR="000169EA">
        <w:t>.</w:t>
      </w:r>
      <w:r w:rsidR="00531316" w:rsidRPr="00AD6E92">
        <w:t xml:space="preserve"> </w:t>
      </w:r>
      <w:r w:rsidR="00531316" w:rsidRPr="00AD6E92">
        <w:rPr>
          <w:rFonts w:eastAsia="MS PGothic"/>
          <w:color w:val="000000"/>
          <w:kern w:val="24"/>
          <w:szCs w:val="26"/>
          <w:lang w:eastAsia="en-IE"/>
        </w:rPr>
        <w:t>2022 saw the</w:t>
      </w:r>
      <w:r w:rsidR="00531316" w:rsidRPr="00AD6E92">
        <w:t xml:space="preserve"> establishment of a National Policy Group on Lifelong Guidance to develop a coherent long</w:t>
      </w:r>
      <w:r w:rsidR="000169EA">
        <w:t>-</w:t>
      </w:r>
      <w:r w:rsidR="00531316" w:rsidRPr="00AD6E92">
        <w:t>term strategic guidance framework</w:t>
      </w:r>
      <w:r>
        <w:t xml:space="preserve"> and </w:t>
      </w:r>
      <w:r w:rsidR="00531316" w:rsidRPr="00AD6E92">
        <w:t>to address the limitations identified in the Indecon report on career guidance</w:t>
      </w:r>
      <w:r w:rsidR="00071E98">
        <w:t xml:space="preserve">. </w:t>
      </w:r>
      <w:r w:rsidR="00071E98" w:rsidRPr="00071E98">
        <w:t xml:space="preserve">While improvements could be made, many disabled students in mainstream post-primary schools are </w:t>
      </w:r>
      <w:r w:rsidR="00071E98">
        <w:t>receiving</w:t>
      </w:r>
      <w:r w:rsidR="00071E98" w:rsidRPr="00071E98">
        <w:t xml:space="preserve"> career guidance</w:t>
      </w:r>
      <w:r w:rsidR="0057426A">
        <w:t>, and</w:t>
      </w:r>
      <w:r w:rsidR="00071E98" w:rsidRPr="00071E98">
        <w:t xml:space="preserve"> </w:t>
      </w:r>
      <w:r w:rsidR="0057426A">
        <w:t>th</w:t>
      </w:r>
      <w:r w:rsidR="00071E98" w:rsidRPr="00071E98">
        <w:t xml:space="preserve">e Department of Education is </w:t>
      </w:r>
      <w:r w:rsidR="00D40CAC">
        <w:t xml:space="preserve">now </w:t>
      </w:r>
      <w:r w:rsidR="00071E98" w:rsidRPr="00071E98">
        <w:t>working to meet the needs of students in special schools and the needs of those with disabilities at different stages of the life journey.</w:t>
      </w:r>
    </w:p>
    <w:p w14:paraId="2E2815E6" w14:textId="7ED6A548" w:rsidR="00656507" w:rsidRPr="00531316" w:rsidRDefault="005E3C62" w:rsidP="00531316">
      <w:r w:rsidRPr="004A0072">
        <w:t>In December 2021, the Minister for Special Education and Inclusion launched a review of the Education for Persons with Special Educational Needs (EPSEN) Act 2004. The Department of Education began a public consultation on the Act in November 2022. A comprehensive report on the review was expected in the second quarter of 2024 (42), but to date this has not been published</w:t>
      </w:r>
      <w:r>
        <w:t>.</w:t>
      </w:r>
      <w:r w:rsidR="00146A6D" w:rsidRPr="00146A6D">
        <w:t xml:space="preserve"> </w:t>
      </w:r>
      <w:r w:rsidR="00146A6D">
        <w:t xml:space="preserve">It </w:t>
      </w:r>
      <w:r w:rsidR="00146A6D" w:rsidRPr="00146A6D">
        <w:t xml:space="preserve">is now expected to be published in </w:t>
      </w:r>
      <w:r w:rsidR="00146A6D">
        <w:t>Q1</w:t>
      </w:r>
      <w:r w:rsidR="00146A6D" w:rsidRPr="00146A6D">
        <w:t xml:space="preserve"> 2025.</w:t>
      </w:r>
      <w:r>
        <w:t xml:space="preserve"> </w:t>
      </w:r>
      <w:r w:rsidR="00D94D02">
        <w:t xml:space="preserve">It will be important that any changes made to legislation prioritise the inclusion of students with disabilities and ensuring they are supported to achieve their full potential. </w:t>
      </w:r>
    </w:p>
    <w:p w14:paraId="33247188" w14:textId="75B1E740" w:rsidR="00252BE6" w:rsidRDefault="00252BE6" w:rsidP="00252BE6">
      <w:pPr>
        <w:pStyle w:val="Heading3"/>
      </w:pPr>
      <w:bookmarkStart w:id="174" w:name="_Toc182219511"/>
      <w:bookmarkStart w:id="175" w:name="_Toc182220214"/>
      <w:bookmarkStart w:id="176" w:name="_Toc182555562"/>
      <w:r>
        <w:t xml:space="preserve">Key </w:t>
      </w:r>
      <w:r w:rsidR="003147A3">
        <w:t>achievements</w:t>
      </w:r>
      <w:bookmarkEnd w:id="174"/>
      <w:bookmarkEnd w:id="175"/>
      <w:bookmarkEnd w:id="176"/>
    </w:p>
    <w:p w14:paraId="62ECC1FD" w14:textId="5D2BAB5C" w:rsidR="00E45313" w:rsidRDefault="00E45313" w:rsidP="00FD0C3F">
      <w:pPr>
        <w:pStyle w:val="ListParagraph"/>
        <w:numPr>
          <w:ilvl w:val="0"/>
          <w:numId w:val="14"/>
        </w:numPr>
      </w:pPr>
      <w:r>
        <w:t>Quality early learning and care</w:t>
      </w:r>
      <w:r w:rsidR="000C3E5D">
        <w:t xml:space="preserve"> (ELC)</w:t>
      </w:r>
      <w:r>
        <w:t xml:space="preserve"> </w:t>
      </w:r>
      <w:r w:rsidR="001B0A94">
        <w:t>provides</w:t>
      </w:r>
      <w:r>
        <w:t xml:space="preserve"> an important foundation for skill development and well-being</w:t>
      </w:r>
      <w:r w:rsidR="000C3E5D">
        <w:t xml:space="preserve">, with early education and care experiences associated with a range of later life outcomes, including educational attainment and employment. </w:t>
      </w:r>
      <w:r>
        <w:t xml:space="preserve">The evaluation of AIM has demonstrated that the model has been largely successful in achieving </w:t>
      </w:r>
      <w:r w:rsidR="001B0A94">
        <w:t>its</w:t>
      </w:r>
      <w:r>
        <w:t xml:space="preserve"> objective</w:t>
      </w:r>
      <w:r w:rsidR="001B0A94" w:rsidRPr="001B0A94">
        <w:t xml:space="preserve"> </w:t>
      </w:r>
      <w:r w:rsidR="001B0A94">
        <w:t>of</w:t>
      </w:r>
      <w:r w:rsidR="001B0A94" w:rsidRPr="001B0A94">
        <w:t xml:space="preserve"> creat</w:t>
      </w:r>
      <w:r w:rsidR="001B0A94">
        <w:t>ing</w:t>
      </w:r>
      <w:r w:rsidR="001B0A94" w:rsidRPr="001B0A94">
        <w:t xml:space="preserve"> inclusive environments through which all children, </w:t>
      </w:r>
      <w:r w:rsidR="001B0A94">
        <w:t>regardless of ability</w:t>
      </w:r>
      <w:r w:rsidR="001B0A94" w:rsidRPr="001B0A94">
        <w:t>, can benefit from quality early learning experiences.</w:t>
      </w:r>
      <w:r w:rsidR="001B0A94">
        <w:t xml:space="preserve"> AIM is highly regarded</w:t>
      </w:r>
      <w:r>
        <w:t xml:space="preserve"> by parents and ELC settings</w:t>
      </w:r>
      <w:r w:rsidR="001B0A94">
        <w:t xml:space="preserve"> alike</w:t>
      </w:r>
      <w:r>
        <w:t xml:space="preserve">. The number of children receiving targeted supports under AIM has grown steadily over the lifetime of the CES.  </w:t>
      </w:r>
    </w:p>
    <w:p w14:paraId="4F5450C2" w14:textId="586AAF06" w:rsidR="00CB6E62" w:rsidRDefault="00CB6E62" w:rsidP="00FD0C3F">
      <w:pPr>
        <w:pStyle w:val="ListParagraph"/>
        <w:numPr>
          <w:ilvl w:val="0"/>
          <w:numId w:val="14"/>
        </w:numPr>
      </w:pPr>
      <w:r>
        <w:t xml:space="preserve">The proportion of people in further education and training who disclosed a disability increased </w:t>
      </w:r>
      <w:r w:rsidR="00AB732B">
        <w:t>in recent years (from 5% in 2018 to 7% in 2022)</w:t>
      </w:r>
      <w:r>
        <w:t>.</w:t>
      </w:r>
    </w:p>
    <w:p w14:paraId="554F3D3C" w14:textId="6AB1E398" w:rsidR="00001FF3" w:rsidRDefault="00001FF3" w:rsidP="00FD0C3F">
      <w:pPr>
        <w:pStyle w:val="ListParagraph"/>
        <w:numPr>
          <w:ilvl w:val="0"/>
          <w:numId w:val="14"/>
        </w:numPr>
      </w:pPr>
      <w:r>
        <w:t>Around one in five new entrants to higher education disclosed a disability in the 2022/23 academic year, indicating that people with disabilities are now proportionately represented among new undergraduates.</w:t>
      </w:r>
    </w:p>
    <w:p w14:paraId="00F64A21" w14:textId="7852B01A" w:rsidR="00E45313" w:rsidRDefault="00001FF3" w:rsidP="00FD0C3F">
      <w:pPr>
        <w:pStyle w:val="ListParagraph"/>
        <w:numPr>
          <w:ilvl w:val="0"/>
          <w:numId w:val="14"/>
        </w:numPr>
      </w:pPr>
      <w:r>
        <w:t xml:space="preserve">The introduction of PATH 4 funding of </w:t>
      </w:r>
      <w:r w:rsidRPr="00001FF3">
        <w:t>€12m over a four-year period starting in 2022</w:t>
      </w:r>
      <w:r>
        <w:t xml:space="preserve"> should serve to increase access to higher education among disabled people, particularly for people with intellectual disabilities and autism.</w:t>
      </w:r>
    </w:p>
    <w:p w14:paraId="66DAC372" w14:textId="178E4FCA" w:rsidR="00252BE6" w:rsidRDefault="00252BE6" w:rsidP="00252BE6">
      <w:pPr>
        <w:pStyle w:val="Heading3"/>
      </w:pPr>
      <w:bookmarkStart w:id="177" w:name="_Toc182219512"/>
      <w:bookmarkStart w:id="178" w:name="_Toc182220215"/>
      <w:bookmarkStart w:id="179" w:name="_Toc182555563"/>
      <w:r>
        <w:t>Gaps to be addressed</w:t>
      </w:r>
      <w:bookmarkEnd w:id="177"/>
      <w:bookmarkEnd w:id="178"/>
      <w:bookmarkEnd w:id="179"/>
    </w:p>
    <w:p w14:paraId="668BD57D" w14:textId="7DCBAB27" w:rsidR="00CA773D" w:rsidRPr="00175A1A" w:rsidRDefault="001B0A94" w:rsidP="00FD0C3F">
      <w:pPr>
        <w:pStyle w:val="ListParagraph"/>
        <w:numPr>
          <w:ilvl w:val="0"/>
          <w:numId w:val="15"/>
        </w:numPr>
      </w:pPr>
      <w:r w:rsidRPr="00175A1A">
        <w:t>The apparent increase</w:t>
      </w:r>
      <w:r w:rsidR="00EE6A9B" w:rsidRPr="00175A1A">
        <w:t xml:space="preserve"> in</w:t>
      </w:r>
      <w:r w:rsidRPr="00175A1A">
        <w:t xml:space="preserve"> access to further and higher education among people with disabilities has not yet translated to a closing of the educational attainment gap, </w:t>
      </w:r>
      <w:r w:rsidR="00EE6A9B" w:rsidRPr="00175A1A">
        <w:t>with</w:t>
      </w:r>
      <w:r w:rsidRPr="00175A1A">
        <w:t xml:space="preserve"> data from a number of sources indicat</w:t>
      </w:r>
      <w:r w:rsidR="00EE6A9B" w:rsidRPr="00175A1A">
        <w:t>ing</w:t>
      </w:r>
      <w:r w:rsidRPr="00175A1A">
        <w:t xml:space="preserve"> that this gap is still sizeable in Ireland.</w:t>
      </w:r>
    </w:p>
    <w:p w14:paraId="7E8C8532" w14:textId="3E0B1324" w:rsidR="00CA773D" w:rsidRPr="00175A1A" w:rsidRDefault="00531316" w:rsidP="00FD0C3F">
      <w:pPr>
        <w:pStyle w:val="ListParagraph"/>
        <w:numPr>
          <w:ilvl w:val="0"/>
          <w:numId w:val="15"/>
        </w:numPr>
      </w:pPr>
      <w:r w:rsidRPr="00175A1A">
        <w:t>A number of</w:t>
      </w:r>
      <w:r w:rsidR="0080196F" w:rsidRPr="00175A1A">
        <w:t xml:space="preserve"> transition pilot</w:t>
      </w:r>
      <w:r w:rsidRPr="00175A1A">
        <w:t xml:space="preserve"> projects are underway,</w:t>
      </w:r>
      <w:r w:rsidR="000169EA">
        <w:t xml:space="preserve"> and</w:t>
      </w:r>
      <w:r w:rsidRPr="00175A1A">
        <w:t xml:space="preserve"> it is</w:t>
      </w:r>
      <w:r w:rsidR="0080196F" w:rsidRPr="00175A1A">
        <w:t xml:space="preserve"> </w:t>
      </w:r>
      <w:r w:rsidRPr="00175A1A">
        <w:t>vital that lessons from these projects are mainstreamed and have a</w:t>
      </w:r>
      <w:r w:rsidR="0080196F" w:rsidRPr="00175A1A">
        <w:t xml:space="preserve"> national rollout</w:t>
      </w:r>
      <w:r w:rsidRPr="00175A1A">
        <w:t>. The lack of provision of school-based career guidance</w:t>
      </w:r>
      <w:r w:rsidR="00D40CAC">
        <w:t xml:space="preserve"> in special schools</w:t>
      </w:r>
      <w:r w:rsidRPr="00175A1A">
        <w:t xml:space="preserve"> continues to impede transition from school to post</w:t>
      </w:r>
      <w:r w:rsidR="00AF7173">
        <w:t>-</w:t>
      </w:r>
      <w:r w:rsidRPr="00175A1A">
        <w:t>school options and into employment.</w:t>
      </w:r>
      <w:r w:rsidR="00D40CAC">
        <w:t xml:space="preserve"> </w:t>
      </w:r>
      <w:r w:rsidR="00D40CAC" w:rsidRPr="00D40CAC">
        <w:t>The evaluation of the transition pilot projects will inform future policy direction in this regard</w:t>
      </w:r>
      <w:r w:rsidR="00D40CAC">
        <w:t>.</w:t>
      </w:r>
    </w:p>
    <w:p w14:paraId="1A682F0F" w14:textId="6D37FDE6" w:rsidR="007235D7" w:rsidRPr="007235D7" w:rsidRDefault="00531316" w:rsidP="007235D7">
      <w:pPr>
        <w:pStyle w:val="ListParagraph"/>
        <w:numPr>
          <w:ilvl w:val="0"/>
          <w:numId w:val="15"/>
        </w:numPr>
        <w:rPr>
          <w:rFonts w:ascii="Gill Sans MT" w:hAnsi="Gill Sans MT"/>
          <w:color w:val="000000"/>
          <w:szCs w:val="26"/>
          <w:lang w:eastAsia="en-IE"/>
        </w:rPr>
      </w:pPr>
      <w:r w:rsidRPr="00175A1A">
        <w:t>The review of Specialist Training Provision by S</w:t>
      </w:r>
      <w:r w:rsidR="009C5922">
        <w:t>OLAS</w:t>
      </w:r>
      <w:r w:rsidRPr="00175A1A">
        <w:t xml:space="preserve"> should be </w:t>
      </w:r>
      <w:r w:rsidR="009C5922" w:rsidRPr="00175A1A">
        <w:t>completed</w:t>
      </w:r>
      <w:r w:rsidR="00FD6A77">
        <w:t xml:space="preserve"> </w:t>
      </w:r>
      <w:r w:rsidRPr="00175A1A">
        <w:t xml:space="preserve">and </w:t>
      </w:r>
      <w:r w:rsidR="009C5922">
        <w:t>any</w:t>
      </w:r>
      <w:r w:rsidRPr="00175A1A">
        <w:t xml:space="preserve"> recommendations implemented. This provision is </w:t>
      </w:r>
      <w:r w:rsidR="00CC58A5">
        <w:t xml:space="preserve">a </w:t>
      </w:r>
      <w:r w:rsidRPr="00175A1A">
        <w:t>necessary post</w:t>
      </w:r>
      <w:r w:rsidR="00CC58A5">
        <w:t>-</w:t>
      </w:r>
      <w:r w:rsidRPr="00175A1A">
        <w:t xml:space="preserve">school step on the pathway to work and or participation in society. The links from Rehabilitative Training to STP are </w:t>
      </w:r>
      <w:r w:rsidR="000169EA">
        <w:t xml:space="preserve">also </w:t>
      </w:r>
      <w:r w:rsidRPr="00175A1A">
        <w:t>important.</w:t>
      </w:r>
      <w:r w:rsidR="002A3209">
        <w:t xml:space="preserve"> </w:t>
      </w:r>
    </w:p>
    <w:p w14:paraId="335DADFE" w14:textId="08E591F8" w:rsidR="00531316" w:rsidRDefault="00CC58A5" w:rsidP="00574AD8">
      <w:pPr>
        <w:pStyle w:val="ListParagraph"/>
        <w:numPr>
          <w:ilvl w:val="0"/>
          <w:numId w:val="15"/>
        </w:numPr>
      </w:pPr>
      <w:r>
        <w:t>There remain substantial gaps with respect to the</w:t>
      </w:r>
      <w:r w:rsidR="00531316" w:rsidRPr="00175A1A">
        <w:t xml:space="preserve"> specific delivery of career guidance </w:t>
      </w:r>
      <w:r w:rsidR="00C055FA" w:rsidRPr="00175A1A">
        <w:t>tailored to the individual needs of the learner</w:t>
      </w:r>
      <w:r>
        <w:t xml:space="preserve"> with </w:t>
      </w:r>
      <w:r w:rsidR="00AF7173">
        <w:t>a disability</w:t>
      </w:r>
      <w:r w:rsidR="00C055FA" w:rsidRPr="00175A1A">
        <w:t xml:space="preserve"> </w:t>
      </w:r>
      <w:r w:rsidR="00531316" w:rsidRPr="00175A1A">
        <w:t xml:space="preserve">while at </w:t>
      </w:r>
      <w:r w:rsidR="00C33402">
        <w:t>school</w:t>
      </w:r>
      <w:r w:rsidR="00764A9E" w:rsidRPr="00175A1A">
        <w:t>.</w:t>
      </w:r>
      <w:r w:rsidR="006D0D5A">
        <w:t xml:space="preserve"> </w:t>
      </w:r>
      <w:r w:rsidR="000A5EFF" w:rsidRPr="000A5EFF">
        <w:t xml:space="preserve">The Department of Education </w:t>
      </w:r>
      <w:r w:rsidR="000A5EFF">
        <w:t>is</w:t>
      </w:r>
      <w:r w:rsidR="000A5EFF" w:rsidRPr="000A5EFF">
        <w:t xml:space="preserve"> aware of these gaps and </w:t>
      </w:r>
      <w:r w:rsidR="000A5EFF">
        <w:t>is</w:t>
      </w:r>
      <w:r w:rsidR="000A5EFF" w:rsidRPr="000A5EFF">
        <w:t xml:space="preserve"> seeking to address them</w:t>
      </w:r>
      <w:r w:rsidR="00721EC1">
        <w:t xml:space="preserve"> in ways outlined in the</w:t>
      </w:r>
      <w:r w:rsidR="000A5EFF" w:rsidRPr="000A5EFF">
        <w:t xml:space="preserve"> National Strategic Framework for Lifelong Guidance</w:t>
      </w:r>
      <w:r w:rsidR="00721EC1">
        <w:t>.</w:t>
      </w:r>
    </w:p>
    <w:p w14:paraId="5E46EAA8" w14:textId="77777777" w:rsidR="004F4D94" w:rsidRPr="00175A1A" w:rsidRDefault="004F4D94" w:rsidP="00180D03"/>
    <w:p w14:paraId="0503C136" w14:textId="581A93D5" w:rsidR="004F4D94" w:rsidRPr="00C95DE1" w:rsidRDefault="004F4D94" w:rsidP="00180D03">
      <w:pPr>
        <w:rPr>
          <w:highlight w:val="yellow"/>
        </w:rPr>
        <w:sectPr w:rsidR="004F4D94" w:rsidRPr="00C95DE1" w:rsidSect="006F5598">
          <w:pgSz w:w="11906" w:h="16838"/>
          <w:pgMar w:top="1440" w:right="1440" w:bottom="1440" w:left="1440" w:header="708" w:footer="708" w:gutter="0"/>
          <w:cols w:space="708"/>
          <w:docGrid w:linePitch="360"/>
        </w:sectPr>
      </w:pPr>
    </w:p>
    <w:p w14:paraId="3BAA089E" w14:textId="77777777" w:rsidR="00C977A0" w:rsidRPr="00766C11" w:rsidRDefault="00C977A0" w:rsidP="00C977A0">
      <w:pPr>
        <w:pStyle w:val="Heading1"/>
        <w:rPr>
          <w:szCs w:val="26"/>
          <w:lang w:eastAsia="en-IE"/>
        </w:rPr>
      </w:pPr>
      <w:bookmarkStart w:id="180" w:name="_Toc55492190"/>
      <w:bookmarkStart w:id="181" w:name="_Toc182555564"/>
      <w:bookmarkStart w:id="182" w:name="_Toc182555719"/>
      <w:bookmarkStart w:id="183" w:name="_Hlk177467540"/>
      <w:r w:rsidRPr="00766C11">
        <w:t>Strategic Priority 2: Provide bridges and supports into work</w:t>
      </w:r>
      <w:bookmarkEnd w:id="180"/>
      <w:bookmarkEnd w:id="181"/>
      <w:bookmarkEnd w:id="182"/>
    </w:p>
    <w:bookmarkEnd w:id="183"/>
    <w:p w14:paraId="52269375" w14:textId="7B82D884" w:rsidR="00DA1763" w:rsidRDefault="00C977A0" w:rsidP="0030584B">
      <w:pPr>
        <w:pStyle w:val="NormalAfterList"/>
        <w:rPr>
          <w:szCs w:val="26"/>
        </w:rPr>
      </w:pPr>
      <w:r w:rsidRPr="00766C11">
        <w:rPr>
          <w:szCs w:val="26"/>
          <w:lang w:eastAsia="en-IE"/>
        </w:rPr>
        <w:t xml:space="preserve">The </w:t>
      </w:r>
      <w:r w:rsidR="00766C11" w:rsidRPr="00766C11">
        <w:rPr>
          <w:szCs w:val="26"/>
          <w:lang w:eastAsia="en-IE"/>
        </w:rPr>
        <w:t xml:space="preserve">statement of intent developed for this </w:t>
      </w:r>
      <w:r w:rsidR="00766C11">
        <w:rPr>
          <w:szCs w:val="26"/>
          <w:lang w:eastAsia="en-IE"/>
        </w:rPr>
        <w:t>Strategic Priority 2</w:t>
      </w:r>
      <w:r w:rsidR="00766C11" w:rsidRPr="00766C11">
        <w:rPr>
          <w:szCs w:val="26"/>
          <w:lang w:eastAsia="en-IE"/>
        </w:rPr>
        <w:t xml:space="preserve"> was</w:t>
      </w:r>
      <w:r w:rsidRPr="00766C11">
        <w:rPr>
          <w:szCs w:val="26"/>
          <w:lang w:eastAsia="en-IE"/>
        </w:rPr>
        <w:t xml:space="preserve"> that </w:t>
      </w:r>
      <w:r w:rsidR="002B5776">
        <w:rPr>
          <w:szCs w:val="26"/>
          <w:lang w:eastAsia="en-IE"/>
        </w:rPr>
        <w:t>‘</w:t>
      </w:r>
      <w:r w:rsidRPr="00766C11">
        <w:rPr>
          <w:szCs w:val="26"/>
        </w:rPr>
        <w:t>People with disabilities will be provided with individualised bridges and supports to secure jobs in the open labour market.</w:t>
      </w:r>
      <w:r w:rsidR="002B5776">
        <w:rPr>
          <w:szCs w:val="26"/>
        </w:rPr>
        <w:t>’</w:t>
      </w:r>
      <w:r w:rsidR="00766C11">
        <w:rPr>
          <w:rFonts w:ascii="Gill Sans MT" w:hAnsi="Gill Sans MT"/>
          <w:szCs w:val="26"/>
        </w:rPr>
        <w:t xml:space="preserve"> </w:t>
      </w:r>
      <w:r w:rsidR="00766C11">
        <w:rPr>
          <w:rFonts w:ascii="Gill Sans MT" w:hAnsi="Gill Sans MT"/>
          <w:szCs w:val="26"/>
        </w:rPr>
        <w:fldChar w:fldCharType="begin"/>
      </w:r>
      <w:r w:rsidR="00766C11">
        <w:rPr>
          <w:rFonts w:ascii="Gill Sans MT" w:hAnsi="Gill Sans MT"/>
          <w:szCs w:val="26"/>
        </w:rPr>
        <w:instrText xml:space="preserve"> ADDIN ZOTERO_ITEM CSL_CITATION {"citationID":"8dnDBXpb","properties":{"formattedCitation":"(1)","plainCitation":"(1)","noteIndex":0},"citationItems":[{"id":155,"uris":["http://zotero.org/users/local/kvLunvBP/items/67YBNVMH"],"itemData":{"id":155,"type":"report","abstract":"Explaining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766C11">
        <w:rPr>
          <w:rFonts w:ascii="Gill Sans MT" w:hAnsi="Gill Sans MT"/>
          <w:szCs w:val="26"/>
        </w:rPr>
        <w:fldChar w:fldCharType="separate"/>
      </w:r>
      <w:r w:rsidR="00766C11" w:rsidRPr="00766C11">
        <w:rPr>
          <w:rFonts w:ascii="Gill Sans MT" w:hAnsi="Gill Sans MT"/>
        </w:rPr>
        <w:t>(1)</w:t>
      </w:r>
      <w:r w:rsidR="00766C11">
        <w:rPr>
          <w:rFonts w:ascii="Gill Sans MT" w:hAnsi="Gill Sans MT"/>
          <w:szCs w:val="26"/>
        </w:rPr>
        <w:fldChar w:fldCharType="end"/>
      </w:r>
      <w:r w:rsidRPr="00766C11">
        <w:rPr>
          <w:szCs w:val="26"/>
        </w:rPr>
        <w:t xml:space="preserve"> </w:t>
      </w:r>
      <w:r w:rsidR="00AD3DD4">
        <w:rPr>
          <w:szCs w:val="26"/>
        </w:rPr>
        <w:t>S</w:t>
      </w:r>
      <w:r w:rsidR="005C0785">
        <w:rPr>
          <w:szCs w:val="26"/>
        </w:rPr>
        <w:t>ix</w:t>
      </w:r>
      <w:r w:rsidR="00766C11" w:rsidRPr="00766C11">
        <w:rPr>
          <w:szCs w:val="26"/>
        </w:rPr>
        <w:t xml:space="preserve"> </w:t>
      </w:r>
      <w:r w:rsidRPr="00766C11">
        <w:rPr>
          <w:szCs w:val="26"/>
        </w:rPr>
        <w:t>indicators</w:t>
      </w:r>
      <w:r w:rsidR="00766C11" w:rsidRPr="00766C11">
        <w:rPr>
          <w:szCs w:val="26"/>
        </w:rPr>
        <w:t xml:space="preserve"> of progress were </w:t>
      </w:r>
      <w:r w:rsidR="002273BF">
        <w:rPr>
          <w:szCs w:val="26"/>
        </w:rPr>
        <w:t>examined</w:t>
      </w:r>
      <w:r w:rsidR="00766C11" w:rsidRPr="00766C11">
        <w:rPr>
          <w:szCs w:val="26"/>
        </w:rPr>
        <w:t xml:space="preserve"> for this strategic priority.</w:t>
      </w:r>
    </w:p>
    <w:p w14:paraId="020DAAB9" w14:textId="00E835EB" w:rsidR="00AD3DD4" w:rsidRPr="00AD3DD4" w:rsidRDefault="00AD3DD4" w:rsidP="00AD3DD4">
      <w:pPr>
        <w:rPr>
          <w:b/>
          <w:bCs/>
        </w:rPr>
      </w:pPr>
      <w:r w:rsidRPr="00062C08">
        <w:rPr>
          <w:b/>
          <w:bCs/>
        </w:rPr>
        <w:t xml:space="preserve">Indicator 2.1 </w:t>
      </w:r>
      <w:r w:rsidR="00062C08" w:rsidRPr="00062C08">
        <w:rPr>
          <w:b/>
          <w:bCs/>
        </w:rPr>
        <w:t xml:space="preserve">on the number of people with disabilities in sheltered employment </w:t>
      </w:r>
      <w:r w:rsidRPr="00062C08">
        <w:rPr>
          <w:b/>
          <w:bCs/>
        </w:rPr>
        <w:t>was deleted due to</w:t>
      </w:r>
      <w:r w:rsidR="00062C08">
        <w:rPr>
          <w:b/>
          <w:bCs/>
        </w:rPr>
        <w:t xml:space="preserve"> the shift in Ireland away from</w:t>
      </w:r>
      <w:r w:rsidR="00062C08" w:rsidRPr="00062C08">
        <w:rPr>
          <w:b/>
          <w:bCs/>
        </w:rPr>
        <w:t xml:space="preserve"> segregated employment in sheltered workshops towards employment models more in line with the UNCRPD</w:t>
      </w:r>
      <w:r w:rsidRPr="00062C08">
        <w:rPr>
          <w:b/>
          <w:bCs/>
        </w:rPr>
        <w:t>.</w:t>
      </w:r>
    </w:p>
    <w:p w14:paraId="7D0D4ADE" w14:textId="5D38F8B2" w:rsidR="00C977A0" w:rsidRPr="00A5662F" w:rsidRDefault="00C977A0" w:rsidP="00C977A0">
      <w:pPr>
        <w:pStyle w:val="Heading2"/>
        <w:rPr>
          <w:lang w:eastAsia="en-IE"/>
        </w:rPr>
      </w:pPr>
      <w:bookmarkStart w:id="184" w:name="_Toc182219514"/>
      <w:bookmarkStart w:id="185" w:name="_Toc182220217"/>
      <w:bookmarkStart w:id="186" w:name="_Toc182555565"/>
      <w:bookmarkStart w:id="187" w:name="_Toc182555720"/>
      <w:r w:rsidRPr="00A5662F">
        <w:rPr>
          <w:lang w:eastAsia="en-IE"/>
        </w:rPr>
        <w:t>2.2 N</w:t>
      </w:r>
      <w:r w:rsidR="006A453B" w:rsidRPr="00A5662F">
        <w:rPr>
          <w:lang w:eastAsia="en-IE"/>
        </w:rPr>
        <w:t xml:space="preserve">umbers </w:t>
      </w:r>
      <w:r w:rsidRPr="00A5662F">
        <w:rPr>
          <w:lang w:eastAsia="en-IE"/>
        </w:rPr>
        <w:t>of persons with disabilities in work placements, internships</w:t>
      </w:r>
      <w:r w:rsidR="00A5662F">
        <w:rPr>
          <w:lang w:eastAsia="en-IE"/>
        </w:rPr>
        <w:t>,</w:t>
      </w:r>
      <w:r w:rsidRPr="00A5662F">
        <w:rPr>
          <w:lang w:eastAsia="en-IE"/>
        </w:rPr>
        <w:t xml:space="preserve"> </w:t>
      </w:r>
      <w:r w:rsidR="0076067D">
        <w:rPr>
          <w:lang w:eastAsia="en-IE"/>
        </w:rPr>
        <w:t xml:space="preserve">work learning programmes, </w:t>
      </w:r>
      <w:r w:rsidRPr="00A5662F">
        <w:rPr>
          <w:lang w:eastAsia="en-IE"/>
        </w:rPr>
        <w:t>and apprenticeships (Process)</w:t>
      </w:r>
      <w:bookmarkEnd w:id="184"/>
      <w:bookmarkEnd w:id="185"/>
      <w:bookmarkEnd w:id="186"/>
      <w:bookmarkEnd w:id="187"/>
    </w:p>
    <w:p w14:paraId="01FE1732" w14:textId="77777777" w:rsidR="00C977A0" w:rsidRPr="00F356A7" w:rsidRDefault="00C977A0" w:rsidP="00C977A0">
      <w:pPr>
        <w:pStyle w:val="Heading3"/>
        <w:rPr>
          <w:lang w:eastAsia="en-IE"/>
        </w:rPr>
      </w:pPr>
      <w:bookmarkStart w:id="188" w:name="_Toc182219515"/>
      <w:bookmarkStart w:id="189" w:name="_Toc182220218"/>
      <w:bookmarkStart w:id="190" w:name="_Toc182555566"/>
      <w:r w:rsidRPr="00F356A7">
        <w:rPr>
          <w:lang w:eastAsia="en-IE"/>
        </w:rPr>
        <w:t>2.2.1 Work-placements</w:t>
      </w:r>
      <w:bookmarkEnd w:id="188"/>
      <w:bookmarkEnd w:id="189"/>
      <w:bookmarkEnd w:id="190"/>
    </w:p>
    <w:p w14:paraId="0BCC860D" w14:textId="77777777" w:rsidR="00C977A0" w:rsidRPr="00F356A7" w:rsidRDefault="00C977A0" w:rsidP="00C977A0">
      <w:pPr>
        <w:pStyle w:val="Heading4"/>
      </w:pPr>
      <w:r w:rsidRPr="00F356A7">
        <w:t>Youth Employment Support Scheme</w:t>
      </w:r>
    </w:p>
    <w:p w14:paraId="294C1BA3" w14:textId="3C2C9F5A" w:rsidR="006725CE" w:rsidRDefault="00C977A0" w:rsidP="00C977A0">
      <w:pPr>
        <w:rPr>
          <w:szCs w:val="26"/>
        </w:rPr>
      </w:pPr>
      <w:r w:rsidRPr="00F356A7">
        <w:rPr>
          <w:szCs w:val="26"/>
        </w:rPr>
        <w:t xml:space="preserve">The </w:t>
      </w:r>
      <w:bookmarkStart w:id="191" w:name="_Hlk181875200"/>
      <w:r w:rsidRPr="00F356A7">
        <w:rPr>
          <w:szCs w:val="26"/>
        </w:rPr>
        <w:t xml:space="preserve">Youth Employment Support Scheme </w:t>
      </w:r>
      <w:bookmarkEnd w:id="191"/>
      <w:r w:rsidRPr="00F356A7">
        <w:rPr>
          <w:szCs w:val="26"/>
        </w:rPr>
        <w:t xml:space="preserve">(YESS) </w:t>
      </w:r>
      <w:r w:rsidR="00F356A7" w:rsidRPr="00F356A7">
        <w:rPr>
          <w:szCs w:val="26"/>
        </w:rPr>
        <w:t>wa</w:t>
      </w:r>
      <w:r w:rsidRPr="00F356A7">
        <w:rPr>
          <w:szCs w:val="26"/>
        </w:rPr>
        <w:t>s a work experience placement programme</w:t>
      </w:r>
      <w:r w:rsidR="00893D56">
        <w:rPr>
          <w:szCs w:val="26"/>
        </w:rPr>
        <w:t xml:space="preserve"> introduced in October 2018. The scheme was</w:t>
      </w:r>
      <w:r w:rsidRPr="00F356A7">
        <w:rPr>
          <w:szCs w:val="26"/>
        </w:rPr>
        <w:t xml:space="preserve"> targeted at young jobseekers aged 18-24 who </w:t>
      </w:r>
      <w:r w:rsidR="00F356A7" w:rsidRPr="00F356A7">
        <w:rPr>
          <w:szCs w:val="26"/>
        </w:rPr>
        <w:t xml:space="preserve">were </w:t>
      </w:r>
      <w:r w:rsidRPr="00F356A7">
        <w:rPr>
          <w:szCs w:val="26"/>
        </w:rPr>
        <w:t>long-term unemployed or face</w:t>
      </w:r>
      <w:r w:rsidR="00F356A7" w:rsidRPr="00F356A7">
        <w:rPr>
          <w:szCs w:val="26"/>
        </w:rPr>
        <w:t>d</w:t>
      </w:r>
      <w:r w:rsidRPr="00F356A7">
        <w:rPr>
          <w:szCs w:val="26"/>
        </w:rPr>
        <w:t xml:space="preserve"> barriers to employment</w:t>
      </w:r>
      <w:r w:rsidR="00893D56">
        <w:rPr>
          <w:szCs w:val="26"/>
        </w:rPr>
        <w:t xml:space="preserve"> and</w:t>
      </w:r>
      <w:r w:rsidRPr="00F356A7">
        <w:rPr>
          <w:szCs w:val="26"/>
        </w:rPr>
        <w:t xml:space="preserve"> provide</w:t>
      </w:r>
      <w:r w:rsidR="00F356A7" w:rsidRPr="00F356A7">
        <w:rPr>
          <w:szCs w:val="26"/>
        </w:rPr>
        <w:t>d</w:t>
      </w:r>
      <w:r w:rsidRPr="00F356A7">
        <w:rPr>
          <w:szCs w:val="26"/>
        </w:rPr>
        <w:t xml:space="preserve"> a three</w:t>
      </w:r>
      <w:r w:rsidR="00F356A7" w:rsidRPr="00F356A7">
        <w:rPr>
          <w:szCs w:val="26"/>
        </w:rPr>
        <w:t>-</w:t>
      </w:r>
      <w:r w:rsidRPr="00F356A7">
        <w:rPr>
          <w:szCs w:val="26"/>
        </w:rPr>
        <w:t xml:space="preserve">month work experience programme for young people that </w:t>
      </w:r>
      <w:r w:rsidR="00F356A7" w:rsidRPr="00F356A7">
        <w:rPr>
          <w:szCs w:val="26"/>
        </w:rPr>
        <w:t>could be extended to</w:t>
      </w:r>
      <w:r w:rsidRPr="00F356A7">
        <w:rPr>
          <w:szCs w:val="26"/>
        </w:rPr>
        <w:t xml:space="preserve"> six months. </w:t>
      </w:r>
      <w:r w:rsidR="005D60F8" w:rsidRPr="005D60F8">
        <w:rPr>
          <w:szCs w:val="26"/>
        </w:rPr>
        <w:t xml:space="preserve">Participants worked 24 hours per week over </w:t>
      </w:r>
      <w:r w:rsidR="005D60F8">
        <w:rPr>
          <w:szCs w:val="26"/>
        </w:rPr>
        <w:t>three</w:t>
      </w:r>
      <w:r w:rsidR="005D60F8" w:rsidRPr="005D60F8">
        <w:rPr>
          <w:szCs w:val="26"/>
        </w:rPr>
        <w:t xml:space="preserve"> days or </w:t>
      </w:r>
      <w:r w:rsidR="005D60F8">
        <w:rPr>
          <w:szCs w:val="26"/>
        </w:rPr>
        <w:t xml:space="preserve">four </w:t>
      </w:r>
      <w:r w:rsidR="005D60F8" w:rsidRPr="005D60F8">
        <w:rPr>
          <w:szCs w:val="26"/>
        </w:rPr>
        <w:t>days</w:t>
      </w:r>
      <w:r w:rsidR="005D60F8">
        <w:rPr>
          <w:szCs w:val="26"/>
        </w:rPr>
        <w:t xml:space="preserve">. </w:t>
      </w:r>
      <w:r w:rsidRPr="00F356A7">
        <w:rPr>
          <w:szCs w:val="26"/>
        </w:rPr>
        <w:t xml:space="preserve">There </w:t>
      </w:r>
      <w:r w:rsidR="00F356A7" w:rsidRPr="00F356A7">
        <w:rPr>
          <w:szCs w:val="26"/>
        </w:rPr>
        <w:t>was</w:t>
      </w:r>
      <w:r w:rsidRPr="00F356A7">
        <w:rPr>
          <w:szCs w:val="26"/>
        </w:rPr>
        <w:t xml:space="preserve"> no cost to employers as the participants </w:t>
      </w:r>
      <w:r w:rsidR="00F356A7" w:rsidRPr="00F356A7">
        <w:rPr>
          <w:szCs w:val="26"/>
        </w:rPr>
        <w:t>we</w:t>
      </w:r>
      <w:r w:rsidRPr="00F356A7">
        <w:rPr>
          <w:szCs w:val="26"/>
        </w:rPr>
        <w:t xml:space="preserve">re paid by Intreo. </w:t>
      </w:r>
      <w:r w:rsidRPr="007D6CF4">
        <w:rPr>
          <w:szCs w:val="26"/>
        </w:rPr>
        <w:t>From October 2018 to approximately January 2020, 3% of the young people availing of the YESS scheme were in receipt of a disability-related payment (n=19).</w:t>
      </w:r>
      <w:r w:rsidRPr="00233BC4">
        <w:rPr>
          <w:rStyle w:val="FootnoteReference"/>
        </w:rPr>
        <w:footnoteReference w:id="18"/>
      </w:r>
      <w:r w:rsidRPr="007D6CF4">
        <w:rPr>
          <w:szCs w:val="26"/>
        </w:rPr>
        <w:t xml:space="preserve"> </w:t>
      </w:r>
      <w:r w:rsidR="0030584B">
        <w:rPr>
          <w:szCs w:val="26"/>
        </w:rPr>
        <w:t xml:space="preserve">At the time of the </w:t>
      </w:r>
      <w:r w:rsidR="0091045A">
        <w:rPr>
          <w:szCs w:val="26"/>
        </w:rPr>
        <w:t>midterm</w:t>
      </w:r>
      <w:r w:rsidR="0030584B">
        <w:rPr>
          <w:szCs w:val="26"/>
        </w:rPr>
        <w:t xml:space="preserve"> CES indicators re</w:t>
      </w:r>
      <w:r w:rsidR="0030584B" w:rsidRPr="0030584B">
        <w:rPr>
          <w:szCs w:val="26"/>
        </w:rPr>
        <w:t>port</w:t>
      </w:r>
      <w:r w:rsidRPr="0030584B">
        <w:rPr>
          <w:szCs w:val="26"/>
        </w:rPr>
        <w:t xml:space="preserve">, 13 of these had completed the programme, </w:t>
      </w:r>
      <w:r w:rsidR="0030584B" w:rsidRPr="0030584B">
        <w:rPr>
          <w:szCs w:val="26"/>
        </w:rPr>
        <w:t>five of whom were then</w:t>
      </w:r>
      <w:r w:rsidRPr="0030584B">
        <w:rPr>
          <w:szCs w:val="26"/>
        </w:rPr>
        <w:t xml:space="preserve"> employed by the host employer. </w:t>
      </w:r>
      <w:r w:rsidRPr="007D6CF4">
        <w:rPr>
          <w:szCs w:val="26"/>
        </w:rPr>
        <w:t>Th</w:t>
      </w:r>
      <w:r w:rsidR="007D6CF4" w:rsidRPr="007D6CF4">
        <w:rPr>
          <w:szCs w:val="26"/>
        </w:rPr>
        <w:t>e NDA advised</w:t>
      </w:r>
      <w:r w:rsidR="007D6CF4">
        <w:rPr>
          <w:szCs w:val="26"/>
        </w:rPr>
        <w:t xml:space="preserve"> at the time</w:t>
      </w:r>
      <w:r w:rsidR="007D6CF4" w:rsidRPr="007D6CF4">
        <w:rPr>
          <w:szCs w:val="26"/>
        </w:rPr>
        <w:t xml:space="preserve"> that the</w:t>
      </w:r>
      <w:r w:rsidRPr="007D6CF4">
        <w:rPr>
          <w:szCs w:val="26"/>
        </w:rPr>
        <w:t xml:space="preserve"> low uptake </w:t>
      </w:r>
      <w:r w:rsidR="00893D56">
        <w:rPr>
          <w:szCs w:val="26"/>
        </w:rPr>
        <w:t xml:space="preserve">of the scheme among people with disabilities </w:t>
      </w:r>
      <w:r w:rsidRPr="007D6CF4">
        <w:rPr>
          <w:szCs w:val="26"/>
        </w:rPr>
        <w:t>may</w:t>
      </w:r>
      <w:r w:rsidR="007D6CF4" w:rsidRPr="007D6CF4">
        <w:rPr>
          <w:szCs w:val="26"/>
        </w:rPr>
        <w:t xml:space="preserve"> have</w:t>
      </w:r>
      <w:r w:rsidRPr="007D6CF4">
        <w:rPr>
          <w:szCs w:val="26"/>
        </w:rPr>
        <w:t xml:space="preserve"> be</w:t>
      </w:r>
      <w:r w:rsidR="007D6CF4" w:rsidRPr="007D6CF4">
        <w:rPr>
          <w:szCs w:val="26"/>
        </w:rPr>
        <w:t>en</w:t>
      </w:r>
      <w:r w:rsidRPr="007D6CF4">
        <w:rPr>
          <w:szCs w:val="26"/>
        </w:rPr>
        <w:t xml:space="preserve"> </w:t>
      </w:r>
      <w:r w:rsidR="007D6CF4">
        <w:rPr>
          <w:szCs w:val="26"/>
        </w:rPr>
        <w:t>due to</w:t>
      </w:r>
      <w:r w:rsidRPr="007D6CF4">
        <w:rPr>
          <w:szCs w:val="26"/>
        </w:rPr>
        <w:t xml:space="preserve"> barriers such as the suitability of a 24</w:t>
      </w:r>
      <w:r w:rsidR="007D6CF4">
        <w:rPr>
          <w:szCs w:val="26"/>
        </w:rPr>
        <w:t>-</w:t>
      </w:r>
      <w:r w:rsidRPr="007D6CF4">
        <w:rPr>
          <w:szCs w:val="26"/>
        </w:rPr>
        <w:t>hour week and the</w:t>
      </w:r>
      <w:r w:rsidR="008A7A06">
        <w:rPr>
          <w:szCs w:val="26"/>
        </w:rPr>
        <w:t xml:space="preserve"> </w:t>
      </w:r>
      <w:r w:rsidR="005D60F8">
        <w:rPr>
          <w:szCs w:val="26"/>
        </w:rPr>
        <w:t>relatively short</w:t>
      </w:r>
      <w:r w:rsidR="008A7A06">
        <w:rPr>
          <w:szCs w:val="26"/>
        </w:rPr>
        <w:t xml:space="preserve"> duration of placements, given the</w:t>
      </w:r>
      <w:r w:rsidRPr="007D6CF4">
        <w:rPr>
          <w:szCs w:val="26"/>
        </w:rPr>
        <w:t xml:space="preserve"> time it may take for young people to settle into the scheme</w:t>
      </w:r>
      <w:r w:rsidR="0080196F">
        <w:rPr>
          <w:szCs w:val="26"/>
        </w:rPr>
        <w:t>.</w:t>
      </w:r>
      <w:r w:rsidR="007D6CF4">
        <w:rPr>
          <w:szCs w:val="26"/>
        </w:rPr>
        <w:t xml:space="preserve"> </w:t>
      </w:r>
      <w:r w:rsidR="007D6CF4">
        <w:rPr>
          <w:szCs w:val="26"/>
        </w:rPr>
        <w:fldChar w:fldCharType="begin"/>
      </w:r>
      <w:r w:rsidR="00C0772E">
        <w:rPr>
          <w:szCs w:val="26"/>
        </w:rPr>
        <w:instrText xml:space="preserve"> ADDIN ZOTERO_ITEM CSL_CITATION {"citationID":"2jYzU5CM","properties":{"formattedCitation":"(54)","plainCitation":"(54)","noteIndex":0},"citationItems":[{"id":175,"uris":["http://zotero.org/users/local/kvLunvBP/items/9KG7EZ8P"],"itemData":{"id":175,"type":"report","title":"Mid-Term Review of the National Disability  Inclusion Strategy 2017-2021","URL":"https://merrionstreet.ie/en/news-room/midterm_review_-_national_disability_inclusion_strategy.pdf","author":[{"family":"Department of Justice and Equality","given":""}],"issued":{"date-parts":[["2020"]]}}}],"schema":"https://github.com/citation-style-language/schema/raw/master/csl-citation.json"} </w:instrText>
      </w:r>
      <w:r w:rsidR="007D6CF4">
        <w:rPr>
          <w:szCs w:val="26"/>
        </w:rPr>
        <w:fldChar w:fldCharType="separate"/>
      </w:r>
      <w:r w:rsidR="00C0772E" w:rsidRPr="00C0772E">
        <w:t>(54)</w:t>
      </w:r>
      <w:r w:rsidR="007D6CF4">
        <w:rPr>
          <w:szCs w:val="26"/>
        </w:rPr>
        <w:fldChar w:fldCharType="end"/>
      </w:r>
      <w:r w:rsidRPr="007D6CF4">
        <w:rPr>
          <w:szCs w:val="26"/>
        </w:rPr>
        <w:t xml:space="preserve"> </w:t>
      </w:r>
      <w:r w:rsidR="0030584B" w:rsidRPr="0030584B">
        <w:rPr>
          <w:szCs w:val="26"/>
        </w:rPr>
        <w:t>The</w:t>
      </w:r>
      <w:r w:rsidRPr="0030584B">
        <w:rPr>
          <w:szCs w:val="26"/>
        </w:rPr>
        <w:t xml:space="preserve"> NDA </w:t>
      </w:r>
      <w:r w:rsidR="007D6CF4">
        <w:rPr>
          <w:szCs w:val="26"/>
        </w:rPr>
        <w:t>recommended</w:t>
      </w:r>
      <w:r w:rsidRPr="0030584B">
        <w:rPr>
          <w:szCs w:val="26"/>
        </w:rPr>
        <w:t xml:space="preserve"> that young people with disabilities </w:t>
      </w:r>
      <w:r w:rsidR="007D6CF4">
        <w:rPr>
          <w:szCs w:val="26"/>
        </w:rPr>
        <w:t>be</w:t>
      </w:r>
      <w:r w:rsidR="0030584B" w:rsidRPr="0030584B">
        <w:rPr>
          <w:szCs w:val="26"/>
        </w:rPr>
        <w:t xml:space="preserve"> </w:t>
      </w:r>
      <w:r w:rsidRPr="0030584B">
        <w:rPr>
          <w:szCs w:val="26"/>
        </w:rPr>
        <w:t>actively targeted with information about th</w:t>
      </w:r>
      <w:r w:rsidR="0030584B" w:rsidRPr="0030584B">
        <w:rPr>
          <w:szCs w:val="26"/>
        </w:rPr>
        <w:t>e</w:t>
      </w:r>
      <w:r w:rsidRPr="0030584B">
        <w:rPr>
          <w:szCs w:val="26"/>
        </w:rPr>
        <w:t xml:space="preserve"> scheme in order to improve uptake</w:t>
      </w:r>
      <w:r w:rsidR="007D6CF4">
        <w:rPr>
          <w:szCs w:val="26"/>
        </w:rPr>
        <w:t xml:space="preserve"> among this cohort</w:t>
      </w:r>
      <w:r w:rsidR="0080196F">
        <w:rPr>
          <w:szCs w:val="26"/>
        </w:rPr>
        <w:t>.</w:t>
      </w:r>
      <w:r w:rsidR="008A7A06">
        <w:rPr>
          <w:szCs w:val="26"/>
        </w:rPr>
        <w:t xml:space="preserve"> </w:t>
      </w:r>
      <w:r w:rsidR="008A7A06">
        <w:rPr>
          <w:szCs w:val="26"/>
        </w:rPr>
        <w:fldChar w:fldCharType="begin"/>
      </w:r>
      <w:r w:rsidR="008A7A06">
        <w:rPr>
          <w:szCs w:val="26"/>
        </w:rPr>
        <w:instrText xml:space="preserve"> ADDIN ZOTERO_ITEM CSL_CITATION {"citationID":"JSGJCcXR","properties":{"formattedCitation":"(4)","plainCitation":"(4)","noteIndex":0},"citationItems":[{"id":189,"uris":["http://zotero.org/users/local/kvLunvBP/items/GF4CIXZT"],"itemData":{"id":189,"type":"report","abstract":"Provides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sidR="008A7A06">
        <w:rPr>
          <w:szCs w:val="26"/>
        </w:rPr>
        <w:fldChar w:fldCharType="separate"/>
      </w:r>
      <w:r w:rsidR="008A7A06" w:rsidRPr="008A7A06">
        <w:t>(4)</w:t>
      </w:r>
      <w:r w:rsidR="008A7A06">
        <w:rPr>
          <w:szCs w:val="26"/>
        </w:rPr>
        <w:fldChar w:fldCharType="end"/>
      </w:r>
      <w:r w:rsidR="0080196F">
        <w:rPr>
          <w:szCs w:val="26"/>
        </w:rPr>
        <w:t xml:space="preserve"> </w:t>
      </w:r>
      <w:r w:rsidR="0030584B">
        <w:rPr>
          <w:szCs w:val="26"/>
        </w:rPr>
        <w:t>However, t</w:t>
      </w:r>
      <w:r w:rsidR="00F356A7">
        <w:rPr>
          <w:szCs w:val="26"/>
        </w:rPr>
        <w:t xml:space="preserve">he scheme </w:t>
      </w:r>
      <w:r w:rsidR="0030584B">
        <w:rPr>
          <w:szCs w:val="26"/>
        </w:rPr>
        <w:t xml:space="preserve">came to an </w:t>
      </w:r>
      <w:r w:rsidR="00F356A7">
        <w:rPr>
          <w:szCs w:val="26"/>
        </w:rPr>
        <w:t>end in July 2021</w:t>
      </w:r>
      <w:r w:rsidR="006725CE">
        <w:rPr>
          <w:szCs w:val="26"/>
        </w:rPr>
        <w:t xml:space="preserve">. </w:t>
      </w:r>
    </w:p>
    <w:p w14:paraId="54C54FC4" w14:textId="181DFB3F" w:rsidR="006725CE" w:rsidRPr="008A7A06" w:rsidRDefault="006725CE" w:rsidP="006725CE">
      <w:pPr>
        <w:rPr>
          <w:rFonts w:ascii="Open Sans" w:hAnsi="Open Sans" w:cs="Open Sans"/>
          <w:color w:val="404040"/>
          <w:spacing w:val="3"/>
          <w:szCs w:val="26"/>
          <w:shd w:val="clear" w:color="auto" w:fill="FFFFFF"/>
        </w:rPr>
      </w:pPr>
      <w:r>
        <w:rPr>
          <w:szCs w:val="26"/>
        </w:rPr>
        <w:t>Also in July 2021, the Work Experience Placement Programme (WEPP) started. The WEPP offers</w:t>
      </w:r>
      <w:r w:rsidRPr="006725CE">
        <w:rPr>
          <w:szCs w:val="26"/>
        </w:rPr>
        <w:t xml:space="preserve"> people who have lost their job </w:t>
      </w:r>
      <w:r w:rsidR="008A7A06">
        <w:rPr>
          <w:szCs w:val="26"/>
        </w:rPr>
        <w:t>or who have never had a job an opportunity</w:t>
      </w:r>
      <w:r w:rsidRPr="006725CE">
        <w:rPr>
          <w:szCs w:val="26"/>
        </w:rPr>
        <w:t xml:space="preserve"> to g</w:t>
      </w:r>
      <w:r>
        <w:rPr>
          <w:szCs w:val="26"/>
        </w:rPr>
        <w:t>ain</w:t>
      </w:r>
      <w:r w:rsidRPr="006725CE">
        <w:rPr>
          <w:szCs w:val="26"/>
        </w:rPr>
        <w:t xml:space="preserve"> work experience</w:t>
      </w:r>
      <w:r>
        <w:rPr>
          <w:szCs w:val="26"/>
        </w:rPr>
        <w:t>. Unlike YESS</w:t>
      </w:r>
      <w:r w:rsidR="008A7A06">
        <w:rPr>
          <w:szCs w:val="26"/>
        </w:rPr>
        <w:t>, which was targeted at younger people</w:t>
      </w:r>
      <w:r>
        <w:rPr>
          <w:szCs w:val="26"/>
        </w:rPr>
        <w:t>, the WEPP is open to people aged 18-65 who have been unemployed for more than six months and are in receipt of a qualifying social welfare payment. Individuals on a one-parent family payment, Disability Allowance or Blin</w:t>
      </w:r>
      <w:r w:rsidR="00F10534">
        <w:rPr>
          <w:szCs w:val="26"/>
        </w:rPr>
        <w:t>d</w:t>
      </w:r>
      <w:r>
        <w:rPr>
          <w:szCs w:val="26"/>
        </w:rPr>
        <w:t xml:space="preserve"> Pension automatically qualify for WE</w:t>
      </w:r>
      <w:r w:rsidR="000232DE">
        <w:rPr>
          <w:szCs w:val="26"/>
        </w:rPr>
        <w:t>P</w:t>
      </w:r>
      <w:r>
        <w:rPr>
          <w:szCs w:val="26"/>
        </w:rPr>
        <w:t>P and do not need to me</w:t>
      </w:r>
      <w:r w:rsidR="005D60F8">
        <w:rPr>
          <w:szCs w:val="26"/>
        </w:rPr>
        <w:t>et</w:t>
      </w:r>
      <w:r>
        <w:rPr>
          <w:szCs w:val="26"/>
        </w:rPr>
        <w:t xml:space="preserve"> the six-month qualifying threshold. </w:t>
      </w:r>
      <w:r w:rsidRPr="006725CE">
        <w:rPr>
          <w:szCs w:val="26"/>
        </w:rPr>
        <w:t>The scheme</w:t>
      </w:r>
      <w:r>
        <w:rPr>
          <w:szCs w:val="26"/>
        </w:rPr>
        <w:t xml:space="preserve"> involves work experience placements of </w:t>
      </w:r>
      <w:r w:rsidR="008A7A06">
        <w:rPr>
          <w:szCs w:val="26"/>
        </w:rPr>
        <w:t>six</w:t>
      </w:r>
      <w:r w:rsidRPr="006725CE">
        <w:rPr>
          <w:szCs w:val="26"/>
        </w:rPr>
        <w:t xml:space="preserve"> months </w:t>
      </w:r>
      <w:r>
        <w:rPr>
          <w:szCs w:val="26"/>
        </w:rPr>
        <w:t>in duration that cannot be extended</w:t>
      </w:r>
      <w:r w:rsidRPr="006725CE">
        <w:rPr>
          <w:szCs w:val="26"/>
        </w:rPr>
        <w:t>.</w:t>
      </w:r>
      <w:r>
        <w:rPr>
          <w:szCs w:val="26"/>
        </w:rPr>
        <w:t xml:space="preserve"> Participants are eligible to undertake two placements in total, and these must be with different host organisations. Individuals on placements</w:t>
      </w:r>
      <w:r w:rsidRPr="006725CE">
        <w:rPr>
          <w:szCs w:val="26"/>
        </w:rPr>
        <w:t xml:space="preserve"> work 30 hours a week over 4 or 5 days each week</w:t>
      </w:r>
      <w:r>
        <w:rPr>
          <w:szCs w:val="26"/>
        </w:rPr>
        <w:t>,</w:t>
      </w:r>
      <w:r w:rsidRPr="006725CE">
        <w:rPr>
          <w:szCs w:val="26"/>
        </w:rPr>
        <w:t xml:space="preserve"> </w:t>
      </w:r>
      <w:r>
        <w:rPr>
          <w:szCs w:val="26"/>
        </w:rPr>
        <w:t>including</w:t>
      </w:r>
      <w:r w:rsidRPr="006725CE">
        <w:rPr>
          <w:szCs w:val="26"/>
        </w:rPr>
        <w:t xml:space="preserve"> time spent on training.</w:t>
      </w:r>
    </w:p>
    <w:p w14:paraId="07848CA8" w14:textId="6CE81B98" w:rsidR="000A6EC1" w:rsidRDefault="00F10534" w:rsidP="000A6EC1">
      <w:pPr>
        <w:rPr>
          <w:szCs w:val="26"/>
        </w:rPr>
      </w:pPr>
      <w:r>
        <w:rPr>
          <w:szCs w:val="26"/>
        </w:rPr>
        <w:t>The original target was that</w:t>
      </w:r>
      <w:r w:rsidR="008A7A06">
        <w:rPr>
          <w:szCs w:val="26"/>
        </w:rPr>
        <w:t xml:space="preserve"> </w:t>
      </w:r>
      <w:r w:rsidR="000A6EC1" w:rsidRPr="000A6EC1">
        <w:rPr>
          <w:szCs w:val="26"/>
        </w:rPr>
        <w:t xml:space="preserve">10,000 people </w:t>
      </w:r>
      <w:r w:rsidR="000A6EC1">
        <w:rPr>
          <w:szCs w:val="26"/>
        </w:rPr>
        <w:t xml:space="preserve">would </w:t>
      </w:r>
      <w:r w:rsidR="000A6EC1" w:rsidRPr="000A6EC1">
        <w:rPr>
          <w:szCs w:val="26"/>
        </w:rPr>
        <w:t xml:space="preserve">commence </w:t>
      </w:r>
      <w:r w:rsidR="000A6EC1">
        <w:rPr>
          <w:szCs w:val="26"/>
        </w:rPr>
        <w:t>w</w:t>
      </w:r>
      <w:r w:rsidR="000A6EC1" w:rsidRPr="000A6EC1">
        <w:rPr>
          <w:szCs w:val="26"/>
        </w:rPr>
        <w:t xml:space="preserve">ork </w:t>
      </w:r>
      <w:r w:rsidR="000A6EC1">
        <w:rPr>
          <w:szCs w:val="26"/>
        </w:rPr>
        <w:t>e</w:t>
      </w:r>
      <w:r w:rsidR="000A6EC1" w:rsidRPr="000A6EC1">
        <w:rPr>
          <w:szCs w:val="26"/>
        </w:rPr>
        <w:t>xperience placements by</w:t>
      </w:r>
      <w:r w:rsidR="000A6EC1">
        <w:rPr>
          <w:szCs w:val="26"/>
        </w:rPr>
        <w:t xml:space="preserve"> the</w:t>
      </w:r>
      <w:r w:rsidR="000A6EC1" w:rsidRPr="000A6EC1">
        <w:rPr>
          <w:szCs w:val="26"/>
        </w:rPr>
        <w:t xml:space="preserve"> end</w:t>
      </w:r>
      <w:r w:rsidR="00134E07">
        <w:rPr>
          <w:szCs w:val="26"/>
        </w:rPr>
        <w:t xml:space="preserve"> of</w:t>
      </w:r>
      <w:r w:rsidR="000A6EC1" w:rsidRPr="000A6EC1">
        <w:rPr>
          <w:szCs w:val="26"/>
        </w:rPr>
        <w:t xml:space="preserve"> 2022</w:t>
      </w:r>
      <w:r w:rsidR="00D44B1F">
        <w:rPr>
          <w:szCs w:val="26"/>
        </w:rPr>
        <w:t xml:space="preserve"> and that at least 4,000 of these would be young people</w:t>
      </w:r>
      <w:r w:rsidR="000A6EC1">
        <w:rPr>
          <w:szCs w:val="26"/>
        </w:rPr>
        <w:t>. By June 2023, just 701 WEPP approvals had been granted. The considerably lower than anticipated demand has been attributed due to stronger than anticipated labour market participation</w:t>
      </w:r>
      <w:r w:rsidR="0080196F">
        <w:rPr>
          <w:szCs w:val="26"/>
        </w:rPr>
        <w:t xml:space="preserve">. </w:t>
      </w:r>
      <w:r w:rsidR="00147D22">
        <w:rPr>
          <w:szCs w:val="26"/>
        </w:rPr>
        <w:fldChar w:fldCharType="begin"/>
      </w:r>
      <w:r w:rsidR="00C0772E">
        <w:rPr>
          <w:szCs w:val="26"/>
        </w:rPr>
        <w:instrText xml:space="preserve"> ADDIN ZOTERO_ITEM CSL_CITATION {"citationID":"PN6EZkCO","properties":{"formattedCitation":"(55)","plainCitation":"(55)","noteIndex":0},"citationItems":[{"id":183,"uris":["http://zotero.org/users/local/kvLunvBP/items/7ASYYKYH"],"itemData":{"id":183,"type":"report","title":"Pathways to Work 2021-2025: Mid-Term Review and Second Annual  Progress Report","URL":"https://www.gov.ie/pdf/?file=https://assets.gov.ie/294542/3c995d20-b0c9-4ba6-a15e-aa96c6da9652.pdf#page=null","author":[{"family":"Labour Market Advisory Council","given":""}],"issued":{"date-parts":[["2024"]]}}}],"schema":"https://github.com/citation-style-language/schema/raw/master/csl-citation.json"} </w:instrText>
      </w:r>
      <w:r w:rsidR="00147D22">
        <w:rPr>
          <w:szCs w:val="26"/>
        </w:rPr>
        <w:fldChar w:fldCharType="separate"/>
      </w:r>
      <w:r w:rsidR="00C0772E" w:rsidRPr="00C0772E">
        <w:t>(55)</w:t>
      </w:r>
      <w:r w:rsidR="00147D22">
        <w:rPr>
          <w:szCs w:val="26"/>
        </w:rPr>
        <w:fldChar w:fldCharType="end"/>
      </w:r>
    </w:p>
    <w:p w14:paraId="58547BDD" w14:textId="2D695078" w:rsidR="00893D56" w:rsidRPr="00893D56" w:rsidRDefault="00893D56" w:rsidP="00893D56">
      <w:pPr>
        <w:pStyle w:val="NormalAfterList"/>
        <w:rPr>
          <w:shd w:val="clear" w:color="auto" w:fill="FFFFFF"/>
        </w:rPr>
      </w:pPr>
      <w:r>
        <w:rPr>
          <w:shd w:val="clear" w:color="auto" w:fill="FFFFFF"/>
        </w:rPr>
        <w:t xml:space="preserve">The </w:t>
      </w:r>
      <w:r w:rsidR="00F949A3">
        <w:rPr>
          <w:shd w:val="clear" w:color="auto" w:fill="FFFFFF"/>
        </w:rPr>
        <w:t>DSP have</w:t>
      </w:r>
      <w:r>
        <w:rPr>
          <w:shd w:val="clear" w:color="auto" w:fill="FFFFFF"/>
        </w:rPr>
        <w:t xml:space="preserve"> also</w:t>
      </w:r>
      <w:r w:rsidR="00F949A3">
        <w:rPr>
          <w:shd w:val="clear" w:color="auto" w:fill="FFFFFF"/>
        </w:rPr>
        <w:t xml:space="preserve"> introduced </w:t>
      </w:r>
      <w:r>
        <w:rPr>
          <w:shd w:val="clear" w:color="auto" w:fill="FFFFFF"/>
        </w:rPr>
        <w:t>an</w:t>
      </w:r>
      <w:r w:rsidR="00F949A3">
        <w:rPr>
          <w:shd w:val="clear" w:color="auto" w:fill="FFFFFF"/>
        </w:rPr>
        <w:t xml:space="preserve"> Employment and Youth Engagement Charter which provides a framework to collaborate with employers to support and inspire young jobseekers</w:t>
      </w:r>
      <w:r w:rsidR="005D60F8">
        <w:rPr>
          <w:shd w:val="clear" w:color="auto" w:fill="FFFFFF"/>
        </w:rPr>
        <w:t>,</w:t>
      </w:r>
      <w:r w:rsidR="00F949A3">
        <w:rPr>
          <w:shd w:val="clear" w:color="auto" w:fill="FFFFFF"/>
        </w:rPr>
        <w:t xml:space="preserve"> including disabled jobseekers</w:t>
      </w:r>
      <w:r w:rsidR="005D60F8">
        <w:rPr>
          <w:shd w:val="clear" w:color="auto" w:fill="FFFFFF"/>
        </w:rPr>
        <w:t>,</w:t>
      </w:r>
      <w:r w:rsidR="00F949A3">
        <w:rPr>
          <w:shd w:val="clear" w:color="auto" w:fill="FFFFFF"/>
        </w:rPr>
        <w:t xml:space="preserve"> to build their knowledge, skills and experience to enhance their employability</w:t>
      </w:r>
      <w:r w:rsidR="005D60F8">
        <w:rPr>
          <w:shd w:val="clear" w:color="auto" w:fill="FFFFFF"/>
        </w:rPr>
        <w:t xml:space="preserve">. </w:t>
      </w:r>
      <w:r w:rsidR="005D60F8">
        <w:rPr>
          <w:shd w:val="clear" w:color="auto" w:fill="FFFFFF"/>
        </w:rPr>
        <w:fldChar w:fldCharType="begin"/>
      </w:r>
      <w:r w:rsidR="00C0772E">
        <w:rPr>
          <w:shd w:val="clear" w:color="auto" w:fill="FFFFFF"/>
        </w:rPr>
        <w:instrText xml:space="preserve"> ADDIN ZOTERO_ITEM CSL_CITATION {"citationID":"ZJ8Hi8oU","properties":{"formattedCitation":"(56)","plainCitation":"(56)","noteIndex":0},"citationItems":[{"id":297,"uris":["http://zotero.org/users/local/kvLunvBP/items/TBUN8MPE"],"itemData":{"id":297,"type":"webpage","abstract":"The Employment and Youth Engagement Charter is a government initiative to support and inspire young jobseekers at risk of not easily moving into employment.","language":"en","title":"Employment and Youth Engagement Charter","URL":"https://www.gov.ie/en/publication/cb239-the-employment-and-youth-engagement-charter/","accessed":{"date-parts":[["2024",10,21]]},"issued":{"date-parts":[["2024",5,28]]}}}],"schema":"https://github.com/citation-style-language/schema/raw/master/csl-citation.json"} </w:instrText>
      </w:r>
      <w:r w:rsidR="005D60F8">
        <w:rPr>
          <w:shd w:val="clear" w:color="auto" w:fill="FFFFFF"/>
        </w:rPr>
        <w:fldChar w:fldCharType="separate"/>
      </w:r>
      <w:r w:rsidR="00C0772E" w:rsidRPr="00C0772E">
        <w:t>(56)</w:t>
      </w:r>
      <w:r w:rsidR="005D60F8">
        <w:rPr>
          <w:shd w:val="clear" w:color="auto" w:fill="FFFFFF"/>
        </w:rPr>
        <w:fldChar w:fldCharType="end"/>
      </w:r>
      <w:r w:rsidR="005D60F8">
        <w:rPr>
          <w:shd w:val="clear" w:color="auto" w:fill="FFFFFF"/>
        </w:rPr>
        <w:t xml:space="preserve"> </w:t>
      </w:r>
      <w:r w:rsidR="00C055FA">
        <w:rPr>
          <w:shd w:val="clear" w:color="auto" w:fill="FFFFFF"/>
        </w:rPr>
        <w:t>This charter was launched in 2024 and should have details to report in Q1 2025.</w:t>
      </w:r>
    </w:p>
    <w:p w14:paraId="4F007B20" w14:textId="60FBD9BF" w:rsidR="0074649C" w:rsidRPr="0078283D" w:rsidRDefault="00A867FE" w:rsidP="0078283D">
      <w:pPr>
        <w:pStyle w:val="Heading3"/>
        <w:rPr>
          <w:lang w:eastAsia="en-IE"/>
        </w:rPr>
      </w:pPr>
      <w:bookmarkStart w:id="192" w:name="_Toc182219516"/>
      <w:bookmarkStart w:id="193" w:name="_Toc182220219"/>
      <w:bookmarkStart w:id="194" w:name="_Toc182555567"/>
      <w:r w:rsidRPr="0078283D">
        <w:rPr>
          <w:lang w:eastAsia="en-IE"/>
        </w:rPr>
        <w:t>2.2.2 Internships</w:t>
      </w:r>
      <w:bookmarkEnd w:id="192"/>
      <w:bookmarkEnd w:id="193"/>
      <w:bookmarkEnd w:id="194"/>
    </w:p>
    <w:p w14:paraId="5B6EA53E" w14:textId="77777777" w:rsidR="00C977A0" w:rsidRPr="00A53B00" w:rsidRDefault="00C977A0" w:rsidP="00C977A0">
      <w:pPr>
        <w:pStyle w:val="Heading4"/>
      </w:pPr>
      <w:r w:rsidRPr="00A53B00">
        <w:t>Willing Able Mentoring programme</w:t>
      </w:r>
    </w:p>
    <w:p w14:paraId="7895FC49" w14:textId="7EDD41C2" w:rsidR="00844BDC" w:rsidRPr="00844BDC" w:rsidRDefault="00844BDC" w:rsidP="00844BDC">
      <w:pPr>
        <w:rPr>
          <w:rFonts w:ascii="Gill Sans MT" w:eastAsiaTheme="minorHAnsi" w:hAnsi="Gill Sans MT" w:cstheme="minorBidi"/>
          <w:kern w:val="2"/>
          <w:szCs w:val="26"/>
          <w14:ligatures w14:val="standardContextual"/>
        </w:rPr>
      </w:pPr>
      <w:r w:rsidRPr="00844BDC">
        <w:rPr>
          <w:rFonts w:ascii="Gill Sans MT" w:eastAsiaTheme="minorHAnsi" w:hAnsi="Gill Sans MT" w:cstheme="minorBidi"/>
          <w:kern w:val="2"/>
          <w:szCs w:val="26"/>
          <w14:ligatures w14:val="standardContextual"/>
        </w:rPr>
        <w:t xml:space="preserve">Willing Able Mentoring (WAM) is a work placement programme aimed at widening access to the labour market for graduates with disabilities. WAM also works to build the capacity of employers to create more inclusive workplaces. The WAM programme is an initiative of AHEAD and is funded by the Department of Social Protection. Participating employers collaborate with WAM to provide disabled graduates a full-time, mentored, and paid graduate internship of upwards of six months. </w:t>
      </w:r>
    </w:p>
    <w:p w14:paraId="6C60C180" w14:textId="0930AFC2" w:rsidR="00844BDC" w:rsidRPr="00FF1760" w:rsidRDefault="00844BDC" w:rsidP="00844BDC">
      <w:pPr>
        <w:rPr>
          <w:rFonts w:ascii="Gill Sans MT" w:eastAsiaTheme="minorHAnsi" w:hAnsi="Gill Sans MT" w:cstheme="minorBidi"/>
          <w:kern w:val="2"/>
          <w:szCs w:val="26"/>
          <w14:ligatures w14:val="standardContextual"/>
        </w:rPr>
      </w:pPr>
      <w:r w:rsidRPr="00FF1760">
        <w:rPr>
          <w:rFonts w:ascii="Gill Sans MT" w:eastAsiaTheme="minorHAnsi" w:hAnsi="Gill Sans MT" w:cstheme="minorBidi"/>
          <w:kern w:val="2"/>
          <w:szCs w:val="26"/>
          <w14:ligatures w14:val="standardContextual"/>
        </w:rPr>
        <w:t xml:space="preserve">Between its establishment in 2005 and March 2024, 688 graduates had work placements through WAM. The number of graduates on work placements through WAM increased from 31 graduates in 2015 (the start of the CES) to 73 in 2018. From 2019, the number of placements varied, with 50 in 2019, 78 in 2020, 57 in 2021, 64 in 2022 and 69 in 2023. </w:t>
      </w:r>
    </w:p>
    <w:p w14:paraId="56EC4DB9" w14:textId="7539A015" w:rsidR="00844BDC" w:rsidRPr="00FF1760" w:rsidRDefault="00844BDC" w:rsidP="00844BDC">
      <w:pPr>
        <w:rPr>
          <w:rFonts w:ascii="Gill Sans MT" w:eastAsiaTheme="minorHAnsi" w:hAnsi="Gill Sans MT" w:cstheme="minorBidi"/>
          <w:kern w:val="2"/>
          <w:szCs w:val="26"/>
          <w14:ligatures w14:val="standardContextual"/>
        </w:rPr>
      </w:pPr>
      <w:r w:rsidRPr="00FF1760">
        <w:rPr>
          <w:rFonts w:ascii="Gill Sans MT" w:eastAsiaTheme="minorHAnsi" w:hAnsi="Gill Sans MT" w:cstheme="minorBidi"/>
          <w:kern w:val="2"/>
          <w:szCs w:val="26"/>
          <w14:ligatures w14:val="standardContextual"/>
        </w:rPr>
        <w:t>A report on statistics from the WAM programme between 2012 and 2023 found that 81% of WAM graduates secured employment as a direct result of their WAM placement. (57) A further 7% went back to study, 9% were still looking for work 12 months after their WAM placement, and 3% were not in employment for reasons such as ill health, travelling, career break or assumed caring responsibilities.</w:t>
      </w:r>
      <w:r w:rsidR="006B1C05">
        <w:rPr>
          <w:rFonts w:ascii="Gill Sans MT" w:eastAsiaTheme="minorHAnsi" w:hAnsi="Gill Sans MT" w:cstheme="minorBidi"/>
          <w:kern w:val="2"/>
          <w:szCs w:val="26"/>
          <w14:ligatures w14:val="standardContextual"/>
        </w:rPr>
        <w:t xml:space="preserve"> </w:t>
      </w:r>
      <w:r w:rsidR="006B1C05">
        <w:rPr>
          <w:rFonts w:ascii="Gill Sans MT" w:eastAsiaTheme="minorHAnsi" w:hAnsi="Gill Sans MT" w:cstheme="minorBidi"/>
          <w:kern w:val="2"/>
          <w:szCs w:val="26"/>
          <w14:ligatures w14:val="standardContextual"/>
        </w:rPr>
        <w:fldChar w:fldCharType="begin"/>
      </w:r>
      <w:r w:rsidR="006B1C05">
        <w:rPr>
          <w:rFonts w:ascii="Gill Sans MT" w:eastAsiaTheme="minorHAnsi" w:hAnsi="Gill Sans MT" w:cstheme="minorBidi"/>
          <w:kern w:val="2"/>
          <w:szCs w:val="26"/>
          <w14:ligatures w14:val="standardContextual"/>
        </w:rPr>
        <w:instrText xml:space="preserve"> ADDIN ZOTERO_ITEM CSL_CITATION {"citationID":"n6EMWtyy","properties":{"formattedCitation":"(57)","plainCitation":"(57)","noteIndex":0},"citationItems":[{"id":180,"uris":["http://zotero.org/users/local/kvLunvBP/items/XZUP3M8G"],"itemData":{"id":180,"type":"report","title":"The WAM Programme Statistics 2023","URL":"https://www.ahead.ie/userfiles/files/shop/free/TheWAMProgrammeStatistics_2023.pdf","author":[{"family":"AHEAD","given":""}],"issued":{"date-parts":[["2024"]]}}}],"schema":"https://github.com/citation-style-language/schema/raw/master/csl-citation.json"} </w:instrText>
      </w:r>
      <w:r w:rsidR="006B1C05">
        <w:rPr>
          <w:rFonts w:ascii="Gill Sans MT" w:eastAsiaTheme="minorHAnsi" w:hAnsi="Gill Sans MT" w:cstheme="minorBidi"/>
          <w:kern w:val="2"/>
          <w:szCs w:val="26"/>
          <w14:ligatures w14:val="standardContextual"/>
        </w:rPr>
        <w:fldChar w:fldCharType="separate"/>
      </w:r>
      <w:r w:rsidR="006B1C05" w:rsidRPr="006B1C05">
        <w:rPr>
          <w:rFonts w:ascii="Gill Sans MT" w:eastAsiaTheme="minorHAnsi" w:hAnsi="Gill Sans MT"/>
        </w:rPr>
        <w:t>(57)</w:t>
      </w:r>
      <w:r w:rsidR="006B1C05">
        <w:rPr>
          <w:rFonts w:ascii="Gill Sans MT" w:eastAsiaTheme="minorHAnsi" w:hAnsi="Gill Sans MT" w:cstheme="minorBidi"/>
          <w:kern w:val="2"/>
          <w:szCs w:val="26"/>
          <w14:ligatures w14:val="standardContextual"/>
        </w:rPr>
        <w:fldChar w:fldCharType="end"/>
      </w:r>
    </w:p>
    <w:p w14:paraId="426EA6B8" w14:textId="77777777" w:rsidR="00844BDC" w:rsidRPr="00FF1760" w:rsidRDefault="00844BDC" w:rsidP="00844BDC">
      <w:pPr>
        <w:rPr>
          <w:rFonts w:ascii="Verdana" w:eastAsiaTheme="minorHAnsi" w:hAnsi="Verdana" w:cstheme="minorBidi"/>
          <w:kern w:val="2"/>
          <w:sz w:val="24"/>
          <w:szCs w:val="22"/>
          <w14:ligatures w14:val="standardContextual"/>
        </w:rPr>
      </w:pPr>
    </w:p>
    <w:p w14:paraId="5A822AA6" w14:textId="1D521A94" w:rsidR="00147D22" w:rsidRPr="00FF1760" w:rsidRDefault="00844BDC" w:rsidP="00147D22">
      <w:pPr>
        <w:rPr>
          <w:rFonts w:ascii="Gill Sans MT" w:eastAsiaTheme="minorHAnsi" w:hAnsi="Gill Sans MT" w:cstheme="minorBidi"/>
          <w:kern w:val="2"/>
          <w:szCs w:val="26"/>
          <w14:ligatures w14:val="standardContextual"/>
        </w:rPr>
      </w:pPr>
      <w:r w:rsidRPr="00FF1760">
        <w:rPr>
          <w:rFonts w:ascii="Gill Sans MT" w:eastAsiaTheme="minorHAnsi" w:hAnsi="Gill Sans MT" w:cstheme="minorBidi"/>
          <w:kern w:val="2"/>
          <w:szCs w:val="26"/>
          <w14:ligatures w14:val="standardContextual"/>
        </w:rPr>
        <w:t xml:space="preserve">Since 2005, 318 graduates with disabilities have secured WAM placements with Civil Service departments and in 2022, a route to permanency for WAM graduates successfully completing a Civil Service WAM placement was developed and trialled. As a result of the pilot, 17 people who had successfully completed a WAM placement with the Civil Service in 2022 and also successful in the confined competition for permanency moved into permanent Executive Officer (EO) roles. </w:t>
      </w:r>
      <w:r w:rsidR="006B1C05">
        <w:rPr>
          <w:rFonts w:ascii="Gill Sans MT" w:eastAsiaTheme="minorHAnsi" w:hAnsi="Gill Sans MT" w:cstheme="minorBidi"/>
          <w:kern w:val="2"/>
          <w:szCs w:val="26"/>
          <w14:ligatures w14:val="standardContextual"/>
        </w:rPr>
        <w:fldChar w:fldCharType="begin"/>
      </w:r>
      <w:r w:rsidR="006B1C05">
        <w:rPr>
          <w:rFonts w:ascii="Gill Sans MT" w:eastAsiaTheme="minorHAnsi" w:hAnsi="Gill Sans MT" w:cstheme="minorBidi"/>
          <w:kern w:val="2"/>
          <w:szCs w:val="26"/>
          <w14:ligatures w14:val="standardContextual"/>
        </w:rPr>
        <w:instrText xml:space="preserve"> ADDIN ZOTERO_ITEM CSL_CITATION {"citationID":"pQUB06zA","properties":{"formattedCitation":"(58)","plainCitation":"(58)","noteIndex":0},"citationItems":[{"id":240,"uris":["http://zotero.org/users/local/kvLunvBP/items/3A37Q8HE"],"itemData":{"id":240,"type":"webpage","abstract":"- AHEAD","container-title":"AHEAD","language":"en-GB","note":"publisher: AHEAD","title":"Pathway to permanent Civil Service employment for graduates with disabilities","URL":"https://ahead.ie/journal/pathway-to-permanent-civil-service-employment-for-graduates-with-disabilities","author":[{"family":"AHEAD","given":""}],"accessed":{"date-parts":[["2024",9,16]]}}}],"schema":"https://github.com/citation-style-language/schema/raw/master/csl-citation.json"} </w:instrText>
      </w:r>
      <w:r w:rsidR="006B1C05">
        <w:rPr>
          <w:rFonts w:ascii="Gill Sans MT" w:eastAsiaTheme="minorHAnsi" w:hAnsi="Gill Sans MT" w:cstheme="minorBidi"/>
          <w:kern w:val="2"/>
          <w:szCs w:val="26"/>
          <w14:ligatures w14:val="standardContextual"/>
        </w:rPr>
        <w:fldChar w:fldCharType="separate"/>
      </w:r>
      <w:r w:rsidR="006B1C05" w:rsidRPr="006B1C05">
        <w:rPr>
          <w:rFonts w:ascii="Gill Sans MT" w:eastAsiaTheme="minorHAnsi" w:hAnsi="Gill Sans MT"/>
        </w:rPr>
        <w:t>(58)</w:t>
      </w:r>
      <w:r w:rsidR="006B1C05">
        <w:rPr>
          <w:rFonts w:ascii="Gill Sans MT" w:eastAsiaTheme="minorHAnsi" w:hAnsi="Gill Sans MT" w:cstheme="minorBidi"/>
          <w:kern w:val="2"/>
          <w:szCs w:val="26"/>
          <w14:ligatures w14:val="standardContextual"/>
        </w:rPr>
        <w:fldChar w:fldCharType="end"/>
      </w:r>
      <w:r w:rsidR="006B1C05">
        <w:rPr>
          <w:rFonts w:ascii="Gill Sans MT" w:eastAsiaTheme="minorHAnsi" w:hAnsi="Gill Sans MT" w:cstheme="minorBidi"/>
          <w:kern w:val="2"/>
          <w:szCs w:val="26"/>
          <w14:ligatures w14:val="standardContextual"/>
        </w:rPr>
        <w:t xml:space="preserve"> </w:t>
      </w:r>
      <w:r w:rsidRPr="00FF1760">
        <w:rPr>
          <w:rFonts w:ascii="Gill Sans MT" w:eastAsiaTheme="minorHAnsi" w:hAnsi="Gill Sans MT" w:cstheme="minorBidi"/>
          <w:kern w:val="2"/>
          <w:szCs w:val="26"/>
          <w14:ligatures w14:val="standardContextual"/>
        </w:rPr>
        <w:t xml:space="preserve">A second iteration of the route to permanency was put in place for the cohort starting September 2023, which resulted in </w:t>
      </w:r>
      <w:r w:rsidR="00D64D58">
        <w:rPr>
          <w:rFonts w:ascii="Gill Sans MT" w:eastAsiaTheme="minorHAnsi" w:hAnsi="Gill Sans MT" w:cstheme="minorBidi"/>
          <w:kern w:val="2"/>
          <w:szCs w:val="26"/>
          <w14:ligatures w14:val="standardContextual"/>
        </w:rPr>
        <w:t xml:space="preserve">an additional </w:t>
      </w:r>
      <w:r w:rsidRPr="00FF1760">
        <w:rPr>
          <w:rFonts w:ascii="Gill Sans MT" w:eastAsiaTheme="minorHAnsi" w:hAnsi="Gill Sans MT" w:cstheme="minorBidi"/>
          <w:kern w:val="2"/>
          <w:szCs w:val="26"/>
          <w14:ligatures w14:val="standardContextual"/>
        </w:rPr>
        <w:t xml:space="preserve">17 people moving into permanent EO roles. </w:t>
      </w:r>
    </w:p>
    <w:p w14:paraId="32332434" w14:textId="77777777" w:rsidR="00C977A0" w:rsidRPr="00C977A0" w:rsidRDefault="00C977A0" w:rsidP="00C977A0">
      <w:pPr>
        <w:pStyle w:val="Heading3"/>
        <w:rPr>
          <w:highlight w:val="yellow"/>
          <w:lang w:eastAsia="en-IE"/>
        </w:rPr>
      </w:pPr>
      <w:bookmarkStart w:id="195" w:name="_Toc182219518"/>
      <w:bookmarkStart w:id="196" w:name="_Toc182220221"/>
      <w:bookmarkStart w:id="197" w:name="_Toc182555569"/>
      <w:r w:rsidRPr="007A3563">
        <w:rPr>
          <w:lang w:eastAsia="en-IE"/>
        </w:rPr>
        <w:t>2.2.4 Apprenticeships</w:t>
      </w:r>
      <w:bookmarkEnd w:id="195"/>
      <w:bookmarkEnd w:id="196"/>
      <w:bookmarkEnd w:id="197"/>
    </w:p>
    <w:p w14:paraId="3094DA1A" w14:textId="09008FBE" w:rsidR="007A3563" w:rsidRDefault="00C977A0" w:rsidP="00C977A0">
      <w:pPr>
        <w:rPr>
          <w:szCs w:val="26"/>
        </w:rPr>
      </w:pPr>
      <w:r w:rsidRPr="007A3563">
        <w:rPr>
          <w:szCs w:val="26"/>
          <w:lang w:eastAsia="en-IE"/>
        </w:rPr>
        <w:t xml:space="preserve">A review of pathways into apprenticeship in Ireland found that 423 </w:t>
      </w:r>
      <w:r w:rsidR="007A3563" w:rsidRPr="007A3563">
        <w:rPr>
          <w:szCs w:val="26"/>
          <w:lang w:eastAsia="en-IE"/>
        </w:rPr>
        <w:t>disabled people</w:t>
      </w:r>
      <w:r w:rsidRPr="007A3563">
        <w:rPr>
          <w:szCs w:val="26"/>
          <w:lang w:eastAsia="en-IE"/>
        </w:rPr>
        <w:t xml:space="preserve"> completed apprenticeship training</w:t>
      </w:r>
      <w:r w:rsidR="001B7396">
        <w:rPr>
          <w:szCs w:val="26"/>
          <w:lang w:eastAsia="en-IE"/>
        </w:rPr>
        <w:t xml:space="preserve"> in 2018</w:t>
      </w:r>
      <w:r w:rsidRPr="007A3563">
        <w:rPr>
          <w:szCs w:val="26"/>
          <w:lang w:eastAsia="en-IE"/>
        </w:rPr>
        <w:t>,</w:t>
      </w:r>
      <w:r w:rsidR="007A3563" w:rsidRPr="007A3563">
        <w:rPr>
          <w:szCs w:val="26"/>
          <w:lang w:eastAsia="en-IE"/>
        </w:rPr>
        <w:t xml:space="preserve"> which</w:t>
      </w:r>
      <w:r w:rsidRPr="007A3563">
        <w:rPr>
          <w:szCs w:val="26"/>
          <w:lang w:eastAsia="en-IE"/>
        </w:rPr>
        <w:t xml:space="preserve"> represent</w:t>
      </w:r>
      <w:r w:rsidR="007A3563" w:rsidRPr="007A3563">
        <w:rPr>
          <w:szCs w:val="26"/>
          <w:lang w:eastAsia="en-IE"/>
        </w:rPr>
        <w:t>ed</w:t>
      </w:r>
      <w:r w:rsidRPr="007A3563">
        <w:rPr>
          <w:szCs w:val="26"/>
          <w:lang w:eastAsia="en-IE"/>
        </w:rPr>
        <w:t xml:space="preserve"> 2.8% of the Irish apprentice population</w:t>
      </w:r>
      <w:r w:rsidR="0080196F">
        <w:rPr>
          <w:szCs w:val="26"/>
          <w:lang w:eastAsia="en-IE"/>
        </w:rPr>
        <w:t>.</w:t>
      </w:r>
      <w:r w:rsidR="00791FD4">
        <w:rPr>
          <w:szCs w:val="26"/>
          <w:lang w:eastAsia="en-IE"/>
        </w:rPr>
        <w:t xml:space="preserve"> </w:t>
      </w:r>
      <w:r w:rsidR="00791FD4">
        <w:rPr>
          <w:szCs w:val="26"/>
          <w:lang w:eastAsia="en-IE"/>
        </w:rPr>
        <w:fldChar w:fldCharType="begin"/>
      </w:r>
      <w:r w:rsidR="00C0772E">
        <w:rPr>
          <w:szCs w:val="26"/>
          <w:lang w:eastAsia="en-IE"/>
        </w:rPr>
        <w:instrText xml:space="preserve"> ADDIN ZOTERO_ITEM CSL_CITATION {"citationID":"mZt9DVv2","properties":{"formattedCitation":"(32)","plainCitation":"(32)","noteIndex":0},"citationItems":[{"id":199,"uris":["http://zotero.org/users/local/kvLunvBP/items/RZHLVDCM"],"itemData":{"id":199,"type":"report","title":"Review of pathways to  participation in apprenticeship","URL":"https://www.solas.ie/f/70398/x/fb640012f5/pathwaysapprenticeshipreviewnov18.pdf","author":[{"family":"SOLAS","given":""}],"issued":{"date-parts":[["2018"]]}}}],"schema":"https://github.com/citation-style-language/schema/raw/master/csl-citation.json"} </w:instrText>
      </w:r>
      <w:r w:rsidR="00791FD4">
        <w:rPr>
          <w:szCs w:val="26"/>
          <w:lang w:eastAsia="en-IE"/>
        </w:rPr>
        <w:fldChar w:fldCharType="separate"/>
      </w:r>
      <w:r w:rsidR="00C0772E" w:rsidRPr="00C0772E">
        <w:t>(32)</w:t>
      </w:r>
      <w:r w:rsidR="00791FD4">
        <w:rPr>
          <w:szCs w:val="26"/>
          <w:lang w:eastAsia="en-IE"/>
        </w:rPr>
        <w:fldChar w:fldCharType="end"/>
      </w:r>
      <w:r w:rsidRPr="007A3563">
        <w:rPr>
          <w:szCs w:val="26"/>
          <w:lang w:eastAsia="en-IE"/>
        </w:rPr>
        <w:t xml:space="preserve"> </w:t>
      </w:r>
      <w:r w:rsidRPr="007A3563">
        <w:rPr>
          <w:szCs w:val="26"/>
        </w:rPr>
        <w:t>A majority of these</w:t>
      </w:r>
      <w:r w:rsidR="00806BA1">
        <w:rPr>
          <w:szCs w:val="26"/>
        </w:rPr>
        <w:t xml:space="preserve"> (</w:t>
      </w:r>
      <w:r w:rsidRPr="007A3563">
        <w:rPr>
          <w:szCs w:val="26"/>
        </w:rPr>
        <w:t>64.5%</w:t>
      </w:r>
      <w:r w:rsidR="00806BA1">
        <w:rPr>
          <w:szCs w:val="26"/>
        </w:rPr>
        <w:t>)</w:t>
      </w:r>
      <w:r w:rsidRPr="007A3563">
        <w:rPr>
          <w:szCs w:val="26"/>
        </w:rPr>
        <w:t>, identified themselves as having dyslexia</w:t>
      </w:r>
      <w:r w:rsidR="00806BA1">
        <w:rPr>
          <w:szCs w:val="26"/>
        </w:rPr>
        <w:t>,</w:t>
      </w:r>
      <w:r w:rsidRPr="007A3563">
        <w:rPr>
          <w:szCs w:val="26"/>
        </w:rPr>
        <w:t xml:space="preserve"> and a further 10% identified other disabilities related to learning (dyscalculia, dyspraxia, ADD, ADHD). A</w:t>
      </w:r>
      <w:r w:rsidR="007A3563">
        <w:rPr>
          <w:szCs w:val="26"/>
        </w:rPr>
        <w:t>pproximately</w:t>
      </w:r>
      <w:r w:rsidRPr="007A3563">
        <w:rPr>
          <w:szCs w:val="26"/>
        </w:rPr>
        <w:t xml:space="preserve"> 13% had physical, hearing</w:t>
      </w:r>
      <w:r w:rsidR="00806BA1">
        <w:rPr>
          <w:szCs w:val="26"/>
        </w:rPr>
        <w:t>,</w:t>
      </w:r>
      <w:r w:rsidRPr="007A3563">
        <w:rPr>
          <w:szCs w:val="26"/>
        </w:rPr>
        <w:t xml:space="preserve"> or visual disabilities, while 28% did not specify what </w:t>
      </w:r>
      <w:r w:rsidR="007A3563">
        <w:rPr>
          <w:szCs w:val="26"/>
        </w:rPr>
        <w:t xml:space="preserve">type of </w:t>
      </w:r>
      <w:r w:rsidRPr="007A3563">
        <w:rPr>
          <w:szCs w:val="26"/>
        </w:rPr>
        <w:t xml:space="preserve">disability they had. </w:t>
      </w:r>
      <w:r w:rsidR="00806BA1">
        <w:rPr>
          <w:szCs w:val="26"/>
        </w:rPr>
        <w:t>Given national disability prevalence</w:t>
      </w:r>
      <w:r w:rsidR="00A94073">
        <w:rPr>
          <w:szCs w:val="26"/>
        </w:rPr>
        <w:t xml:space="preserve"> as indicated by Census 2016</w:t>
      </w:r>
      <w:r w:rsidR="00806BA1">
        <w:rPr>
          <w:szCs w:val="26"/>
        </w:rPr>
        <w:t>, people</w:t>
      </w:r>
      <w:r w:rsidRPr="007A3563">
        <w:rPr>
          <w:szCs w:val="26"/>
        </w:rPr>
        <w:t xml:space="preserve"> with disabilities </w:t>
      </w:r>
      <w:r w:rsidR="007A3563">
        <w:rPr>
          <w:szCs w:val="26"/>
        </w:rPr>
        <w:t xml:space="preserve">were </w:t>
      </w:r>
      <w:r w:rsidRPr="007A3563">
        <w:rPr>
          <w:szCs w:val="26"/>
        </w:rPr>
        <w:t xml:space="preserve">significantly underrepresented in the 2018 apprenticeship population. </w:t>
      </w:r>
    </w:p>
    <w:p w14:paraId="6B10A74D" w14:textId="54E76178" w:rsidR="009B43C5" w:rsidRPr="00C44E0E" w:rsidRDefault="00AD5AC9" w:rsidP="00C977A0">
      <w:pPr>
        <w:rPr>
          <w:szCs w:val="26"/>
        </w:rPr>
      </w:pPr>
      <w:r>
        <w:rPr>
          <w:szCs w:val="26"/>
        </w:rPr>
        <w:t xml:space="preserve">Until recently, the AHEAD series of reports on the numbers of people with disabilities </w:t>
      </w:r>
      <w:bookmarkStart w:id="198" w:name="_Hlk177467892"/>
      <w:r>
        <w:rPr>
          <w:szCs w:val="26"/>
        </w:rPr>
        <w:t xml:space="preserve">registered with disability support services in HEIs </w:t>
      </w:r>
      <w:bookmarkEnd w:id="198"/>
      <w:r>
        <w:rPr>
          <w:szCs w:val="26"/>
        </w:rPr>
        <w:t xml:space="preserve">(see indicator </w:t>
      </w:r>
      <w:r w:rsidR="00E9202D">
        <w:rPr>
          <w:szCs w:val="26"/>
        </w:rPr>
        <w:t>1.3.1</w:t>
      </w:r>
      <w:r>
        <w:rPr>
          <w:szCs w:val="26"/>
        </w:rPr>
        <w:t xml:space="preserve">) did not include any information on apprenticeships. The </w:t>
      </w:r>
      <w:r w:rsidR="000F1979">
        <w:rPr>
          <w:szCs w:val="26"/>
        </w:rPr>
        <w:t xml:space="preserve">2021/22 report was the first in the series </w:t>
      </w:r>
      <w:r>
        <w:rPr>
          <w:szCs w:val="26"/>
        </w:rPr>
        <w:t>to analyse</w:t>
      </w:r>
      <w:r w:rsidR="000F1979">
        <w:rPr>
          <w:szCs w:val="26"/>
        </w:rPr>
        <w:t xml:space="preserve"> the participation of disabled </w:t>
      </w:r>
      <w:r w:rsidR="008137BC">
        <w:rPr>
          <w:szCs w:val="26"/>
        </w:rPr>
        <w:t>individuals</w:t>
      </w:r>
      <w:r w:rsidR="000F1979">
        <w:rPr>
          <w:szCs w:val="26"/>
        </w:rPr>
        <w:t xml:space="preserve"> </w:t>
      </w:r>
      <w:r w:rsidR="008137BC">
        <w:rPr>
          <w:szCs w:val="26"/>
        </w:rPr>
        <w:t xml:space="preserve">engaged in apprenticeships </w:t>
      </w:r>
      <w:r w:rsidR="001B7396">
        <w:rPr>
          <w:szCs w:val="26"/>
        </w:rPr>
        <w:t>through</w:t>
      </w:r>
      <w:r w:rsidR="008137BC">
        <w:rPr>
          <w:szCs w:val="26"/>
        </w:rPr>
        <w:t xml:space="preserve"> </w:t>
      </w:r>
      <w:r w:rsidR="00185733">
        <w:rPr>
          <w:szCs w:val="26"/>
        </w:rPr>
        <w:t>HEIs</w:t>
      </w:r>
      <w:r w:rsidR="0080196F">
        <w:rPr>
          <w:szCs w:val="26"/>
        </w:rPr>
        <w:t>.</w:t>
      </w:r>
      <w:r w:rsidR="007E5B47">
        <w:rPr>
          <w:szCs w:val="26"/>
        </w:rPr>
        <w:t xml:space="preserve"> </w:t>
      </w:r>
      <w:r w:rsidR="007E5B47">
        <w:rPr>
          <w:szCs w:val="26"/>
        </w:rPr>
        <w:fldChar w:fldCharType="begin"/>
      </w:r>
      <w:r w:rsidR="006B1C05">
        <w:rPr>
          <w:szCs w:val="26"/>
        </w:rPr>
        <w:instrText xml:space="preserve"> ADDIN ZOTERO_ITEM CSL_CITATION {"citationID":"WVh8Aii3","properties":{"formattedCitation":"(59)","plainCitation":"(59)","noteIndex":0},"citationItems":[{"id":162,"uris":["http://zotero.org/users/local/kvLunvBP/items/Z3VU7VUY"],"itemData":{"id":162,"type":"report","language":"en-GB","note":"publisher: AHEAD","title":"Students with disabilities engaged with student support services in higher education in Ireland 2021/2022","URL":"https://www.ahead.ie/userfiles/files/AHEAD_Research_Report_22_Interactive.pdf","author":[{"family":"AHEAD","given":""}],"accessed":{"date-parts":[["2024",6,25]]},"issued":{"date-parts":[["2023"]]}}}],"schema":"https://github.com/citation-style-language/schema/raw/master/csl-citation.json"} </w:instrText>
      </w:r>
      <w:r w:rsidR="007E5B47">
        <w:rPr>
          <w:szCs w:val="26"/>
        </w:rPr>
        <w:fldChar w:fldCharType="separate"/>
      </w:r>
      <w:r w:rsidR="006B1C05" w:rsidRPr="006B1C05">
        <w:t>(59)</w:t>
      </w:r>
      <w:r w:rsidR="007E5B47">
        <w:rPr>
          <w:szCs w:val="26"/>
        </w:rPr>
        <w:fldChar w:fldCharType="end"/>
      </w:r>
      <w:r w:rsidR="008137BC">
        <w:rPr>
          <w:szCs w:val="26"/>
        </w:rPr>
        <w:t xml:space="preserve"> </w:t>
      </w:r>
      <w:r w:rsidR="007E5B47">
        <w:rPr>
          <w:szCs w:val="26"/>
        </w:rPr>
        <w:t>In the 2022/23 report, data on apprenticeships was provided by 10 of 24 participating HEIs, up from 9 for the 2021/22 report</w:t>
      </w:r>
      <w:r w:rsidR="0080196F">
        <w:rPr>
          <w:szCs w:val="26"/>
        </w:rPr>
        <w:t>.</w:t>
      </w:r>
      <w:r w:rsidR="007E5B47">
        <w:rPr>
          <w:szCs w:val="26"/>
        </w:rPr>
        <w:t xml:space="preserve"> </w:t>
      </w:r>
      <w:r w:rsidR="007E5B47">
        <w:rPr>
          <w:szCs w:val="26"/>
        </w:rPr>
        <w:fldChar w:fldCharType="begin"/>
      </w:r>
      <w:r w:rsidR="00C0772E">
        <w:rPr>
          <w:szCs w:val="26"/>
        </w:rPr>
        <w:instrText xml:space="preserve"> ADDIN ZOTERO_ITEM CSL_CITATION {"citationID":"2rcFCSEp","properties":{"formattedCitation":"(24)","plainCitation":"(24)","noteIndex":0},"citationItems":[{"id":210,"uris":["http://zotero.org/users/local/kvLunvBP/items/WCTNH8NJ"],"itemData":{"id":210,"type":"report","language":"en-GB","note":"publisher: AHEAD","title":"Students with disabilities engaged with support services in higher education in Ireland 2022/23","URL":"https://www.ahead.ie/userfiles/files/AHEAD_Research_Report_23_digital_supplied.pdf","author":[{"family":"AHEAD","given":""}],"accessed":{"date-parts":[["2024",7,30]]},"issued":{"date-parts":[["2024"]]}}}],"schema":"https://github.com/citation-style-language/schema/raw/master/csl-citation.json"} </w:instrText>
      </w:r>
      <w:r w:rsidR="007E5B47">
        <w:rPr>
          <w:szCs w:val="26"/>
        </w:rPr>
        <w:fldChar w:fldCharType="separate"/>
      </w:r>
      <w:r w:rsidR="00C0772E" w:rsidRPr="00C0772E">
        <w:t>(24)</w:t>
      </w:r>
      <w:r w:rsidR="007E5B47">
        <w:rPr>
          <w:szCs w:val="26"/>
        </w:rPr>
        <w:fldChar w:fldCharType="end"/>
      </w:r>
      <w:r w:rsidR="0080196F">
        <w:rPr>
          <w:szCs w:val="26"/>
        </w:rPr>
        <w:t xml:space="preserve"> </w:t>
      </w:r>
      <w:r w:rsidR="007E5B47">
        <w:rPr>
          <w:szCs w:val="26"/>
        </w:rPr>
        <w:t>Overall, it was reported that there were 7,630 individuals on craft apprenticeships across responding HEIs in 2022/23, of which 510 or 6.7% were registered with their institution’s disability support service</w:t>
      </w:r>
      <w:r w:rsidR="00185733">
        <w:rPr>
          <w:szCs w:val="26"/>
        </w:rPr>
        <w:t xml:space="preserve">; this represents </w:t>
      </w:r>
      <w:bookmarkStart w:id="199" w:name="_Hlk177467776"/>
      <w:r w:rsidR="00185733">
        <w:rPr>
          <w:szCs w:val="26"/>
        </w:rPr>
        <w:t>a 20% increase from 2021/22</w:t>
      </w:r>
      <w:r w:rsidR="0080196F">
        <w:rPr>
          <w:szCs w:val="26"/>
        </w:rPr>
        <w:t>.</w:t>
      </w:r>
      <w:r w:rsidR="00185733">
        <w:rPr>
          <w:szCs w:val="26"/>
        </w:rPr>
        <w:t xml:space="preserve"> </w:t>
      </w:r>
      <w:bookmarkEnd w:id="199"/>
      <w:r w:rsidR="00016418">
        <w:rPr>
          <w:szCs w:val="26"/>
        </w:rPr>
        <w:fldChar w:fldCharType="begin"/>
      </w:r>
      <w:r w:rsidR="00C0772E">
        <w:rPr>
          <w:szCs w:val="26"/>
        </w:rPr>
        <w:instrText xml:space="preserve"> ADDIN ZOTERO_ITEM CSL_CITATION {"citationID":"SlO8z7hh","properties":{"formattedCitation":"(24)","plainCitation":"(24)","noteIndex":0},"citationItems":[{"id":210,"uris":["http://zotero.org/users/local/kvLunvBP/items/WCTNH8NJ"],"itemData":{"id":210,"type":"report","language":"en-GB","note":"publisher: AHEAD","title":"Students with disabilities engaged with support services in higher education in Ireland 2022/23","URL":"https://www.ahead.ie/userfiles/files/AHEAD_Research_Report_23_digital_supplied.pdf","author":[{"family":"AHEAD","given":""}],"accessed":{"date-parts":[["2024",7,30]]},"issued":{"date-parts":[["2024"]]}}}],"schema":"https://github.com/citation-style-language/schema/raw/master/csl-citation.json"} </w:instrText>
      </w:r>
      <w:r w:rsidR="00016418">
        <w:rPr>
          <w:szCs w:val="26"/>
        </w:rPr>
        <w:fldChar w:fldCharType="separate"/>
      </w:r>
      <w:r w:rsidR="00C0772E" w:rsidRPr="00C0772E">
        <w:t>(24)</w:t>
      </w:r>
      <w:r w:rsidR="00016418">
        <w:rPr>
          <w:szCs w:val="26"/>
        </w:rPr>
        <w:fldChar w:fldCharType="end"/>
      </w:r>
      <w:r w:rsidR="00016418">
        <w:rPr>
          <w:szCs w:val="26"/>
        </w:rPr>
        <w:t xml:space="preserve"> </w:t>
      </w:r>
      <w:r w:rsidR="001B7396">
        <w:rPr>
          <w:szCs w:val="26"/>
        </w:rPr>
        <w:t>There were 1,730 students/learners engaged in other apprenticeships across responding HEIs in 2022/23, of which 2.3% (n = 21) were registered with the disability support service</w:t>
      </w:r>
      <w:r w:rsidR="00DF61BE">
        <w:rPr>
          <w:szCs w:val="26"/>
        </w:rPr>
        <w:t>. Th</w:t>
      </w:r>
      <w:r w:rsidR="00A94073">
        <w:rPr>
          <w:szCs w:val="26"/>
        </w:rPr>
        <w:t>is represented</w:t>
      </w:r>
      <w:r w:rsidR="00DF61BE">
        <w:rPr>
          <w:szCs w:val="26"/>
        </w:rPr>
        <w:t xml:space="preserve"> no change from 2021/22</w:t>
      </w:r>
      <w:r w:rsidR="0080196F">
        <w:rPr>
          <w:szCs w:val="26"/>
        </w:rPr>
        <w:t>.</w:t>
      </w:r>
      <w:r w:rsidR="00DF61BE">
        <w:rPr>
          <w:szCs w:val="26"/>
        </w:rPr>
        <w:t xml:space="preserve"> </w:t>
      </w:r>
      <w:r w:rsidR="00DF61BE">
        <w:rPr>
          <w:szCs w:val="26"/>
        </w:rPr>
        <w:fldChar w:fldCharType="begin"/>
      </w:r>
      <w:r w:rsidR="00C0772E">
        <w:rPr>
          <w:szCs w:val="26"/>
        </w:rPr>
        <w:instrText xml:space="preserve"> ADDIN ZOTERO_ITEM CSL_CITATION {"citationID":"L3tRsCMk","properties":{"formattedCitation":"(24)","plainCitation":"(24)","noteIndex":0},"citationItems":[{"id":210,"uris":["http://zotero.org/users/local/kvLunvBP/items/WCTNH8NJ"],"itemData":{"id":210,"type":"report","language":"en-GB","note":"publisher: AHEAD","title":"Students with disabilities engaged with support services in higher education in Ireland 2022/23","URL":"https://www.ahead.ie/userfiles/files/AHEAD_Research_Report_23_digital_supplied.pdf","author":[{"family":"AHEAD","given":""}],"accessed":{"date-parts":[["2024",7,30]]},"issued":{"date-parts":[["2024"]]}}}],"schema":"https://github.com/citation-style-language/schema/raw/master/csl-citation.json"} </w:instrText>
      </w:r>
      <w:r w:rsidR="00DF61BE">
        <w:rPr>
          <w:szCs w:val="26"/>
        </w:rPr>
        <w:fldChar w:fldCharType="separate"/>
      </w:r>
      <w:r w:rsidR="00C0772E" w:rsidRPr="00C0772E">
        <w:t>(24)</w:t>
      </w:r>
      <w:r w:rsidR="00DF61BE">
        <w:rPr>
          <w:szCs w:val="26"/>
        </w:rPr>
        <w:fldChar w:fldCharType="end"/>
      </w:r>
    </w:p>
    <w:p w14:paraId="731E06D4" w14:textId="5CA3A4B7" w:rsidR="007A3563" w:rsidRDefault="007A3563" w:rsidP="00C977A0">
      <w:pPr>
        <w:rPr>
          <w:szCs w:val="26"/>
        </w:rPr>
      </w:pPr>
      <w:r w:rsidRPr="007A3563">
        <w:rPr>
          <w:szCs w:val="26"/>
        </w:rPr>
        <w:t>The Action Plan for Apprenticeships</w:t>
      </w:r>
      <w:r>
        <w:rPr>
          <w:szCs w:val="26"/>
        </w:rPr>
        <w:t xml:space="preserve"> 2021-2025 contains a number of actions relating to people with disabilities.</w:t>
      </w:r>
      <w:r w:rsidR="00112720">
        <w:rPr>
          <w:szCs w:val="26"/>
        </w:rPr>
        <w:t xml:space="preserve"> </w:t>
      </w:r>
      <w:r w:rsidR="00112720">
        <w:rPr>
          <w:szCs w:val="26"/>
        </w:rPr>
        <w:fldChar w:fldCharType="begin"/>
      </w:r>
      <w:r w:rsidR="006B1C05">
        <w:rPr>
          <w:szCs w:val="26"/>
        </w:rPr>
        <w:instrText xml:space="preserve"> ADDIN ZOTERO_ITEM CSL_CITATION {"citationID":"CPuYBlBw","properties":{"formattedCitation":"(60)","plainCitation":"(60)","noteIndex":0},"citationItems":[{"id":324,"uris":["http://zotero.org/users/local/kvLunvBP/items/RVPYJPHH"],"itemData":{"id":324,"type":"report","title":"Action Plan for Apprenticeship 2021-2015","URL":"https://www.gov.ie/pdf/?file=https://assets.gov.ie/132640/00c012f4-531c-4578-b8bb-179db4351939.pdf#page=null","author":[{"family":"Department of Further and Higher Education, Research, Innovation and Science","given":""}],"issued":{"date-parts":[["2021"]]}}}],"schema":"https://github.com/citation-style-language/schema/raw/master/csl-citation.json"} </w:instrText>
      </w:r>
      <w:r w:rsidR="00112720">
        <w:rPr>
          <w:szCs w:val="26"/>
        </w:rPr>
        <w:fldChar w:fldCharType="separate"/>
      </w:r>
      <w:r w:rsidR="006B1C05" w:rsidRPr="006B1C05">
        <w:t>(60)</w:t>
      </w:r>
      <w:r w:rsidR="00112720">
        <w:rPr>
          <w:szCs w:val="26"/>
        </w:rPr>
        <w:fldChar w:fldCharType="end"/>
      </w:r>
      <w:r>
        <w:rPr>
          <w:szCs w:val="26"/>
        </w:rPr>
        <w:t xml:space="preserve"> One action commits the National Apprenticeship Office (NAO) to establish</w:t>
      </w:r>
      <w:r w:rsidR="00A94073">
        <w:rPr>
          <w:szCs w:val="26"/>
        </w:rPr>
        <w:t>ing</w:t>
      </w:r>
      <w:r>
        <w:rPr>
          <w:szCs w:val="26"/>
        </w:rPr>
        <w:t xml:space="preserve"> a performance framework to assess the efficiency and effectiveness of apprenticeship which includes the monitoring of apprentice mix in terms of gender, age, ethnicity, socioeconomic background, and disability.</w:t>
      </w:r>
      <w:r w:rsidR="00112720">
        <w:rPr>
          <w:szCs w:val="26"/>
        </w:rPr>
        <w:t xml:space="preserve"> </w:t>
      </w:r>
    </w:p>
    <w:p w14:paraId="31FBBDDB" w14:textId="16028B1E" w:rsidR="007A3563" w:rsidRDefault="007A3563" w:rsidP="00C977A0">
      <w:pPr>
        <w:rPr>
          <w:szCs w:val="26"/>
        </w:rPr>
      </w:pPr>
      <w:r>
        <w:rPr>
          <w:szCs w:val="26"/>
        </w:rPr>
        <w:t xml:space="preserve">Another action in the Action Plan was to deliver a bursary programme to </w:t>
      </w:r>
      <w:r w:rsidR="00E36674">
        <w:rPr>
          <w:szCs w:val="26"/>
        </w:rPr>
        <w:t>provide funding support</w:t>
      </w:r>
      <w:r>
        <w:rPr>
          <w:szCs w:val="26"/>
        </w:rPr>
        <w:t xml:space="preserve"> up to 100 apprentices each year who are experiencing socioeconomic disadvantage</w:t>
      </w:r>
      <w:r w:rsidR="00D15E69">
        <w:rPr>
          <w:szCs w:val="26"/>
        </w:rPr>
        <w:t xml:space="preserve"> and who are from target groups, including lone parents, Travellers and Roma, and people with disabilities. In Budget 2023, a total of €400,000 was granted to DFHERIS under the heading of access and inclusion measures, of which €100,00 was allocated to this bursary for targeted access for eligible learners to apprenticeship courses. </w:t>
      </w:r>
      <w:r w:rsidR="00E36674">
        <w:rPr>
          <w:szCs w:val="26"/>
        </w:rPr>
        <w:t xml:space="preserve">The </w:t>
      </w:r>
      <w:r w:rsidR="00A94073">
        <w:rPr>
          <w:szCs w:val="26"/>
        </w:rPr>
        <w:t>b</w:t>
      </w:r>
      <w:r w:rsidR="00E36674">
        <w:rPr>
          <w:szCs w:val="26"/>
        </w:rPr>
        <w:t xml:space="preserve">ursary </w:t>
      </w:r>
      <w:r w:rsidR="00C44E0E">
        <w:rPr>
          <w:szCs w:val="26"/>
        </w:rPr>
        <w:t>was</w:t>
      </w:r>
      <w:r w:rsidR="00E36674">
        <w:rPr>
          <w:szCs w:val="26"/>
        </w:rPr>
        <w:t xml:space="preserve"> also </w:t>
      </w:r>
      <w:r w:rsidR="00C44E0E">
        <w:rPr>
          <w:szCs w:val="26"/>
        </w:rPr>
        <w:t xml:space="preserve">made </w:t>
      </w:r>
      <w:r w:rsidR="00E36674">
        <w:rPr>
          <w:szCs w:val="26"/>
        </w:rPr>
        <w:t xml:space="preserve">available in 2024. </w:t>
      </w:r>
      <w:r w:rsidR="00E36674" w:rsidRPr="00E36674">
        <w:rPr>
          <w:szCs w:val="26"/>
        </w:rPr>
        <w:t>Up to €3</w:t>
      </w:r>
      <w:r w:rsidR="00253611">
        <w:rPr>
          <w:szCs w:val="26"/>
        </w:rPr>
        <w:t>,</w:t>
      </w:r>
      <w:r w:rsidR="00E36674" w:rsidRPr="00E36674">
        <w:rPr>
          <w:szCs w:val="26"/>
        </w:rPr>
        <w:t xml:space="preserve">000 per </w:t>
      </w:r>
      <w:r w:rsidR="00E36674">
        <w:rPr>
          <w:szCs w:val="26"/>
        </w:rPr>
        <w:t>apprentice</w:t>
      </w:r>
      <w:r w:rsidR="00E36674" w:rsidRPr="00E36674">
        <w:rPr>
          <w:szCs w:val="26"/>
        </w:rPr>
        <w:t xml:space="preserve"> is available to </w:t>
      </w:r>
      <w:r w:rsidR="00E36674">
        <w:rPr>
          <w:szCs w:val="26"/>
        </w:rPr>
        <w:t>help with costs</w:t>
      </w:r>
      <w:r w:rsidR="00E36674" w:rsidRPr="00E36674">
        <w:rPr>
          <w:szCs w:val="26"/>
        </w:rPr>
        <w:t xml:space="preserve"> associated with accommodation, </w:t>
      </w:r>
      <w:r w:rsidR="00E36674">
        <w:rPr>
          <w:szCs w:val="26"/>
        </w:rPr>
        <w:t xml:space="preserve">travel, </w:t>
      </w:r>
      <w:r w:rsidR="00E36674" w:rsidRPr="00E36674">
        <w:rPr>
          <w:szCs w:val="26"/>
        </w:rPr>
        <w:t>equipment, and preparation for training.</w:t>
      </w:r>
      <w:r w:rsidR="00E36674">
        <w:rPr>
          <w:szCs w:val="26"/>
        </w:rPr>
        <w:t xml:space="preserve"> While the bursary scheme is welcome, the NDA notes that</w:t>
      </w:r>
      <w:r w:rsidR="00D15E69">
        <w:rPr>
          <w:szCs w:val="26"/>
        </w:rPr>
        <w:t xml:space="preserve"> </w:t>
      </w:r>
      <w:r w:rsidR="00E36674">
        <w:rPr>
          <w:szCs w:val="26"/>
        </w:rPr>
        <w:t>online information</w:t>
      </w:r>
      <w:r w:rsidR="00D15E69">
        <w:rPr>
          <w:szCs w:val="26"/>
        </w:rPr>
        <w:t xml:space="preserve"> relating to the Access and Inclusion Bursary do</w:t>
      </w:r>
      <w:r w:rsidR="00E36674">
        <w:rPr>
          <w:szCs w:val="26"/>
        </w:rPr>
        <w:t>es</w:t>
      </w:r>
      <w:r w:rsidR="00D15E69">
        <w:rPr>
          <w:szCs w:val="26"/>
        </w:rPr>
        <w:t xml:space="preserve"> </w:t>
      </w:r>
      <w:r w:rsidR="00E36674">
        <w:rPr>
          <w:szCs w:val="26"/>
        </w:rPr>
        <w:t>not refer anywhere to disability and that disability is not included as a</w:t>
      </w:r>
      <w:r w:rsidR="00C44E0E">
        <w:rPr>
          <w:szCs w:val="26"/>
        </w:rPr>
        <w:t xml:space="preserve"> stated </w:t>
      </w:r>
      <w:r w:rsidR="00E36674">
        <w:rPr>
          <w:szCs w:val="26"/>
        </w:rPr>
        <w:t>eligibility criterion for the scheme</w:t>
      </w:r>
      <w:r w:rsidR="0080196F">
        <w:rPr>
          <w:szCs w:val="26"/>
        </w:rPr>
        <w:t>.</w:t>
      </w:r>
      <w:r w:rsidR="002158B2">
        <w:rPr>
          <w:szCs w:val="26"/>
        </w:rPr>
        <w:t xml:space="preserve"> </w:t>
      </w:r>
      <w:r w:rsidR="002158B2">
        <w:rPr>
          <w:szCs w:val="26"/>
        </w:rPr>
        <w:fldChar w:fldCharType="begin"/>
      </w:r>
      <w:r w:rsidR="006B1C05">
        <w:rPr>
          <w:szCs w:val="26"/>
        </w:rPr>
        <w:instrText xml:space="preserve"> ADDIN ZOTERO_ITEM CSL_CITATION {"citationID":"uJZdO44V","properties":{"formattedCitation":"(61)","plainCitation":"(61)","noteIndex":0},"citationItems":[{"id":207,"uris":["http://zotero.org/users/local/kvLunvBP/items/STUDZFU5"],"itemData":{"id":207,"type":"webpage","container-title":"Generation Apprenticeship","language":"en","title":"New Access and Inclusion Bursary","URL":"https://apprenticeship.ie/news-events/news/access-and-inclusion-bursary","author":[{"family":"National Apprenticeship Office","given":""}],"accessed":{"date-parts":[["2024",7,26]]},"issued":{"date-parts":[["2024"]]}}}],"schema":"https://github.com/citation-style-language/schema/raw/master/csl-citation.json"} </w:instrText>
      </w:r>
      <w:r w:rsidR="002158B2">
        <w:rPr>
          <w:szCs w:val="26"/>
        </w:rPr>
        <w:fldChar w:fldCharType="separate"/>
      </w:r>
      <w:r w:rsidR="006B1C05" w:rsidRPr="006B1C05">
        <w:t>(61)</w:t>
      </w:r>
      <w:r w:rsidR="002158B2">
        <w:rPr>
          <w:szCs w:val="26"/>
        </w:rPr>
        <w:fldChar w:fldCharType="end"/>
      </w:r>
    </w:p>
    <w:p w14:paraId="3BD61BC0" w14:textId="2697D4EC" w:rsidR="00C20895" w:rsidRDefault="00C34A69" w:rsidP="00C977A0">
      <w:pPr>
        <w:rPr>
          <w:szCs w:val="26"/>
        </w:rPr>
      </w:pPr>
      <w:r>
        <w:rPr>
          <w:szCs w:val="26"/>
        </w:rPr>
        <w:t>The</w:t>
      </w:r>
      <w:r w:rsidR="00C20895">
        <w:rPr>
          <w:szCs w:val="26"/>
        </w:rPr>
        <w:t xml:space="preserve"> Action Plan for Apprenticeship </w:t>
      </w:r>
      <w:r>
        <w:rPr>
          <w:szCs w:val="26"/>
        </w:rPr>
        <w:t>also included an action</w:t>
      </w:r>
      <w:r w:rsidR="00C20895">
        <w:rPr>
          <w:szCs w:val="26"/>
        </w:rPr>
        <w:t xml:space="preserve"> to conduct a baseline survey of the more than 6</w:t>
      </w:r>
      <w:r w:rsidR="00253611">
        <w:rPr>
          <w:szCs w:val="26"/>
        </w:rPr>
        <w:t>,</w:t>
      </w:r>
      <w:r w:rsidR="00C20895">
        <w:rPr>
          <w:szCs w:val="26"/>
        </w:rPr>
        <w:t>000 apprentice employers in Ireland to assess employer attitudes and awareness of employer supports relating to supporting employees with disabilities.</w:t>
      </w:r>
      <w:r w:rsidR="00542568">
        <w:rPr>
          <w:szCs w:val="26"/>
        </w:rPr>
        <w:t xml:space="preserve"> In 2023, the first annual national survey of apprenticeship employers was conducted. The report on the findings from that survey in December 2023 does not mention disability.</w:t>
      </w:r>
      <w:r w:rsidR="00112720">
        <w:rPr>
          <w:szCs w:val="26"/>
        </w:rPr>
        <w:t xml:space="preserve"> </w:t>
      </w:r>
      <w:r w:rsidR="00112720">
        <w:rPr>
          <w:szCs w:val="26"/>
        </w:rPr>
        <w:fldChar w:fldCharType="begin"/>
      </w:r>
      <w:r w:rsidR="006B1C05">
        <w:rPr>
          <w:szCs w:val="26"/>
        </w:rPr>
        <w:instrText xml:space="preserve"> ADDIN ZOTERO_ITEM CSL_CITATION {"citationID":"I1NAja2W","properties":{"formattedCitation":"(62)","plainCitation":"(62)","noteIndex":0},"citationItems":[{"id":325,"uris":["http://zotero.org/users/local/kvLunvBP/items/KP3BJ4JH"],"itemData":{"id":325,"type":"report","event-place":"2023","publisher-place":"2023","title":"Findings from the 2023 national survey of apprenticeship employers","URL":"https://content.apprenticeship.ie/f/83224/x/a1f830e934/employersurveyreport2023_final.pdf","author":[{"family":"National Apprenticeship Office","given":""}]}}],"schema":"https://github.com/citation-style-language/schema/raw/master/csl-citation.json"} </w:instrText>
      </w:r>
      <w:r w:rsidR="00112720">
        <w:rPr>
          <w:szCs w:val="26"/>
        </w:rPr>
        <w:fldChar w:fldCharType="separate"/>
      </w:r>
      <w:r w:rsidR="006B1C05" w:rsidRPr="006B1C05">
        <w:t>(62)</w:t>
      </w:r>
      <w:r w:rsidR="00112720">
        <w:rPr>
          <w:szCs w:val="26"/>
        </w:rPr>
        <w:fldChar w:fldCharType="end"/>
      </w:r>
    </w:p>
    <w:p w14:paraId="09E6CDAB" w14:textId="2DB389BC" w:rsidR="00C977A0" w:rsidRPr="005C0785" w:rsidRDefault="00E9202D" w:rsidP="005C0785">
      <w:pPr>
        <w:pStyle w:val="NormalAfterList"/>
        <w:rPr>
          <w:b/>
          <w:bCs/>
          <w:lang w:eastAsia="en-IE"/>
        </w:rPr>
      </w:pPr>
      <w:r w:rsidRPr="005C0785">
        <w:rPr>
          <w:b/>
          <w:bCs/>
          <w:lang w:eastAsia="en-IE"/>
        </w:rPr>
        <w:t xml:space="preserve">Indicator </w:t>
      </w:r>
      <w:r w:rsidR="00C977A0" w:rsidRPr="005C0785">
        <w:rPr>
          <w:b/>
          <w:bCs/>
          <w:lang w:eastAsia="en-IE"/>
        </w:rPr>
        <w:t xml:space="preserve">2.3 </w:t>
      </w:r>
      <w:r w:rsidRPr="005C0785">
        <w:rPr>
          <w:b/>
          <w:bCs/>
          <w:lang w:eastAsia="en-IE"/>
        </w:rPr>
        <w:t>on the number</w:t>
      </w:r>
      <w:r w:rsidR="00C977A0" w:rsidRPr="005C0785">
        <w:rPr>
          <w:b/>
          <w:bCs/>
          <w:lang w:eastAsia="en-IE"/>
        </w:rPr>
        <w:t xml:space="preserve"> of persons with disabilities in receipt of case management services through Intreo and</w:t>
      </w:r>
      <w:r w:rsidRPr="005C0785">
        <w:rPr>
          <w:b/>
          <w:bCs/>
          <w:lang w:eastAsia="en-IE"/>
        </w:rPr>
        <w:t xml:space="preserve"> the</w:t>
      </w:r>
      <w:r w:rsidR="00C977A0" w:rsidRPr="005C0785">
        <w:rPr>
          <w:b/>
          <w:bCs/>
          <w:lang w:eastAsia="en-IE"/>
        </w:rPr>
        <w:t xml:space="preserve"> broader public employment service </w:t>
      </w:r>
      <w:r w:rsidRPr="005C0785">
        <w:rPr>
          <w:b/>
          <w:bCs/>
          <w:lang w:eastAsia="en-IE"/>
        </w:rPr>
        <w:t>was dropped due to lack of availability of data.</w:t>
      </w:r>
    </w:p>
    <w:p w14:paraId="75ED8CBE" w14:textId="62F2A5F2" w:rsidR="00175A1A" w:rsidRPr="00D85E69" w:rsidRDefault="00175A1A" w:rsidP="00175A1A">
      <w:pPr>
        <w:pStyle w:val="Heading2"/>
        <w:rPr>
          <w:lang w:eastAsia="en-IE"/>
        </w:rPr>
      </w:pPr>
      <w:bookmarkStart w:id="200" w:name="_Toc182219519"/>
      <w:bookmarkStart w:id="201" w:name="_Toc182220222"/>
      <w:bookmarkStart w:id="202" w:name="_Toc182555570"/>
      <w:bookmarkStart w:id="203" w:name="_Toc182555721"/>
      <w:bookmarkStart w:id="204" w:name="_Hlk177390620"/>
      <w:r w:rsidRPr="00D85E69">
        <w:rPr>
          <w:lang w:eastAsia="en-IE"/>
        </w:rPr>
        <w:t>2.4 Proportion of EmployAbility participants exiting into employment (Outcome)</w:t>
      </w:r>
      <w:bookmarkEnd w:id="200"/>
      <w:bookmarkEnd w:id="201"/>
      <w:bookmarkEnd w:id="202"/>
      <w:bookmarkEnd w:id="203"/>
      <w:r w:rsidRPr="00D85E69">
        <w:rPr>
          <w:lang w:eastAsia="en-IE"/>
        </w:rPr>
        <w:t xml:space="preserve"> </w:t>
      </w:r>
    </w:p>
    <w:bookmarkEnd w:id="204"/>
    <w:p w14:paraId="353D4F4F" w14:textId="42C6EFE0" w:rsidR="00175A1A" w:rsidRPr="0060225F" w:rsidRDefault="00175A1A" w:rsidP="00175A1A">
      <w:pPr>
        <w:rPr>
          <w:szCs w:val="26"/>
        </w:rPr>
      </w:pPr>
      <w:r w:rsidRPr="0060225F">
        <w:rPr>
          <w:szCs w:val="26"/>
        </w:rPr>
        <w:t xml:space="preserve">The EmployAbility programme is a national employment service dedicated to improving employment outcomes for jobseekers with a disability. EmployAbility participants are people with a disability, who are </w:t>
      </w:r>
      <w:r w:rsidR="00C8797A">
        <w:rPr>
          <w:szCs w:val="26"/>
        </w:rPr>
        <w:t>‘</w:t>
      </w:r>
      <w:r w:rsidRPr="0060225F">
        <w:rPr>
          <w:szCs w:val="26"/>
        </w:rPr>
        <w:t>job ready</w:t>
      </w:r>
      <w:r w:rsidR="00C8797A">
        <w:rPr>
          <w:szCs w:val="26"/>
        </w:rPr>
        <w:t>’</w:t>
      </w:r>
      <w:r w:rsidRPr="0060225F">
        <w:rPr>
          <w:szCs w:val="26"/>
        </w:rPr>
        <w:t xml:space="preserve">, able to work </w:t>
      </w:r>
      <w:r w:rsidR="00A94073">
        <w:rPr>
          <w:szCs w:val="26"/>
        </w:rPr>
        <w:t xml:space="preserve">for </w:t>
      </w:r>
      <w:r w:rsidRPr="0060225F">
        <w:rPr>
          <w:szCs w:val="26"/>
        </w:rPr>
        <w:t xml:space="preserve">a minimum of </w:t>
      </w:r>
      <w:r>
        <w:rPr>
          <w:szCs w:val="26"/>
        </w:rPr>
        <w:t>eight</w:t>
      </w:r>
      <w:r w:rsidRPr="0060225F">
        <w:rPr>
          <w:szCs w:val="26"/>
        </w:rPr>
        <w:t xml:space="preserve"> hours per week</w:t>
      </w:r>
      <w:r>
        <w:rPr>
          <w:szCs w:val="26"/>
        </w:rPr>
        <w:t>,</w:t>
      </w:r>
      <w:r w:rsidRPr="0060225F">
        <w:rPr>
          <w:szCs w:val="26"/>
        </w:rPr>
        <w:t xml:space="preserve"> and who need the support of a job coach to obtain employment in the open labour market. The service is</w:t>
      </w:r>
      <w:r>
        <w:rPr>
          <w:szCs w:val="26"/>
        </w:rPr>
        <w:t xml:space="preserve"> described as</w:t>
      </w:r>
      <w:r w:rsidRPr="0060225F">
        <w:rPr>
          <w:szCs w:val="26"/>
        </w:rPr>
        <w:t xml:space="preserve"> not suitable for those that have limited ability or skills. The duration of the service is 18 months. </w:t>
      </w:r>
    </w:p>
    <w:p w14:paraId="530E5343" w14:textId="616296DC" w:rsidR="004842FE" w:rsidRDefault="00175A1A" w:rsidP="00175A1A">
      <w:pPr>
        <w:rPr>
          <w:szCs w:val="26"/>
        </w:rPr>
      </w:pPr>
      <w:r w:rsidRPr="0060225F">
        <w:rPr>
          <w:szCs w:val="26"/>
        </w:rPr>
        <w:fldChar w:fldCharType="begin"/>
      </w:r>
      <w:r w:rsidRPr="0060225F">
        <w:rPr>
          <w:szCs w:val="26"/>
        </w:rPr>
        <w:instrText xml:space="preserve"> REF _Ref179895879 \h </w:instrText>
      </w:r>
      <w:r>
        <w:rPr>
          <w:szCs w:val="26"/>
        </w:rPr>
        <w:instrText xml:space="preserve"> \* MERGEFORMAT </w:instrText>
      </w:r>
      <w:r w:rsidRPr="0060225F">
        <w:rPr>
          <w:szCs w:val="26"/>
        </w:rPr>
      </w:r>
      <w:r w:rsidRPr="0060225F">
        <w:rPr>
          <w:szCs w:val="26"/>
        </w:rPr>
        <w:fldChar w:fldCharType="separate"/>
      </w:r>
      <w:r w:rsidR="009C4192">
        <w:t xml:space="preserve">Table </w:t>
      </w:r>
      <w:r w:rsidR="009C4192">
        <w:rPr>
          <w:noProof/>
        </w:rPr>
        <w:t>9</w:t>
      </w:r>
      <w:r w:rsidRPr="0060225F">
        <w:rPr>
          <w:szCs w:val="26"/>
        </w:rPr>
        <w:fldChar w:fldCharType="end"/>
      </w:r>
      <w:r w:rsidRPr="0060225F">
        <w:rPr>
          <w:szCs w:val="26"/>
        </w:rPr>
        <w:t xml:space="preserve"> shows the number of participants on the EmployAbility programme </w:t>
      </w:r>
      <w:r>
        <w:rPr>
          <w:szCs w:val="26"/>
        </w:rPr>
        <w:t>from</w:t>
      </w:r>
      <w:r w:rsidRPr="0060225F">
        <w:rPr>
          <w:szCs w:val="26"/>
        </w:rPr>
        <w:t xml:space="preserve"> 2014</w:t>
      </w:r>
      <w:r>
        <w:rPr>
          <w:szCs w:val="26"/>
        </w:rPr>
        <w:t xml:space="preserve"> to 2023,</w:t>
      </w:r>
      <w:r w:rsidRPr="0060225F">
        <w:rPr>
          <w:szCs w:val="26"/>
        </w:rPr>
        <w:t xml:space="preserve"> the numbers exiting into employment (where available)</w:t>
      </w:r>
      <w:r>
        <w:rPr>
          <w:szCs w:val="26"/>
        </w:rPr>
        <w:t>,</w:t>
      </w:r>
      <w:r w:rsidRPr="0060225F">
        <w:rPr>
          <w:szCs w:val="26"/>
        </w:rPr>
        <w:t xml:space="preserve"> and the proportion of participants who have exited into employment. The number of participants on the scheme increased each year </w:t>
      </w:r>
      <w:r>
        <w:rPr>
          <w:szCs w:val="26"/>
        </w:rPr>
        <w:t xml:space="preserve">from 2,936 in 2014 to a peak of 3,128 in </w:t>
      </w:r>
      <w:r w:rsidRPr="0060225F">
        <w:rPr>
          <w:szCs w:val="26"/>
        </w:rPr>
        <w:t xml:space="preserve">2018, </w:t>
      </w:r>
      <w:r>
        <w:rPr>
          <w:szCs w:val="26"/>
        </w:rPr>
        <w:t>before falling each year to an overall low of 2,675 in 2023</w:t>
      </w:r>
      <w:r w:rsidRPr="0060225F">
        <w:rPr>
          <w:szCs w:val="26"/>
        </w:rPr>
        <w:t>.</w:t>
      </w:r>
      <w:r w:rsidRPr="00233BC4">
        <w:rPr>
          <w:rStyle w:val="FootnoteReference"/>
        </w:rPr>
        <w:footnoteReference w:id="19"/>
      </w:r>
      <w:r w:rsidRPr="0060225F">
        <w:rPr>
          <w:szCs w:val="26"/>
        </w:rPr>
        <w:t xml:space="preserve"> </w:t>
      </w:r>
    </w:p>
    <w:p w14:paraId="69E06829" w14:textId="58D28657" w:rsidR="004842FE" w:rsidRPr="00C977A0" w:rsidRDefault="004842FE" w:rsidP="004842FE">
      <w:pPr>
        <w:pStyle w:val="ListBullet"/>
        <w:numPr>
          <w:ilvl w:val="0"/>
          <w:numId w:val="0"/>
        </w:numPr>
        <w:rPr>
          <w:szCs w:val="26"/>
          <w:highlight w:val="yellow"/>
        </w:rPr>
      </w:pPr>
      <w:r w:rsidRPr="00E03A3C">
        <w:rPr>
          <w:szCs w:val="26"/>
        </w:rPr>
        <w:t>An independent review of</w:t>
      </w:r>
      <w:r w:rsidR="00C86001">
        <w:rPr>
          <w:szCs w:val="26"/>
        </w:rPr>
        <w:t xml:space="preserve"> the</w:t>
      </w:r>
      <w:r w:rsidRPr="00E03A3C">
        <w:rPr>
          <w:szCs w:val="26"/>
        </w:rPr>
        <w:t xml:space="preserve"> EmployAbility service conducted by Indecon </w:t>
      </w:r>
      <w:r>
        <w:rPr>
          <w:szCs w:val="26"/>
        </w:rPr>
        <w:t xml:space="preserve">and reported on in 2016 </w:t>
      </w:r>
      <w:r w:rsidRPr="00E03A3C">
        <w:rPr>
          <w:szCs w:val="26"/>
        </w:rPr>
        <w:t xml:space="preserve">found that the service was well received by clients and employer organisations. However, it also found that the service supports only a small cohort of clients relative to the </w:t>
      </w:r>
      <w:r>
        <w:rPr>
          <w:szCs w:val="26"/>
        </w:rPr>
        <w:t xml:space="preserve">likely </w:t>
      </w:r>
      <w:r w:rsidRPr="00E03A3C">
        <w:rPr>
          <w:szCs w:val="26"/>
        </w:rPr>
        <w:t>demand for supported employment services.</w:t>
      </w:r>
      <w:r w:rsidRPr="00E03A3C">
        <w:rPr>
          <w:rStyle w:val="FootnoteReference"/>
          <w:rFonts w:ascii="Gill Sans MT" w:hAnsi="Gill Sans MT"/>
          <w:szCs w:val="26"/>
        </w:rPr>
        <w:t xml:space="preserve"> </w:t>
      </w:r>
      <w:r>
        <w:rPr>
          <w:rFonts w:ascii="Gill Sans MT" w:hAnsi="Gill Sans MT"/>
          <w:szCs w:val="26"/>
        </w:rPr>
        <w:fldChar w:fldCharType="begin"/>
      </w:r>
      <w:r w:rsidR="006B1C05">
        <w:rPr>
          <w:rFonts w:ascii="Gill Sans MT" w:hAnsi="Gill Sans MT"/>
          <w:szCs w:val="26"/>
        </w:rPr>
        <w:instrText xml:space="preserve"> ADDIN ZOTERO_ITEM CSL_CITATION {"citationID":"SmVdB0MF","properties":{"formattedCitation":"(63)","plainCitation":"(63)","noteIndex":0},"citationItems":[{"id":301,"uris":["http://zotero.org/users/local/kvLunvBP/items/HRJDXWQ5"],"itemData":{"id":301,"type":"report","publisher":"Submitted to Department of Social Protection","title":"Evaluation of EmployAbility (Supported Employment) Service","author":[{"family":"Indecon","given":""}],"issued":{"date-parts":[["2016"]]}}}],"schema":"https://github.com/citation-style-language/schema/raw/master/csl-citation.json"} </w:instrText>
      </w:r>
      <w:r>
        <w:rPr>
          <w:rFonts w:ascii="Gill Sans MT" w:hAnsi="Gill Sans MT"/>
          <w:szCs w:val="26"/>
        </w:rPr>
        <w:fldChar w:fldCharType="separate"/>
      </w:r>
      <w:r w:rsidR="006B1C05" w:rsidRPr="006B1C05">
        <w:rPr>
          <w:rFonts w:ascii="Gill Sans MT" w:hAnsi="Gill Sans MT"/>
        </w:rPr>
        <w:t>(63)</w:t>
      </w:r>
      <w:r>
        <w:rPr>
          <w:rFonts w:ascii="Gill Sans MT" w:hAnsi="Gill Sans MT"/>
          <w:szCs w:val="26"/>
        </w:rPr>
        <w:fldChar w:fldCharType="end"/>
      </w:r>
      <w:r>
        <w:rPr>
          <w:rFonts w:ascii="Gill Sans MT" w:hAnsi="Gill Sans MT"/>
          <w:szCs w:val="26"/>
        </w:rPr>
        <w:t xml:space="preserve"> </w:t>
      </w:r>
      <w:r>
        <w:t>T</w:t>
      </w:r>
      <w:r w:rsidRPr="00E03A3C">
        <w:rPr>
          <w:szCs w:val="26"/>
        </w:rPr>
        <w:t>he review made recommendations with regard to improving the rate of persons placed in employment</w:t>
      </w:r>
      <w:r>
        <w:rPr>
          <w:szCs w:val="26"/>
        </w:rPr>
        <w:t>. These</w:t>
      </w:r>
      <w:r w:rsidRPr="00E03A3C">
        <w:rPr>
          <w:szCs w:val="26"/>
        </w:rPr>
        <w:t xml:space="preserve"> includ</w:t>
      </w:r>
      <w:r>
        <w:rPr>
          <w:szCs w:val="26"/>
        </w:rPr>
        <w:t>ed</w:t>
      </w:r>
      <w:r w:rsidRPr="00E03A3C">
        <w:rPr>
          <w:szCs w:val="26"/>
        </w:rPr>
        <w:t xml:space="preserve"> ensuring appropriate referrals in the first instance and linking funding with programme performance.</w:t>
      </w:r>
    </w:p>
    <w:p w14:paraId="0C184DF6" w14:textId="01C5FA8F" w:rsidR="00175A1A" w:rsidRPr="002217A0" w:rsidRDefault="004842FE" w:rsidP="00175A1A">
      <w:pPr>
        <w:rPr>
          <w:szCs w:val="26"/>
        </w:rPr>
      </w:pPr>
      <w:r>
        <w:rPr>
          <w:szCs w:val="26"/>
        </w:rPr>
        <w:t xml:space="preserve">The rate of placement in employment has indeed increased. </w:t>
      </w:r>
      <w:r w:rsidR="00175A1A" w:rsidRPr="0060225F">
        <w:rPr>
          <w:szCs w:val="26"/>
        </w:rPr>
        <w:t>In 2014, 30.3% of participants exited into employment</w:t>
      </w:r>
      <w:r w:rsidR="00175A1A">
        <w:rPr>
          <w:szCs w:val="26"/>
        </w:rPr>
        <w:t>. This has increased over the lifetime of the CES, peaking at 44.5% in 2022. In 2023, 40.6% of EmployAbility participants exited into employment.</w:t>
      </w:r>
      <w:r w:rsidR="00175A1A" w:rsidRPr="002217A0">
        <w:rPr>
          <w:szCs w:val="26"/>
        </w:rPr>
        <w:t xml:space="preserve"> </w:t>
      </w:r>
    </w:p>
    <w:p w14:paraId="1B739C0E" w14:textId="16306904" w:rsidR="00175A1A" w:rsidRDefault="00175A1A" w:rsidP="00175A1A">
      <w:pPr>
        <w:pStyle w:val="Caption"/>
        <w:keepNext/>
      </w:pPr>
      <w:bookmarkStart w:id="205" w:name="_Ref179895879"/>
      <w:bookmarkStart w:id="206" w:name="_Toc182219713"/>
      <w:bookmarkStart w:id="207" w:name="_Hlk177392297"/>
      <w:r>
        <w:t xml:space="preserve">Table </w:t>
      </w:r>
      <w:r>
        <w:fldChar w:fldCharType="begin"/>
      </w:r>
      <w:r>
        <w:instrText xml:space="preserve"> SEQ Table \* ARABIC </w:instrText>
      </w:r>
      <w:r>
        <w:fldChar w:fldCharType="separate"/>
      </w:r>
      <w:r w:rsidR="009C4192">
        <w:rPr>
          <w:noProof/>
        </w:rPr>
        <w:t>9</w:t>
      </w:r>
      <w:r>
        <w:fldChar w:fldCharType="end"/>
      </w:r>
      <w:bookmarkEnd w:id="205"/>
      <w:r>
        <w:t xml:space="preserve">: </w:t>
      </w:r>
      <w:r w:rsidRPr="00C81C52">
        <w:t>D</w:t>
      </w:r>
      <w:r>
        <w:t>a</w:t>
      </w:r>
      <w:r w:rsidRPr="00C81C52">
        <w:t>t</w:t>
      </w:r>
      <w:r>
        <w:t>a</w:t>
      </w:r>
      <w:r w:rsidRPr="00C81C52">
        <w:t xml:space="preserve"> on EmployAbility participants 2014-20</w:t>
      </w:r>
      <w:r>
        <w:t>23</w:t>
      </w:r>
      <w:bookmarkEnd w:id="206"/>
    </w:p>
    <w:tbl>
      <w:tblPr>
        <w:tblW w:w="8642" w:type="dxa"/>
        <w:tblLook w:val="04A0" w:firstRow="1" w:lastRow="0" w:firstColumn="1" w:lastColumn="0" w:noHBand="0" w:noVBand="1"/>
      </w:tblPr>
      <w:tblGrid>
        <w:gridCol w:w="960"/>
        <w:gridCol w:w="1980"/>
        <w:gridCol w:w="3009"/>
        <w:gridCol w:w="2693"/>
      </w:tblGrid>
      <w:tr w:rsidR="00175A1A" w:rsidRPr="00817227" w14:paraId="6271941C" w14:textId="77777777" w:rsidTr="00CC6190">
        <w:trPr>
          <w:trHeight w:val="84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75B7" w14:textId="77777777" w:rsidR="00175A1A" w:rsidRPr="00817227" w:rsidRDefault="00175A1A" w:rsidP="00CC6190">
            <w:pPr>
              <w:spacing w:after="0"/>
              <w:contextualSpacing/>
              <w:rPr>
                <w:b/>
                <w:bCs/>
              </w:rPr>
            </w:pPr>
            <w:r w:rsidRPr="00817227">
              <w:rPr>
                <w:b/>
                <w:bCs/>
              </w:rPr>
              <w:t>Year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D4EC2E5" w14:textId="77777777" w:rsidR="00175A1A" w:rsidRPr="00817227" w:rsidRDefault="00175A1A" w:rsidP="00CC6190">
            <w:pPr>
              <w:spacing w:after="0"/>
              <w:contextualSpacing/>
              <w:jc w:val="right"/>
              <w:rPr>
                <w:b/>
                <w:bCs/>
              </w:rPr>
            </w:pPr>
            <w:r w:rsidRPr="00817227">
              <w:rPr>
                <w:b/>
                <w:bCs/>
              </w:rPr>
              <w:t>Number of participants</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197CE18" w14:textId="77777777" w:rsidR="00175A1A" w:rsidRPr="00817227" w:rsidRDefault="00175A1A" w:rsidP="00CC6190">
            <w:pPr>
              <w:spacing w:after="0"/>
              <w:contextualSpacing/>
              <w:jc w:val="right"/>
              <w:rPr>
                <w:b/>
                <w:bCs/>
              </w:rPr>
            </w:pPr>
            <w:r w:rsidRPr="00817227">
              <w:rPr>
                <w:b/>
                <w:bCs/>
              </w:rPr>
              <w:t>Number of people exiting into employment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CA2EC9" w14:textId="77777777" w:rsidR="00175A1A" w:rsidRPr="00817227" w:rsidRDefault="00175A1A" w:rsidP="00CC6190">
            <w:pPr>
              <w:spacing w:after="0"/>
              <w:contextualSpacing/>
              <w:jc w:val="right"/>
              <w:rPr>
                <w:b/>
                <w:bCs/>
              </w:rPr>
            </w:pPr>
            <w:r w:rsidRPr="00817227">
              <w:rPr>
                <w:b/>
                <w:bCs/>
              </w:rPr>
              <w:t>% of participants exiting into employment</w:t>
            </w:r>
          </w:p>
        </w:tc>
      </w:tr>
      <w:tr w:rsidR="00175A1A" w:rsidRPr="00817227" w14:paraId="3211D089" w14:textId="77777777" w:rsidTr="00CC6190">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4BD93A" w14:textId="77777777" w:rsidR="00175A1A" w:rsidRPr="00817227" w:rsidRDefault="00175A1A" w:rsidP="00CC6190">
            <w:pPr>
              <w:spacing w:after="0"/>
              <w:contextualSpacing/>
            </w:pPr>
            <w:r w:rsidRPr="00817227">
              <w:t>2014</w:t>
            </w:r>
          </w:p>
        </w:tc>
        <w:tc>
          <w:tcPr>
            <w:tcW w:w="1980" w:type="dxa"/>
            <w:tcBorders>
              <w:top w:val="nil"/>
              <w:left w:val="nil"/>
              <w:bottom w:val="single" w:sz="4" w:space="0" w:color="auto"/>
              <w:right w:val="single" w:sz="4" w:space="0" w:color="auto"/>
            </w:tcBorders>
            <w:shd w:val="clear" w:color="auto" w:fill="auto"/>
            <w:vAlign w:val="center"/>
            <w:hideMark/>
          </w:tcPr>
          <w:p w14:paraId="0AD964DC" w14:textId="77777777" w:rsidR="00175A1A" w:rsidRPr="00817227" w:rsidRDefault="00175A1A" w:rsidP="00CC6190">
            <w:pPr>
              <w:spacing w:after="0"/>
              <w:contextualSpacing/>
              <w:jc w:val="right"/>
            </w:pPr>
            <w:r w:rsidRPr="00817227">
              <w:t>2,936</w:t>
            </w:r>
          </w:p>
        </w:tc>
        <w:tc>
          <w:tcPr>
            <w:tcW w:w="3009" w:type="dxa"/>
            <w:tcBorders>
              <w:top w:val="nil"/>
              <w:left w:val="nil"/>
              <w:bottom w:val="single" w:sz="4" w:space="0" w:color="auto"/>
              <w:right w:val="single" w:sz="4" w:space="0" w:color="auto"/>
            </w:tcBorders>
            <w:shd w:val="clear" w:color="auto" w:fill="auto"/>
            <w:vAlign w:val="center"/>
            <w:hideMark/>
          </w:tcPr>
          <w:p w14:paraId="50FEF6C8" w14:textId="77777777" w:rsidR="00175A1A" w:rsidRPr="00817227" w:rsidRDefault="00175A1A" w:rsidP="00CC6190">
            <w:pPr>
              <w:spacing w:after="0"/>
              <w:contextualSpacing/>
              <w:jc w:val="right"/>
            </w:pPr>
            <w:r w:rsidRPr="00817227">
              <w:t>891</w:t>
            </w:r>
          </w:p>
        </w:tc>
        <w:tc>
          <w:tcPr>
            <w:tcW w:w="2693" w:type="dxa"/>
            <w:tcBorders>
              <w:top w:val="nil"/>
              <w:left w:val="nil"/>
              <w:bottom w:val="single" w:sz="4" w:space="0" w:color="auto"/>
              <w:right w:val="single" w:sz="4" w:space="0" w:color="auto"/>
            </w:tcBorders>
            <w:shd w:val="clear" w:color="auto" w:fill="auto"/>
            <w:noWrap/>
            <w:vAlign w:val="center"/>
            <w:hideMark/>
          </w:tcPr>
          <w:p w14:paraId="604E2C99" w14:textId="77777777" w:rsidR="00175A1A" w:rsidRPr="00817227" w:rsidRDefault="00175A1A" w:rsidP="00CC6190">
            <w:pPr>
              <w:spacing w:after="0"/>
              <w:contextualSpacing/>
              <w:jc w:val="right"/>
            </w:pPr>
            <w:r w:rsidRPr="00817227">
              <w:t>30.3</w:t>
            </w:r>
          </w:p>
        </w:tc>
      </w:tr>
      <w:tr w:rsidR="00175A1A" w:rsidRPr="00817227" w14:paraId="00A0EC9F" w14:textId="77777777" w:rsidTr="00CC6190">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79E146" w14:textId="77777777" w:rsidR="00175A1A" w:rsidRPr="00817227" w:rsidRDefault="00175A1A" w:rsidP="00CC6190">
            <w:pPr>
              <w:spacing w:after="0"/>
              <w:contextualSpacing/>
            </w:pPr>
            <w:r w:rsidRPr="00817227">
              <w:t>2015</w:t>
            </w:r>
          </w:p>
        </w:tc>
        <w:tc>
          <w:tcPr>
            <w:tcW w:w="1980" w:type="dxa"/>
            <w:tcBorders>
              <w:top w:val="nil"/>
              <w:left w:val="nil"/>
              <w:bottom w:val="single" w:sz="4" w:space="0" w:color="auto"/>
              <w:right w:val="single" w:sz="4" w:space="0" w:color="auto"/>
            </w:tcBorders>
            <w:shd w:val="clear" w:color="auto" w:fill="auto"/>
            <w:vAlign w:val="center"/>
            <w:hideMark/>
          </w:tcPr>
          <w:p w14:paraId="0EC41B8A" w14:textId="77777777" w:rsidR="00175A1A" w:rsidRPr="00817227" w:rsidRDefault="00175A1A" w:rsidP="00CC6190">
            <w:pPr>
              <w:spacing w:after="0"/>
              <w:contextualSpacing/>
              <w:jc w:val="right"/>
            </w:pPr>
            <w:r w:rsidRPr="00817227">
              <w:t>3,000</w:t>
            </w:r>
          </w:p>
        </w:tc>
        <w:tc>
          <w:tcPr>
            <w:tcW w:w="3009" w:type="dxa"/>
            <w:tcBorders>
              <w:top w:val="nil"/>
              <w:left w:val="nil"/>
              <w:bottom w:val="single" w:sz="4" w:space="0" w:color="auto"/>
              <w:right w:val="single" w:sz="4" w:space="0" w:color="auto"/>
            </w:tcBorders>
            <w:shd w:val="clear" w:color="auto" w:fill="auto"/>
            <w:vAlign w:val="center"/>
            <w:hideMark/>
          </w:tcPr>
          <w:p w14:paraId="14614032" w14:textId="77777777" w:rsidR="00175A1A" w:rsidRPr="00817227" w:rsidRDefault="00175A1A" w:rsidP="00CC6190">
            <w:pPr>
              <w:spacing w:after="0"/>
              <w:contextualSpacing/>
              <w:jc w:val="right"/>
            </w:pPr>
            <w:r w:rsidRPr="00817227">
              <w:t>N/A</w:t>
            </w:r>
          </w:p>
        </w:tc>
        <w:tc>
          <w:tcPr>
            <w:tcW w:w="2693" w:type="dxa"/>
            <w:tcBorders>
              <w:top w:val="nil"/>
              <w:left w:val="nil"/>
              <w:bottom w:val="single" w:sz="4" w:space="0" w:color="auto"/>
              <w:right w:val="single" w:sz="4" w:space="0" w:color="auto"/>
            </w:tcBorders>
            <w:shd w:val="clear" w:color="auto" w:fill="auto"/>
            <w:noWrap/>
            <w:vAlign w:val="center"/>
            <w:hideMark/>
          </w:tcPr>
          <w:p w14:paraId="71E88771" w14:textId="77777777" w:rsidR="00175A1A" w:rsidRPr="00817227" w:rsidRDefault="00175A1A" w:rsidP="00CC6190">
            <w:pPr>
              <w:spacing w:after="0"/>
              <w:contextualSpacing/>
              <w:jc w:val="right"/>
              <w:rPr>
                <w:i/>
                <w:iCs/>
              </w:rPr>
            </w:pPr>
            <w:r w:rsidRPr="00817227">
              <w:rPr>
                <w:i/>
                <w:iCs/>
              </w:rPr>
              <w:t>unable to calculate</w:t>
            </w:r>
          </w:p>
        </w:tc>
      </w:tr>
      <w:tr w:rsidR="00175A1A" w:rsidRPr="00817227" w14:paraId="395BEEDA" w14:textId="77777777" w:rsidTr="00CC6190">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A238E6" w14:textId="77777777" w:rsidR="00175A1A" w:rsidRPr="00817227" w:rsidRDefault="00175A1A" w:rsidP="00CC6190">
            <w:pPr>
              <w:spacing w:after="0"/>
              <w:contextualSpacing/>
            </w:pPr>
            <w:r w:rsidRPr="00817227">
              <w:t>2016</w:t>
            </w:r>
          </w:p>
        </w:tc>
        <w:tc>
          <w:tcPr>
            <w:tcW w:w="1980" w:type="dxa"/>
            <w:tcBorders>
              <w:top w:val="nil"/>
              <w:left w:val="nil"/>
              <w:bottom w:val="single" w:sz="4" w:space="0" w:color="auto"/>
              <w:right w:val="single" w:sz="4" w:space="0" w:color="auto"/>
            </w:tcBorders>
            <w:shd w:val="clear" w:color="auto" w:fill="auto"/>
            <w:vAlign w:val="center"/>
            <w:hideMark/>
          </w:tcPr>
          <w:p w14:paraId="426D9EAE" w14:textId="77777777" w:rsidR="00175A1A" w:rsidRPr="00817227" w:rsidRDefault="00175A1A" w:rsidP="00CC6190">
            <w:pPr>
              <w:spacing w:after="0"/>
              <w:contextualSpacing/>
              <w:jc w:val="right"/>
            </w:pPr>
            <w:r w:rsidRPr="00817227">
              <w:t>3,095</w:t>
            </w:r>
          </w:p>
        </w:tc>
        <w:tc>
          <w:tcPr>
            <w:tcW w:w="3009" w:type="dxa"/>
            <w:tcBorders>
              <w:top w:val="nil"/>
              <w:left w:val="nil"/>
              <w:bottom w:val="single" w:sz="4" w:space="0" w:color="auto"/>
              <w:right w:val="single" w:sz="4" w:space="0" w:color="auto"/>
            </w:tcBorders>
            <w:shd w:val="clear" w:color="auto" w:fill="auto"/>
            <w:vAlign w:val="center"/>
            <w:hideMark/>
          </w:tcPr>
          <w:p w14:paraId="026D5753" w14:textId="77777777" w:rsidR="00175A1A" w:rsidRPr="00817227" w:rsidRDefault="00175A1A" w:rsidP="00CC6190">
            <w:pPr>
              <w:spacing w:after="0"/>
              <w:contextualSpacing/>
              <w:jc w:val="right"/>
            </w:pPr>
            <w:r w:rsidRPr="00817227">
              <w:t>920</w:t>
            </w:r>
          </w:p>
        </w:tc>
        <w:tc>
          <w:tcPr>
            <w:tcW w:w="2693" w:type="dxa"/>
            <w:tcBorders>
              <w:top w:val="nil"/>
              <w:left w:val="nil"/>
              <w:bottom w:val="single" w:sz="4" w:space="0" w:color="auto"/>
              <w:right w:val="single" w:sz="4" w:space="0" w:color="auto"/>
            </w:tcBorders>
            <w:shd w:val="clear" w:color="auto" w:fill="auto"/>
            <w:noWrap/>
            <w:vAlign w:val="center"/>
            <w:hideMark/>
          </w:tcPr>
          <w:p w14:paraId="37BBC406" w14:textId="77777777" w:rsidR="00175A1A" w:rsidRPr="00817227" w:rsidRDefault="00175A1A" w:rsidP="00CC6190">
            <w:pPr>
              <w:spacing w:after="0"/>
              <w:contextualSpacing/>
              <w:jc w:val="right"/>
            </w:pPr>
            <w:r w:rsidRPr="00817227">
              <w:t>29.7</w:t>
            </w:r>
          </w:p>
        </w:tc>
      </w:tr>
      <w:tr w:rsidR="00175A1A" w:rsidRPr="00817227" w14:paraId="0E68C760" w14:textId="77777777" w:rsidTr="00CC6190">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E6F56B" w14:textId="77777777" w:rsidR="00175A1A" w:rsidRPr="00817227" w:rsidRDefault="00175A1A" w:rsidP="00CC6190">
            <w:pPr>
              <w:spacing w:after="0"/>
              <w:contextualSpacing/>
            </w:pPr>
            <w:r w:rsidRPr="00817227">
              <w:t>2017</w:t>
            </w:r>
          </w:p>
        </w:tc>
        <w:tc>
          <w:tcPr>
            <w:tcW w:w="1980" w:type="dxa"/>
            <w:tcBorders>
              <w:top w:val="nil"/>
              <w:left w:val="nil"/>
              <w:bottom w:val="single" w:sz="4" w:space="0" w:color="auto"/>
              <w:right w:val="single" w:sz="4" w:space="0" w:color="auto"/>
            </w:tcBorders>
            <w:shd w:val="clear" w:color="auto" w:fill="auto"/>
            <w:vAlign w:val="center"/>
            <w:hideMark/>
          </w:tcPr>
          <w:p w14:paraId="3561C3A4" w14:textId="77777777" w:rsidR="00175A1A" w:rsidRPr="00817227" w:rsidRDefault="00175A1A" w:rsidP="00CC6190">
            <w:pPr>
              <w:spacing w:after="0"/>
              <w:contextualSpacing/>
              <w:jc w:val="right"/>
            </w:pPr>
            <w:r w:rsidRPr="00817227">
              <w:t>2,994</w:t>
            </w:r>
          </w:p>
        </w:tc>
        <w:tc>
          <w:tcPr>
            <w:tcW w:w="3009" w:type="dxa"/>
            <w:tcBorders>
              <w:top w:val="nil"/>
              <w:left w:val="nil"/>
              <w:bottom w:val="single" w:sz="4" w:space="0" w:color="auto"/>
              <w:right w:val="single" w:sz="4" w:space="0" w:color="auto"/>
            </w:tcBorders>
            <w:shd w:val="clear" w:color="auto" w:fill="auto"/>
            <w:vAlign w:val="center"/>
            <w:hideMark/>
          </w:tcPr>
          <w:p w14:paraId="029B4625" w14:textId="77777777" w:rsidR="00175A1A" w:rsidRPr="00817227" w:rsidRDefault="00175A1A" w:rsidP="00CC6190">
            <w:pPr>
              <w:spacing w:after="0"/>
              <w:contextualSpacing/>
              <w:jc w:val="right"/>
            </w:pPr>
            <w:r w:rsidRPr="00817227">
              <w:t>1,027</w:t>
            </w:r>
          </w:p>
        </w:tc>
        <w:tc>
          <w:tcPr>
            <w:tcW w:w="2693" w:type="dxa"/>
            <w:tcBorders>
              <w:top w:val="nil"/>
              <w:left w:val="nil"/>
              <w:bottom w:val="single" w:sz="4" w:space="0" w:color="auto"/>
              <w:right w:val="single" w:sz="4" w:space="0" w:color="auto"/>
            </w:tcBorders>
            <w:shd w:val="clear" w:color="auto" w:fill="auto"/>
            <w:noWrap/>
            <w:vAlign w:val="center"/>
            <w:hideMark/>
          </w:tcPr>
          <w:p w14:paraId="19DEAB92" w14:textId="77777777" w:rsidR="00175A1A" w:rsidRPr="00817227" w:rsidRDefault="00175A1A" w:rsidP="00CC6190">
            <w:pPr>
              <w:spacing w:after="0"/>
              <w:contextualSpacing/>
              <w:jc w:val="right"/>
            </w:pPr>
            <w:r w:rsidRPr="00817227">
              <w:t>34.3</w:t>
            </w:r>
          </w:p>
        </w:tc>
      </w:tr>
      <w:tr w:rsidR="00175A1A" w:rsidRPr="00817227" w14:paraId="04949EB3" w14:textId="77777777" w:rsidTr="00CC6190">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B5755B" w14:textId="77777777" w:rsidR="00175A1A" w:rsidRPr="00817227" w:rsidRDefault="00175A1A" w:rsidP="00CC6190">
            <w:pPr>
              <w:spacing w:after="0"/>
              <w:contextualSpacing/>
            </w:pPr>
            <w:r w:rsidRPr="00817227">
              <w:t>2018</w:t>
            </w:r>
          </w:p>
        </w:tc>
        <w:tc>
          <w:tcPr>
            <w:tcW w:w="1980" w:type="dxa"/>
            <w:tcBorders>
              <w:top w:val="nil"/>
              <w:left w:val="nil"/>
              <w:bottom w:val="single" w:sz="4" w:space="0" w:color="auto"/>
              <w:right w:val="single" w:sz="4" w:space="0" w:color="auto"/>
            </w:tcBorders>
            <w:shd w:val="clear" w:color="auto" w:fill="auto"/>
            <w:vAlign w:val="center"/>
            <w:hideMark/>
          </w:tcPr>
          <w:p w14:paraId="206408D7" w14:textId="77777777" w:rsidR="00175A1A" w:rsidRPr="00817227" w:rsidRDefault="00175A1A" w:rsidP="00CC6190">
            <w:pPr>
              <w:spacing w:after="0"/>
              <w:contextualSpacing/>
              <w:jc w:val="right"/>
            </w:pPr>
            <w:r w:rsidRPr="00817227">
              <w:t>3,128</w:t>
            </w:r>
          </w:p>
        </w:tc>
        <w:tc>
          <w:tcPr>
            <w:tcW w:w="3009" w:type="dxa"/>
            <w:tcBorders>
              <w:top w:val="nil"/>
              <w:left w:val="nil"/>
              <w:bottom w:val="single" w:sz="4" w:space="0" w:color="auto"/>
              <w:right w:val="single" w:sz="4" w:space="0" w:color="auto"/>
            </w:tcBorders>
            <w:shd w:val="clear" w:color="auto" w:fill="auto"/>
            <w:vAlign w:val="center"/>
            <w:hideMark/>
          </w:tcPr>
          <w:p w14:paraId="38B3DF59" w14:textId="77777777" w:rsidR="00175A1A" w:rsidRPr="00817227" w:rsidRDefault="00175A1A" w:rsidP="00CC6190">
            <w:pPr>
              <w:spacing w:after="0"/>
              <w:contextualSpacing/>
              <w:jc w:val="right"/>
            </w:pPr>
            <w:r w:rsidRPr="00817227">
              <w:t>1250</w:t>
            </w:r>
          </w:p>
        </w:tc>
        <w:tc>
          <w:tcPr>
            <w:tcW w:w="2693" w:type="dxa"/>
            <w:tcBorders>
              <w:top w:val="nil"/>
              <w:left w:val="nil"/>
              <w:bottom w:val="single" w:sz="4" w:space="0" w:color="auto"/>
              <w:right w:val="single" w:sz="4" w:space="0" w:color="auto"/>
            </w:tcBorders>
            <w:shd w:val="clear" w:color="auto" w:fill="auto"/>
            <w:noWrap/>
            <w:vAlign w:val="center"/>
            <w:hideMark/>
          </w:tcPr>
          <w:p w14:paraId="678C187F" w14:textId="77777777" w:rsidR="00175A1A" w:rsidRPr="00817227" w:rsidRDefault="00175A1A" w:rsidP="00CC6190">
            <w:pPr>
              <w:spacing w:after="0"/>
              <w:contextualSpacing/>
              <w:jc w:val="right"/>
            </w:pPr>
            <w:r w:rsidRPr="00817227">
              <w:t>39.9</w:t>
            </w:r>
          </w:p>
        </w:tc>
      </w:tr>
      <w:tr w:rsidR="00175A1A" w:rsidRPr="00817227" w14:paraId="2F1890B5" w14:textId="77777777" w:rsidTr="00CC6190">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98F558" w14:textId="77777777" w:rsidR="00175A1A" w:rsidRPr="00817227" w:rsidRDefault="00175A1A" w:rsidP="00CC6190">
            <w:pPr>
              <w:spacing w:after="0"/>
              <w:contextualSpacing/>
            </w:pPr>
            <w:r w:rsidRPr="00817227">
              <w:t>2019</w:t>
            </w:r>
          </w:p>
        </w:tc>
        <w:tc>
          <w:tcPr>
            <w:tcW w:w="1980" w:type="dxa"/>
            <w:tcBorders>
              <w:top w:val="single" w:sz="4" w:space="0" w:color="auto"/>
              <w:left w:val="nil"/>
              <w:bottom w:val="single" w:sz="4" w:space="0" w:color="auto"/>
              <w:right w:val="single" w:sz="4" w:space="0" w:color="auto"/>
            </w:tcBorders>
            <w:shd w:val="clear" w:color="auto" w:fill="auto"/>
            <w:vAlign w:val="center"/>
          </w:tcPr>
          <w:p w14:paraId="0B091347" w14:textId="77777777" w:rsidR="00175A1A" w:rsidRPr="00817227" w:rsidRDefault="00175A1A" w:rsidP="00CC6190">
            <w:pPr>
              <w:spacing w:after="0"/>
              <w:contextualSpacing/>
              <w:jc w:val="right"/>
            </w:pPr>
            <w:r w:rsidRPr="00817227">
              <w:t>3,103</w:t>
            </w:r>
          </w:p>
        </w:tc>
        <w:tc>
          <w:tcPr>
            <w:tcW w:w="3009" w:type="dxa"/>
            <w:tcBorders>
              <w:top w:val="single" w:sz="4" w:space="0" w:color="auto"/>
              <w:left w:val="nil"/>
              <w:bottom w:val="single" w:sz="4" w:space="0" w:color="auto"/>
              <w:right w:val="single" w:sz="4" w:space="0" w:color="auto"/>
            </w:tcBorders>
            <w:shd w:val="clear" w:color="auto" w:fill="auto"/>
            <w:vAlign w:val="center"/>
          </w:tcPr>
          <w:p w14:paraId="76354A41" w14:textId="77777777" w:rsidR="00175A1A" w:rsidRPr="00817227" w:rsidRDefault="00175A1A" w:rsidP="00CC6190">
            <w:pPr>
              <w:spacing w:after="0"/>
              <w:contextualSpacing/>
              <w:jc w:val="right"/>
            </w:pPr>
            <w:r w:rsidRPr="00817227">
              <w:t>1211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56E9A0B" w14:textId="77777777" w:rsidR="00175A1A" w:rsidRPr="00817227" w:rsidRDefault="00175A1A" w:rsidP="00CC6190">
            <w:pPr>
              <w:spacing w:after="0"/>
              <w:contextualSpacing/>
              <w:jc w:val="right"/>
            </w:pPr>
            <w:r w:rsidRPr="00817227">
              <w:t>39</w:t>
            </w:r>
          </w:p>
        </w:tc>
      </w:tr>
      <w:tr w:rsidR="00175A1A" w:rsidRPr="00817227" w14:paraId="2B41E4E4" w14:textId="77777777" w:rsidTr="00CC6190">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C743B35" w14:textId="77777777" w:rsidR="00175A1A" w:rsidRPr="00817227" w:rsidRDefault="00175A1A" w:rsidP="00CC6190">
            <w:pPr>
              <w:spacing w:after="0"/>
              <w:contextualSpacing/>
            </w:pPr>
            <w:r w:rsidRPr="00817227">
              <w:t>2020</w:t>
            </w:r>
          </w:p>
        </w:tc>
        <w:tc>
          <w:tcPr>
            <w:tcW w:w="1980" w:type="dxa"/>
            <w:tcBorders>
              <w:top w:val="single" w:sz="4" w:space="0" w:color="auto"/>
              <w:left w:val="nil"/>
              <w:bottom w:val="single" w:sz="4" w:space="0" w:color="auto"/>
              <w:right w:val="single" w:sz="4" w:space="0" w:color="auto"/>
            </w:tcBorders>
            <w:shd w:val="clear" w:color="auto" w:fill="auto"/>
            <w:vAlign w:val="center"/>
          </w:tcPr>
          <w:p w14:paraId="721036B8" w14:textId="77777777" w:rsidR="00175A1A" w:rsidRPr="00817227" w:rsidRDefault="00175A1A" w:rsidP="00CC6190">
            <w:pPr>
              <w:spacing w:after="0"/>
              <w:contextualSpacing/>
              <w:jc w:val="right"/>
            </w:pPr>
            <w:r w:rsidRPr="00817227">
              <w:t>3070</w:t>
            </w:r>
          </w:p>
        </w:tc>
        <w:tc>
          <w:tcPr>
            <w:tcW w:w="3009" w:type="dxa"/>
            <w:tcBorders>
              <w:top w:val="single" w:sz="4" w:space="0" w:color="auto"/>
              <w:left w:val="nil"/>
              <w:bottom w:val="single" w:sz="4" w:space="0" w:color="auto"/>
              <w:right w:val="single" w:sz="4" w:space="0" w:color="auto"/>
            </w:tcBorders>
            <w:shd w:val="clear" w:color="auto" w:fill="auto"/>
            <w:vAlign w:val="center"/>
          </w:tcPr>
          <w:p w14:paraId="73102235" w14:textId="77777777" w:rsidR="00175A1A" w:rsidRPr="00817227" w:rsidRDefault="00175A1A" w:rsidP="00CC6190">
            <w:pPr>
              <w:spacing w:after="0"/>
              <w:contextualSpacing/>
              <w:jc w:val="right"/>
            </w:pPr>
            <w:r w:rsidRPr="00817227">
              <w:t>1133</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CFD44B6" w14:textId="77777777" w:rsidR="00175A1A" w:rsidRPr="00817227" w:rsidRDefault="00175A1A" w:rsidP="00CC6190">
            <w:pPr>
              <w:spacing w:after="0"/>
              <w:contextualSpacing/>
              <w:jc w:val="right"/>
            </w:pPr>
            <w:r w:rsidRPr="00817227">
              <w:t>36.9</w:t>
            </w:r>
          </w:p>
        </w:tc>
      </w:tr>
      <w:tr w:rsidR="00175A1A" w:rsidRPr="00817227" w14:paraId="70C22BAD" w14:textId="77777777" w:rsidTr="00CC6190">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9F6D273" w14:textId="77777777" w:rsidR="00175A1A" w:rsidRPr="00817227" w:rsidRDefault="00175A1A" w:rsidP="00CC6190">
            <w:pPr>
              <w:spacing w:after="0"/>
              <w:contextualSpacing/>
            </w:pPr>
            <w:r w:rsidRPr="00817227">
              <w:t>2021</w:t>
            </w:r>
          </w:p>
        </w:tc>
        <w:tc>
          <w:tcPr>
            <w:tcW w:w="1980" w:type="dxa"/>
            <w:tcBorders>
              <w:top w:val="single" w:sz="4" w:space="0" w:color="auto"/>
              <w:left w:val="nil"/>
              <w:bottom w:val="single" w:sz="4" w:space="0" w:color="auto"/>
              <w:right w:val="single" w:sz="4" w:space="0" w:color="auto"/>
            </w:tcBorders>
            <w:shd w:val="clear" w:color="auto" w:fill="auto"/>
            <w:vAlign w:val="center"/>
          </w:tcPr>
          <w:p w14:paraId="2CF45487" w14:textId="77777777" w:rsidR="00175A1A" w:rsidRPr="00817227" w:rsidRDefault="00175A1A" w:rsidP="00CC6190">
            <w:pPr>
              <w:spacing w:after="0"/>
              <w:contextualSpacing/>
              <w:jc w:val="right"/>
            </w:pPr>
            <w:r w:rsidRPr="00817227">
              <w:t>2969</w:t>
            </w:r>
          </w:p>
        </w:tc>
        <w:tc>
          <w:tcPr>
            <w:tcW w:w="3009" w:type="dxa"/>
            <w:tcBorders>
              <w:top w:val="single" w:sz="4" w:space="0" w:color="auto"/>
              <w:left w:val="nil"/>
              <w:bottom w:val="single" w:sz="4" w:space="0" w:color="auto"/>
              <w:right w:val="single" w:sz="4" w:space="0" w:color="auto"/>
            </w:tcBorders>
            <w:shd w:val="clear" w:color="auto" w:fill="auto"/>
            <w:vAlign w:val="center"/>
          </w:tcPr>
          <w:p w14:paraId="345B9536" w14:textId="77777777" w:rsidR="00175A1A" w:rsidRPr="00817227" w:rsidRDefault="00175A1A" w:rsidP="00CC6190">
            <w:pPr>
              <w:spacing w:after="0"/>
              <w:contextualSpacing/>
              <w:jc w:val="right"/>
            </w:pPr>
            <w:r w:rsidRPr="00817227">
              <w:t>1052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8780E1C" w14:textId="77777777" w:rsidR="00175A1A" w:rsidRPr="00817227" w:rsidRDefault="00175A1A" w:rsidP="00CC6190">
            <w:pPr>
              <w:spacing w:after="0"/>
              <w:contextualSpacing/>
              <w:jc w:val="right"/>
            </w:pPr>
            <w:r w:rsidRPr="00817227">
              <w:t>35.4</w:t>
            </w:r>
          </w:p>
        </w:tc>
      </w:tr>
      <w:tr w:rsidR="00175A1A" w:rsidRPr="00817227" w14:paraId="31EDACEB" w14:textId="77777777" w:rsidTr="00CC6190">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4126E14" w14:textId="77777777" w:rsidR="00175A1A" w:rsidRPr="00817227" w:rsidRDefault="00175A1A" w:rsidP="00CC6190">
            <w:pPr>
              <w:spacing w:after="0"/>
              <w:contextualSpacing/>
            </w:pPr>
            <w:r w:rsidRPr="00817227">
              <w:t>2022</w:t>
            </w:r>
          </w:p>
        </w:tc>
        <w:tc>
          <w:tcPr>
            <w:tcW w:w="1980" w:type="dxa"/>
            <w:tcBorders>
              <w:top w:val="single" w:sz="4" w:space="0" w:color="auto"/>
              <w:left w:val="nil"/>
              <w:bottom w:val="single" w:sz="4" w:space="0" w:color="auto"/>
              <w:right w:val="single" w:sz="4" w:space="0" w:color="auto"/>
            </w:tcBorders>
            <w:shd w:val="clear" w:color="auto" w:fill="auto"/>
            <w:vAlign w:val="center"/>
          </w:tcPr>
          <w:p w14:paraId="3215D433" w14:textId="77777777" w:rsidR="00175A1A" w:rsidRPr="00817227" w:rsidRDefault="00175A1A" w:rsidP="00CC6190">
            <w:pPr>
              <w:spacing w:after="0"/>
              <w:contextualSpacing/>
              <w:jc w:val="right"/>
            </w:pPr>
            <w:r w:rsidRPr="00817227">
              <w:t>2780</w:t>
            </w:r>
          </w:p>
        </w:tc>
        <w:tc>
          <w:tcPr>
            <w:tcW w:w="3009" w:type="dxa"/>
            <w:tcBorders>
              <w:top w:val="single" w:sz="4" w:space="0" w:color="auto"/>
              <w:left w:val="nil"/>
              <w:bottom w:val="single" w:sz="4" w:space="0" w:color="auto"/>
              <w:right w:val="single" w:sz="4" w:space="0" w:color="auto"/>
            </w:tcBorders>
            <w:shd w:val="clear" w:color="auto" w:fill="auto"/>
            <w:vAlign w:val="center"/>
          </w:tcPr>
          <w:p w14:paraId="0A7A87B1" w14:textId="77777777" w:rsidR="00175A1A" w:rsidRPr="00817227" w:rsidRDefault="00175A1A" w:rsidP="00CC6190">
            <w:pPr>
              <w:spacing w:after="0"/>
              <w:contextualSpacing/>
              <w:jc w:val="right"/>
            </w:pPr>
            <w:r w:rsidRPr="00817227">
              <w:t>1237</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9B438A4" w14:textId="77777777" w:rsidR="00175A1A" w:rsidRPr="00817227" w:rsidRDefault="00175A1A" w:rsidP="00CC6190">
            <w:pPr>
              <w:spacing w:after="0"/>
              <w:contextualSpacing/>
              <w:jc w:val="right"/>
            </w:pPr>
            <w:r w:rsidRPr="00817227">
              <w:t>44.5</w:t>
            </w:r>
          </w:p>
        </w:tc>
      </w:tr>
      <w:tr w:rsidR="00175A1A" w:rsidRPr="00817227" w14:paraId="1290D6A9" w14:textId="77777777" w:rsidTr="00CC6190">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0F75D6" w14:textId="77777777" w:rsidR="00175A1A" w:rsidRPr="00817227" w:rsidRDefault="00175A1A" w:rsidP="00CC6190">
            <w:pPr>
              <w:spacing w:after="0"/>
              <w:contextualSpacing/>
            </w:pPr>
            <w:r w:rsidRPr="00817227">
              <w:t>2023</w:t>
            </w:r>
          </w:p>
        </w:tc>
        <w:tc>
          <w:tcPr>
            <w:tcW w:w="1980" w:type="dxa"/>
            <w:tcBorders>
              <w:top w:val="single" w:sz="4" w:space="0" w:color="auto"/>
              <w:left w:val="nil"/>
              <w:bottom w:val="single" w:sz="4" w:space="0" w:color="auto"/>
              <w:right w:val="single" w:sz="4" w:space="0" w:color="auto"/>
            </w:tcBorders>
            <w:shd w:val="clear" w:color="auto" w:fill="auto"/>
            <w:vAlign w:val="center"/>
          </w:tcPr>
          <w:p w14:paraId="1A284AA4" w14:textId="77777777" w:rsidR="00175A1A" w:rsidRPr="00817227" w:rsidRDefault="00175A1A" w:rsidP="00CC6190">
            <w:pPr>
              <w:spacing w:after="0"/>
              <w:contextualSpacing/>
              <w:jc w:val="right"/>
            </w:pPr>
            <w:r w:rsidRPr="00817227">
              <w:t>2675</w:t>
            </w:r>
          </w:p>
        </w:tc>
        <w:tc>
          <w:tcPr>
            <w:tcW w:w="3009" w:type="dxa"/>
            <w:tcBorders>
              <w:top w:val="single" w:sz="4" w:space="0" w:color="auto"/>
              <w:left w:val="nil"/>
              <w:bottom w:val="single" w:sz="4" w:space="0" w:color="auto"/>
              <w:right w:val="single" w:sz="4" w:space="0" w:color="auto"/>
            </w:tcBorders>
            <w:shd w:val="clear" w:color="auto" w:fill="auto"/>
            <w:vAlign w:val="center"/>
          </w:tcPr>
          <w:p w14:paraId="16C43C63" w14:textId="77777777" w:rsidR="00175A1A" w:rsidRPr="00817227" w:rsidRDefault="00175A1A" w:rsidP="00CC6190">
            <w:pPr>
              <w:spacing w:after="0"/>
              <w:contextualSpacing/>
              <w:jc w:val="right"/>
            </w:pPr>
            <w:r w:rsidRPr="00817227">
              <w:t>1125</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14D6E65" w14:textId="77777777" w:rsidR="00175A1A" w:rsidRPr="00817227" w:rsidRDefault="00175A1A" w:rsidP="00CC6190">
            <w:pPr>
              <w:spacing w:after="0"/>
              <w:contextualSpacing/>
              <w:jc w:val="right"/>
            </w:pPr>
            <w:r w:rsidRPr="00817227">
              <w:t>40.6</w:t>
            </w:r>
          </w:p>
        </w:tc>
      </w:tr>
    </w:tbl>
    <w:p w14:paraId="5987CD30" w14:textId="29AD5D4F" w:rsidR="00175A1A" w:rsidRPr="000E2C9F" w:rsidRDefault="000E2C9F" w:rsidP="000E2C9F">
      <w:pPr>
        <w:jc w:val="center"/>
        <w:rPr>
          <w:sz w:val="22"/>
          <w:szCs w:val="22"/>
        </w:rPr>
      </w:pPr>
      <w:r w:rsidRPr="000E2C9F">
        <w:rPr>
          <w:sz w:val="22"/>
          <w:szCs w:val="22"/>
        </w:rPr>
        <w:t>Source: Department of Social Protection</w:t>
      </w:r>
    </w:p>
    <w:p w14:paraId="56C518D2" w14:textId="658DFA98" w:rsidR="00C977A0" w:rsidRDefault="00C977A0" w:rsidP="00C977A0">
      <w:pPr>
        <w:pStyle w:val="Heading2"/>
      </w:pPr>
      <w:bookmarkStart w:id="208" w:name="_Toc182219520"/>
      <w:bookmarkStart w:id="209" w:name="_Toc182220223"/>
      <w:bookmarkStart w:id="210" w:name="_Toc182555571"/>
      <w:bookmarkStart w:id="211" w:name="_Toc182555722"/>
      <w:bookmarkEnd w:id="207"/>
      <w:r w:rsidRPr="00054A2E">
        <w:t>2.5 N</w:t>
      </w:r>
      <w:r w:rsidR="007C2D24">
        <w:t xml:space="preserve">umber </w:t>
      </w:r>
      <w:r w:rsidRPr="00054A2E">
        <w:t xml:space="preserve">of persons with mental health difficulties </w:t>
      </w:r>
      <w:r w:rsidR="00091C73">
        <w:t>receiving support under the</w:t>
      </w:r>
      <w:r w:rsidRPr="00054A2E">
        <w:t xml:space="preserve"> IPS model of supported employment (Process)</w:t>
      </w:r>
      <w:bookmarkEnd w:id="208"/>
      <w:bookmarkEnd w:id="209"/>
      <w:bookmarkEnd w:id="210"/>
      <w:bookmarkEnd w:id="211"/>
      <w:r w:rsidRPr="00054A2E">
        <w:t xml:space="preserve"> </w:t>
      </w:r>
    </w:p>
    <w:p w14:paraId="17B61345" w14:textId="5FE29178" w:rsidR="00241F81" w:rsidRDefault="00241F81" w:rsidP="00241F81">
      <w:pPr>
        <w:rPr>
          <w:rFonts w:cs="HelveticaNeue"/>
          <w:szCs w:val="26"/>
          <w:highlight w:val="yellow"/>
        </w:rPr>
      </w:pPr>
      <w:r w:rsidRPr="00241F81">
        <w:t xml:space="preserve">Individual Placement and Support (IPS) is a specific approach developed to support people who use mental health services to source and maintain paid, mainstream employment. </w:t>
      </w:r>
      <w:r>
        <w:t>It is</w:t>
      </w:r>
      <w:r w:rsidRPr="00241F81">
        <w:t xml:space="preserve"> run by the Community Mental Health Service</w:t>
      </w:r>
      <w:r w:rsidR="004A0CCC">
        <w:t xml:space="preserve">. </w:t>
      </w:r>
      <w:r w:rsidR="00C977A0" w:rsidRPr="00241F81">
        <w:rPr>
          <w:rFonts w:cs="HelveticaNeue"/>
          <w:szCs w:val="26"/>
        </w:rPr>
        <w:t xml:space="preserve">It works by integrating an Employment Specialist </w:t>
      </w:r>
      <w:r w:rsidRPr="00241F81">
        <w:rPr>
          <w:rFonts w:cs="HelveticaNeue"/>
          <w:szCs w:val="26"/>
        </w:rPr>
        <w:t>into mental health teams to support service users to return to work. These employment specialists may be employed by the State or a third</w:t>
      </w:r>
      <w:r>
        <w:rPr>
          <w:rFonts w:cs="HelveticaNeue"/>
          <w:szCs w:val="26"/>
        </w:rPr>
        <w:t>-</w:t>
      </w:r>
      <w:r w:rsidRPr="00241F81">
        <w:rPr>
          <w:rFonts w:cs="HelveticaNeue"/>
          <w:szCs w:val="26"/>
        </w:rPr>
        <w:t>party specialist provider</w:t>
      </w:r>
      <w:r>
        <w:rPr>
          <w:rFonts w:cs="HelveticaNeue"/>
          <w:szCs w:val="26"/>
        </w:rPr>
        <w:t>.</w:t>
      </w:r>
    </w:p>
    <w:p w14:paraId="560BFAA3" w14:textId="450BF275" w:rsidR="00CF3575" w:rsidRDefault="00C977A0" w:rsidP="00241F81">
      <w:pPr>
        <w:rPr>
          <w:szCs w:val="26"/>
          <w:lang w:eastAsia="en-IE"/>
        </w:rPr>
      </w:pPr>
      <w:r w:rsidRPr="00003FB8">
        <w:rPr>
          <w:rFonts w:cs="HelveticaNeue"/>
          <w:szCs w:val="26"/>
        </w:rPr>
        <w:t>Following a pilot project</w:t>
      </w:r>
      <w:r w:rsidR="00E32CD6">
        <w:rPr>
          <w:rFonts w:cs="HelveticaNeue"/>
          <w:szCs w:val="26"/>
        </w:rPr>
        <w:t xml:space="preserve"> called </w:t>
      </w:r>
      <w:r w:rsidR="00E32CD6" w:rsidRPr="00E32CD6">
        <w:rPr>
          <w:rFonts w:cs="HelveticaNeue"/>
          <w:szCs w:val="26"/>
        </w:rPr>
        <w:t>Integrating Employment and Mental Health Support (IEMHS)</w:t>
      </w:r>
      <w:r w:rsidR="00727CB9">
        <w:rPr>
          <w:rFonts w:cs="HelveticaNeue"/>
          <w:szCs w:val="26"/>
        </w:rPr>
        <w:t xml:space="preserve"> </w:t>
      </w:r>
      <w:r w:rsidR="00727CB9">
        <w:rPr>
          <w:rFonts w:cs="HelveticaNeue"/>
          <w:szCs w:val="26"/>
        </w:rPr>
        <w:fldChar w:fldCharType="begin"/>
      </w:r>
      <w:r w:rsidR="006B1C05">
        <w:rPr>
          <w:rFonts w:cs="HelveticaNeue"/>
          <w:szCs w:val="26"/>
        </w:rPr>
        <w:instrText xml:space="preserve"> ADDIN ZOTERO_ITEM CSL_CITATION {"citationID":"SnOyPij7","properties":{"formattedCitation":"(64)","plainCitation":"(64)","noteIndex":0},"citationItems":[{"id":303,"uris":["http://zotero.org/users/local/kvLunvBP/items/IPJW38UC"],"itemData":{"id":303,"type":"report","title":"Steps into Work: Integrating Employment and Mental Health Supports Project Final report","URL":"https://mentalhealthreform.ie/wp-content/uploads/2018/09/Steps-Into-Work-IEMHS-Final.pdf","author":[{"family":"Mental Health Reform","given":""}],"issued":{"date-parts":[["2018"]]}}}],"schema":"https://github.com/citation-style-language/schema/raw/master/csl-citation.json"} </w:instrText>
      </w:r>
      <w:r w:rsidR="00727CB9">
        <w:rPr>
          <w:rFonts w:cs="HelveticaNeue"/>
          <w:szCs w:val="26"/>
        </w:rPr>
        <w:fldChar w:fldCharType="separate"/>
      </w:r>
      <w:r w:rsidR="006B1C05" w:rsidRPr="006B1C05">
        <w:t>(64)</w:t>
      </w:r>
      <w:r w:rsidR="00727CB9">
        <w:rPr>
          <w:rFonts w:cs="HelveticaNeue"/>
          <w:szCs w:val="26"/>
        </w:rPr>
        <w:fldChar w:fldCharType="end"/>
      </w:r>
      <w:r w:rsidR="00DD053C">
        <w:rPr>
          <w:rFonts w:cs="HelveticaNeue"/>
          <w:szCs w:val="26"/>
        </w:rPr>
        <w:t xml:space="preserve">, </w:t>
      </w:r>
      <w:r w:rsidRPr="00003FB8">
        <w:rPr>
          <w:szCs w:val="26"/>
          <w:lang w:eastAsia="en-IE"/>
        </w:rPr>
        <w:t xml:space="preserve">the DSP and the HSE </w:t>
      </w:r>
      <w:r w:rsidR="00003FB8">
        <w:rPr>
          <w:szCs w:val="26"/>
          <w:lang w:eastAsia="en-IE"/>
        </w:rPr>
        <w:t>collaborated</w:t>
      </w:r>
      <w:r w:rsidRPr="00003FB8">
        <w:rPr>
          <w:szCs w:val="26"/>
          <w:lang w:eastAsia="en-IE"/>
        </w:rPr>
        <w:t xml:space="preserve"> to roll out the IPS model</w:t>
      </w:r>
      <w:r w:rsidR="00CF3575">
        <w:rPr>
          <w:szCs w:val="26"/>
          <w:lang w:eastAsia="en-IE"/>
        </w:rPr>
        <w:t xml:space="preserve"> </w:t>
      </w:r>
      <w:r w:rsidR="00495418">
        <w:rPr>
          <w:szCs w:val="26"/>
          <w:lang w:eastAsia="en-IE"/>
        </w:rPr>
        <w:t>more widely</w:t>
      </w:r>
      <w:r w:rsidRPr="00003FB8">
        <w:rPr>
          <w:szCs w:val="26"/>
          <w:lang w:eastAsia="en-IE"/>
        </w:rPr>
        <w:t xml:space="preserve">. </w:t>
      </w:r>
      <w:r w:rsidR="00003FB8" w:rsidRPr="00003FB8">
        <w:rPr>
          <w:szCs w:val="26"/>
          <w:lang w:eastAsia="en-IE"/>
        </w:rPr>
        <w:t>Between its official rollout in October 2018 and</w:t>
      </w:r>
      <w:r w:rsidRPr="00003FB8">
        <w:rPr>
          <w:szCs w:val="26"/>
          <w:lang w:eastAsia="en-IE"/>
        </w:rPr>
        <w:t xml:space="preserve"> February 2020, the service had received 1,143 referrals.</w:t>
      </w:r>
      <w:r w:rsidRPr="00233BC4">
        <w:rPr>
          <w:rStyle w:val="FootnoteReference"/>
        </w:rPr>
        <w:footnoteReference w:id="20"/>
      </w:r>
      <w:r w:rsidRPr="00003FB8">
        <w:rPr>
          <w:szCs w:val="26"/>
          <w:lang w:eastAsia="en-IE"/>
        </w:rPr>
        <w:t xml:space="preserve"> Four hundred and twenty of these were active clients of the service at the end of February 2020, 311 were on a waiting list</w:t>
      </w:r>
      <w:r w:rsidR="00CF3575">
        <w:rPr>
          <w:szCs w:val="26"/>
          <w:lang w:eastAsia="en-IE"/>
        </w:rPr>
        <w:t>,</w:t>
      </w:r>
      <w:r w:rsidRPr="00003FB8">
        <w:rPr>
          <w:szCs w:val="26"/>
          <w:lang w:eastAsia="en-IE"/>
        </w:rPr>
        <w:t xml:space="preserve"> and the remaining 412 people had exited the service. </w:t>
      </w:r>
      <w:r w:rsidR="003C7911">
        <w:rPr>
          <w:szCs w:val="26"/>
          <w:lang w:eastAsia="en-IE"/>
        </w:rPr>
        <w:t xml:space="preserve">As of 2020, there was an outcome of the achievement of competitive employment in 43% of cases. </w:t>
      </w:r>
    </w:p>
    <w:p w14:paraId="495A902D" w14:textId="3DBA5048" w:rsidR="00E02CC0" w:rsidRDefault="00003FB8" w:rsidP="00AB5FBE">
      <w:pPr>
        <w:rPr>
          <w:szCs w:val="26"/>
          <w:lang w:eastAsia="en-IE"/>
        </w:rPr>
      </w:pPr>
      <w:r>
        <w:rPr>
          <w:szCs w:val="26"/>
          <w:lang w:eastAsia="en-IE"/>
        </w:rPr>
        <w:t>In 2023, 774 people availed of IPS support</w:t>
      </w:r>
      <w:r w:rsidR="00AB5FBE">
        <w:rPr>
          <w:szCs w:val="26"/>
          <w:lang w:eastAsia="en-IE"/>
        </w:rPr>
        <w:t xml:space="preserve">. </w:t>
      </w:r>
      <w:r w:rsidR="00E02CC0">
        <w:t>The NDA recommends that, going forward, data on the numbers availing of IPS support and their outcomes be reported annually.</w:t>
      </w:r>
    </w:p>
    <w:p w14:paraId="224D86E4" w14:textId="2536FB7C" w:rsidR="00AB5FBE" w:rsidRPr="00CF3575" w:rsidRDefault="00AB5FBE" w:rsidP="00AB5FBE">
      <w:pPr>
        <w:rPr>
          <w:szCs w:val="26"/>
          <w:lang w:eastAsia="en-IE"/>
        </w:rPr>
      </w:pPr>
      <w:r>
        <w:t xml:space="preserve">As part of the National Standard Operating Procedure for the delivery of IPS, quality is routinely evaluated by fidelity reviews. </w:t>
      </w:r>
      <w:r w:rsidR="003C7911">
        <w:t>A recent review of outcomes in two sample areas, CHO9 and CHO4, showed</w:t>
      </w:r>
      <w:r w:rsidR="004A0CCC">
        <w:t xml:space="preserve"> that</w:t>
      </w:r>
      <w:r w:rsidR="003C7911">
        <w:t xml:space="preserve"> a mean of 46% of participants achieved competitive employment (range: 16% to 88%), with fidelity outcomes of fair to good, </w:t>
      </w:r>
      <w:r w:rsidR="004A0CCC">
        <w:t xml:space="preserve">and </w:t>
      </w:r>
      <w:r w:rsidR="003C7911">
        <w:t>with high dropout rates in some areas.</w:t>
      </w:r>
      <w:r w:rsidR="00E32CD6" w:rsidRPr="00233BC4">
        <w:rPr>
          <w:rStyle w:val="FootnoteReference"/>
        </w:rPr>
        <w:footnoteReference w:id="21"/>
      </w:r>
      <w:r w:rsidR="004A0CCC">
        <w:t xml:space="preserve"> </w:t>
      </w:r>
    </w:p>
    <w:p w14:paraId="095EEB36" w14:textId="1AB15AD3" w:rsidR="00B5082A" w:rsidRPr="00E52014" w:rsidRDefault="00AB5FBE" w:rsidP="00E52014">
      <w:r>
        <w:t>R</w:t>
      </w:r>
      <w:r w:rsidRPr="00AB5FBE">
        <w:t>ecent</w:t>
      </w:r>
      <w:r w:rsidR="003C7911">
        <w:t>ly published</w:t>
      </w:r>
      <w:r w:rsidRPr="00AB5FBE">
        <w:t xml:space="preserve"> qualitative research into </w:t>
      </w:r>
      <w:r w:rsidR="003C7911">
        <w:t>the IPS model in Ireland</w:t>
      </w:r>
      <w:r w:rsidRPr="00AB5FBE">
        <w:t xml:space="preserve"> has </w:t>
      </w:r>
      <w:r w:rsidR="00CA45E3">
        <w:t>demonstrated benefits</w:t>
      </w:r>
      <w:r w:rsidRPr="00AB5FBE">
        <w:t xml:space="preserve"> of </w:t>
      </w:r>
      <w:r w:rsidR="00CA45E3">
        <w:t>the model beyond the</w:t>
      </w:r>
      <w:r w:rsidRPr="00AB5FBE">
        <w:t xml:space="preserve"> vocational, including increased confidence, well-being</w:t>
      </w:r>
      <w:r w:rsidR="00A11227">
        <w:t>,</w:t>
      </w:r>
      <w:r w:rsidRPr="00AB5FBE">
        <w:t xml:space="preserve"> and positivity which contributed to more purposeful and satisfying time use, participation in activities</w:t>
      </w:r>
      <w:r w:rsidR="00CA45E3">
        <w:t>,</w:t>
      </w:r>
      <w:r w:rsidRPr="00AB5FBE">
        <w:t xml:space="preserve"> and engagement with others</w:t>
      </w:r>
      <w:r w:rsidR="00A674EA">
        <w:t xml:space="preserve">. </w:t>
      </w:r>
      <w:r w:rsidR="00A674EA">
        <w:fldChar w:fldCharType="begin"/>
      </w:r>
      <w:r w:rsidR="006B1C05">
        <w:instrText xml:space="preserve"> ADDIN ZOTERO_ITEM CSL_CITATION {"citationID":"NlGG3X7Y","properties":{"formattedCitation":"(65)","plainCitation":"(65)","noteIndex":0},"citationItems":[{"id":284,"uris":["http://zotero.org/users/local/kvLunvBP/items/YJV33I4D"],"itemData":{"id":284,"type":"article-journal","abstract":"Purpose Individual Placement and Support (IPS) is an evidence-based employment model, effective in supporting individuals with severe mental health difficulties to gain competitive employment. Irish mental health policy recognises its value and IPS is being rolled out in a national programme. Employment is recognised an important contributor to mental health recovery and social inclusion. However, research on IPS has tended to focus on competitive job outcomes. The purpose of this study was to explore the non-vocational outcomes of IPS in an Irish context. Design/methodology/approach A qualitative research approach was used to interview participants taking part in IPS within community mental health teams. Twelve interviews were included in the data analysis process which was informed by a thematic analysis approach. Findings Participants experienced increased confidence and positivity, both within a work context and whilst job seeking. More purposeful time use, participation in activities and engagement with society were also experienced by those employed and those at the job search stage of IPS. Originality/value This study contributes to the literature about the non-vocational benefits of IPS within an Irish context, highlights the mental health recovery benefits of taking part in IPS and supports the need for ongoing development of IPS throughout mental health services in Ireland.","container-title":"Irish Journal of Occupational Therapy","DOI":"10.1108/IJOT-09-2023-0021","ISSN":"2398-8819","issue":"1","note":"publisher: Emerald Publishing Limited","page":"29-35","source":"Emerald Insight","title":"Exploring the non-vocational outcomes of the individual placement and support (IPS) employment model","URL":"https://doi.org/10.1108/IJOT-09-2023-0021","volume":"52","author":[{"family":"Boland","given":"Leonie"},{"family":"Kennedy","given":"Michelle"},{"family":"Lynch","given":"Lauren Jane"},{"family":"Bonham-Corcoran","given":"Meabh"},{"family":"Quinn","given":"Sarah"}],"accessed":{"date-parts":[["2024",10,15]]},"issued":{"date-parts":[["2024",1,1]]}}}],"schema":"https://github.com/citation-style-language/schema/raw/master/csl-citation.json"} </w:instrText>
      </w:r>
      <w:r w:rsidR="00A674EA">
        <w:fldChar w:fldCharType="separate"/>
      </w:r>
      <w:r w:rsidR="006B1C05" w:rsidRPr="006B1C05">
        <w:t>(65)</w:t>
      </w:r>
      <w:r w:rsidR="00A674EA">
        <w:fldChar w:fldCharType="end"/>
      </w:r>
    </w:p>
    <w:p w14:paraId="5832EBAC" w14:textId="4D0B1B21" w:rsidR="00C977A0" w:rsidRPr="00BA6F72" w:rsidRDefault="00C977A0" w:rsidP="00C977A0">
      <w:pPr>
        <w:pStyle w:val="Heading2"/>
        <w:rPr>
          <w:sz w:val="22"/>
          <w:szCs w:val="22"/>
        </w:rPr>
      </w:pPr>
      <w:bookmarkStart w:id="212" w:name="_Toc182219521"/>
      <w:bookmarkStart w:id="213" w:name="_Toc182220224"/>
      <w:bookmarkStart w:id="214" w:name="_Toc182555572"/>
      <w:bookmarkStart w:id="215" w:name="_Toc182555723"/>
      <w:r w:rsidRPr="00BA6F72">
        <w:rPr>
          <w:lang w:eastAsia="en-IE"/>
        </w:rPr>
        <w:t>2.6 Percentage of persons with disabilities using public transport services for</w:t>
      </w:r>
      <w:r w:rsidR="00E61D4D">
        <w:rPr>
          <w:lang w:eastAsia="en-IE"/>
        </w:rPr>
        <w:t xml:space="preserve"> their</w:t>
      </w:r>
      <w:r w:rsidRPr="00BA6F72">
        <w:rPr>
          <w:lang w:eastAsia="en-IE"/>
        </w:rPr>
        <w:t xml:space="preserve"> journey to work vs non-disabled counterparts (Process)</w:t>
      </w:r>
      <w:bookmarkEnd w:id="212"/>
      <w:bookmarkEnd w:id="213"/>
      <w:bookmarkEnd w:id="214"/>
      <w:bookmarkEnd w:id="215"/>
      <w:r w:rsidRPr="00BA6F72">
        <w:rPr>
          <w:lang w:eastAsia="en-IE"/>
        </w:rPr>
        <w:t xml:space="preserve"> </w:t>
      </w:r>
    </w:p>
    <w:p w14:paraId="3487F8A8" w14:textId="64C5A279" w:rsidR="00C977A0" w:rsidRPr="003D1D2E" w:rsidRDefault="00F27061" w:rsidP="00C977A0">
      <w:pPr>
        <w:rPr>
          <w:szCs w:val="26"/>
        </w:rPr>
      </w:pPr>
      <w:r w:rsidRPr="00450719">
        <w:rPr>
          <w:szCs w:val="26"/>
        </w:rPr>
        <w:t>Affordable and accessible transport is essential</w:t>
      </w:r>
      <w:r>
        <w:rPr>
          <w:szCs w:val="26"/>
        </w:rPr>
        <w:t xml:space="preserve"> for many people</w:t>
      </w:r>
      <w:r w:rsidRPr="00450719">
        <w:rPr>
          <w:szCs w:val="26"/>
        </w:rPr>
        <w:t xml:space="preserve"> to get to college and work. In consultations</w:t>
      </w:r>
      <w:r>
        <w:rPr>
          <w:szCs w:val="26"/>
        </w:rPr>
        <w:t>,</w:t>
      </w:r>
      <w:r w:rsidRPr="00450719">
        <w:rPr>
          <w:szCs w:val="26"/>
        </w:rPr>
        <w:t xml:space="preserve"> disabled people frequently mention the lack of accessible, reliable, and connected transport as a challenge to participation in society and work.</w:t>
      </w:r>
      <w:r>
        <w:rPr>
          <w:szCs w:val="26"/>
        </w:rPr>
        <w:t xml:space="preserve"> </w:t>
      </w:r>
      <w:r w:rsidR="00085A89" w:rsidRPr="003D1D2E">
        <w:rPr>
          <w:szCs w:val="26"/>
        </w:rPr>
        <w:t>The Census collects information on</w:t>
      </w:r>
      <w:r w:rsidR="00C977A0" w:rsidRPr="003D1D2E">
        <w:rPr>
          <w:szCs w:val="26"/>
        </w:rPr>
        <w:t xml:space="preserve"> the means of transport to work for persons with and without a disability aged 15 and over. Public transport </w:t>
      </w:r>
      <w:r w:rsidR="007E2FB8">
        <w:rPr>
          <w:szCs w:val="26"/>
        </w:rPr>
        <w:t xml:space="preserve">use </w:t>
      </w:r>
      <w:r w:rsidR="00C977A0" w:rsidRPr="003D1D2E">
        <w:rPr>
          <w:szCs w:val="26"/>
        </w:rPr>
        <w:t xml:space="preserve">can be </w:t>
      </w:r>
      <w:r w:rsidR="00E96D3D">
        <w:rPr>
          <w:szCs w:val="26"/>
        </w:rPr>
        <w:t>approximated</w:t>
      </w:r>
      <w:r w:rsidR="00C977A0" w:rsidRPr="003D1D2E">
        <w:rPr>
          <w:szCs w:val="26"/>
        </w:rPr>
        <w:t xml:space="preserve"> by </w:t>
      </w:r>
      <w:r w:rsidR="00E96D3D">
        <w:rPr>
          <w:szCs w:val="26"/>
        </w:rPr>
        <w:t>looking at the numbers</w:t>
      </w:r>
      <w:r w:rsidR="00C977A0" w:rsidRPr="003D1D2E">
        <w:rPr>
          <w:szCs w:val="26"/>
        </w:rPr>
        <w:t xml:space="preserve"> taking the ‘bus, minibus or coach’ or ‘the train, DART or Luas’ to work</w:t>
      </w:r>
      <w:r w:rsidR="00E96D3D">
        <w:rPr>
          <w:szCs w:val="26"/>
        </w:rPr>
        <w:t>,</w:t>
      </w:r>
      <w:r w:rsidR="007E2FB8">
        <w:rPr>
          <w:szCs w:val="26"/>
        </w:rPr>
        <w:t xml:space="preserve"> according to the census</w:t>
      </w:r>
      <w:r w:rsidR="00C977A0" w:rsidRPr="003D1D2E">
        <w:rPr>
          <w:szCs w:val="26"/>
        </w:rPr>
        <w:t>. However</w:t>
      </w:r>
      <w:r w:rsidR="00E96D3D">
        <w:rPr>
          <w:szCs w:val="26"/>
        </w:rPr>
        <w:t>,</w:t>
      </w:r>
      <w:r w:rsidR="00C977A0" w:rsidRPr="003D1D2E">
        <w:rPr>
          <w:szCs w:val="26"/>
        </w:rPr>
        <w:t xml:space="preserve"> this information does not </w:t>
      </w:r>
      <w:r>
        <w:rPr>
          <w:szCs w:val="26"/>
        </w:rPr>
        <w:t>allow full</w:t>
      </w:r>
      <w:r w:rsidR="00C977A0" w:rsidRPr="003D1D2E">
        <w:rPr>
          <w:szCs w:val="26"/>
        </w:rPr>
        <w:t xml:space="preserve"> </w:t>
      </w:r>
      <w:r>
        <w:rPr>
          <w:szCs w:val="26"/>
        </w:rPr>
        <w:t>assessment of the</w:t>
      </w:r>
      <w:r w:rsidR="00C977A0" w:rsidRPr="003D1D2E">
        <w:rPr>
          <w:szCs w:val="26"/>
        </w:rPr>
        <w:t xml:space="preserve"> accessibility of public transport services for persons with disabilities </w:t>
      </w:r>
      <w:r w:rsidR="00E96D3D">
        <w:rPr>
          <w:szCs w:val="26"/>
        </w:rPr>
        <w:t xml:space="preserve">for </w:t>
      </w:r>
      <w:r w:rsidR="00C977A0" w:rsidRPr="003D1D2E">
        <w:rPr>
          <w:szCs w:val="26"/>
        </w:rPr>
        <w:t>the following reasons:</w:t>
      </w:r>
    </w:p>
    <w:p w14:paraId="5F5B1055" w14:textId="77777777" w:rsidR="00C977A0" w:rsidRPr="003D1D2E" w:rsidRDefault="00C977A0" w:rsidP="00FD0C3F">
      <w:pPr>
        <w:pStyle w:val="ListParagraph"/>
        <w:numPr>
          <w:ilvl w:val="0"/>
          <w:numId w:val="7"/>
        </w:numPr>
        <w:spacing w:after="200" w:line="276" w:lineRule="auto"/>
        <w:rPr>
          <w:rFonts w:ascii="Gill Sans MT" w:hAnsi="Gill Sans MT"/>
          <w:szCs w:val="26"/>
        </w:rPr>
      </w:pPr>
      <w:r w:rsidRPr="003D1D2E">
        <w:rPr>
          <w:rFonts w:ascii="Gill Sans MT" w:hAnsi="Gill Sans MT"/>
          <w:szCs w:val="26"/>
        </w:rPr>
        <w:t xml:space="preserve">a bus, minibus or coach could also refer to a private service, </w:t>
      </w:r>
    </w:p>
    <w:p w14:paraId="438E7BC6" w14:textId="0CF6D6B3" w:rsidR="00C977A0" w:rsidRPr="003D1D2E" w:rsidRDefault="00C977A0" w:rsidP="00FD0C3F">
      <w:pPr>
        <w:pStyle w:val="ListParagraph"/>
        <w:numPr>
          <w:ilvl w:val="0"/>
          <w:numId w:val="7"/>
        </w:numPr>
        <w:spacing w:after="200" w:line="276" w:lineRule="auto"/>
        <w:rPr>
          <w:rFonts w:ascii="Gill Sans MT" w:hAnsi="Gill Sans MT"/>
          <w:szCs w:val="26"/>
        </w:rPr>
      </w:pPr>
      <w:r w:rsidRPr="003D1D2E">
        <w:rPr>
          <w:rFonts w:ascii="Gill Sans MT" w:hAnsi="Gill Sans MT"/>
          <w:szCs w:val="26"/>
        </w:rPr>
        <w:t>the train, DART and Luas exclude many rural areas, and</w:t>
      </w:r>
    </w:p>
    <w:p w14:paraId="4C2F2E2D" w14:textId="47F3CE0C" w:rsidR="00C977A0" w:rsidRPr="003D1D2E" w:rsidRDefault="00C977A0" w:rsidP="00FD0C3F">
      <w:pPr>
        <w:pStyle w:val="ListParagraph"/>
        <w:numPr>
          <w:ilvl w:val="0"/>
          <w:numId w:val="7"/>
        </w:numPr>
        <w:spacing w:after="200" w:line="276" w:lineRule="auto"/>
        <w:rPr>
          <w:rFonts w:ascii="Gill Sans MT" w:hAnsi="Gill Sans MT"/>
          <w:szCs w:val="26"/>
        </w:rPr>
      </w:pPr>
      <w:r w:rsidRPr="003D1D2E">
        <w:rPr>
          <w:rFonts w:ascii="Gill Sans MT" w:hAnsi="Gill Sans MT"/>
          <w:szCs w:val="26"/>
        </w:rPr>
        <w:t>th</w:t>
      </w:r>
      <w:r w:rsidR="00E96D3D">
        <w:rPr>
          <w:rFonts w:ascii="Gill Sans MT" w:hAnsi="Gill Sans MT"/>
          <w:szCs w:val="26"/>
        </w:rPr>
        <w:t>ese</w:t>
      </w:r>
      <w:r w:rsidRPr="003D1D2E">
        <w:rPr>
          <w:rFonts w:ascii="Gill Sans MT" w:hAnsi="Gill Sans MT"/>
          <w:szCs w:val="26"/>
        </w:rPr>
        <w:t xml:space="preserve"> data </w:t>
      </w:r>
      <w:r w:rsidR="00E96D3D">
        <w:rPr>
          <w:rFonts w:ascii="Gill Sans MT" w:hAnsi="Gill Sans MT"/>
          <w:szCs w:val="26"/>
        </w:rPr>
        <w:t>relate only to</w:t>
      </w:r>
      <w:r w:rsidRPr="003D1D2E">
        <w:rPr>
          <w:rFonts w:ascii="Gill Sans MT" w:hAnsi="Gill Sans MT"/>
          <w:szCs w:val="26"/>
        </w:rPr>
        <w:t xml:space="preserve"> those already in employment, </w:t>
      </w:r>
      <w:r w:rsidR="00F27061">
        <w:rPr>
          <w:rFonts w:ascii="Gill Sans MT" w:hAnsi="Gill Sans MT"/>
          <w:szCs w:val="26"/>
        </w:rPr>
        <w:t>while</w:t>
      </w:r>
      <w:r w:rsidRPr="003D1D2E">
        <w:rPr>
          <w:rFonts w:ascii="Gill Sans MT" w:hAnsi="Gill Sans MT"/>
          <w:szCs w:val="26"/>
        </w:rPr>
        <w:t xml:space="preserve"> a lack of accessible transport is often cited as a barrier to employment and education for those with disabilities.</w:t>
      </w:r>
    </w:p>
    <w:p w14:paraId="5B37760E" w14:textId="4ACE9085" w:rsidR="00450719" w:rsidRPr="00450719" w:rsidRDefault="00C977A0" w:rsidP="00450719">
      <w:pPr>
        <w:rPr>
          <w:szCs w:val="26"/>
          <w:highlight w:val="yellow"/>
        </w:rPr>
      </w:pPr>
      <w:r w:rsidRPr="00450719">
        <w:rPr>
          <w:szCs w:val="26"/>
        </w:rPr>
        <w:t xml:space="preserve">Figures from </w:t>
      </w:r>
      <w:r w:rsidR="00450719" w:rsidRPr="00450719">
        <w:rPr>
          <w:szCs w:val="26"/>
        </w:rPr>
        <w:t>Census</w:t>
      </w:r>
      <w:r w:rsidRPr="00450719">
        <w:rPr>
          <w:szCs w:val="26"/>
        </w:rPr>
        <w:t xml:space="preserve"> </w:t>
      </w:r>
      <w:r w:rsidR="00450719" w:rsidRPr="00450719">
        <w:rPr>
          <w:szCs w:val="26"/>
        </w:rPr>
        <w:t>2022 show that</w:t>
      </w:r>
      <w:r w:rsidRPr="00450719">
        <w:rPr>
          <w:szCs w:val="26"/>
        </w:rPr>
        <w:t xml:space="preserve"> 8.</w:t>
      </w:r>
      <w:r w:rsidR="00450719" w:rsidRPr="00450719">
        <w:rPr>
          <w:szCs w:val="26"/>
        </w:rPr>
        <w:t>1</w:t>
      </w:r>
      <w:r w:rsidRPr="00450719">
        <w:rPr>
          <w:szCs w:val="26"/>
        </w:rPr>
        <w:t>% of those with disabilities who were working took a bus, minibus or coach to work, and this was higher than those without disabilities (5.</w:t>
      </w:r>
      <w:r w:rsidR="00450719" w:rsidRPr="00450719">
        <w:rPr>
          <w:szCs w:val="26"/>
        </w:rPr>
        <w:t>5</w:t>
      </w:r>
      <w:r w:rsidRPr="00450719">
        <w:rPr>
          <w:szCs w:val="26"/>
        </w:rPr>
        <w:t xml:space="preserve">%). The proportion of persons with disabilities taking the train, DART or Luas to </w:t>
      </w:r>
      <w:r w:rsidR="00450719">
        <w:rPr>
          <w:szCs w:val="26"/>
        </w:rPr>
        <w:t>work was 3.5% in 2022, compared to 2.9% of people without disabilities.</w:t>
      </w:r>
    </w:p>
    <w:p w14:paraId="62C5EB1D" w14:textId="0685CC04" w:rsidR="00450719" w:rsidRDefault="00450719" w:rsidP="00450719">
      <w:pPr>
        <w:pStyle w:val="Caption"/>
        <w:keepNext/>
        <w:jc w:val="left"/>
      </w:pPr>
      <w:bookmarkStart w:id="216" w:name="_Toc182219903"/>
      <w:r>
        <w:t xml:space="preserve">Figure </w:t>
      </w:r>
      <w:r>
        <w:fldChar w:fldCharType="begin"/>
      </w:r>
      <w:r>
        <w:instrText xml:space="preserve"> SEQ Figure \* ARABIC </w:instrText>
      </w:r>
      <w:r>
        <w:fldChar w:fldCharType="separate"/>
      </w:r>
      <w:r w:rsidR="009C4192">
        <w:rPr>
          <w:noProof/>
        </w:rPr>
        <w:t>7</w:t>
      </w:r>
      <w:r>
        <w:fldChar w:fldCharType="end"/>
      </w:r>
      <w:r>
        <w:t xml:space="preserve">: </w:t>
      </w:r>
      <w:r w:rsidRPr="003D1D2E">
        <w:rPr>
          <w:szCs w:val="26"/>
        </w:rPr>
        <w:t xml:space="preserve">Means of public transport to work </w:t>
      </w:r>
      <w:r w:rsidR="001023BD">
        <w:rPr>
          <w:szCs w:val="26"/>
        </w:rPr>
        <w:t>of</w:t>
      </w:r>
      <w:r w:rsidRPr="003D1D2E">
        <w:rPr>
          <w:szCs w:val="26"/>
        </w:rPr>
        <w:t xml:space="preserve"> persons with and without disabilities</w:t>
      </w:r>
      <w:r w:rsidRPr="003D1D2E">
        <w:rPr>
          <w:b w:val="0"/>
          <w:szCs w:val="26"/>
        </w:rPr>
        <w:t xml:space="preserve">, </w:t>
      </w:r>
      <w:r w:rsidRPr="00490F6F">
        <w:rPr>
          <w:bCs w:val="0"/>
          <w:szCs w:val="26"/>
        </w:rPr>
        <w:t>2022</w:t>
      </w:r>
      <w:bookmarkEnd w:id="216"/>
    </w:p>
    <w:p w14:paraId="7CEF9E0E" w14:textId="718B0DE3" w:rsidR="00C977A0" w:rsidRPr="00490F6F" w:rsidRDefault="00450719" w:rsidP="00C977A0">
      <w:pPr>
        <w:rPr>
          <w:b/>
          <w:szCs w:val="26"/>
        </w:rPr>
      </w:pPr>
      <w:r>
        <w:rPr>
          <w:noProof/>
        </w:rPr>
        <w:drawing>
          <wp:inline distT="0" distB="0" distL="0" distR="0" wp14:anchorId="560AE6DA" wp14:editId="7386801F">
            <wp:extent cx="5196840" cy="3253740"/>
            <wp:effectExtent l="0" t="0" r="3810" b="3810"/>
            <wp:docPr id="303327126" name="Chart 1" descr="This bar chart shows the percentages of people with and without disabilities who take either the bus, minibus or coach or the train, DART or Luas to work, according to Census 2022. &#10;&#10;8.1% of people with a disability take a bus, minibus or coach to work (7.6% of those with a disability to some extent and 10.0% of people with a disability to a great extent). 5.5% of people without disabilities take a bus, minibus or coach to work.&#10;&#10;3.5% of people with a disability take the train, DART or Luas to work (3.5% of people with a disability to some extent and 3.3% of people with a disability to a great extent). 2.9% of people without a disability take the train, DART or Luas to work.">
              <a:extLst xmlns:a="http://schemas.openxmlformats.org/drawingml/2006/main">
                <a:ext uri="{FF2B5EF4-FFF2-40B4-BE49-F238E27FC236}">
                  <a16:creationId xmlns:a16="http://schemas.microsoft.com/office/drawing/2014/main" id="{945970E8-A67C-5253-40ED-A817F8D240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FAC293" w14:textId="4BAED8C4" w:rsidR="00BA6F72" w:rsidRDefault="006A26C6" w:rsidP="00BA6F72">
      <w:pPr>
        <w:rPr>
          <w:szCs w:val="26"/>
        </w:rPr>
      </w:pPr>
      <w:r>
        <w:rPr>
          <w:szCs w:val="26"/>
        </w:rPr>
        <w:t xml:space="preserve">The higher proportion of disabled people using public transport </w:t>
      </w:r>
      <w:r w:rsidR="004A0CCC">
        <w:rPr>
          <w:szCs w:val="26"/>
        </w:rPr>
        <w:t xml:space="preserve">as indicated by the Census </w:t>
      </w:r>
      <w:r>
        <w:rPr>
          <w:szCs w:val="26"/>
        </w:rPr>
        <w:t xml:space="preserve">may be attributable to </w:t>
      </w:r>
      <w:r w:rsidR="004A0CCC">
        <w:rPr>
          <w:szCs w:val="26"/>
        </w:rPr>
        <w:t>the overrepresentation of disabled people working in lower paid sectors (meaning that car ownership is not affordable)</w:t>
      </w:r>
      <w:r w:rsidR="00F27061">
        <w:rPr>
          <w:szCs w:val="26"/>
        </w:rPr>
        <w:t>, inability to drive due to some types of impairment,</w:t>
      </w:r>
      <w:r w:rsidR="004A0CCC">
        <w:rPr>
          <w:szCs w:val="26"/>
        </w:rPr>
        <w:t xml:space="preserve"> or perhaps that disabled people are</w:t>
      </w:r>
      <w:r>
        <w:rPr>
          <w:szCs w:val="26"/>
        </w:rPr>
        <w:t xml:space="preserve"> more likely to work in roles that are not conducive to working from home. </w:t>
      </w:r>
    </w:p>
    <w:p w14:paraId="5FE58145" w14:textId="77777777" w:rsidR="00EF1E07" w:rsidRPr="00EF1E07" w:rsidRDefault="00EF1E07" w:rsidP="00EF1E07">
      <w:pPr>
        <w:rPr>
          <w:rFonts w:ascii="Gill Sans MT" w:hAnsi="Gill Sans MT"/>
          <w:b/>
          <w:bCs/>
          <w:color w:val="000000"/>
          <w:szCs w:val="26"/>
        </w:rPr>
      </w:pPr>
      <w:r w:rsidRPr="00EF1E07">
        <w:rPr>
          <w:rFonts w:ascii="Gill Sans MT" w:hAnsi="Gill Sans MT"/>
          <w:b/>
          <w:bCs/>
          <w:color w:val="000000"/>
          <w:szCs w:val="26"/>
        </w:rPr>
        <w:t>Transport</w:t>
      </w:r>
    </w:p>
    <w:p w14:paraId="0421B979" w14:textId="612B98DB" w:rsidR="00EF1E07" w:rsidRPr="00EF1E07" w:rsidRDefault="00EF1E07" w:rsidP="00EF1E07">
      <w:pPr>
        <w:rPr>
          <w:rFonts w:ascii="Gill Sans MT" w:hAnsi="Gill Sans MT"/>
          <w:color w:val="000000"/>
          <w:szCs w:val="26"/>
          <w:lang w:eastAsia="en-IE"/>
        </w:rPr>
      </w:pPr>
      <w:r>
        <w:rPr>
          <w:rFonts w:ascii="Gill Sans MT" w:hAnsi="Gill Sans MT"/>
          <w:color w:val="000000"/>
          <w:szCs w:val="26"/>
        </w:rPr>
        <w:t xml:space="preserve">Transport </w:t>
      </w:r>
      <w:r w:rsidR="00A11227">
        <w:rPr>
          <w:rFonts w:ascii="Gill Sans MT" w:hAnsi="Gill Sans MT"/>
          <w:color w:val="000000"/>
          <w:szCs w:val="26"/>
        </w:rPr>
        <w:t>plays a crucial role</w:t>
      </w:r>
      <w:r>
        <w:rPr>
          <w:rFonts w:ascii="Gill Sans MT" w:hAnsi="Gill Sans MT"/>
          <w:color w:val="000000"/>
          <w:szCs w:val="26"/>
        </w:rPr>
        <w:t xml:space="preserve"> in increasing participation in education and employment. P</w:t>
      </w:r>
      <w:r w:rsidRPr="00EF1E07">
        <w:rPr>
          <w:rFonts w:ascii="Gill Sans MT" w:hAnsi="Gill Sans MT"/>
          <w:color w:val="000000"/>
          <w:szCs w:val="26"/>
        </w:rPr>
        <w:t>rogress has been made in improving the accessibility and reliability of public transport in Ireland</w:t>
      </w:r>
      <w:r w:rsidR="00A11227">
        <w:rPr>
          <w:rFonts w:ascii="Gill Sans MT" w:hAnsi="Gill Sans MT"/>
          <w:color w:val="000000"/>
          <w:szCs w:val="26"/>
        </w:rPr>
        <w:t xml:space="preserve"> over the lifetime of the CES.</w:t>
      </w:r>
      <w:r w:rsidRPr="00EF1E07">
        <w:rPr>
          <w:rFonts w:ascii="Gill Sans MT" w:hAnsi="Gill Sans MT"/>
          <w:color w:val="000000"/>
          <w:szCs w:val="26"/>
        </w:rPr>
        <w:t xml:space="preserve"> The National Transport Authority (NTA) has a pivotal role</w:t>
      </w:r>
      <w:r>
        <w:rPr>
          <w:rFonts w:ascii="Gill Sans MT" w:hAnsi="Gill Sans MT"/>
          <w:color w:val="000000"/>
          <w:szCs w:val="26"/>
        </w:rPr>
        <w:t xml:space="preserve"> in</w:t>
      </w:r>
      <w:r w:rsidRPr="00EF1E07">
        <w:rPr>
          <w:rFonts w:ascii="Gill Sans MT" w:hAnsi="Gill Sans MT"/>
          <w:color w:val="000000"/>
          <w:szCs w:val="26"/>
        </w:rPr>
        <w:t xml:space="preserve"> implementing crucial infrastructure upgrades such as new footbridges, lifts, and refurbished facilities at multiple rail stations. This includes enhanced sanitary facilities, disabled parking bays, help points, induction loops, and tactile signage, all designed to facilitate better access for passengers with disabilities. </w:t>
      </w:r>
      <w:r w:rsidRPr="00C8797A">
        <w:rPr>
          <w:rFonts w:ascii="Gill Sans MT" w:hAnsi="Gill Sans MT"/>
          <w:szCs w:val="26"/>
        </w:rPr>
        <w:t>The introduction of video security systems</w:t>
      </w:r>
      <w:r w:rsidR="00974AEE" w:rsidRPr="00C8797A">
        <w:rPr>
          <w:rFonts w:ascii="Gill Sans MT" w:hAnsi="Gill Sans MT"/>
          <w:szCs w:val="26"/>
        </w:rPr>
        <w:t xml:space="preserve"> on lifts</w:t>
      </w:r>
      <w:r w:rsidRPr="00C8797A">
        <w:rPr>
          <w:rFonts w:ascii="Gill Sans MT" w:hAnsi="Gill Sans MT"/>
          <w:szCs w:val="26"/>
        </w:rPr>
        <w:t xml:space="preserve"> and new signage </w:t>
      </w:r>
      <w:r w:rsidR="00974AEE" w:rsidRPr="00C8797A">
        <w:rPr>
          <w:rFonts w:ascii="Gill Sans MT" w:hAnsi="Gill Sans MT"/>
        </w:rPr>
        <w:t>installed at all of their stations</w:t>
      </w:r>
      <w:r w:rsidR="00C8797A" w:rsidRPr="00C8797A">
        <w:rPr>
          <w:rFonts w:ascii="Gill Sans MT" w:hAnsi="Gill Sans MT"/>
        </w:rPr>
        <w:t xml:space="preserve"> </w:t>
      </w:r>
      <w:r w:rsidRPr="00C8797A">
        <w:rPr>
          <w:rFonts w:ascii="Gill Sans MT" w:hAnsi="Gill Sans MT"/>
          <w:szCs w:val="26"/>
        </w:rPr>
        <w:t xml:space="preserve">has </w:t>
      </w:r>
      <w:r w:rsidRPr="00EF1E07">
        <w:rPr>
          <w:rFonts w:ascii="Gill Sans MT" w:hAnsi="Gill Sans MT"/>
          <w:color w:val="000000"/>
          <w:szCs w:val="26"/>
        </w:rPr>
        <w:t>further contributed to a more accessible and secure travel environment</w:t>
      </w:r>
      <w:r w:rsidR="00A11227">
        <w:rPr>
          <w:rFonts w:ascii="Gill Sans MT" w:hAnsi="Gill Sans MT"/>
          <w:color w:val="000000"/>
          <w:szCs w:val="26"/>
        </w:rPr>
        <w:t xml:space="preserve"> in recent years</w:t>
      </w:r>
      <w:r w:rsidRPr="00EF1E07">
        <w:rPr>
          <w:rFonts w:ascii="Gill Sans MT" w:hAnsi="Gill Sans MT"/>
          <w:color w:val="000000"/>
          <w:szCs w:val="26"/>
        </w:rPr>
        <w:t>.</w:t>
      </w:r>
    </w:p>
    <w:p w14:paraId="1CD50D5C" w14:textId="77777777" w:rsidR="00EF1E07" w:rsidRDefault="00EF1E07" w:rsidP="00EF1E07">
      <w:pPr>
        <w:rPr>
          <w:rFonts w:ascii="Gill Sans MT" w:hAnsi="Gill Sans MT"/>
          <w:color w:val="000000"/>
          <w:szCs w:val="26"/>
        </w:rPr>
      </w:pPr>
      <w:r w:rsidRPr="00EF1E07">
        <w:rPr>
          <w:rFonts w:ascii="Gill Sans MT" w:hAnsi="Gill Sans MT"/>
          <w:color w:val="000000"/>
          <w:szCs w:val="26"/>
        </w:rPr>
        <w:t>In addition to rail improvements, the NTA has focused on enhancing bus services to meet the needs of disabled passengers. Achievements include the installation of wheelchair-accessible bus bays and stops across numerous towns, the rollout of low-floor vehicles, and the integration of visual and audible announcements on all major bus services. The Connecting Ireland Rural Mobility Plan has provided over 100 new or additional accessible bus services, significantly improving connectivity for rural and regional communities. These advancements have enabled greater access to education, employment, and healthcare, fostering social inclusion and economic participation.</w:t>
      </w:r>
    </w:p>
    <w:p w14:paraId="0BCE94A1" w14:textId="43202CA7" w:rsidR="002D116F" w:rsidRPr="00EF1E07" w:rsidRDefault="009F78FB" w:rsidP="00EF1E07">
      <w:pPr>
        <w:rPr>
          <w:rFonts w:ascii="Gill Sans MT" w:hAnsi="Gill Sans MT"/>
          <w:color w:val="000000"/>
          <w:szCs w:val="26"/>
          <w:lang w:eastAsia="en-IE"/>
        </w:rPr>
      </w:pPr>
      <w:r>
        <w:rPr>
          <w:rFonts w:ascii="Gill Sans MT" w:hAnsi="Gill Sans MT"/>
          <w:color w:val="000000"/>
          <w:szCs w:val="26"/>
        </w:rPr>
        <w:t xml:space="preserve">A real </w:t>
      </w:r>
      <w:r w:rsidR="002D116F" w:rsidRPr="002D116F">
        <w:rPr>
          <w:rFonts w:ascii="Gill Sans MT" w:hAnsi="Gill Sans MT"/>
          <w:color w:val="000000"/>
          <w:szCs w:val="26"/>
        </w:rPr>
        <w:t xml:space="preserve">challenge </w:t>
      </w:r>
      <w:r>
        <w:rPr>
          <w:rFonts w:ascii="Gill Sans MT" w:hAnsi="Gill Sans MT"/>
          <w:color w:val="000000"/>
          <w:szCs w:val="26"/>
        </w:rPr>
        <w:t>to accessible transport is</w:t>
      </w:r>
      <w:r w:rsidR="002D116F" w:rsidRPr="002D116F">
        <w:rPr>
          <w:rFonts w:ascii="Gill Sans MT" w:hAnsi="Gill Sans MT"/>
          <w:color w:val="000000"/>
          <w:szCs w:val="26"/>
        </w:rPr>
        <w:t xml:space="preserve"> retrofitting older transport infrastructure and facilities, for example legacy Victorian era rail infrastructure. This requires considerable investment</w:t>
      </w:r>
      <w:r w:rsidR="00A11227">
        <w:rPr>
          <w:rFonts w:ascii="Gill Sans MT" w:hAnsi="Gill Sans MT"/>
          <w:color w:val="000000"/>
          <w:szCs w:val="26"/>
        </w:rPr>
        <w:t>,</w:t>
      </w:r>
      <w:r w:rsidR="002D116F" w:rsidRPr="002D116F">
        <w:rPr>
          <w:rFonts w:ascii="Gill Sans MT" w:hAnsi="Gill Sans MT"/>
          <w:color w:val="000000"/>
          <w:szCs w:val="26"/>
        </w:rPr>
        <w:t xml:space="preserve"> as infrastructure improvements take time to be implemented. Matched co-funding from other governmental sources would be welcome, as demonstrated under the very successful ‘Leitrim pilot’ between the NTA and the HSE</w:t>
      </w:r>
      <w:r w:rsidR="00A11227">
        <w:rPr>
          <w:rFonts w:ascii="Gill Sans MT" w:hAnsi="Gill Sans MT"/>
          <w:color w:val="000000"/>
          <w:szCs w:val="26"/>
        </w:rPr>
        <w:t>.</w:t>
      </w:r>
      <w:r w:rsidR="002D116F" w:rsidRPr="002D116F">
        <w:rPr>
          <w:rFonts w:ascii="Gill Sans MT" w:hAnsi="Gill Sans MT"/>
          <w:color w:val="000000"/>
          <w:szCs w:val="26"/>
        </w:rPr>
        <w:t xml:space="preserve"> Furthermore, the provision of accessible public transport requires a ‘whole journey approach’ which refers to all elements that constitute a journey from the starting point to destination. It also means applying the principles of Universal Design</w:t>
      </w:r>
    </w:p>
    <w:p w14:paraId="41011812" w14:textId="445DDB15" w:rsidR="00EF1E07" w:rsidRPr="00982A67" w:rsidRDefault="00EF1E07" w:rsidP="00BA6F72">
      <w:pPr>
        <w:rPr>
          <w:rFonts w:ascii="Gill Sans MT" w:hAnsi="Gill Sans MT"/>
          <w:color w:val="000000"/>
          <w:szCs w:val="26"/>
        </w:rPr>
      </w:pPr>
      <w:r>
        <w:rPr>
          <w:rFonts w:ascii="Gill Sans MT" w:hAnsi="Gill Sans MT"/>
          <w:color w:val="000000"/>
          <w:szCs w:val="26"/>
        </w:rPr>
        <w:t>T</w:t>
      </w:r>
      <w:r w:rsidRPr="00EF1E07">
        <w:rPr>
          <w:rFonts w:ascii="Gill Sans MT" w:hAnsi="Gill Sans MT"/>
          <w:color w:val="000000"/>
          <w:szCs w:val="26"/>
        </w:rPr>
        <w:t xml:space="preserve">he expansion of the TFI Travel Assistance Scheme </w:t>
      </w:r>
      <w:r w:rsidR="00974AEE" w:rsidRPr="00A11227">
        <w:rPr>
          <w:rFonts w:ascii="Gill Sans MT" w:hAnsi="Gill Sans MT"/>
        </w:rPr>
        <w:t>from Dublin to Cork, Limerick, Waterford and Galway</w:t>
      </w:r>
      <w:r w:rsidR="00974AEE" w:rsidRPr="00A11227">
        <w:rPr>
          <w:rFonts w:ascii="Gill Sans MT" w:hAnsi="Gill Sans MT"/>
          <w:color w:val="000000"/>
          <w:szCs w:val="26"/>
        </w:rPr>
        <w:t xml:space="preserve"> </w:t>
      </w:r>
      <w:r w:rsidRPr="00EF1E07">
        <w:rPr>
          <w:rFonts w:ascii="Gill Sans MT" w:hAnsi="Gill Sans MT"/>
          <w:color w:val="000000"/>
          <w:szCs w:val="26"/>
        </w:rPr>
        <w:t>has empowered individuals with disabilities to travel independently by providing personal assistance on various transport services. The implementation of mystery shopper surveys, conducted by people with disabilities and older adults, has also been instrumental in identifying areas for further improvement. Increased funding for public transport services, coupled with initiatives like the Youth Adult Card and the 90-minute fare, has made transportation more affordable and accessible, benefiting all users, including those with hidden disabilities.</w:t>
      </w:r>
    </w:p>
    <w:p w14:paraId="39C684FD" w14:textId="77777777" w:rsidR="00C977A0" w:rsidRPr="00087E18" w:rsidRDefault="00C977A0" w:rsidP="00C977A0">
      <w:pPr>
        <w:pStyle w:val="Heading2"/>
        <w:rPr>
          <w:lang w:eastAsia="en-IE"/>
        </w:rPr>
      </w:pPr>
      <w:bookmarkStart w:id="217" w:name="_Toc182219522"/>
      <w:bookmarkStart w:id="218" w:name="_Toc182220225"/>
      <w:bookmarkStart w:id="219" w:name="_Toc182555573"/>
      <w:bookmarkStart w:id="220" w:name="_Toc182555724"/>
      <w:r w:rsidRPr="00087E18">
        <w:t>2.7 Numbers of persons with disabilities accessing Enterprise Ireland supports (Process)</w:t>
      </w:r>
      <w:bookmarkEnd w:id="217"/>
      <w:bookmarkEnd w:id="218"/>
      <w:bookmarkEnd w:id="219"/>
      <w:bookmarkEnd w:id="220"/>
    </w:p>
    <w:p w14:paraId="6DFBB513" w14:textId="5077AE7A" w:rsidR="00ED2BED" w:rsidRPr="00C337FD" w:rsidRDefault="00C977A0" w:rsidP="00ED2BED">
      <w:pPr>
        <w:rPr>
          <w:rFonts w:ascii="Gill Sans MT" w:hAnsi="Gill Sans MT"/>
        </w:rPr>
      </w:pPr>
      <w:r w:rsidRPr="00087E18">
        <w:rPr>
          <w:rFonts w:cs="Calibri"/>
          <w:color w:val="000000" w:themeColor="text1"/>
          <w:szCs w:val="26"/>
          <w:lang w:eastAsia="en-IE"/>
        </w:rPr>
        <w:t xml:space="preserve">The range of enterprise supports which are available either through Enterprise Ireland or Local Enterprise Offices </w:t>
      </w:r>
      <w:r w:rsidR="00F972C1">
        <w:rPr>
          <w:rFonts w:cs="Calibri"/>
          <w:color w:val="000000" w:themeColor="text1"/>
          <w:szCs w:val="26"/>
          <w:lang w:eastAsia="en-IE"/>
        </w:rPr>
        <w:t xml:space="preserve">(LEOs) </w:t>
      </w:r>
      <w:r w:rsidRPr="00087E18">
        <w:rPr>
          <w:rFonts w:cs="Calibri"/>
          <w:color w:val="000000" w:themeColor="text1"/>
          <w:szCs w:val="26"/>
          <w:lang w:eastAsia="en-IE"/>
        </w:rPr>
        <w:t>are open and available to all</w:t>
      </w:r>
      <w:r w:rsidR="00F972C1">
        <w:rPr>
          <w:rFonts w:cs="Calibri"/>
          <w:color w:val="000000" w:themeColor="text1"/>
          <w:szCs w:val="26"/>
          <w:lang w:eastAsia="en-IE"/>
        </w:rPr>
        <w:t>,</w:t>
      </w:r>
      <w:r w:rsidRPr="00087E18">
        <w:rPr>
          <w:rFonts w:cs="Calibri"/>
          <w:color w:val="000000" w:themeColor="text1"/>
          <w:szCs w:val="26"/>
          <w:lang w:eastAsia="en-IE"/>
        </w:rPr>
        <w:t xml:space="preserve"> and there are no statistics available in relation to the number of people with a disability who have accessed these supports. </w:t>
      </w:r>
      <w:r w:rsidR="00ED2BED" w:rsidRPr="00ED2BED">
        <w:rPr>
          <w:rFonts w:ascii="Gill Sans MT" w:hAnsi="Gill Sans MT"/>
        </w:rPr>
        <w:t xml:space="preserve">Enterprise Ireland and the Local Enterprise Offices </w:t>
      </w:r>
      <w:r w:rsidRPr="00ED2BED">
        <w:rPr>
          <w:rFonts w:ascii="Gill Sans MT" w:hAnsi="Gill Sans MT" w:cs="Calibri"/>
          <w:color w:val="000000" w:themeColor="text1"/>
          <w:szCs w:val="26"/>
          <w:lang w:eastAsia="en-IE"/>
        </w:rPr>
        <w:t>may be generally aware</w:t>
      </w:r>
      <w:r w:rsidRPr="00087E18">
        <w:rPr>
          <w:rFonts w:cs="Calibri"/>
          <w:color w:val="000000" w:themeColor="text1"/>
          <w:szCs w:val="26"/>
          <w:lang w:eastAsia="en-IE"/>
        </w:rPr>
        <w:t xml:space="preserve"> that some of their clients have a </w:t>
      </w:r>
      <w:r w:rsidR="00D40203" w:rsidRPr="00087E18">
        <w:rPr>
          <w:rFonts w:cs="Calibri"/>
          <w:color w:val="000000" w:themeColor="text1"/>
          <w:szCs w:val="26"/>
          <w:lang w:eastAsia="en-IE"/>
        </w:rPr>
        <w:t>disability,</w:t>
      </w:r>
      <w:r w:rsidRPr="00087E18">
        <w:rPr>
          <w:rFonts w:cs="Calibri"/>
          <w:color w:val="000000" w:themeColor="text1"/>
          <w:szCs w:val="26"/>
          <w:lang w:eastAsia="en-IE"/>
        </w:rPr>
        <w:t xml:space="preserve"> but this would not have been considered relevant to their application for support and information on disability would neither have been sought nor recorded. </w:t>
      </w:r>
    </w:p>
    <w:p w14:paraId="6608449B" w14:textId="7704F91D" w:rsidR="00087E18" w:rsidRPr="00E1332C" w:rsidRDefault="00ED2BED" w:rsidP="00E1332C">
      <w:pPr>
        <w:rPr>
          <w:rFonts w:ascii="Aptos" w:hAnsi="Aptos"/>
        </w:rPr>
      </w:pPr>
      <w:r>
        <w:rPr>
          <w:rFonts w:cs="Calibri"/>
          <w:color w:val="000000" w:themeColor="text1"/>
          <w:szCs w:val="26"/>
          <w:lang w:eastAsia="en-IE"/>
        </w:rPr>
        <w:t xml:space="preserve">It is important to note that over the lifetime of the </w:t>
      </w:r>
      <w:r w:rsidR="00E1332C">
        <w:rPr>
          <w:rFonts w:cs="Calibri"/>
          <w:color w:val="000000" w:themeColor="text1"/>
          <w:szCs w:val="26"/>
          <w:lang w:eastAsia="en-IE"/>
        </w:rPr>
        <w:t>CES,</w:t>
      </w:r>
      <w:r>
        <w:rPr>
          <w:rFonts w:cs="Calibri"/>
          <w:color w:val="000000" w:themeColor="text1"/>
          <w:szCs w:val="26"/>
          <w:lang w:eastAsia="en-IE"/>
        </w:rPr>
        <w:t xml:space="preserve"> d</w:t>
      </w:r>
      <w:r w:rsidR="00D40203" w:rsidRPr="00087E18">
        <w:rPr>
          <w:rFonts w:cs="Calibri"/>
          <w:color w:val="000000" w:themeColor="text1"/>
          <w:szCs w:val="26"/>
          <w:lang w:eastAsia="en-IE"/>
        </w:rPr>
        <w:t>isabled people</w:t>
      </w:r>
      <w:r w:rsidR="00F972C1">
        <w:rPr>
          <w:rFonts w:cs="Calibri"/>
          <w:color w:val="000000" w:themeColor="text1"/>
          <w:szCs w:val="26"/>
          <w:lang w:eastAsia="en-IE"/>
        </w:rPr>
        <w:t>,</w:t>
      </w:r>
      <w:r w:rsidR="00D40203" w:rsidRPr="00087E18">
        <w:rPr>
          <w:rFonts w:cs="Calibri"/>
          <w:color w:val="000000" w:themeColor="text1"/>
          <w:szCs w:val="26"/>
          <w:lang w:eastAsia="en-IE"/>
        </w:rPr>
        <w:t xml:space="preserve"> when consulted</w:t>
      </w:r>
      <w:r w:rsidR="00F972C1">
        <w:rPr>
          <w:rFonts w:cs="Calibri"/>
          <w:color w:val="000000" w:themeColor="text1"/>
          <w:szCs w:val="26"/>
          <w:lang w:eastAsia="en-IE"/>
        </w:rPr>
        <w:t xml:space="preserve">, </w:t>
      </w:r>
      <w:r w:rsidR="00D40203" w:rsidRPr="00087E18">
        <w:rPr>
          <w:rFonts w:cs="Calibri"/>
          <w:color w:val="000000" w:themeColor="text1"/>
          <w:szCs w:val="26"/>
          <w:lang w:eastAsia="en-IE"/>
        </w:rPr>
        <w:t xml:space="preserve">have described their experience to </w:t>
      </w:r>
      <w:r w:rsidR="00F972C1">
        <w:rPr>
          <w:rFonts w:cs="Calibri"/>
          <w:color w:val="000000" w:themeColor="text1"/>
          <w:szCs w:val="26"/>
          <w:lang w:eastAsia="en-IE"/>
        </w:rPr>
        <w:t>becoming</w:t>
      </w:r>
      <w:r w:rsidR="00D40203" w:rsidRPr="00087E18">
        <w:rPr>
          <w:rFonts w:cs="Calibri"/>
          <w:color w:val="000000" w:themeColor="text1"/>
          <w:szCs w:val="26"/>
          <w:lang w:eastAsia="en-IE"/>
        </w:rPr>
        <w:t xml:space="preserve"> </w:t>
      </w:r>
      <w:r w:rsidR="00C1201F">
        <w:rPr>
          <w:rFonts w:cs="Calibri"/>
          <w:color w:val="000000" w:themeColor="text1"/>
          <w:szCs w:val="26"/>
          <w:lang w:eastAsia="en-IE"/>
        </w:rPr>
        <w:t xml:space="preserve">self-employed or a </w:t>
      </w:r>
      <w:r w:rsidR="00D40203" w:rsidRPr="00087E18">
        <w:rPr>
          <w:rFonts w:cs="Calibri"/>
          <w:color w:val="000000" w:themeColor="text1"/>
          <w:szCs w:val="26"/>
          <w:lang w:eastAsia="en-IE"/>
        </w:rPr>
        <w:t xml:space="preserve">sole trader as difficult and </w:t>
      </w:r>
      <w:r w:rsidR="00F972C1">
        <w:rPr>
          <w:rFonts w:cs="Calibri"/>
          <w:color w:val="000000" w:themeColor="text1"/>
          <w:szCs w:val="26"/>
          <w:lang w:eastAsia="en-IE"/>
        </w:rPr>
        <w:t xml:space="preserve">characterised by a lack of </w:t>
      </w:r>
      <w:r w:rsidR="00D40203" w:rsidRPr="00087E18">
        <w:rPr>
          <w:rFonts w:cs="Calibri"/>
          <w:color w:val="000000" w:themeColor="text1"/>
          <w:szCs w:val="26"/>
          <w:lang w:eastAsia="en-IE"/>
        </w:rPr>
        <w:t>support or guidance.</w:t>
      </w:r>
      <w:r w:rsidR="00E1332C">
        <w:rPr>
          <w:rFonts w:cs="Calibri"/>
          <w:color w:val="000000" w:themeColor="text1"/>
          <w:szCs w:val="26"/>
          <w:lang w:eastAsia="en-IE"/>
        </w:rPr>
        <w:t xml:space="preserve"> </w:t>
      </w:r>
      <w:r w:rsidR="00E1332C">
        <w:rPr>
          <w:rFonts w:ascii="Gill Sans MT" w:hAnsi="Gill Sans MT"/>
        </w:rPr>
        <w:t>In</w:t>
      </w:r>
      <w:r w:rsidR="00E1332C" w:rsidRPr="00C337FD">
        <w:rPr>
          <w:rFonts w:ascii="Gill Sans MT" w:hAnsi="Gill Sans MT"/>
        </w:rPr>
        <w:t xml:space="preserve"> 2024</w:t>
      </w:r>
      <w:r w:rsidR="00E1332C">
        <w:rPr>
          <w:rFonts w:ascii="Gill Sans MT" w:hAnsi="Gill Sans MT"/>
        </w:rPr>
        <w:t>, a dedicated webpage was launched for disabled people with</w:t>
      </w:r>
      <w:r w:rsidR="00E1332C" w:rsidRPr="00C337FD">
        <w:rPr>
          <w:rFonts w:ascii="Gill Sans MT" w:hAnsi="Gill Sans MT"/>
        </w:rPr>
        <w:t xml:space="preserve"> intentions </w:t>
      </w:r>
      <w:r w:rsidR="00E1332C">
        <w:rPr>
          <w:rFonts w:ascii="Gill Sans MT" w:hAnsi="Gill Sans MT"/>
        </w:rPr>
        <w:t>to set up</w:t>
      </w:r>
      <w:r w:rsidR="00E1332C" w:rsidRPr="00C337FD">
        <w:rPr>
          <w:rFonts w:ascii="Gill Sans MT" w:hAnsi="Gill Sans MT"/>
        </w:rPr>
        <w:t xml:space="preserve"> a business </w:t>
      </w:r>
      <w:r w:rsidR="00E1332C">
        <w:rPr>
          <w:rFonts w:ascii="Gill Sans MT" w:hAnsi="Gill Sans MT"/>
        </w:rPr>
        <w:t>or who</w:t>
      </w:r>
      <w:r w:rsidR="00E1332C" w:rsidRPr="00C337FD">
        <w:rPr>
          <w:rFonts w:ascii="Gill Sans MT" w:hAnsi="Gill Sans MT"/>
        </w:rPr>
        <w:t xml:space="preserve"> are already in self-employment.</w:t>
      </w:r>
      <w:r w:rsidR="00E1332C" w:rsidRPr="00233BC4">
        <w:rPr>
          <w:rStyle w:val="FootnoteReference"/>
        </w:rPr>
        <w:footnoteReference w:id="22"/>
      </w:r>
      <w:r w:rsidR="00E1332C">
        <w:rPr>
          <w:rFonts w:ascii="Gill Sans MT" w:hAnsi="Gill Sans MT"/>
        </w:rPr>
        <w:t xml:space="preserve"> </w:t>
      </w:r>
      <w:r w:rsidR="00E1332C" w:rsidRPr="00087E18">
        <w:rPr>
          <w:rFonts w:cs="Calibri"/>
          <w:color w:val="000000" w:themeColor="text1"/>
          <w:szCs w:val="26"/>
          <w:lang w:eastAsia="en-IE"/>
        </w:rPr>
        <w:t>LEO</w:t>
      </w:r>
      <w:r w:rsidR="00E1332C">
        <w:rPr>
          <w:rFonts w:cs="Calibri"/>
          <w:color w:val="000000" w:themeColor="text1"/>
          <w:szCs w:val="26"/>
          <w:lang w:eastAsia="en-IE"/>
        </w:rPr>
        <w:t>s</w:t>
      </w:r>
      <w:r w:rsidR="00E1332C" w:rsidRPr="00087E18">
        <w:rPr>
          <w:rFonts w:cs="Calibri"/>
          <w:color w:val="000000" w:themeColor="text1"/>
          <w:szCs w:val="26"/>
          <w:lang w:eastAsia="en-IE"/>
        </w:rPr>
        <w:t xml:space="preserve"> </w:t>
      </w:r>
      <w:r w:rsidR="00E1332C">
        <w:rPr>
          <w:rFonts w:cs="Calibri"/>
          <w:color w:val="000000" w:themeColor="text1"/>
          <w:szCs w:val="26"/>
          <w:lang w:eastAsia="en-IE"/>
        </w:rPr>
        <w:t xml:space="preserve">are advised </w:t>
      </w:r>
      <w:r w:rsidR="00E1332C" w:rsidRPr="00087E18">
        <w:rPr>
          <w:rFonts w:cs="Calibri"/>
          <w:color w:val="000000" w:themeColor="text1"/>
          <w:szCs w:val="26"/>
          <w:lang w:eastAsia="en-IE"/>
        </w:rPr>
        <w:t>by the NDA to create a dynamic information awareness campaign around the supports that are available and how these are accessible to disabled people.</w:t>
      </w:r>
    </w:p>
    <w:p w14:paraId="0FE8AE8A" w14:textId="316D1A64" w:rsidR="00C977A0" w:rsidRDefault="00C977A0" w:rsidP="00C977A0">
      <w:pPr>
        <w:spacing w:after="0"/>
        <w:rPr>
          <w:rFonts w:cs="Calibri"/>
          <w:color w:val="000000" w:themeColor="text1"/>
          <w:szCs w:val="26"/>
          <w:lang w:eastAsia="en-IE"/>
        </w:rPr>
      </w:pPr>
      <w:r w:rsidRPr="00087E18">
        <w:rPr>
          <w:rFonts w:cs="Calibri"/>
          <w:color w:val="000000" w:themeColor="text1"/>
          <w:szCs w:val="26"/>
          <w:lang w:eastAsia="en-IE"/>
        </w:rPr>
        <w:t xml:space="preserve">The NDA </w:t>
      </w:r>
      <w:r w:rsidR="00D40203" w:rsidRPr="00087E18">
        <w:rPr>
          <w:rFonts w:cs="Calibri"/>
          <w:color w:val="000000" w:themeColor="text1"/>
          <w:szCs w:val="26"/>
          <w:lang w:eastAsia="en-IE"/>
        </w:rPr>
        <w:t xml:space="preserve">have </w:t>
      </w:r>
      <w:r w:rsidR="00C1201F">
        <w:rPr>
          <w:rFonts w:cs="Calibri"/>
          <w:color w:val="000000" w:themeColor="text1"/>
          <w:szCs w:val="26"/>
          <w:lang w:eastAsia="en-IE"/>
        </w:rPr>
        <w:t xml:space="preserve">also </w:t>
      </w:r>
      <w:r w:rsidR="00D40203" w:rsidRPr="00087E18">
        <w:rPr>
          <w:rFonts w:cs="Calibri"/>
          <w:color w:val="000000" w:themeColor="text1"/>
          <w:szCs w:val="26"/>
          <w:lang w:eastAsia="en-IE"/>
        </w:rPr>
        <w:t>advised both LEOs and EI</w:t>
      </w:r>
      <w:r w:rsidRPr="00087E18">
        <w:rPr>
          <w:rFonts w:cs="Calibri"/>
          <w:color w:val="000000" w:themeColor="text1"/>
          <w:szCs w:val="26"/>
          <w:lang w:eastAsia="en-IE"/>
        </w:rPr>
        <w:t xml:space="preserve"> </w:t>
      </w:r>
      <w:r w:rsidR="00D40203" w:rsidRPr="00087E18">
        <w:rPr>
          <w:rFonts w:cs="Calibri"/>
          <w:color w:val="000000" w:themeColor="text1"/>
          <w:szCs w:val="26"/>
          <w:lang w:eastAsia="en-IE"/>
        </w:rPr>
        <w:t>to</w:t>
      </w:r>
      <w:r w:rsidRPr="00087E18">
        <w:rPr>
          <w:rFonts w:cs="Calibri"/>
          <w:color w:val="000000" w:themeColor="text1"/>
          <w:szCs w:val="26"/>
          <w:lang w:eastAsia="en-IE"/>
        </w:rPr>
        <w:t xml:space="preserve"> begin a process of data collection that measures both access to and completion of </w:t>
      </w:r>
      <w:r w:rsidR="00D40203" w:rsidRPr="00087E18">
        <w:rPr>
          <w:rFonts w:cs="Calibri"/>
          <w:color w:val="000000" w:themeColor="text1"/>
          <w:szCs w:val="26"/>
          <w:lang w:eastAsia="en-IE"/>
        </w:rPr>
        <w:t>applications to receive funds, training</w:t>
      </w:r>
      <w:r w:rsidR="00087E18" w:rsidRPr="00087E18">
        <w:rPr>
          <w:rFonts w:cs="Calibri"/>
          <w:color w:val="000000" w:themeColor="text1"/>
          <w:szCs w:val="26"/>
          <w:lang w:eastAsia="en-IE"/>
        </w:rPr>
        <w:t>,</w:t>
      </w:r>
      <w:r w:rsidR="00D40203" w:rsidRPr="00087E18">
        <w:rPr>
          <w:rFonts w:cs="Calibri"/>
          <w:color w:val="000000" w:themeColor="text1"/>
          <w:szCs w:val="26"/>
          <w:lang w:eastAsia="en-IE"/>
        </w:rPr>
        <w:t xml:space="preserve"> and </w:t>
      </w:r>
      <w:r w:rsidRPr="00087E18">
        <w:rPr>
          <w:rFonts w:cs="Calibri"/>
          <w:color w:val="000000" w:themeColor="text1"/>
          <w:szCs w:val="26"/>
          <w:lang w:eastAsia="en-IE"/>
        </w:rPr>
        <w:t>services</w:t>
      </w:r>
      <w:r w:rsidR="00D40203" w:rsidRPr="00087E18">
        <w:rPr>
          <w:rFonts w:cs="Calibri"/>
          <w:color w:val="000000" w:themeColor="text1"/>
          <w:szCs w:val="26"/>
          <w:lang w:eastAsia="en-IE"/>
        </w:rPr>
        <w:t xml:space="preserve">. </w:t>
      </w:r>
      <w:r w:rsidRPr="00087E18">
        <w:rPr>
          <w:rFonts w:cs="Calibri"/>
          <w:color w:val="000000" w:themeColor="text1"/>
          <w:szCs w:val="26"/>
          <w:lang w:eastAsia="en-IE"/>
        </w:rPr>
        <w:t xml:space="preserve"> It has been proposed by NDA to EI that a simple data survey be completed by participants when commencing and when completing their experience</w:t>
      </w:r>
      <w:r w:rsidR="008B78E8">
        <w:rPr>
          <w:rFonts w:cs="Calibri"/>
          <w:color w:val="000000" w:themeColor="text1"/>
          <w:szCs w:val="26"/>
          <w:lang w:eastAsia="en-IE"/>
        </w:rPr>
        <w:t xml:space="preserve"> with EI</w:t>
      </w:r>
      <w:r w:rsidRPr="00087E18">
        <w:rPr>
          <w:rFonts w:cs="Calibri"/>
          <w:color w:val="000000" w:themeColor="text1"/>
          <w:szCs w:val="26"/>
          <w:lang w:eastAsia="en-IE"/>
        </w:rPr>
        <w:t>.</w:t>
      </w:r>
    </w:p>
    <w:p w14:paraId="21DF20B8" w14:textId="77777777" w:rsidR="00D2461E" w:rsidRDefault="00D2461E" w:rsidP="00C977A0">
      <w:pPr>
        <w:spacing w:after="0"/>
        <w:rPr>
          <w:rFonts w:cs="Calibri"/>
          <w:color w:val="000000" w:themeColor="text1"/>
          <w:szCs w:val="26"/>
          <w:lang w:eastAsia="en-IE"/>
        </w:rPr>
      </w:pPr>
    </w:p>
    <w:p w14:paraId="2C75E835" w14:textId="7AE41DEE" w:rsidR="00D2461E" w:rsidRPr="000A32CE" w:rsidRDefault="00D2461E" w:rsidP="00D2461E">
      <w:pPr>
        <w:pStyle w:val="Heading2"/>
        <w:rPr>
          <w:lang w:eastAsia="en-IE"/>
        </w:rPr>
      </w:pPr>
      <w:bookmarkStart w:id="221" w:name="_Toc182220226"/>
      <w:bookmarkStart w:id="222" w:name="_Toc182555574"/>
      <w:bookmarkStart w:id="223" w:name="_Toc182555725"/>
      <w:bookmarkStart w:id="224" w:name="_Toc182219523"/>
      <w:r>
        <w:rPr>
          <w:rFonts w:cs="Calibri"/>
          <w:color w:val="000000" w:themeColor="text1"/>
          <w:szCs w:val="26"/>
          <w:lang w:eastAsia="en-IE"/>
        </w:rPr>
        <w:t xml:space="preserve">2.7.1 </w:t>
      </w:r>
      <w:r w:rsidRPr="000A32CE">
        <w:rPr>
          <w:lang w:eastAsia="en-IE"/>
        </w:rPr>
        <w:t>Percentage of persons with and without a disability who are self-employed (Outcome)</w:t>
      </w:r>
      <w:bookmarkEnd w:id="221"/>
      <w:bookmarkEnd w:id="222"/>
      <w:bookmarkEnd w:id="223"/>
      <w:r w:rsidRPr="000A32CE">
        <w:rPr>
          <w:lang w:eastAsia="en-IE"/>
        </w:rPr>
        <w:t xml:space="preserve"> </w:t>
      </w:r>
      <w:bookmarkEnd w:id="224"/>
    </w:p>
    <w:p w14:paraId="425A0E73" w14:textId="77777777" w:rsidR="00D2461E" w:rsidRDefault="00D2461E" w:rsidP="00D2461E">
      <w:pPr>
        <w:spacing w:after="0"/>
        <w:rPr>
          <w:rFonts w:cs="Calibri"/>
          <w:color w:val="000000"/>
          <w:szCs w:val="26"/>
          <w:lang w:eastAsia="en-IE"/>
        </w:rPr>
      </w:pPr>
      <w:r w:rsidRPr="000A32CE">
        <w:rPr>
          <w:rFonts w:cs="Calibri"/>
          <w:color w:val="000000"/>
          <w:szCs w:val="26"/>
          <w:lang w:eastAsia="en-IE"/>
        </w:rPr>
        <w:t>As self-employment can provide a greater degree of flexibility than other employment types,</w:t>
      </w:r>
      <w:r>
        <w:rPr>
          <w:rFonts w:cs="Calibri"/>
          <w:color w:val="000000"/>
          <w:szCs w:val="26"/>
          <w:lang w:eastAsia="en-IE"/>
        </w:rPr>
        <w:t xml:space="preserve"> for example in terms of working hours and location,</w:t>
      </w:r>
      <w:r w:rsidRPr="000A32CE">
        <w:rPr>
          <w:rFonts w:cs="Calibri"/>
          <w:color w:val="000000"/>
          <w:szCs w:val="26"/>
          <w:lang w:eastAsia="en-IE"/>
        </w:rPr>
        <w:t xml:space="preserve"> the NDA has </w:t>
      </w:r>
      <w:r>
        <w:rPr>
          <w:rFonts w:cs="Calibri"/>
          <w:color w:val="000000"/>
          <w:szCs w:val="26"/>
          <w:lang w:eastAsia="en-IE"/>
        </w:rPr>
        <w:t xml:space="preserve">repeatedly </w:t>
      </w:r>
      <w:r w:rsidRPr="000A32CE">
        <w:rPr>
          <w:rFonts w:cs="Calibri"/>
          <w:color w:val="000000"/>
          <w:szCs w:val="26"/>
          <w:lang w:eastAsia="en-IE"/>
        </w:rPr>
        <w:t xml:space="preserve">emphasised the importance of self-employment as a route to positive employment outcomes for disabled people. </w:t>
      </w:r>
    </w:p>
    <w:p w14:paraId="13E91969" w14:textId="77777777" w:rsidR="00D2461E" w:rsidRDefault="00D2461E" w:rsidP="00D2461E">
      <w:pPr>
        <w:spacing w:after="0"/>
        <w:rPr>
          <w:rFonts w:cs="Calibri"/>
          <w:color w:val="000000"/>
          <w:szCs w:val="26"/>
          <w:lang w:eastAsia="en-IE"/>
        </w:rPr>
      </w:pPr>
    </w:p>
    <w:p w14:paraId="70809D7E" w14:textId="77777777" w:rsidR="00D2461E" w:rsidRDefault="00D2461E" w:rsidP="00D2461E">
      <w:pPr>
        <w:spacing w:after="0"/>
        <w:rPr>
          <w:rFonts w:cs="Calibri"/>
          <w:color w:val="000000"/>
          <w:szCs w:val="26"/>
          <w:lang w:eastAsia="en-IE"/>
        </w:rPr>
      </w:pPr>
      <w:r>
        <w:rPr>
          <w:rFonts w:cs="Calibri"/>
          <w:color w:val="000000"/>
          <w:szCs w:val="26"/>
          <w:lang w:eastAsia="en-IE"/>
        </w:rPr>
        <w:t>According to the Census, 5.0% of people with a disability (n = 60,694) were self-employed in 2022, compared to 5.8% of people without a disability (n=308,675), indicating that disabled people are somewhat, but not substantially, underrepresented among the self-employed.  However, self-employment rates varied depending on the extent of disability, with 6.6% of people with a disability to some extent indicating that they were self-employed, compared to just 2.3% of people with a disability to a great extent.</w:t>
      </w:r>
      <w:r w:rsidRPr="00233BC4">
        <w:rPr>
          <w:rStyle w:val="FootnoteReference"/>
        </w:rPr>
        <w:footnoteReference w:id="23"/>
      </w:r>
      <w:r>
        <w:rPr>
          <w:rFonts w:cs="Calibri"/>
          <w:color w:val="000000"/>
          <w:szCs w:val="26"/>
          <w:lang w:eastAsia="en-IE"/>
        </w:rPr>
        <w:t xml:space="preserve"> While it is not possible to examine trends in self-employment with respect to the population with a disability, due to census disability question changes already discussed, it is worthwhile noting that the overall proportion of people who are self-employed has fallen from 8.3% in 2016 to 5.8% in 2022. </w:t>
      </w:r>
    </w:p>
    <w:p w14:paraId="1126EE80" w14:textId="77777777" w:rsidR="00D2461E" w:rsidRDefault="00D2461E" w:rsidP="00D2461E">
      <w:pPr>
        <w:spacing w:after="0"/>
        <w:rPr>
          <w:rFonts w:cs="Calibri"/>
          <w:color w:val="000000"/>
          <w:szCs w:val="26"/>
          <w:lang w:eastAsia="en-IE"/>
        </w:rPr>
      </w:pPr>
    </w:p>
    <w:p w14:paraId="1D986491" w14:textId="3A342401" w:rsidR="00D2461E" w:rsidRDefault="00D2461E" w:rsidP="00D2461E">
      <w:pPr>
        <w:spacing w:after="0"/>
        <w:rPr>
          <w:rFonts w:cs="Calibri"/>
          <w:color w:val="000000"/>
          <w:szCs w:val="26"/>
          <w:lang w:eastAsia="en-IE"/>
        </w:rPr>
      </w:pPr>
      <w:r>
        <w:rPr>
          <w:rFonts w:cs="Calibri"/>
          <w:color w:val="000000"/>
          <w:szCs w:val="26"/>
          <w:lang w:eastAsia="en-IE"/>
        </w:rPr>
        <w:t>Self-employment rates in 2022 also varied by disability type, from a low of 1.4% among people with an intellectual disability, to a high of 6.1% among those who are deaf or hearing impaired</w:t>
      </w:r>
      <w:r w:rsidR="00B42243">
        <w:rPr>
          <w:rFonts w:cs="Calibri"/>
          <w:color w:val="000000"/>
          <w:szCs w:val="26"/>
          <w:lang w:eastAsia="en-IE"/>
        </w:rPr>
        <w:t xml:space="preserve"> (Figure 8)</w:t>
      </w:r>
      <w:r w:rsidR="002D4FBB">
        <w:rPr>
          <w:rFonts w:cs="Calibri"/>
          <w:color w:val="000000"/>
          <w:szCs w:val="26"/>
          <w:lang w:eastAsia="en-IE"/>
        </w:rPr>
        <w:t>.</w:t>
      </w:r>
      <w:r>
        <w:rPr>
          <w:rFonts w:cs="Calibri"/>
          <w:color w:val="000000"/>
          <w:szCs w:val="26"/>
          <w:lang w:eastAsia="en-IE"/>
        </w:rPr>
        <w:t xml:space="preserve"> </w:t>
      </w:r>
    </w:p>
    <w:p w14:paraId="7A56CDC3" w14:textId="77777777" w:rsidR="00D2461E" w:rsidRDefault="00D2461E" w:rsidP="00D2461E">
      <w:pPr>
        <w:spacing w:after="0"/>
        <w:rPr>
          <w:rFonts w:cs="Calibri"/>
          <w:color w:val="000000"/>
          <w:szCs w:val="26"/>
          <w:lang w:eastAsia="en-IE"/>
        </w:rPr>
      </w:pPr>
    </w:p>
    <w:p w14:paraId="3E560CBF" w14:textId="10124B90" w:rsidR="00ED2BED" w:rsidRPr="00ED2BED" w:rsidRDefault="00CC6190" w:rsidP="00ED2BED">
      <w:pPr>
        <w:spacing w:line="238" w:lineRule="auto"/>
        <w:rPr>
          <w:szCs w:val="26"/>
          <w:lang w:eastAsia="en-IE"/>
        </w:rPr>
      </w:pPr>
      <w:r w:rsidRPr="006D03D7">
        <w:rPr>
          <w:szCs w:val="26"/>
          <w:lang w:eastAsia="en-IE"/>
        </w:rPr>
        <w:t xml:space="preserve">As part of the CES, Enterprise Ireland (EI) were tasked with creating a strategy that promotes and supports entrepreneurship and self-employment for people with a disability. </w:t>
      </w:r>
      <w:r>
        <w:rPr>
          <w:szCs w:val="26"/>
          <w:lang w:eastAsia="en-IE"/>
        </w:rPr>
        <w:t>The NDA does not have evidence to assess the impact of these measures for disabled people.</w:t>
      </w:r>
    </w:p>
    <w:p w14:paraId="4FE9B091" w14:textId="77777777" w:rsidR="00CC6190" w:rsidRDefault="00CC6190" w:rsidP="00D2461E">
      <w:pPr>
        <w:spacing w:after="0"/>
        <w:rPr>
          <w:rFonts w:cs="Calibri"/>
          <w:color w:val="000000"/>
          <w:szCs w:val="26"/>
          <w:lang w:eastAsia="en-IE"/>
        </w:rPr>
      </w:pPr>
    </w:p>
    <w:p w14:paraId="6F20AFCB" w14:textId="48B5BDDF" w:rsidR="00D2461E" w:rsidRDefault="00D2461E" w:rsidP="00D2461E">
      <w:pPr>
        <w:pStyle w:val="Caption"/>
        <w:keepNext/>
        <w:jc w:val="left"/>
      </w:pPr>
      <w:bookmarkStart w:id="225" w:name="_Ref181094635"/>
      <w:bookmarkStart w:id="226" w:name="_Ref181094627"/>
      <w:bookmarkStart w:id="227" w:name="_Toc182219904"/>
      <w:r>
        <w:t xml:space="preserve">Figure </w:t>
      </w:r>
      <w:r>
        <w:fldChar w:fldCharType="begin"/>
      </w:r>
      <w:r>
        <w:instrText xml:space="preserve"> SEQ Figure \* ARABIC </w:instrText>
      </w:r>
      <w:r>
        <w:fldChar w:fldCharType="separate"/>
      </w:r>
      <w:r w:rsidR="009C4192">
        <w:rPr>
          <w:noProof/>
        </w:rPr>
        <w:t>8</w:t>
      </w:r>
      <w:r>
        <w:fldChar w:fldCharType="end"/>
      </w:r>
      <w:bookmarkEnd w:id="225"/>
      <w:r>
        <w:t>: Population who are self-employed in 2022, by disability status and type</w:t>
      </w:r>
      <w:bookmarkEnd w:id="226"/>
      <w:bookmarkEnd w:id="227"/>
    </w:p>
    <w:p w14:paraId="5404E59F" w14:textId="77777777" w:rsidR="00D2461E" w:rsidRDefault="00D2461E" w:rsidP="00D2461E">
      <w:pPr>
        <w:spacing w:after="0"/>
        <w:rPr>
          <w:rFonts w:cs="Calibri"/>
          <w:color w:val="000000"/>
          <w:szCs w:val="26"/>
          <w:highlight w:val="yellow"/>
          <w:lang w:eastAsia="en-IE"/>
        </w:rPr>
      </w:pPr>
      <w:r>
        <w:rPr>
          <w:noProof/>
        </w:rPr>
        <w:drawing>
          <wp:inline distT="0" distB="0" distL="0" distR="0" wp14:anchorId="3CFCF11D" wp14:editId="153A1A19">
            <wp:extent cx="6393180" cy="3520440"/>
            <wp:effectExtent l="0" t="0" r="7620" b="3810"/>
            <wp:docPr id="526142711" name="Chart 1" descr="This bar chart shows the percentage of the population with and without disabilities that are self-employed, according to Census 2022.&#10;&#10;Overall, 5% of people with a disability were self-employed in 2022 (6.6% of people with a disability to some extent and 2.3% of people with a disability to a great extent). This is compared to 5.8% of people without a disability who were self-employed.&#10;&#10;The self-employment rate was highest among people who are deaf or hearing impaired (6.1%), followed by people who are blind or visually impaired (5.2%) and people who have difficulty with pain, breathing, or any other chronic illness or issue (4.5%). 3.3% of people with a psychological or emotional condition or mental health issue were self-employed in 2022, compared to 2.5% of people with difficulty learning, remembering or concentrating, 2.4% of those with difficulty with basic physical activities, and 1.4% of people with intellectual disabilities. ">
              <a:extLst xmlns:a="http://schemas.openxmlformats.org/drawingml/2006/main">
                <a:ext uri="{FF2B5EF4-FFF2-40B4-BE49-F238E27FC236}">
                  <a16:creationId xmlns:a16="http://schemas.microsoft.com/office/drawing/2014/main" id="{538EABF2-5428-E613-D1F0-2DD582C4E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E9EDBC" w14:textId="77777777" w:rsidR="00D2461E" w:rsidRPr="0005756C" w:rsidRDefault="00D2461E" w:rsidP="00D2461E">
      <w:pPr>
        <w:spacing w:after="0"/>
        <w:jc w:val="center"/>
        <w:rPr>
          <w:rFonts w:cs="Calibri"/>
          <w:color w:val="000000"/>
          <w:sz w:val="22"/>
          <w:szCs w:val="22"/>
          <w:lang w:eastAsia="en-IE"/>
        </w:rPr>
      </w:pPr>
      <w:r w:rsidRPr="0005756C">
        <w:rPr>
          <w:rFonts w:cs="Calibri"/>
          <w:color w:val="000000"/>
          <w:sz w:val="22"/>
          <w:szCs w:val="22"/>
          <w:lang w:eastAsia="en-IE"/>
        </w:rPr>
        <w:t>Source: Census 2022</w:t>
      </w:r>
    </w:p>
    <w:p w14:paraId="5B52317E" w14:textId="77777777" w:rsidR="00D2461E" w:rsidRPr="006643C1" w:rsidRDefault="00D2461E" w:rsidP="00D2461E">
      <w:pPr>
        <w:spacing w:after="0"/>
        <w:rPr>
          <w:rFonts w:cs="Calibri"/>
          <w:color w:val="000000"/>
          <w:szCs w:val="26"/>
          <w:highlight w:val="yellow"/>
          <w:lang w:eastAsia="en-IE"/>
        </w:rPr>
      </w:pPr>
    </w:p>
    <w:p w14:paraId="03132A60" w14:textId="77777777" w:rsidR="00C977A0" w:rsidRPr="009D1A5D" w:rsidRDefault="00C977A0" w:rsidP="00C977A0">
      <w:pPr>
        <w:pStyle w:val="Heading2"/>
      </w:pPr>
      <w:bookmarkStart w:id="228" w:name="_Toc182219524"/>
      <w:bookmarkStart w:id="229" w:name="_Toc182220227"/>
      <w:bookmarkStart w:id="230" w:name="_Toc182555575"/>
      <w:bookmarkStart w:id="231" w:name="_Toc182555726"/>
      <w:r w:rsidRPr="009D1A5D">
        <w:t>2.8 Proportion of young persons with a disability who are NEET compared to young persons without a disability (Outcome) (N)</w:t>
      </w:r>
      <w:bookmarkEnd w:id="228"/>
      <w:bookmarkEnd w:id="229"/>
      <w:bookmarkEnd w:id="230"/>
      <w:bookmarkEnd w:id="231"/>
    </w:p>
    <w:p w14:paraId="73C68984" w14:textId="176A34CE" w:rsidR="001A6462" w:rsidRDefault="00C977A0" w:rsidP="00C977A0">
      <w:pPr>
        <w:rPr>
          <w:szCs w:val="26"/>
        </w:rPr>
      </w:pPr>
      <w:r w:rsidRPr="00406458">
        <w:rPr>
          <w:szCs w:val="26"/>
        </w:rPr>
        <w:t>NEET is the term used to describe the status of a young person</w:t>
      </w:r>
      <w:r w:rsidR="00406458" w:rsidRPr="00406458">
        <w:rPr>
          <w:szCs w:val="26"/>
        </w:rPr>
        <w:t xml:space="preserve"> who</w:t>
      </w:r>
      <w:r w:rsidRPr="00406458">
        <w:rPr>
          <w:szCs w:val="26"/>
        </w:rPr>
        <w:t xml:space="preserve"> is </w:t>
      </w:r>
      <w:r w:rsidR="001A6462">
        <w:rPr>
          <w:szCs w:val="26"/>
        </w:rPr>
        <w:t>‘</w:t>
      </w:r>
      <w:r w:rsidR="008A2065">
        <w:rPr>
          <w:szCs w:val="26"/>
        </w:rPr>
        <w:t>n</w:t>
      </w:r>
      <w:r w:rsidRPr="00406458">
        <w:rPr>
          <w:szCs w:val="26"/>
        </w:rPr>
        <w:t>ot in Education, Employment, or Training</w:t>
      </w:r>
      <w:r w:rsidR="001A6462">
        <w:rPr>
          <w:szCs w:val="26"/>
        </w:rPr>
        <w:t>’</w:t>
      </w:r>
      <w:r w:rsidRPr="00406458">
        <w:rPr>
          <w:szCs w:val="26"/>
        </w:rPr>
        <w:t>. The definition of a ‘young person’ can vary depending on the study or country</w:t>
      </w:r>
      <w:r w:rsidR="00406458">
        <w:rPr>
          <w:szCs w:val="26"/>
        </w:rPr>
        <w:t>, and here the age range used is 15-24</w:t>
      </w:r>
      <w:r w:rsidRPr="00406458">
        <w:rPr>
          <w:szCs w:val="26"/>
        </w:rPr>
        <w:t xml:space="preserve">. </w:t>
      </w:r>
      <w:r w:rsidR="001A6462">
        <w:rPr>
          <w:szCs w:val="26"/>
        </w:rPr>
        <w:t>Given the changes to the Census disability questions and a lack of an alternative data source, it is not possible to look at trends in the proportion of NEETs with and without disabilities over the lifetime of the CES.</w:t>
      </w:r>
    </w:p>
    <w:p w14:paraId="30FB6B04" w14:textId="77777777" w:rsidR="008A2065" w:rsidRDefault="00C977A0" w:rsidP="00C977A0">
      <w:pPr>
        <w:rPr>
          <w:szCs w:val="26"/>
        </w:rPr>
      </w:pPr>
      <w:r w:rsidRPr="00406458">
        <w:rPr>
          <w:szCs w:val="26"/>
        </w:rPr>
        <w:t xml:space="preserve">The rate of NEET </w:t>
      </w:r>
      <w:r w:rsidR="003948A8">
        <w:rPr>
          <w:szCs w:val="26"/>
        </w:rPr>
        <w:t>in Census 2022 was 15.4%</w:t>
      </w:r>
      <w:r w:rsidR="006A26C6">
        <w:rPr>
          <w:szCs w:val="26"/>
        </w:rPr>
        <w:t xml:space="preserve"> for young people with a </w:t>
      </w:r>
      <w:r w:rsidR="006A7618">
        <w:rPr>
          <w:szCs w:val="26"/>
        </w:rPr>
        <w:t>disability</w:t>
      </w:r>
      <w:r w:rsidR="003948A8">
        <w:rPr>
          <w:szCs w:val="26"/>
        </w:rPr>
        <w:t>, compared to 6.3% for young people without a disability. The NEET rate also varied by extent of disability, at 9.8% for young people with a disability to some extent and 27.8% among you</w:t>
      </w:r>
      <w:r w:rsidR="008A2065">
        <w:rPr>
          <w:szCs w:val="26"/>
        </w:rPr>
        <w:t>n</w:t>
      </w:r>
      <w:r w:rsidR="003948A8">
        <w:rPr>
          <w:szCs w:val="26"/>
        </w:rPr>
        <w:t xml:space="preserve">g people with a disability to a great extent. </w:t>
      </w:r>
    </w:p>
    <w:p w14:paraId="5C80262F" w14:textId="479B6EEE" w:rsidR="00C977A0" w:rsidRPr="004C6FC5" w:rsidRDefault="004C6FC5" w:rsidP="00C977A0">
      <w:pPr>
        <w:rPr>
          <w:szCs w:val="26"/>
        </w:rPr>
      </w:pPr>
      <w:r w:rsidRPr="004C6FC5">
        <w:rPr>
          <w:szCs w:val="26"/>
        </w:rPr>
        <w:fldChar w:fldCharType="begin"/>
      </w:r>
      <w:r w:rsidRPr="004C6FC5">
        <w:rPr>
          <w:szCs w:val="26"/>
        </w:rPr>
        <w:instrText xml:space="preserve"> REF _Ref181105883 \h </w:instrText>
      </w:r>
      <w:r>
        <w:rPr>
          <w:szCs w:val="26"/>
        </w:rPr>
        <w:instrText xml:space="preserve"> \* MERGEFORMAT </w:instrText>
      </w:r>
      <w:r w:rsidRPr="004C6FC5">
        <w:rPr>
          <w:szCs w:val="26"/>
        </w:rPr>
      </w:r>
      <w:r w:rsidRPr="004C6FC5">
        <w:rPr>
          <w:szCs w:val="26"/>
        </w:rPr>
        <w:fldChar w:fldCharType="separate"/>
      </w:r>
      <w:r w:rsidR="009C4192">
        <w:t xml:space="preserve">Figure </w:t>
      </w:r>
      <w:r w:rsidR="009C4192">
        <w:rPr>
          <w:noProof/>
        </w:rPr>
        <w:t>9</w:t>
      </w:r>
      <w:r w:rsidRPr="004C6FC5">
        <w:rPr>
          <w:szCs w:val="26"/>
        </w:rPr>
        <w:fldChar w:fldCharType="end"/>
      </w:r>
      <w:r w:rsidR="00C977A0" w:rsidRPr="004C6FC5">
        <w:rPr>
          <w:szCs w:val="26"/>
        </w:rPr>
        <w:t xml:space="preserve"> shows the percentage of persons who were NEET aged 15-24</w:t>
      </w:r>
      <w:r w:rsidR="0085766B" w:rsidRPr="004C6FC5">
        <w:rPr>
          <w:szCs w:val="26"/>
        </w:rPr>
        <w:t xml:space="preserve"> </w:t>
      </w:r>
      <w:r w:rsidRPr="004C6FC5">
        <w:rPr>
          <w:szCs w:val="26"/>
        </w:rPr>
        <w:t>in 2022 by</w:t>
      </w:r>
      <w:r w:rsidR="00C977A0" w:rsidRPr="004C6FC5">
        <w:rPr>
          <w:szCs w:val="26"/>
        </w:rPr>
        <w:t xml:space="preserve"> disability type. </w:t>
      </w:r>
      <w:r>
        <w:rPr>
          <w:szCs w:val="26"/>
        </w:rPr>
        <w:t>The</w:t>
      </w:r>
      <w:r w:rsidR="00C977A0" w:rsidRPr="004C6FC5">
        <w:rPr>
          <w:szCs w:val="26"/>
        </w:rPr>
        <w:t xml:space="preserve"> largest proportion of persons classified as NEET </w:t>
      </w:r>
      <w:r w:rsidR="006A26C6">
        <w:rPr>
          <w:szCs w:val="26"/>
        </w:rPr>
        <w:t>were</w:t>
      </w:r>
      <w:r w:rsidR="006A26C6" w:rsidRPr="004C6FC5">
        <w:rPr>
          <w:szCs w:val="26"/>
        </w:rPr>
        <w:t xml:space="preserve"> </w:t>
      </w:r>
      <w:r w:rsidR="00C977A0" w:rsidRPr="004C6FC5">
        <w:rPr>
          <w:szCs w:val="26"/>
        </w:rPr>
        <w:t xml:space="preserve">those who had </w:t>
      </w:r>
      <w:r>
        <w:rPr>
          <w:szCs w:val="26"/>
        </w:rPr>
        <w:t xml:space="preserve">difficulty with </w:t>
      </w:r>
      <w:r w:rsidR="00C977A0" w:rsidRPr="004C6FC5">
        <w:rPr>
          <w:szCs w:val="26"/>
        </w:rPr>
        <w:t>basic physical activities (</w:t>
      </w:r>
      <w:r>
        <w:rPr>
          <w:szCs w:val="26"/>
        </w:rPr>
        <w:t>35.4</w:t>
      </w:r>
      <w:r w:rsidR="00C977A0" w:rsidRPr="004C6FC5">
        <w:rPr>
          <w:szCs w:val="26"/>
        </w:rPr>
        <w:t>%)</w:t>
      </w:r>
      <w:r>
        <w:rPr>
          <w:szCs w:val="26"/>
        </w:rPr>
        <w:t xml:space="preserve"> and</w:t>
      </w:r>
      <w:r w:rsidR="00C977A0" w:rsidRPr="004C6FC5">
        <w:rPr>
          <w:szCs w:val="26"/>
        </w:rPr>
        <w:t xml:space="preserve"> those with intellectual disabilities (</w:t>
      </w:r>
      <w:r>
        <w:rPr>
          <w:szCs w:val="26"/>
        </w:rPr>
        <w:t>29.0%</w:t>
      </w:r>
      <w:r w:rsidR="00C977A0" w:rsidRPr="004C6FC5">
        <w:rPr>
          <w:szCs w:val="26"/>
        </w:rPr>
        <w:t>)</w:t>
      </w:r>
      <w:r>
        <w:rPr>
          <w:szCs w:val="26"/>
        </w:rPr>
        <w:t>. The NEET rate was lowest among people who are blind or visually impaired (11%).</w:t>
      </w:r>
      <w:r w:rsidR="00C977A0" w:rsidRPr="004C6FC5">
        <w:rPr>
          <w:szCs w:val="26"/>
        </w:rPr>
        <w:t xml:space="preserve"> </w:t>
      </w:r>
    </w:p>
    <w:p w14:paraId="59CC295B" w14:textId="48BBCC42" w:rsidR="004C6FC5" w:rsidRDefault="004C6FC5" w:rsidP="004C6FC5">
      <w:pPr>
        <w:pStyle w:val="Caption"/>
        <w:keepNext/>
        <w:jc w:val="left"/>
      </w:pPr>
      <w:bookmarkStart w:id="232" w:name="_Ref181105883"/>
      <w:bookmarkStart w:id="233" w:name="_Toc182219905"/>
      <w:r>
        <w:t xml:space="preserve">Figure </w:t>
      </w:r>
      <w:r>
        <w:fldChar w:fldCharType="begin"/>
      </w:r>
      <w:r>
        <w:instrText xml:space="preserve"> SEQ Figure \* ARABIC </w:instrText>
      </w:r>
      <w:r>
        <w:fldChar w:fldCharType="separate"/>
      </w:r>
      <w:r w:rsidR="009C4192">
        <w:rPr>
          <w:noProof/>
        </w:rPr>
        <w:t>9</w:t>
      </w:r>
      <w:r>
        <w:fldChar w:fldCharType="end"/>
      </w:r>
      <w:bookmarkEnd w:id="232"/>
      <w:r>
        <w:t xml:space="preserve">: </w:t>
      </w:r>
      <w:r w:rsidRPr="004C6FC5">
        <w:rPr>
          <w:szCs w:val="26"/>
        </w:rPr>
        <w:t xml:space="preserve">Percentage of </w:t>
      </w:r>
      <w:r>
        <w:rPr>
          <w:szCs w:val="26"/>
        </w:rPr>
        <w:t xml:space="preserve">disabled </w:t>
      </w:r>
      <w:r w:rsidRPr="004C6FC5">
        <w:rPr>
          <w:szCs w:val="26"/>
        </w:rPr>
        <w:t xml:space="preserve">persons aged 15-24 who were NEET </w:t>
      </w:r>
      <w:r>
        <w:rPr>
          <w:szCs w:val="26"/>
        </w:rPr>
        <w:t>in 2022, by disability type</w:t>
      </w:r>
      <w:bookmarkEnd w:id="233"/>
    </w:p>
    <w:p w14:paraId="7C01ABC5" w14:textId="74B513AE" w:rsidR="00C977A0" w:rsidRPr="004C6FC5" w:rsidRDefault="004C6FC5" w:rsidP="004C6FC5">
      <w:pPr>
        <w:keepNext/>
        <w:rPr>
          <w:b/>
          <w:szCs w:val="26"/>
          <w:highlight w:val="yellow"/>
        </w:rPr>
      </w:pPr>
      <w:r>
        <w:rPr>
          <w:noProof/>
        </w:rPr>
        <w:drawing>
          <wp:inline distT="0" distB="0" distL="0" distR="0" wp14:anchorId="72E93798" wp14:editId="3D88BC90">
            <wp:extent cx="5486400" cy="3506470"/>
            <wp:effectExtent l="0" t="0" r="0" b="17780"/>
            <wp:docPr id="470040612" name="Chart 1" descr="This bar chart shows the proportion of people aged 15-24 with different types of disability who were not in employment, education or training (NEET), according to Census 2022.&#10;&#10;11% of 15-24-year-olds who are blind or visually impaired were NEET in 2022, rising to 17.5% of people who have difficulty with pain, breathing, or any other chronic illness or condition, 28.9% of people who are deaf or hearing impaired, and 20% of people who have difficulty with learning, remembering or concentrating. 21.2% of 15-24-year-olds with a psychological or emotional condition or mental health issue were NEET in 2022, 29% of those with an intellectual disability, and 35.4% of those with a difficulty with basic physical activities. ">
              <a:extLst xmlns:a="http://schemas.openxmlformats.org/drawingml/2006/main">
                <a:ext uri="{FF2B5EF4-FFF2-40B4-BE49-F238E27FC236}">
                  <a16:creationId xmlns:a16="http://schemas.microsoft.com/office/drawing/2014/main" id="{F006FAA9-0EDA-5279-A005-15A716991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4F86EC" w14:textId="528C55F2" w:rsidR="00252BE6" w:rsidRDefault="006A26C6" w:rsidP="00C977A0">
      <w:pPr>
        <w:rPr>
          <w:szCs w:val="26"/>
        </w:rPr>
      </w:pPr>
      <w:r>
        <w:rPr>
          <w:szCs w:val="26"/>
        </w:rPr>
        <w:t>The time young people spend not in employment, education or training</w:t>
      </w:r>
      <w:r w:rsidR="00783FEF" w:rsidRPr="00783FEF">
        <w:rPr>
          <w:szCs w:val="26"/>
        </w:rPr>
        <w:t xml:space="preserve"> can increase the likelihood of unemployment, low wages, or low quality of work </w:t>
      </w:r>
      <w:r w:rsidR="00611A26" w:rsidRPr="00783FEF">
        <w:rPr>
          <w:szCs w:val="26"/>
        </w:rPr>
        <w:t>later</w:t>
      </w:r>
      <w:r w:rsidR="00783FEF" w:rsidRPr="00783FEF">
        <w:rPr>
          <w:szCs w:val="26"/>
        </w:rPr>
        <w:t xml:space="preserve"> in life. Although it is not possible to look at trends over time for this indicator, t</w:t>
      </w:r>
      <w:r w:rsidR="00C977A0" w:rsidRPr="00783FEF">
        <w:rPr>
          <w:szCs w:val="26"/>
        </w:rPr>
        <w:t xml:space="preserve">he NDA notes with concern that </w:t>
      </w:r>
      <w:r w:rsidR="00783FEF" w:rsidRPr="00783FEF">
        <w:rPr>
          <w:szCs w:val="26"/>
        </w:rPr>
        <w:t>the</w:t>
      </w:r>
      <w:r w:rsidR="00C977A0" w:rsidRPr="00783FEF">
        <w:rPr>
          <w:szCs w:val="26"/>
        </w:rPr>
        <w:t xml:space="preserve"> proportion of young persons with disabilities</w:t>
      </w:r>
      <w:r w:rsidR="00783FEF" w:rsidRPr="00783FEF">
        <w:rPr>
          <w:szCs w:val="26"/>
        </w:rPr>
        <w:t xml:space="preserve"> who</w:t>
      </w:r>
      <w:r w:rsidR="00C977A0" w:rsidRPr="00783FEF">
        <w:rPr>
          <w:szCs w:val="26"/>
        </w:rPr>
        <w:t xml:space="preserve"> were NEET</w:t>
      </w:r>
      <w:r w:rsidR="00611A26">
        <w:rPr>
          <w:szCs w:val="26"/>
        </w:rPr>
        <w:t xml:space="preserve"> in 2022</w:t>
      </w:r>
      <w:r w:rsidR="00C977A0" w:rsidRPr="00783FEF">
        <w:rPr>
          <w:szCs w:val="26"/>
        </w:rPr>
        <w:t xml:space="preserve"> </w:t>
      </w:r>
      <w:r w:rsidR="00783FEF" w:rsidRPr="00783FEF">
        <w:rPr>
          <w:szCs w:val="26"/>
        </w:rPr>
        <w:t xml:space="preserve">was more than double that of young people </w:t>
      </w:r>
      <w:r w:rsidR="00C977A0" w:rsidRPr="00783FEF">
        <w:rPr>
          <w:szCs w:val="26"/>
        </w:rPr>
        <w:t>without disabilities</w:t>
      </w:r>
      <w:r w:rsidR="00783FEF">
        <w:rPr>
          <w:szCs w:val="26"/>
        </w:rPr>
        <w:t xml:space="preserve"> </w:t>
      </w:r>
      <w:r w:rsidR="00611A26">
        <w:rPr>
          <w:szCs w:val="26"/>
        </w:rPr>
        <w:t>in the latter stages of the</w:t>
      </w:r>
      <w:r w:rsidR="00783FEF">
        <w:rPr>
          <w:szCs w:val="26"/>
        </w:rPr>
        <w:t xml:space="preserve"> CES. More work is required to narrow this gap, and future national strategies should include actions to address this.</w:t>
      </w:r>
    </w:p>
    <w:p w14:paraId="6A6C00E1" w14:textId="65DFB2BA" w:rsidR="00252BE6" w:rsidRDefault="00252BE6" w:rsidP="00252BE6">
      <w:pPr>
        <w:pStyle w:val="Heading2"/>
      </w:pPr>
      <w:bookmarkStart w:id="234" w:name="_Toc182219525"/>
      <w:bookmarkStart w:id="235" w:name="_Toc182220228"/>
      <w:bookmarkStart w:id="236" w:name="_Toc182555576"/>
      <w:bookmarkStart w:id="237" w:name="_Toc182555727"/>
      <w:r>
        <w:t xml:space="preserve">Overview of </w:t>
      </w:r>
      <w:r w:rsidR="00147EEF">
        <w:t xml:space="preserve">Strategic Priority Two </w:t>
      </w:r>
      <w:bookmarkEnd w:id="234"/>
      <w:bookmarkEnd w:id="235"/>
      <w:bookmarkEnd w:id="236"/>
      <w:bookmarkEnd w:id="237"/>
    </w:p>
    <w:p w14:paraId="04E380CF" w14:textId="14AC9E2B" w:rsidR="00B44E71" w:rsidRDefault="00E643C7" w:rsidP="00B44E71">
      <w:pPr>
        <w:rPr>
          <w:rFonts w:ascii="Gill Sans MT" w:hAnsi="Gill Sans MT"/>
          <w:szCs w:val="26"/>
        </w:rPr>
      </w:pPr>
      <w:r>
        <w:rPr>
          <w:szCs w:val="26"/>
          <w:lang w:eastAsia="en-IE"/>
        </w:rPr>
        <w:t>The intention of this strategic priority was to ensure that</w:t>
      </w:r>
      <w:r w:rsidRPr="00E74605">
        <w:rPr>
          <w:rFonts w:ascii="Gill Sans MT" w:hAnsi="Gill Sans MT"/>
          <w:szCs w:val="26"/>
        </w:rPr>
        <w:t xml:space="preserve"> ‘people with disabilities will be provided with individualised bridges and supports to secure jobs in the open labour market’. </w:t>
      </w:r>
      <w:r w:rsidR="00B44E71">
        <w:rPr>
          <w:szCs w:val="26"/>
          <w:lang w:eastAsia="en-IE"/>
        </w:rPr>
        <w:t xml:space="preserve">This strategic priority </w:t>
      </w:r>
      <w:r>
        <w:rPr>
          <w:szCs w:val="26"/>
          <w:lang w:eastAsia="en-IE"/>
        </w:rPr>
        <w:t>was</w:t>
      </w:r>
      <w:r w:rsidR="00B44E71">
        <w:rPr>
          <w:szCs w:val="26"/>
          <w:lang w:eastAsia="en-IE"/>
        </w:rPr>
        <w:t xml:space="preserve"> concerned with s</w:t>
      </w:r>
      <w:r w:rsidR="00B44E71" w:rsidRPr="000A127D">
        <w:rPr>
          <w:szCs w:val="26"/>
          <w:lang w:eastAsia="en-IE"/>
        </w:rPr>
        <w:t xml:space="preserve">temming the flow of people with </w:t>
      </w:r>
      <w:r w:rsidR="00B44E71">
        <w:rPr>
          <w:szCs w:val="26"/>
          <w:lang w:eastAsia="en-IE"/>
        </w:rPr>
        <w:t>disabilities into joblessness</w:t>
      </w:r>
      <w:r w:rsidR="00B44E71" w:rsidRPr="000A127D">
        <w:rPr>
          <w:szCs w:val="26"/>
          <w:lang w:eastAsia="en-IE"/>
        </w:rPr>
        <w:t>.</w:t>
      </w:r>
      <w:r w:rsidR="00B44E71">
        <w:rPr>
          <w:szCs w:val="26"/>
          <w:lang w:eastAsia="en-IE"/>
        </w:rPr>
        <w:t xml:space="preserve"> Post-age 16 options are critical to ensuring </w:t>
      </w:r>
      <w:r w:rsidR="00492BCC">
        <w:rPr>
          <w:szCs w:val="26"/>
          <w:lang w:eastAsia="en-IE"/>
        </w:rPr>
        <w:t>this</w:t>
      </w:r>
      <w:r w:rsidR="00B44E71">
        <w:rPr>
          <w:szCs w:val="26"/>
          <w:lang w:eastAsia="en-IE"/>
        </w:rPr>
        <w:t>.</w:t>
      </w:r>
      <w:r>
        <w:rPr>
          <w:szCs w:val="26"/>
          <w:lang w:eastAsia="en-IE"/>
        </w:rPr>
        <w:t xml:space="preserve"> </w:t>
      </w:r>
      <w:r w:rsidR="00B44E71">
        <w:rPr>
          <w:szCs w:val="26"/>
          <w:lang w:eastAsia="en-IE"/>
        </w:rPr>
        <w:t>As evidenced by research, s</w:t>
      </w:r>
      <w:r w:rsidR="00B44E71" w:rsidRPr="000A127D">
        <w:rPr>
          <w:szCs w:val="26"/>
          <w:lang w:eastAsia="en-IE"/>
        </w:rPr>
        <w:t xml:space="preserve">chool leavers </w:t>
      </w:r>
      <w:r w:rsidR="00B44E71">
        <w:rPr>
          <w:szCs w:val="26"/>
          <w:lang w:eastAsia="en-IE"/>
        </w:rPr>
        <w:t>with disabilities require pathways into further education</w:t>
      </w:r>
      <w:r w:rsidR="00492BCC">
        <w:rPr>
          <w:szCs w:val="26"/>
          <w:lang w:eastAsia="en-IE"/>
        </w:rPr>
        <w:t>,</w:t>
      </w:r>
      <w:r w:rsidR="00B44E71">
        <w:rPr>
          <w:szCs w:val="26"/>
          <w:lang w:eastAsia="en-IE"/>
        </w:rPr>
        <w:t xml:space="preserve"> training and/or higher education that are based on effective career guidance and appropriate support. </w:t>
      </w:r>
      <w:r>
        <w:rPr>
          <w:rFonts w:ascii="Gill Sans MT" w:hAnsi="Gill Sans MT"/>
          <w:szCs w:val="26"/>
        </w:rPr>
        <w:t>This</w:t>
      </w:r>
      <w:r w:rsidR="00B44E71" w:rsidRPr="00E74605">
        <w:rPr>
          <w:rFonts w:ascii="Gill Sans MT" w:hAnsi="Gill Sans MT"/>
          <w:szCs w:val="26"/>
        </w:rPr>
        <w:t xml:space="preserve"> </w:t>
      </w:r>
      <w:r>
        <w:rPr>
          <w:rFonts w:ascii="Gill Sans MT" w:hAnsi="Gill Sans MT"/>
          <w:szCs w:val="26"/>
        </w:rPr>
        <w:t>has</w:t>
      </w:r>
      <w:r w:rsidR="00B44E71" w:rsidRPr="00E74605">
        <w:rPr>
          <w:rFonts w:ascii="Gill Sans MT" w:hAnsi="Gill Sans MT"/>
          <w:szCs w:val="26"/>
        </w:rPr>
        <w:t xml:space="preserve"> not </w:t>
      </w:r>
      <w:r>
        <w:rPr>
          <w:rFonts w:ascii="Gill Sans MT" w:hAnsi="Gill Sans MT"/>
          <w:szCs w:val="26"/>
        </w:rPr>
        <w:t xml:space="preserve">been </w:t>
      </w:r>
      <w:r w:rsidR="00B44E71" w:rsidRPr="00E74605">
        <w:rPr>
          <w:rFonts w:ascii="Gill Sans MT" w:hAnsi="Gill Sans MT"/>
          <w:szCs w:val="26"/>
        </w:rPr>
        <w:t xml:space="preserve">fully realised, </w:t>
      </w:r>
      <w:r>
        <w:rPr>
          <w:rFonts w:ascii="Gill Sans MT" w:hAnsi="Gill Sans MT"/>
          <w:szCs w:val="26"/>
        </w:rPr>
        <w:t xml:space="preserve">and while limited </w:t>
      </w:r>
      <w:r w:rsidR="00B44E71" w:rsidRPr="00E74605">
        <w:rPr>
          <w:rFonts w:ascii="Gill Sans MT" w:hAnsi="Gill Sans MT"/>
          <w:szCs w:val="26"/>
        </w:rPr>
        <w:t>progress has been made</w:t>
      </w:r>
      <w:r w:rsidR="00B44E71">
        <w:rPr>
          <w:rFonts w:ascii="Gill Sans MT" w:hAnsi="Gill Sans MT"/>
          <w:szCs w:val="26"/>
        </w:rPr>
        <w:t xml:space="preserve"> in </w:t>
      </w:r>
      <w:r w:rsidR="009B0894">
        <w:rPr>
          <w:rFonts w:ascii="Gill Sans MT" w:hAnsi="Gill Sans MT"/>
          <w:szCs w:val="26"/>
        </w:rPr>
        <w:t xml:space="preserve">a number of </w:t>
      </w:r>
      <w:r w:rsidR="00B44E71">
        <w:rPr>
          <w:rFonts w:ascii="Gill Sans MT" w:hAnsi="Gill Sans MT"/>
          <w:szCs w:val="26"/>
        </w:rPr>
        <w:t>areas</w:t>
      </w:r>
      <w:r>
        <w:rPr>
          <w:rFonts w:ascii="Gill Sans MT" w:hAnsi="Gill Sans MT"/>
          <w:szCs w:val="26"/>
        </w:rPr>
        <w:t>,</w:t>
      </w:r>
      <w:r w:rsidR="008B7FC0">
        <w:rPr>
          <w:rFonts w:ascii="Gill Sans MT" w:hAnsi="Gill Sans MT"/>
          <w:szCs w:val="26"/>
        </w:rPr>
        <w:t xml:space="preserve"> a number of gaps remain</w:t>
      </w:r>
      <w:r w:rsidR="00B44E71" w:rsidRPr="00E74605">
        <w:rPr>
          <w:rFonts w:ascii="Gill Sans MT" w:hAnsi="Gill Sans MT"/>
          <w:szCs w:val="26"/>
        </w:rPr>
        <w:t>.</w:t>
      </w:r>
    </w:p>
    <w:p w14:paraId="34A0EFEA" w14:textId="77777777" w:rsidR="00252BE6" w:rsidRDefault="00252BE6" w:rsidP="00252BE6">
      <w:pPr>
        <w:pStyle w:val="Heading3"/>
      </w:pPr>
      <w:bookmarkStart w:id="238" w:name="_Toc182219526"/>
      <w:bookmarkStart w:id="239" w:name="_Toc182220229"/>
      <w:bookmarkStart w:id="240" w:name="_Toc182555577"/>
      <w:r>
        <w:t>Key achievements</w:t>
      </w:r>
      <w:bookmarkEnd w:id="238"/>
      <w:bookmarkEnd w:id="239"/>
      <w:bookmarkEnd w:id="240"/>
    </w:p>
    <w:p w14:paraId="27803D12" w14:textId="5CEB3C4C" w:rsidR="00E2576A" w:rsidRDefault="00E2576A" w:rsidP="00FD0C3F">
      <w:pPr>
        <w:pStyle w:val="ListParagraph"/>
        <w:numPr>
          <w:ilvl w:val="0"/>
          <w:numId w:val="16"/>
        </w:numPr>
      </w:pPr>
      <w:r w:rsidRPr="008734ED">
        <w:t>Early Engagement</w:t>
      </w:r>
      <w:r>
        <w:t xml:space="preserve">, the </w:t>
      </w:r>
      <w:r w:rsidRPr="008734ED">
        <w:t>targeted, voluntary provision of employment services to young people receiving Disability Allowance</w:t>
      </w:r>
      <w:r>
        <w:t xml:space="preserve"> was introduced in 2022</w:t>
      </w:r>
      <w:r w:rsidRPr="008734ED">
        <w:t xml:space="preserve">. </w:t>
      </w:r>
    </w:p>
    <w:p w14:paraId="78FF7026" w14:textId="2E6DD02B" w:rsidR="006306E4" w:rsidRDefault="006306E4" w:rsidP="00FD0C3F">
      <w:pPr>
        <w:pStyle w:val="ListParagraph"/>
        <w:numPr>
          <w:ilvl w:val="0"/>
          <w:numId w:val="16"/>
        </w:numPr>
      </w:pPr>
      <w:r>
        <w:t xml:space="preserve">The proportion of people exiting from EmployAbility into employment has increased over the lifetime of the CES, from </w:t>
      </w:r>
      <w:r w:rsidR="00407FE0">
        <w:t>30.4% in 2014 to 40.6% in 2023.</w:t>
      </w:r>
    </w:p>
    <w:p w14:paraId="66AF700A" w14:textId="145DC715" w:rsidR="002C636E" w:rsidRDefault="006305CE" w:rsidP="00FD0C3F">
      <w:pPr>
        <w:pStyle w:val="ListParagraph"/>
        <w:numPr>
          <w:ilvl w:val="0"/>
          <w:numId w:val="16"/>
        </w:numPr>
      </w:pPr>
      <w:r>
        <w:t xml:space="preserve">There was a 20% increase between 2021/2022 and 2022/2023 in the </w:t>
      </w:r>
      <w:r w:rsidR="00953C29">
        <w:t>number of</w:t>
      </w:r>
      <w:r>
        <w:t xml:space="preserve"> apprentices </w:t>
      </w:r>
      <w:r w:rsidR="00953C29">
        <w:t xml:space="preserve">that were registered </w:t>
      </w:r>
      <w:r w:rsidR="00953C29" w:rsidRPr="006305CE">
        <w:t>with disability support services</w:t>
      </w:r>
      <w:r w:rsidR="00953C29">
        <w:t xml:space="preserve"> </w:t>
      </w:r>
      <w:r>
        <w:t>through HEIs (data are not available for previous years</w:t>
      </w:r>
      <w:r w:rsidR="00492BCC">
        <w:t xml:space="preserve"> of the CES</w:t>
      </w:r>
      <w:r>
        <w:t>).</w:t>
      </w:r>
    </w:p>
    <w:p w14:paraId="37A1F117" w14:textId="42E80FC7" w:rsidR="002C636E" w:rsidRDefault="003C6407" w:rsidP="00FD0C3F">
      <w:pPr>
        <w:pStyle w:val="ListParagraph"/>
        <w:numPr>
          <w:ilvl w:val="0"/>
          <w:numId w:val="16"/>
        </w:numPr>
      </w:pPr>
      <w:r>
        <w:t>Some graduates with disabilities who undertake WAM placements are now gaining permanent positions in the civil service, although the numbers are small.</w:t>
      </w:r>
    </w:p>
    <w:p w14:paraId="0A7C5264" w14:textId="155D036F" w:rsidR="00252BE6" w:rsidRDefault="00252BE6" w:rsidP="00252BE6">
      <w:pPr>
        <w:pStyle w:val="Heading3"/>
      </w:pPr>
      <w:bookmarkStart w:id="241" w:name="_Toc182219527"/>
      <w:bookmarkStart w:id="242" w:name="_Toc182220230"/>
      <w:bookmarkStart w:id="243" w:name="_Toc182555578"/>
      <w:r>
        <w:t>Gaps to be addressed</w:t>
      </w:r>
      <w:bookmarkEnd w:id="241"/>
      <w:bookmarkEnd w:id="242"/>
      <w:bookmarkEnd w:id="243"/>
    </w:p>
    <w:p w14:paraId="04C0A491" w14:textId="242F16D7" w:rsidR="00B44E71" w:rsidRPr="009A2744" w:rsidRDefault="008B7FC0" w:rsidP="00FD0C3F">
      <w:pPr>
        <w:pStyle w:val="ListParagraph"/>
        <w:numPr>
          <w:ilvl w:val="0"/>
          <w:numId w:val="26"/>
        </w:numPr>
      </w:pPr>
      <w:r>
        <w:t xml:space="preserve">There remains a need for </w:t>
      </w:r>
      <w:r w:rsidR="00FD0C3F">
        <w:t xml:space="preserve">a well-resourced supported employment system that </w:t>
      </w:r>
      <w:r w:rsidR="00B44E71" w:rsidRPr="002C3231">
        <w:t xml:space="preserve">prepares and supports people with disabilities to obtain and remain in mainstream employment. </w:t>
      </w:r>
      <w:r w:rsidR="00FD0C3F">
        <w:t>Such a system is often</w:t>
      </w:r>
      <w:r w:rsidR="00FD0C3F" w:rsidRPr="002C3231">
        <w:t xml:space="preserve"> described as a ‘place, train and maintain model’ </w:t>
      </w:r>
      <w:r w:rsidR="007C1C88">
        <w:fldChar w:fldCharType="begin"/>
      </w:r>
      <w:r w:rsidR="006B1C05">
        <w:instrText xml:space="preserve"> ADDIN ZOTERO_ITEM CSL_CITATION {"citationID":"YsgFWP1k","properties":{"formattedCitation":"(66)","plainCitation":"(66)","noteIndex":0},"citationItems":[{"id":304,"uris":["http://zotero.org/users/local/kvLunvBP/items/IGZ3GKPT"],"itemData":{"id":304,"type":"report","title":"A Review of the Research Literature on Supported Employment: A Report for the cross-Government learning disability employment strategy team - Google Search","URL":"https://www.base-uk.org/sites/default/files/%5Buser-raw%5D/11-06/research_literature_review.pdf","author":[{"family":"Beyer","given":"Stephen"},{"family":"Robinson","given":"Carol"}],"accessed":{"date-parts":[["2024",10,21]]},"issued":{"date-parts":[["2009"]]}}}],"schema":"https://github.com/citation-style-language/schema/raw/master/csl-citation.json"} </w:instrText>
      </w:r>
      <w:r w:rsidR="007C1C88">
        <w:fldChar w:fldCharType="separate"/>
      </w:r>
      <w:r w:rsidR="006B1C05" w:rsidRPr="006B1C05">
        <w:t>(66)</w:t>
      </w:r>
      <w:r w:rsidR="007C1C88">
        <w:fldChar w:fldCharType="end"/>
      </w:r>
      <w:r w:rsidR="007C1C88">
        <w:t xml:space="preserve"> </w:t>
      </w:r>
      <w:r w:rsidR="00FD0C3F">
        <w:t xml:space="preserve">and would involve </w:t>
      </w:r>
      <w:r w:rsidR="00B44E71" w:rsidRPr="002C3231">
        <w:t xml:space="preserve">vocational profiling, job matching and in-work support. </w:t>
      </w:r>
      <w:r w:rsidR="00FD0C3F">
        <w:t>A disabled</w:t>
      </w:r>
      <w:r w:rsidR="00B44E71" w:rsidRPr="002C3231">
        <w:t xml:space="preserve"> </w:t>
      </w:r>
      <w:r w:rsidR="00FD0C3F">
        <w:t>individual would</w:t>
      </w:r>
      <w:r w:rsidR="00B44E71" w:rsidRPr="002C3231">
        <w:t xml:space="preserve"> receive individualised support from a job coach, who </w:t>
      </w:r>
      <w:r w:rsidR="00FD0C3F">
        <w:t xml:space="preserve">would </w:t>
      </w:r>
      <w:r w:rsidR="00B44E71" w:rsidRPr="002C3231">
        <w:t>work</w:t>
      </w:r>
      <w:r w:rsidR="00FD0C3F">
        <w:t xml:space="preserve"> </w:t>
      </w:r>
      <w:r w:rsidR="00B44E71" w:rsidRPr="002C3231">
        <w:t xml:space="preserve">to prepare them for employment, make the links with </w:t>
      </w:r>
      <w:r w:rsidR="00FD0C3F">
        <w:t xml:space="preserve">an </w:t>
      </w:r>
      <w:r w:rsidR="00B44E71" w:rsidRPr="002C3231">
        <w:t xml:space="preserve">employer, and support the individual on-site in settling in and managing job tasks. </w:t>
      </w:r>
      <w:r w:rsidR="00FD0C3F">
        <w:t>While t</w:t>
      </w:r>
      <w:r w:rsidR="00DC08CB">
        <w:t>he</w:t>
      </w:r>
      <w:r w:rsidR="00B44E71">
        <w:t xml:space="preserve"> Irish system </w:t>
      </w:r>
      <w:r w:rsidR="00DC08CB">
        <w:t>provides</w:t>
      </w:r>
      <w:r w:rsidR="00B44E71">
        <w:t xml:space="preserve"> EmployA</w:t>
      </w:r>
      <w:r w:rsidR="00FD0C3F">
        <w:t>b</w:t>
      </w:r>
      <w:r w:rsidR="00B44E71">
        <w:t>ility, WAM, Specialisterne</w:t>
      </w:r>
      <w:r w:rsidR="00FD0C3F" w:rsidRPr="00233BC4">
        <w:rPr>
          <w:rStyle w:val="FootnoteReference"/>
        </w:rPr>
        <w:footnoteReference w:id="24"/>
      </w:r>
      <w:r w:rsidR="00B44E71">
        <w:t xml:space="preserve"> and the IPS programme</w:t>
      </w:r>
      <w:r w:rsidR="009A2744">
        <w:t>,</w:t>
      </w:r>
      <w:r w:rsidR="00DC08CB">
        <w:t xml:space="preserve"> which to some degree </w:t>
      </w:r>
      <w:r w:rsidR="00B44E71">
        <w:t>follow a supported employment model</w:t>
      </w:r>
      <w:r w:rsidR="009A2744">
        <w:t xml:space="preserve">, </w:t>
      </w:r>
      <w:r w:rsidR="00DC08CB">
        <w:t>there are gaps in provision</w:t>
      </w:r>
      <w:r w:rsidR="00B3086C">
        <w:t>. These gaps are especially pronounced</w:t>
      </w:r>
      <w:r w:rsidR="009A2744">
        <w:t xml:space="preserve"> for </w:t>
      </w:r>
      <w:r w:rsidR="00DC08CB">
        <w:t xml:space="preserve">those who </w:t>
      </w:r>
      <w:r w:rsidR="009A2744">
        <w:t xml:space="preserve">have </w:t>
      </w:r>
      <w:r w:rsidR="00DC08CB">
        <w:t xml:space="preserve">high support needs or those who can </w:t>
      </w:r>
      <w:r w:rsidR="009A2744">
        <w:t xml:space="preserve">only </w:t>
      </w:r>
      <w:r w:rsidR="00DC08CB">
        <w:t xml:space="preserve">or want to work </w:t>
      </w:r>
      <w:r w:rsidR="009A2744">
        <w:t>for a low number of hours per week</w:t>
      </w:r>
      <w:r w:rsidR="00B44E71" w:rsidRPr="00FD0C3F">
        <w:rPr>
          <w:rFonts w:eastAsia="SimSun"/>
          <w:lang w:eastAsia="en-IE"/>
        </w:rPr>
        <w:t>. A</w:t>
      </w:r>
      <w:r w:rsidR="00DC08CB" w:rsidRPr="00FD0C3F">
        <w:rPr>
          <w:rFonts w:eastAsia="SimSun"/>
          <w:lang w:eastAsia="en-IE"/>
        </w:rPr>
        <w:t>s advised by the NDA in earlier assessments of the CES</w:t>
      </w:r>
      <w:r w:rsidR="009A2744">
        <w:rPr>
          <w:rFonts w:eastAsia="SimSun"/>
          <w:lang w:eastAsia="en-IE"/>
        </w:rPr>
        <w:t>,</w:t>
      </w:r>
      <w:r w:rsidR="00DC08CB" w:rsidRPr="00FD0C3F">
        <w:rPr>
          <w:rFonts w:eastAsia="SimSun"/>
          <w:lang w:eastAsia="en-IE"/>
        </w:rPr>
        <w:t xml:space="preserve"> a</w:t>
      </w:r>
      <w:r w:rsidR="00B44E71" w:rsidRPr="00FD0C3F">
        <w:rPr>
          <w:rFonts w:eastAsia="SimSun"/>
          <w:lang w:eastAsia="en-IE"/>
        </w:rPr>
        <w:t xml:space="preserve"> successful supported employment programme requires a coherent national approach</w:t>
      </w:r>
      <w:r w:rsidR="00B3086C">
        <w:rPr>
          <w:rFonts w:eastAsia="SimSun"/>
          <w:lang w:eastAsia="en-IE"/>
        </w:rPr>
        <w:t>,</w:t>
      </w:r>
      <w:r w:rsidR="00B44E71" w:rsidRPr="00FD0C3F">
        <w:rPr>
          <w:rFonts w:eastAsia="SimSun"/>
          <w:lang w:eastAsia="en-IE"/>
        </w:rPr>
        <w:t xml:space="preserve"> with structured methods of support and </w:t>
      </w:r>
      <w:r w:rsidR="00B3086C">
        <w:rPr>
          <w:rFonts w:eastAsia="SimSun"/>
          <w:lang w:eastAsia="en-IE"/>
        </w:rPr>
        <w:t xml:space="preserve">strong </w:t>
      </w:r>
      <w:r w:rsidR="00B44E71" w:rsidRPr="00FD0C3F">
        <w:rPr>
          <w:rFonts w:eastAsia="SimSun"/>
          <w:lang w:eastAsia="en-IE"/>
        </w:rPr>
        <w:t>links with employers.</w:t>
      </w:r>
      <w:r w:rsidR="00953C29">
        <w:rPr>
          <w:rFonts w:eastAsia="SimSun"/>
          <w:lang w:eastAsia="en-IE"/>
        </w:rPr>
        <w:t xml:space="preserve"> This model could also be used to provide vocational rehabilitation support for people already employed who acquire a disability and need support to return to work. </w:t>
      </w:r>
    </w:p>
    <w:p w14:paraId="5E63BCD8" w14:textId="6C205345" w:rsidR="00D40203" w:rsidRPr="00E661D3" w:rsidRDefault="00DC08CB" w:rsidP="009A2744">
      <w:pPr>
        <w:pStyle w:val="ListParagraph"/>
        <w:numPr>
          <w:ilvl w:val="0"/>
          <w:numId w:val="26"/>
        </w:numPr>
      </w:pPr>
      <w:r w:rsidRPr="009A2744">
        <w:rPr>
          <w:szCs w:val="26"/>
          <w:lang w:eastAsia="en-IE"/>
        </w:rPr>
        <w:t xml:space="preserve">Activity </w:t>
      </w:r>
      <w:r w:rsidRPr="009A2744">
        <w:rPr>
          <w:rFonts w:eastAsiaTheme="minorEastAsia" w:cstheme="minorBidi"/>
          <w:szCs w:val="26"/>
          <w:lang w:eastAsia="en-IE"/>
        </w:rPr>
        <w:t xml:space="preserve">related to the provision of personal assistance </w:t>
      </w:r>
      <w:r w:rsidR="00CF3B6D">
        <w:rPr>
          <w:rFonts w:eastAsiaTheme="minorEastAsia" w:cstheme="minorBidi"/>
          <w:szCs w:val="26"/>
          <w:lang w:eastAsia="en-IE"/>
        </w:rPr>
        <w:t xml:space="preserve">(PA) </w:t>
      </w:r>
      <w:r w:rsidRPr="009A2744">
        <w:rPr>
          <w:rFonts w:eastAsiaTheme="minorEastAsia" w:cstheme="minorBidi"/>
          <w:szCs w:val="26"/>
          <w:lang w:eastAsia="en-IE"/>
        </w:rPr>
        <w:t>in an employment context ha</w:t>
      </w:r>
      <w:r w:rsidR="009A2744">
        <w:rPr>
          <w:rFonts w:eastAsiaTheme="minorEastAsia" w:cstheme="minorBidi"/>
          <w:szCs w:val="26"/>
          <w:lang w:eastAsia="en-IE"/>
        </w:rPr>
        <w:t>s</w:t>
      </w:r>
      <w:r w:rsidRPr="009A2744">
        <w:rPr>
          <w:rFonts w:eastAsiaTheme="minorEastAsia" w:cstheme="minorBidi"/>
          <w:szCs w:val="26"/>
          <w:lang w:eastAsia="en-IE"/>
        </w:rPr>
        <w:t xml:space="preserve"> remained stalled. An ESRI report on the Irish </w:t>
      </w:r>
      <w:r w:rsidRPr="009A2744">
        <w:rPr>
          <w:szCs w:val="26"/>
          <w:shd w:val="clear" w:color="auto" w:fill="FFFFFF"/>
        </w:rPr>
        <w:t xml:space="preserve">Personal Assistance Service commissioned by the NDA and published in 2022 reported </w:t>
      </w:r>
      <w:r w:rsidRPr="009A2744">
        <w:rPr>
          <w:rFonts w:cs="Arial"/>
          <w:szCs w:val="26"/>
          <w:shd w:val="clear" w:color="auto" w:fill="FFFFFF"/>
        </w:rPr>
        <w:t xml:space="preserve">satisfaction among many </w:t>
      </w:r>
      <w:r w:rsidR="009A2744">
        <w:rPr>
          <w:rFonts w:cs="Arial"/>
          <w:szCs w:val="26"/>
          <w:shd w:val="clear" w:color="auto" w:fill="FFFFFF"/>
        </w:rPr>
        <w:t>p</w:t>
      </w:r>
      <w:r w:rsidRPr="009A2744">
        <w:rPr>
          <w:rFonts w:cs="Arial"/>
          <w:szCs w:val="26"/>
          <w:shd w:val="clear" w:color="auto" w:fill="FFFFFF"/>
        </w:rPr>
        <w:t xml:space="preserve">ersonal </w:t>
      </w:r>
      <w:r w:rsidR="009A2744">
        <w:rPr>
          <w:rFonts w:cs="Arial"/>
          <w:szCs w:val="26"/>
          <w:shd w:val="clear" w:color="auto" w:fill="FFFFFF"/>
        </w:rPr>
        <w:t>a</w:t>
      </w:r>
      <w:r w:rsidRPr="009A2744">
        <w:rPr>
          <w:rFonts w:cs="Arial"/>
          <w:szCs w:val="26"/>
          <w:shd w:val="clear" w:color="auto" w:fill="FFFFFF"/>
        </w:rPr>
        <w:t xml:space="preserve">ssistance service users </w:t>
      </w:r>
      <w:r w:rsidR="009A2744">
        <w:rPr>
          <w:rFonts w:cs="Arial"/>
          <w:szCs w:val="26"/>
          <w:shd w:val="clear" w:color="auto" w:fill="FFFFFF"/>
        </w:rPr>
        <w:t>with</w:t>
      </w:r>
      <w:r w:rsidRPr="009A2744">
        <w:rPr>
          <w:rFonts w:cs="Arial"/>
          <w:szCs w:val="26"/>
          <w:shd w:val="clear" w:color="auto" w:fill="FFFFFF"/>
        </w:rPr>
        <w:t xml:space="preserve"> some aspects of their service</w:t>
      </w:r>
      <w:r w:rsidR="009A2744">
        <w:rPr>
          <w:rFonts w:cs="Arial"/>
          <w:szCs w:val="26"/>
          <w:shd w:val="clear" w:color="auto" w:fill="FFFFFF"/>
        </w:rPr>
        <w:t>,</w:t>
      </w:r>
      <w:r w:rsidRPr="009A2744">
        <w:rPr>
          <w:rFonts w:cs="Arial"/>
          <w:szCs w:val="26"/>
          <w:shd w:val="clear" w:color="auto" w:fill="FFFFFF"/>
        </w:rPr>
        <w:t xml:space="preserve"> but many felt their hours allocated were insufficient. The findings suggest </w:t>
      </w:r>
      <w:r w:rsidR="008F54B0">
        <w:rPr>
          <w:rFonts w:cs="Arial"/>
          <w:szCs w:val="26"/>
          <w:shd w:val="clear" w:color="auto" w:fill="FFFFFF"/>
        </w:rPr>
        <w:t>‘</w:t>
      </w:r>
      <w:r w:rsidRPr="009A2744">
        <w:rPr>
          <w:rFonts w:cs="Arial"/>
          <w:szCs w:val="26"/>
          <w:shd w:val="clear" w:color="auto" w:fill="FFFFFF"/>
        </w:rPr>
        <w:t>… that systemic shortfalls have a clearly detrimental effect on the functioning and capabilities valued by the participants in relation to their ability to participate in social and economic activities that many people take for granted’.</w:t>
      </w:r>
      <w:r w:rsidR="00DF6871">
        <w:t xml:space="preserve"> </w:t>
      </w:r>
      <w:r w:rsidR="00DF6871">
        <w:fldChar w:fldCharType="begin"/>
      </w:r>
      <w:r w:rsidR="00913423">
        <w:instrText xml:space="preserve"> ADDIN ZOTERO_ITEM CSL_CITATION {"citationID":"s7g7rTh1","properties":{"formattedCitation":"(56)","plainCitation":"(56)","dontUpdate":true,"noteIndex":0},"citationItems":[{"id":305,"uris":["http://zotero.org/users/local/kvLunvBP/items/UVQJBHDA"],"itemData":{"id":305,"type":"article-journal","abstract":"Personal assistance (PA) has long been a key support for Irish people with physical and sensory disabilities, but evidence shows that Ireland lacks national standards for allocation, provision and data collection. Addressing a particular gap in understanding the experiences of disabled people, this paper draws on a large-scale mixed-method study with PA service users which was conducted in summer 2021. Overall, the evidence shows satisfaction among many service users, but suggests that systemic shortfalls have a clearly detrimental effect on the functionings and capabilities valued by the participants in relation to their ability to participate in social and economic activities that many people take for granted. The findings of this study provide valuable insights into what good personal assistance means for disabled people</w:instrText>
      </w:r>
      <w:r w:rsidR="00913423">
        <w:rPr>
          <w:rFonts w:hint="eastAsia"/>
        </w:rPr>
        <w:instrText>’</w:instrText>
      </w:r>
      <w:r w:rsidR="00913423">
        <w:instrText xml:space="preserve">s everyday lives and what Irish PA service users want to see change in the system. The findings are grounded in the Irish context, but they are useful to an international audience in clearly showing the value of PA and the importance of meaningfully including disabled people in its design and regulation.","container-title":"Disabilities","DOI":"10.3390/disabilities2040049","ISSN":"2673-7272","issue":"4","language":"en","license":"http://creativecommons.org/licenses/by/3.0/","note":"number: 4\npublisher: Multidisciplinary Digital Publishing Institute","page":"694-714","source":"www.mdpi.com","title":"Personal Assistance Services in Ireland: A Capability Approach to Understanding the Lived Experience of Disabled People","title-short":"Personal Assistance Services in Ireland","URL":"https://www.mdpi.com/2673-7272/2/4/49","volume":"2","author":[{"family":"Carroll","given":"Eamonn"},{"family":"McCoy","given":"Selina"}],"accessed":{"date-parts":[["2024",10,21]]},"issued":{"date-parts":[["2022",12]]}}}],"schema":"https://github.com/citation-style-language/schema/raw/master/csl-citation.json"} </w:instrText>
      </w:r>
      <w:r w:rsidR="00DF6871">
        <w:fldChar w:fldCharType="separate"/>
      </w:r>
      <w:r w:rsidR="00DF6871" w:rsidRPr="00DF6871">
        <w:t>(56</w:t>
      </w:r>
      <w:r w:rsidR="00DF6871">
        <w:t>, p.694</w:t>
      </w:r>
      <w:r w:rsidR="00DF6871" w:rsidRPr="00DF6871">
        <w:t>)</w:t>
      </w:r>
      <w:r w:rsidR="00DF6871">
        <w:fldChar w:fldCharType="end"/>
      </w:r>
      <w:r w:rsidRPr="009A2744">
        <w:rPr>
          <w:rFonts w:cs="Arial"/>
          <w:color w:val="222222"/>
          <w:szCs w:val="26"/>
          <w:shd w:val="clear" w:color="auto" w:fill="FFFFFF"/>
        </w:rPr>
        <w:t xml:space="preserve"> As part of a previously agreed cross-departmental policy to develop a national programme of supported employment (2018), a commitment was given to further explore provision of PA services in an employment context, and the NDA advises that this </w:t>
      </w:r>
      <w:r w:rsidR="009A2744">
        <w:rPr>
          <w:rFonts w:cs="Arial"/>
          <w:color w:val="222222"/>
          <w:szCs w:val="26"/>
          <w:shd w:val="clear" w:color="auto" w:fill="FFFFFF"/>
        </w:rPr>
        <w:t>should be</w:t>
      </w:r>
      <w:r w:rsidRPr="009A2744">
        <w:rPr>
          <w:rFonts w:cs="Arial"/>
          <w:color w:val="222222"/>
          <w:szCs w:val="26"/>
          <w:shd w:val="clear" w:color="auto" w:fill="FFFFFF"/>
        </w:rPr>
        <w:t xml:space="preserve"> a key priority </w:t>
      </w:r>
      <w:r w:rsidR="009A2744">
        <w:rPr>
          <w:rFonts w:cs="Arial"/>
          <w:color w:val="222222"/>
          <w:szCs w:val="26"/>
          <w:shd w:val="clear" w:color="auto" w:fill="FFFFFF"/>
        </w:rPr>
        <w:t>in future strategies addressing the employment of disabled people.</w:t>
      </w:r>
    </w:p>
    <w:p w14:paraId="2406D77E" w14:textId="23D80989" w:rsidR="00E661D3" w:rsidRPr="0004190A" w:rsidRDefault="00E661D3" w:rsidP="009A2744">
      <w:pPr>
        <w:pStyle w:val="ListParagraph"/>
        <w:numPr>
          <w:ilvl w:val="0"/>
          <w:numId w:val="26"/>
        </w:numPr>
      </w:pPr>
      <w:r>
        <w:rPr>
          <w:rFonts w:cs="Arial"/>
          <w:color w:val="222222"/>
          <w:szCs w:val="26"/>
          <w:shd w:val="clear" w:color="auto" w:fill="FFFFFF"/>
        </w:rPr>
        <w:t>The rate of young people with disabilities not in employment, education</w:t>
      </w:r>
      <w:r w:rsidR="0066476B">
        <w:rPr>
          <w:rFonts w:cs="Arial"/>
          <w:color w:val="222222"/>
          <w:szCs w:val="26"/>
          <w:shd w:val="clear" w:color="auto" w:fill="FFFFFF"/>
        </w:rPr>
        <w:t>,</w:t>
      </w:r>
      <w:r>
        <w:rPr>
          <w:rFonts w:cs="Arial"/>
          <w:color w:val="222222"/>
          <w:szCs w:val="26"/>
          <w:shd w:val="clear" w:color="auto" w:fill="FFFFFF"/>
        </w:rPr>
        <w:t xml:space="preserve"> or training (NEET) remains more than twice that of young people without disabilities. The NDA advises that this subgroup warrants particular attention in subsequent strategies. </w:t>
      </w:r>
    </w:p>
    <w:p w14:paraId="44ADD5D6" w14:textId="77777777" w:rsidR="0004190A" w:rsidRDefault="0004190A" w:rsidP="0004190A">
      <w:pPr>
        <w:pStyle w:val="ListParagraph"/>
        <w:numPr>
          <w:ilvl w:val="0"/>
          <w:numId w:val="26"/>
        </w:numPr>
      </w:pPr>
      <w:r w:rsidRPr="0004190A">
        <w:t>The NDA advises that the areas of self-employment and entrepreneurship remain underdeveloped, and that these are two key areas requiring further action by the Department of Trade Enterprise and Employment in the new National Disability Strategy.</w:t>
      </w:r>
    </w:p>
    <w:p w14:paraId="4107E4FC" w14:textId="2C91813E" w:rsidR="002D116F" w:rsidRPr="002D116F" w:rsidRDefault="002D116F" w:rsidP="002D116F">
      <w:pPr>
        <w:pStyle w:val="ListParagraph"/>
        <w:numPr>
          <w:ilvl w:val="0"/>
          <w:numId w:val="26"/>
        </w:numPr>
        <w:rPr>
          <w:rFonts w:ascii="Gill Sans MT" w:hAnsi="Gill Sans MT"/>
          <w:color w:val="000000"/>
          <w:szCs w:val="26"/>
        </w:rPr>
      </w:pPr>
      <w:r w:rsidRPr="002D116F">
        <w:rPr>
          <w:rFonts w:ascii="Gill Sans MT" w:hAnsi="Gill Sans MT"/>
          <w:color w:val="000000"/>
          <w:szCs w:val="26"/>
        </w:rPr>
        <w:t xml:space="preserve">While all new public transport is designed to be accessible, the real challenge lies in retrofitting older infrastructure, such as legacy Victorian-era rail facilities. This process requires considerable investment and time for implementation. </w:t>
      </w:r>
      <w:r w:rsidR="009F78FB">
        <w:rPr>
          <w:rFonts w:ascii="Gill Sans MT" w:hAnsi="Gill Sans MT"/>
          <w:color w:val="000000"/>
          <w:szCs w:val="26"/>
        </w:rPr>
        <w:t>Innovative funding approaches are required with joint or m</w:t>
      </w:r>
      <w:r w:rsidRPr="002D116F">
        <w:rPr>
          <w:rFonts w:ascii="Gill Sans MT" w:hAnsi="Gill Sans MT"/>
          <w:color w:val="000000"/>
          <w:szCs w:val="26"/>
        </w:rPr>
        <w:t xml:space="preserve">atched co-funding from other governmental sources </w:t>
      </w:r>
      <w:r w:rsidR="009F78FB">
        <w:rPr>
          <w:rFonts w:ascii="Gill Sans MT" w:hAnsi="Gill Sans MT"/>
          <w:color w:val="000000"/>
          <w:szCs w:val="26"/>
        </w:rPr>
        <w:t xml:space="preserve">such as </w:t>
      </w:r>
      <w:r w:rsidRPr="002D116F">
        <w:rPr>
          <w:rFonts w:ascii="Gill Sans MT" w:hAnsi="Gill Sans MT"/>
          <w:color w:val="000000"/>
          <w:szCs w:val="26"/>
        </w:rPr>
        <w:t>the successful 'Leitrim pilot' collaboration between the NTA and the HSE.</w:t>
      </w:r>
    </w:p>
    <w:p w14:paraId="66E87CC6" w14:textId="36A2EE57" w:rsidR="002D116F" w:rsidRDefault="009F78FB" w:rsidP="002D116F">
      <w:pPr>
        <w:pStyle w:val="ListParagraph"/>
        <w:numPr>
          <w:ilvl w:val="0"/>
          <w:numId w:val="26"/>
        </w:numPr>
        <w:rPr>
          <w:rFonts w:ascii="Gill Sans MT" w:hAnsi="Gill Sans MT"/>
          <w:color w:val="000000"/>
          <w:szCs w:val="26"/>
        </w:rPr>
      </w:pPr>
      <w:r>
        <w:rPr>
          <w:rFonts w:ascii="Gill Sans MT" w:hAnsi="Gill Sans MT"/>
          <w:color w:val="000000"/>
          <w:szCs w:val="26"/>
        </w:rPr>
        <w:t>P</w:t>
      </w:r>
      <w:r w:rsidR="002D116F" w:rsidRPr="002D116F">
        <w:rPr>
          <w:rFonts w:ascii="Gill Sans MT" w:hAnsi="Gill Sans MT"/>
          <w:color w:val="000000"/>
          <w:szCs w:val="26"/>
        </w:rPr>
        <w:t>roviding accessible public transport necessitates a 'whole journey approach,' encompassing all elements from start to destination and applying Universal Design principles. This approach requires full engagement from all stakeholders involved in the transport journey, including those responsible for broader transport infrastructure and 'closed' transport services.</w:t>
      </w:r>
    </w:p>
    <w:p w14:paraId="5E12E683" w14:textId="3C243682" w:rsidR="00524165" w:rsidRPr="00CC6190" w:rsidRDefault="00524165" w:rsidP="00524165">
      <w:pPr>
        <w:pStyle w:val="ListParagraph"/>
        <w:numPr>
          <w:ilvl w:val="0"/>
          <w:numId w:val="26"/>
        </w:numPr>
        <w:rPr>
          <w:rFonts w:ascii="Gill Sans MT" w:hAnsi="Gill Sans MT"/>
          <w:sz w:val="20"/>
          <w:szCs w:val="20"/>
          <w:lang w:eastAsia="en-IE"/>
        </w:rPr>
      </w:pPr>
      <w:r w:rsidRPr="00CC6190">
        <w:rPr>
          <w:rFonts w:ascii="Gill Sans MT" w:hAnsi="Gill Sans MT"/>
        </w:rPr>
        <w:t>The NTA needs to continue investing in upgrading rail and bus stations, constructing wheelchair-accessible bus bays and stops, purchasing low-floor wheelchair-accessible fleets, and expanding the Travel Assistance Scheme. However, it is evident that some infrastructure, such as bus bays and bus stops</w:t>
      </w:r>
      <w:r w:rsidR="00CC6190">
        <w:rPr>
          <w:rFonts w:ascii="Gill Sans MT" w:hAnsi="Gill Sans MT"/>
        </w:rPr>
        <w:t>,</w:t>
      </w:r>
      <w:r w:rsidRPr="00CC6190">
        <w:rPr>
          <w:rFonts w:ascii="Gill Sans MT" w:hAnsi="Gill Sans MT"/>
        </w:rPr>
        <w:t xml:space="preserve"> particularly those adjacent to cycling infrastructure, remains unsafe for wheelchair users and others with mobility challenges. </w:t>
      </w:r>
    </w:p>
    <w:p w14:paraId="41FAD1B6" w14:textId="202E0A14" w:rsidR="006305CE" w:rsidRPr="006305CE" w:rsidRDefault="006305CE" w:rsidP="00085A89">
      <w:pPr>
        <w:pStyle w:val="ListParagraph"/>
        <w:rPr>
          <w:szCs w:val="26"/>
        </w:rPr>
        <w:sectPr w:rsidR="006305CE" w:rsidRPr="006305CE">
          <w:footerReference w:type="default" r:id="rId19"/>
          <w:pgSz w:w="12240" w:h="15840"/>
          <w:pgMar w:top="1440" w:right="1800" w:bottom="1440" w:left="1800" w:header="708" w:footer="708" w:gutter="0"/>
          <w:cols w:space="708"/>
          <w:docGrid w:linePitch="360"/>
        </w:sectPr>
      </w:pPr>
    </w:p>
    <w:p w14:paraId="4FE48D21" w14:textId="77777777" w:rsidR="007C601A" w:rsidRPr="007C601A" w:rsidRDefault="007C601A" w:rsidP="007C601A">
      <w:pPr>
        <w:pStyle w:val="Heading1"/>
      </w:pPr>
      <w:bookmarkStart w:id="244" w:name="_Toc55492191"/>
      <w:bookmarkStart w:id="245" w:name="_Toc182555579"/>
      <w:bookmarkStart w:id="246" w:name="_Toc182555728"/>
      <w:r w:rsidRPr="007C601A">
        <w:t>Strategic Priority 3: Make Work Pay</w:t>
      </w:r>
      <w:bookmarkEnd w:id="244"/>
      <w:bookmarkEnd w:id="245"/>
      <w:bookmarkEnd w:id="246"/>
    </w:p>
    <w:p w14:paraId="602953A7" w14:textId="76DF7046" w:rsidR="00CB447B" w:rsidRDefault="007C601A" w:rsidP="007C601A">
      <w:pPr>
        <w:pStyle w:val="NormalAfterList"/>
        <w:rPr>
          <w:szCs w:val="26"/>
        </w:rPr>
      </w:pPr>
      <w:r w:rsidRPr="007C601A">
        <w:rPr>
          <w:szCs w:val="26"/>
        </w:rPr>
        <w:t xml:space="preserve">The statement of intent accompanying this priority area was that </w:t>
      </w:r>
      <w:r w:rsidR="0089461E">
        <w:rPr>
          <w:szCs w:val="26"/>
        </w:rPr>
        <w:t>‘</w:t>
      </w:r>
      <w:r w:rsidRPr="007C601A">
        <w:rPr>
          <w:szCs w:val="26"/>
        </w:rPr>
        <w:t>Work will pay, and will be seen to pay. People who get a job and have to leave it will have a streamlined return to disability payments.</w:t>
      </w:r>
      <w:r w:rsidR="0089461E">
        <w:rPr>
          <w:szCs w:val="26"/>
        </w:rPr>
        <w:t>’</w:t>
      </w:r>
      <w:r w:rsidR="00145988">
        <w:rPr>
          <w:rFonts w:ascii="Gill Sans MT" w:hAnsi="Gill Sans MT"/>
          <w:szCs w:val="26"/>
        </w:rPr>
        <w:t xml:space="preserve"> </w:t>
      </w:r>
      <w:r w:rsidR="00145988">
        <w:rPr>
          <w:rFonts w:ascii="Gill Sans MT" w:hAnsi="Gill Sans MT"/>
          <w:szCs w:val="26"/>
        </w:rPr>
        <w:fldChar w:fldCharType="begin"/>
      </w:r>
      <w:r w:rsidR="00145988">
        <w:rPr>
          <w:rFonts w:ascii="Gill Sans MT" w:hAnsi="Gill Sans MT"/>
          <w:szCs w:val="26"/>
        </w:rPr>
        <w:instrText xml:space="preserve"> ADDIN ZOTERO_ITEM CSL_CITATION {"citationID":"R1z2OKka","properties":{"formattedCitation":"(1)","plainCitation":"(1)","noteIndex":0},"citationItems":[{"id":155,"uris":["http://zotero.org/users/local/kvLunvBP/items/67YBNVMH"],"itemData":{"id":155,"type":"report","abstract":"Explaining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145988">
        <w:rPr>
          <w:rFonts w:ascii="Gill Sans MT" w:hAnsi="Gill Sans MT"/>
          <w:szCs w:val="26"/>
        </w:rPr>
        <w:fldChar w:fldCharType="separate"/>
      </w:r>
      <w:r w:rsidR="00145988" w:rsidRPr="00145988">
        <w:rPr>
          <w:rFonts w:ascii="Gill Sans MT" w:hAnsi="Gill Sans MT"/>
        </w:rPr>
        <w:t>(1)</w:t>
      </w:r>
      <w:r w:rsidR="00145988">
        <w:rPr>
          <w:rFonts w:ascii="Gill Sans MT" w:hAnsi="Gill Sans MT"/>
          <w:szCs w:val="26"/>
        </w:rPr>
        <w:fldChar w:fldCharType="end"/>
      </w:r>
      <w:r w:rsidR="00145988">
        <w:rPr>
          <w:rFonts w:ascii="Gill Sans MT" w:hAnsi="Gill Sans MT"/>
          <w:szCs w:val="26"/>
        </w:rPr>
        <w:t xml:space="preserve"> </w:t>
      </w:r>
      <w:r w:rsidR="0015554C">
        <w:rPr>
          <w:szCs w:val="26"/>
        </w:rPr>
        <w:t>One</w:t>
      </w:r>
      <w:r w:rsidRPr="007C601A">
        <w:rPr>
          <w:szCs w:val="26"/>
        </w:rPr>
        <w:t xml:space="preserve"> </w:t>
      </w:r>
      <w:r w:rsidR="0015554C">
        <w:rPr>
          <w:szCs w:val="26"/>
        </w:rPr>
        <w:t xml:space="preserve">indicator </w:t>
      </w:r>
      <w:r>
        <w:rPr>
          <w:szCs w:val="26"/>
        </w:rPr>
        <w:t xml:space="preserve">of progress </w:t>
      </w:r>
      <w:r w:rsidR="00CB447B">
        <w:rPr>
          <w:szCs w:val="26"/>
        </w:rPr>
        <w:t xml:space="preserve">is examined for </w:t>
      </w:r>
      <w:r w:rsidRPr="007C601A">
        <w:rPr>
          <w:szCs w:val="26"/>
        </w:rPr>
        <w:t>Strategic Priority 3.</w:t>
      </w:r>
      <w:r w:rsidR="00353275">
        <w:rPr>
          <w:szCs w:val="26"/>
        </w:rPr>
        <w:t xml:space="preserve"> </w:t>
      </w:r>
    </w:p>
    <w:p w14:paraId="0E071444" w14:textId="2FE7A448" w:rsidR="007C601A" w:rsidRPr="00CB447B" w:rsidRDefault="00353275" w:rsidP="007C601A">
      <w:pPr>
        <w:pStyle w:val="NormalAfterList"/>
        <w:rPr>
          <w:b/>
          <w:bCs/>
          <w:szCs w:val="26"/>
        </w:rPr>
      </w:pPr>
      <w:r w:rsidRPr="00A650F7">
        <w:rPr>
          <w:b/>
          <w:bCs/>
          <w:szCs w:val="26"/>
        </w:rPr>
        <w:t xml:space="preserve">Indicator 3.1 </w:t>
      </w:r>
      <w:r w:rsidR="00A650F7">
        <w:rPr>
          <w:b/>
          <w:bCs/>
          <w:szCs w:val="26"/>
        </w:rPr>
        <w:t>on the numbers of people with disabilities accessing the</w:t>
      </w:r>
      <w:r w:rsidR="00A650F7" w:rsidRPr="00A650F7">
        <w:rPr>
          <w:b/>
          <w:bCs/>
          <w:szCs w:val="26"/>
        </w:rPr>
        <w:t xml:space="preserve"> DSP ready reckoner on roll-out</w:t>
      </w:r>
      <w:r w:rsidR="00A650F7">
        <w:rPr>
          <w:b/>
          <w:bCs/>
          <w:szCs w:val="26"/>
        </w:rPr>
        <w:t xml:space="preserve"> </w:t>
      </w:r>
      <w:r w:rsidR="00A650F7" w:rsidRPr="00A650F7">
        <w:rPr>
          <w:b/>
          <w:bCs/>
          <w:szCs w:val="26"/>
        </w:rPr>
        <w:t>was</w:t>
      </w:r>
      <w:r w:rsidRPr="00A650F7">
        <w:rPr>
          <w:b/>
          <w:bCs/>
          <w:szCs w:val="26"/>
        </w:rPr>
        <w:t xml:space="preserve"> removed</w:t>
      </w:r>
      <w:r w:rsidR="00A650F7" w:rsidRPr="00A650F7">
        <w:rPr>
          <w:b/>
          <w:bCs/>
          <w:szCs w:val="26"/>
        </w:rPr>
        <w:t>,</w:t>
      </w:r>
      <w:r w:rsidRPr="00A650F7">
        <w:rPr>
          <w:b/>
          <w:bCs/>
          <w:szCs w:val="26"/>
        </w:rPr>
        <w:t xml:space="preserve"> as no data </w:t>
      </w:r>
      <w:r w:rsidR="00CC221D" w:rsidRPr="00A650F7">
        <w:rPr>
          <w:b/>
          <w:bCs/>
          <w:szCs w:val="26"/>
        </w:rPr>
        <w:t xml:space="preserve">were </w:t>
      </w:r>
      <w:r w:rsidRPr="00A650F7">
        <w:rPr>
          <w:b/>
          <w:bCs/>
          <w:szCs w:val="26"/>
        </w:rPr>
        <w:t>available.</w:t>
      </w:r>
      <w:r w:rsidRPr="00CB447B">
        <w:rPr>
          <w:b/>
          <w:bCs/>
          <w:szCs w:val="26"/>
        </w:rPr>
        <w:t xml:space="preserve"> </w:t>
      </w:r>
    </w:p>
    <w:p w14:paraId="2A3A7D83" w14:textId="16D84560" w:rsidR="007C601A" w:rsidRDefault="007C601A" w:rsidP="007C601A">
      <w:pPr>
        <w:pStyle w:val="Heading2"/>
      </w:pPr>
      <w:bookmarkStart w:id="247" w:name="_Toc182219529"/>
      <w:bookmarkStart w:id="248" w:name="_Toc182220232"/>
      <w:bookmarkStart w:id="249" w:name="_Toc182555580"/>
      <w:bookmarkStart w:id="250" w:name="_Toc182555729"/>
      <w:r w:rsidRPr="007C601A">
        <w:t xml:space="preserve">3.2 Number of people </w:t>
      </w:r>
      <w:r>
        <w:t>receiving</w:t>
      </w:r>
      <w:r w:rsidRPr="007C601A">
        <w:t xml:space="preserve"> disability payments/benefits (Process)</w:t>
      </w:r>
      <w:bookmarkEnd w:id="247"/>
      <w:bookmarkEnd w:id="248"/>
      <w:bookmarkEnd w:id="249"/>
      <w:bookmarkEnd w:id="250"/>
      <w:r w:rsidRPr="007C601A">
        <w:t xml:space="preserve"> </w:t>
      </w:r>
    </w:p>
    <w:p w14:paraId="1CDFB33F" w14:textId="06493B2D" w:rsidR="00982337" w:rsidRDefault="00982337" w:rsidP="00982337">
      <w:pPr>
        <w:pStyle w:val="Heading3"/>
      </w:pPr>
      <w:bookmarkStart w:id="251" w:name="_Toc182219530"/>
      <w:bookmarkStart w:id="252" w:name="_Toc182220233"/>
      <w:bookmarkStart w:id="253" w:name="_Toc182555581"/>
      <w:r>
        <w:t>3.2.1 Disability allowance</w:t>
      </w:r>
      <w:bookmarkEnd w:id="251"/>
      <w:bookmarkEnd w:id="252"/>
      <w:bookmarkEnd w:id="253"/>
    </w:p>
    <w:p w14:paraId="20EDD9CB" w14:textId="2187BEC0" w:rsidR="007C601A" w:rsidRPr="00172272" w:rsidRDefault="00172272" w:rsidP="007C601A">
      <w:pPr>
        <w:rPr>
          <w:szCs w:val="26"/>
          <w:lang w:eastAsia="en-IE"/>
        </w:rPr>
      </w:pPr>
      <w:r>
        <w:rPr>
          <w:szCs w:val="26"/>
          <w:lang w:eastAsia="en-IE"/>
        </w:rPr>
        <w:t xml:space="preserve">The rationale for including this indicator was that by making work pay and being seen to pay, more people </w:t>
      </w:r>
      <w:r w:rsidR="00D32FDC">
        <w:rPr>
          <w:szCs w:val="26"/>
          <w:lang w:eastAsia="en-IE"/>
        </w:rPr>
        <w:t>should</w:t>
      </w:r>
      <w:r>
        <w:rPr>
          <w:szCs w:val="26"/>
          <w:lang w:eastAsia="en-IE"/>
        </w:rPr>
        <w:t xml:space="preserve"> be in employment and fewer in receipt of disability payments. In fact, t</w:t>
      </w:r>
      <w:r w:rsidR="007C601A" w:rsidRPr="00527B3D">
        <w:rPr>
          <w:szCs w:val="26"/>
          <w:lang w:eastAsia="en-IE"/>
        </w:rPr>
        <w:t xml:space="preserve">he number of recipients of </w:t>
      </w:r>
      <w:r w:rsidR="00527B3D" w:rsidRPr="00527B3D">
        <w:rPr>
          <w:szCs w:val="26"/>
          <w:lang w:eastAsia="en-IE"/>
        </w:rPr>
        <w:t>disability</w:t>
      </w:r>
      <w:r w:rsidR="00CD4614">
        <w:rPr>
          <w:szCs w:val="26"/>
          <w:lang w:eastAsia="en-IE"/>
        </w:rPr>
        <w:t xml:space="preserve"> allowance</w:t>
      </w:r>
      <w:r w:rsidR="007C601A" w:rsidRPr="00527B3D">
        <w:rPr>
          <w:szCs w:val="26"/>
          <w:lang w:eastAsia="en-IE"/>
        </w:rPr>
        <w:t xml:space="preserve"> has increased</w:t>
      </w:r>
      <w:r w:rsidR="00527B3D" w:rsidRPr="00527B3D">
        <w:rPr>
          <w:szCs w:val="26"/>
          <w:lang w:eastAsia="en-IE"/>
        </w:rPr>
        <w:t xml:space="preserve"> every year since</w:t>
      </w:r>
      <w:r w:rsidR="007C601A" w:rsidRPr="00527B3D">
        <w:rPr>
          <w:szCs w:val="26"/>
          <w:lang w:eastAsia="en-IE"/>
        </w:rPr>
        <w:t xml:space="preserve"> </w:t>
      </w:r>
      <w:r w:rsidR="004A1C7C">
        <w:rPr>
          <w:szCs w:val="26"/>
          <w:lang w:eastAsia="en-IE"/>
        </w:rPr>
        <w:t>the start of the CES</w:t>
      </w:r>
      <w:r w:rsidR="00527B3D">
        <w:rPr>
          <w:szCs w:val="26"/>
          <w:lang w:eastAsia="en-IE"/>
        </w:rPr>
        <w:t>. Between</w:t>
      </w:r>
      <w:r w:rsidR="007C601A" w:rsidRPr="00CD4614">
        <w:rPr>
          <w:szCs w:val="26"/>
          <w:lang w:eastAsia="en-IE"/>
        </w:rPr>
        <w:t xml:space="preserve"> 2015 and 20</w:t>
      </w:r>
      <w:r w:rsidR="00527B3D" w:rsidRPr="00CD4614">
        <w:rPr>
          <w:szCs w:val="26"/>
          <w:lang w:eastAsia="en-IE"/>
        </w:rPr>
        <w:t>2</w:t>
      </w:r>
      <w:r w:rsidR="00CD4614" w:rsidRPr="00CD4614">
        <w:rPr>
          <w:szCs w:val="26"/>
          <w:lang w:eastAsia="en-IE"/>
        </w:rPr>
        <w:t>2</w:t>
      </w:r>
      <w:r w:rsidR="00CD4614">
        <w:rPr>
          <w:szCs w:val="26"/>
          <w:lang w:eastAsia="en-IE"/>
        </w:rPr>
        <w:t xml:space="preserve">, </w:t>
      </w:r>
      <w:r w:rsidR="007C601A" w:rsidRPr="00CD4614">
        <w:rPr>
          <w:szCs w:val="26"/>
          <w:lang w:eastAsia="en-IE"/>
        </w:rPr>
        <w:t>the number</w:t>
      </w:r>
      <w:r w:rsidR="00CD4614">
        <w:rPr>
          <w:szCs w:val="26"/>
          <w:lang w:eastAsia="en-IE"/>
        </w:rPr>
        <w:t xml:space="preserve"> of recipients </w:t>
      </w:r>
      <w:r w:rsidR="007C601A" w:rsidRPr="00CD4614">
        <w:rPr>
          <w:szCs w:val="26"/>
          <w:lang w:eastAsia="en-IE"/>
        </w:rPr>
        <w:t xml:space="preserve">increased by </w:t>
      </w:r>
      <w:r w:rsidR="00CD4614">
        <w:rPr>
          <w:szCs w:val="26"/>
          <w:lang w:eastAsia="en-IE"/>
        </w:rPr>
        <w:t>32</w:t>
      </w:r>
      <w:r w:rsidR="007C601A" w:rsidRPr="00CD4614">
        <w:rPr>
          <w:szCs w:val="26"/>
          <w:lang w:eastAsia="en-IE"/>
        </w:rPr>
        <w:t>.3% (see</w:t>
      </w:r>
      <w:r w:rsidR="002A2632">
        <w:rPr>
          <w:szCs w:val="26"/>
          <w:lang w:eastAsia="en-IE"/>
        </w:rPr>
        <w:t xml:space="preserve"> </w:t>
      </w:r>
      <w:r w:rsidR="002A2632" w:rsidRPr="002A2632">
        <w:rPr>
          <w:szCs w:val="26"/>
          <w:lang w:eastAsia="en-IE"/>
        </w:rPr>
        <w:fldChar w:fldCharType="begin"/>
      </w:r>
      <w:r w:rsidR="002A2632" w:rsidRPr="002A2632">
        <w:rPr>
          <w:szCs w:val="26"/>
          <w:lang w:eastAsia="en-IE"/>
        </w:rPr>
        <w:instrText xml:space="preserve"> REF _Ref180412955 \h  \* MERGEFORMAT </w:instrText>
      </w:r>
      <w:r w:rsidR="002A2632" w:rsidRPr="002A2632">
        <w:rPr>
          <w:szCs w:val="26"/>
          <w:lang w:eastAsia="en-IE"/>
        </w:rPr>
      </w:r>
      <w:r w:rsidR="002A2632" w:rsidRPr="002A2632">
        <w:rPr>
          <w:szCs w:val="26"/>
          <w:lang w:eastAsia="en-IE"/>
        </w:rPr>
        <w:fldChar w:fldCharType="separate"/>
      </w:r>
      <w:r w:rsidR="009C4192" w:rsidRPr="009C4192">
        <w:t xml:space="preserve">Figure </w:t>
      </w:r>
      <w:r w:rsidR="009C4192" w:rsidRPr="009C4192">
        <w:rPr>
          <w:noProof/>
        </w:rPr>
        <w:t>10</w:t>
      </w:r>
      <w:r w:rsidR="002A2632" w:rsidRPr="002A2632">
        <w:rPr>
          <w:szCs w:val="26"/>
          <w:lang w:eastAsia="en-IE"/>
        </w:rPr>
        <w:fldChar w:fldCharType="end"/>
      </w:r>
      <w:r w:rsidR="007C601A" w:rsidRPr="00CD4614">
        <w:rPr>
          <w:szCs w:val="26"/>
          <w:lang w:eastAsia="en-IE"/>
        </w:rPr>
        <w:t>)</w:t>
      </w:r>
      <w:r>
        <w:rPr>
          <w:szCs w:val="26"/>
          <w:lang w:eastAsia="en-IE"/>
        </w:rPr>
        <w:t>.</w:t>
      </w:r>
      <w:r w:rsidR="00ED768D">
        <w:rPr>
          <w:szCs w:val="26"/>
          <w:lang w:eastAsia="en-IE"/>
        </w:rPr>
        <w:t xml:space="preserve"> </w:t>
      </w:r>
      <w:r w:rsidR="00ED768D">
        <w:rPr>
          <w:szCs w:val="26"/>
          <w:lang w:eastAsia="en-IE"/>
        </w:rPr>
        <w:fldChar w:fldCharType="begin"/>
      </w:r>
      <w:r w:rsidR="006B1C05">
        <w:rPr>
          <w:szCs w:val="26"/>
          <w:lang w:eastAsia="en-IE"/>
        </w:rPr>
        <w:instrText xml:space="preserve"> ADDIN ZOTERO_ITEM CSL_CITATION {"citationID":"JH4P7Lld","properties":{"formattedCitation":"(68)","plainCitation":"(68)","noteIndex":0},"citationItems":[{"id":194,"uris":["http://zotero.org/users/local/kvLunvBP/items/WJBBL8KS"],"itemData":{"id":194,"type":"report","title":"Statistical Information On Social Welfare Services. Annual Report 2022","URL":"https://www.gov.ie/pdf/?file=https://assets.gov.ie/262944/3bdd325b-db94-4daf-90c3-b6c00682a7d9.pdf#page=null","author":[{"family":"Department of Social Protection","given":""}],"issued":{"date-parts":[["2023"]]}}}],"schema":"https://github.com/citation-style-language/schema/raw/master/csl-citation.json"} </w:instrText>
      </w:r>
      <w:r w:rsidR="00ED768D">
        <w:rPr>
          <w:szCs w:val="26"/>
          <w:lang w:eastAsia="en-IE"/>
        </w:rPr>
        <w:fldChar w:fldCharType="separate"/>
      </w:r>
      <w:r w:rsidR="006B1C05" w:rsidRPr="006B1C05">
        <w:t>(68)</w:t>
      </w:r>
      <w:r w:rsidR="00ED768D">
        <w:rPr>
          <w:szCs w:val="26"/>
          <w:lang w:eastAsia="en-IE"/>
        </w:rPr>
        <w:fldChar w:fldCharType="end"/>
      </w:r>
    </w:p>
    <w:p w14:paraId="5FC90B00" w14:textId="5D453EEE" w:rsidR="007C601A" w:rsidRPr="002A2632" w:rsidRDefault="0049012A" w:rsidP="007C601A">
      <w:pPr>
        <w:keepNext/>
        <w:rPr>
          <w:b/>
          <w:bCs/>
          <w:sz w:val="20"/>
          <w:szCs w:val="20"/>
          <w:lang w:eastAsia="en-IE"/>
        </w:rPr>
      </w:pPr>
      <w:bookmarkStart w:id="254" w:name="_Ref180412955"/>
      <w:bookmarkStart w:id="255" w:name="_Toc182219906"/>
      <w:r w:rsidRPr="002A2632">
        <w:rPr>
          <w:b/>
          <w:bCs/>
        </w:rPr>
        <w:t xml:space="preserve">Figure </w:t>
      </w:r>
      <w:r w:rsidR="0017737A">
        <w:rPr>
          <w:b/>
          <w:bCs/>
        </w:rPr>
        <w:fldChar w:fldCharType="begin"/>
      </w:r>
      <w:r w:rsidR="0017737A">
        <w:rPr>
          <w:b/>
          <w:bCs/>
        </w:rPr>
        <w:instrText xml:space="preserve"> SEQ Figure \* ARABIC </w:instrText>
      </w:r>
      <w:r w:rsidR="0017737A">
        <w:rPr>
          <w:b/>
          <w:bCs/>
        </w:rPr>
        <w:fldChar w:fldCharType="separate"/>
      </w:r>
      <w:r w:rsidR="009C4192">
        <w:rPr>
          <w:b/>
          <w:bCs/>
          <w:noProof/>
        </w:rPr>
        <w:t>10</w:t>
      </w:r>
      <w:r w:rsidR="0017737A">
        <w:rPr>
          <w:b/>
          <w:bCs/>
        </w:rPr>
        <w:fldChar w:fldCharType="end"/>
      </w:r>
      <w:bookmarkEnd w:id="254"/>
      <w:r w:rsidRPr="002A2632">
        <w:rPr>
          <w:b/>
          <w:bCs/>
        </w:rPr>
        <w:t xml:space="preserve">: </w:t>
      </w:r>
      <w:r w:rsidRPr="002A2632">
        <w:rPr>
          <w:b/>
          <w:bCs/>
          <w:szCs w:val="26"/>
          <w:lang w:val="en-US" w:eastAsia="en-IE"/>
        </w:rPr>
        <w:t>Total number of Disability Allowance recipients 2015-2022</w:t>
      </w:r>
      <w:bookmarkEnd w:id="255"/>
    </w:p>
    <w:p w14:paraId="7598C312" w14:textId="39008331" w:rsidR="0049012A" w:rsidRPr="00E7242E" w:rsidRDefault="00CD4614" w:rsidP="00AA16B5">
      <w:pPr>
        <w:keepNext/>
        <w:jc w:val="center"/>
      </w:pPr>
      <w:r>
        <w:rPr>
          <w:b/>
          <w:noProof/>
          <w:szCs w:val="26"/>
          <w:lang w:val="en-US" w:eastAsia="en-IE"/>
        </w:rPr>
        <w:drawing>
          <wp:inline distT="0" distB="0" distL="0" distR="0" wp14:anchorId="2EAA3D75" wp14:editId="66308FD7">
            <wp:extent cx="5486400" cy="3200400"/>
            <wp:effectExtent l="0" t="0" r="0" b="0"/>
            <wp:docPr id="8" name="Chart 8" descr="This bar chart shows the total number of Disability Allowance recipients in each year from 2015 to 2022.&#10;&#10;In 2015, there were 119,042 recipients of Disability Allowance.&#10;&#10;In 2016, there were 126,203 recipients.&#10;&#10;In 2017, there were 133,929 recipients.&#10;&#10;In 2018, there were 140,835 recipients.&#10;&#10;In 2019, there were 149,755 recipients.&#10;&#10;In 2020, there were 152,580 recipients.&#10;&#10;In 2021, there were 155,181 recipients.&#10;&#10;Finally, in 2022, there were 157,807 recipients of Disability Allow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9012A" w:rsidRPr="00ED768D">
        <w:rPr>
          <w:sz w:val="20"/>
          <w:szCs w:val="20"/>
          <w:lang w:eastAsia="en-IE"/>
        </w:rPr>
        <w:t>Source: Department of Social Protection annual statistical report</w:t>
      </w:r>
      <w:r w:rsidR="0049012A">
        <w:rPr>
          <w:sz w:val="20"/>
          <w:szCs w:val="20"/>
          <w:lang w:eastAsia="en-IE"/>
        </w:rPr>
        <w:t xml:space="preserve"> 2023 </w:t>
      </w:r>
      <w:r w:rsidR="0049012A">
        <w:rPr>
          <w:sz w:val="20"/>
          <w:szCs w:val="20"/>
          <w:lang w:eastAsia="en-IE"/>
        </w:rPr>
        <w:fldChar w:fldCharType="begin"/>
      </w:r>
      <w:r w:rsidR="006B1C05">
        <w:rPr>
          <w:sz w:val="20"/>
          <w:szCs w:val="20"/>
          <w:lang w:eastAsia="en-IE"/>
        </w:rPr>
        <w:instrText xml:space="preserve"> ADDIN ZOTERO_ITEM CSL_CITATION {"citationID":"JJfG3aMf","properties":{"formattedCitation":"(68)","plainCitation":"(68)","noteIndex":0},"citationItems":[{"id":194,"uris":["http://zotero.org/users/local/kvLunvBP/items/WJBBL8KS"],"itemData":{"id":194,"type":"report","title":"Statistical Information On Social Welfare Services. Annual Report 2022","URL":"https://www.gov.ie/pdf/?file=https://assets.gov.ie/262944/3bdd325b-db94-4daf-90c3-b6c00682a7d9.pdf#page=null","author":[{"family":"Department of Social Protection","given":""}],"issued":{"date-parts":[["2023"]]}}}],"schema":"https://github.com/citation-style-language/schema/raw/master/csl-citation.json"} </w:instrText>
      </w:r>
      <w:r w:rsidR="0049012A">
        <w:rPr>
          <w:sz w:val="20"/>
          <w:szCs w:val="20"/>
          <w:lang w:eastAsia="en-IE"/>
        </w:rPr>
        <w:fldChar w:fldCharType="separate"/>
      </w:r>
      <w:r w:rsidR="006B1C05" w:rsidRPr="006B1C05">
        <w:rPr>
          <w:sz w:val="20"/>
        </w:rPr>
        <w:t>(68)</w:t>
      </w:r>
      <w:r w:rsidR="0049012A">
        <w:rPr>
          <w:sz w:val="20"/>
          <w:szCs w:val="20"/>
          <w:lang w:eastAsia="en-IE"/>
        </w:rPr>
        <w:fldChar w:fldCharType="end"/>
      </w:r>
    </w:p>
    <w:p w14:paraId="13F34C55" w14:textId="67B2AB2A" w:rsidR="00673896" w:rsidRDefault="002D1B48" w:rsidP="00673896">
      <w:pPr>
        <w:pStyle w:val="NormalBeforeList"/>
        <w:rPr>
          <w:lang w:eastAsia="en-IE"/>
        </w:rPr>
      </w:pPr>
      <w:r>
        <w:rPr>
          <w:lang w:eastAsia="en-IE"/>
        </w:rPr>
        <w:t xml:space="preserve">According to a spending review on </w:t>
      </w:r>
      <w:r w:rsidR="00953C29">
        <w:rPr>
          <w:lang w:eastAsia="en-IE"/>
        </w:rPr>
        <w:t>Disability Allowance (</w:t>
      </w:r>
      <w:r>
        <w:rPr>
          <w:lang w:eastAsia="en-IE"/>
        </w:rPr>
        <w:t>DA</w:t>
      </w:r>
      <w:r w:rsidR="00953C29">
        <w:rPr>
          <w:lang w:eastAsia="en-IE"/>
        </w:rPr>
        <w:t>)</w:t>
      </w:r>
      <w:r>
        <w:rPr>
          <w:lang w:eastAsia="en-IE"/>
        </w:rPr>
        <w:t xml:space="preserve"> conducted by the Irish Government Economic and Evaluation Service (IGEES)</w:t>
      </w:r>
      <w:r w:rsidR="003C00EF">
        <w:rPr>
          <w:lang w:eastAsia="en-IE"/>
        </w:rPr>
        <w:t xml:space="preserve"> in 2023</w:t>
      </w:r>
      <w:r>
        <w:rPr>
          <w:lang w:eastAsia="en-IE"/>
        </w:rPr>
        <w:t>, inflows into DA are mostly from Jobseekers and Domiciliary Care Allowance (DCA) claims. Jobseeker claims as a proportion of inflows fell from around half (51%) in 2017 to around one third (34%) in 2021. Inflows to DA from DCA rose from around 20% in 2017 to around 33% in 2021.</w:t>
      </w:r>
      <w:r w:rsidR="00673896">
        <w:rPr>
          <w:lang w:eastAsia="en-IE"/>
        </w:rPr>
        <w:t xml:space="preserve"> Having identified DCA as a significant pipeline for DA, the IGEES review advises that engagement</w:t>
      </w:r>
      <w:r w:rsidR="004A1C7C">
        <w:rPr>
          <w:lang w:eastAsia="en-IE"/>
        </w:rPr>
        <w:t xml:space="preserve"> with active supports</w:t>
      </w:r>
      <w:r w:rsidR="00673896">
        <w:rPr>
          <w:lang w:eastAsia="en-IE"/>
        </w:rPr>
        <w:t xml:space="preserve"> at the time of transition from one payment to the other may improve the employment prospects and outcomes of the young people involved</w:t>
      </w:r>
      <w:r w:rsidR="00172272">
        <w:rPr>
          <w:lang w:eastAsia="en-IE"/>
        </w:rPr>
        <w:t>.</w:t>
      </w:r>
      <w:r w:rsidR="007D0D57">
        <w:rPr>
          <w:lang w:eastAsia="en-IE"/>
        </w:rPr>
        <w:t xml:space="preserve"> </w:t>
      </w:r>
      <w:r w:rsidR="007D0D57">
        <w:rPr>
          <w:lang w:eastAsia="en-IE"/>
        </w:rPr>
        <w:fldChar w:fldCharType="begin"/>
      </w:r>
      <w:r w:rsidR="00C0772E">
        <w:rPr>
          <w:lang w:eastAsia="en-IE"/>
        </w:rPr>
        <w:instrText xml:space="preserve"> ADDIN ZOTERO_ITEM CSL_CITATION {"citationID":"sk3v5S21","properties":{"formattedCitation":"(50)","plainCitation":"(50)","noteIndex":0},"citationItems":[{"id":177,"uris":["http://zotero.org/users/local/kvLunvBP/items/T68S4C3H"],"itemData":{"id":177,"type":"report","title":"Spending Review. An Assessment of the Disability Allowance Scheme Trends and Characteristics","URL":"https://www.gov.ie/pdf/?file=https://assets.gov.ie/271075/fbfe982e-a189-434f-a130-e4c97e51df6f.pdf#page=null","author":[{"family":"Doyle","given":"Aoife"}],"issued":{"date-parts":[["2023"]]}}}],"schema":"https://github.com/citation-style-language/schema/raw/master/csl-citation.json"} </w:instrText>
      </w:r>
      <w:r w:rsidR="007D0D57">
        <w:rPr>
          <w:lang w:eastAsia="en-IE"/>
        </w:rPr>
        <w:fldChar w:fldCharType="separate"/>
      </w:r>
      <w:r w:rsidR="00C0772E" w:rsidRPr="00C0772E">
        <w:t>(50)</w:t>
      </w:r>
      <w:r w:rsidR="007D0D57">
        <w:rPr>
          <w:lang w:eastAsia="en-IE"/>
        </w:rPr>
        <w:fldChar w:fldCharType="end"/>
      </w:r>
      <w:r w:rsidR="00620828">
        <w:rPr>
          <w:lang w:eastAsia="en-IE"/>
        </w:rPr>
        <w:t xml:space="preserve"> The </w:t>
      </w:r>
      <w:r w:rsidR="00410008">
        <w:rPr>
          <w:lang w:eastAsia="en-IE"/>
        </w:rPr>
        <w:t>G</w:t>
      </w:r>
      <w:r w:rsidR="00620828">
        <w:rPr>
          <w:lang w:eastAsia="en-IE"/>
        </w:rPr>
        <w:t xml:space="preserve">reen </w:t>
      </w:r>
      <w:r w:rsidR="00410008">
        <w:rPr>
          <w:lang w:eastAsia="en-IE"/>
        </w:rPr>
        <w:t>P</w:t>
      </w:r>
      <w:r w:rsidR="00620828">
        <w:rPr>
          <w:lang w:eastAsia="en-IE"/>
        </w:rPr>
        <w:t>aper</w:t>
      </w:r>
      <w:r w:rsidR="00410008">
        <w:rPr>
          <w:lang w:eastAsia="en-IE"/>
        </w:rPr>
        <w:t xml:space="preserve"> on disability payments reform proposed extending the age of receipt of DA from age 16 to age 18</w:t>
      </w:r>
      <w:r w:rsidR="00AC575C">
        <w:rPr>
          <w:lang w:eastAsia="en-IE"/>
        </w:rPr>
        <w:t>,</w:t>
      </w:r>
      <w:r w:rsidR="00410008">
        <w:rPr>
          <w:lang w:eastAsia="en-IE"/>
        </w:rPr>
        <w:t xml:space="preserve"> and this is a reform that the NDA advise is pursued. </w:t>
      </w:r>
    </w:p>
    <w:p w14:paraId="09F7666B" w14:textId="22F6853B" w:rsidR="00673896" w:rsidRPr="004A1C7C" w:rsidRDefault="002D1B48" w:rsidP="004A1C7C">
      <w:pPr>
        <w:pStyle w:val="NormalBeforeList"/>
        <w:rPr>
          <w:lang w:eastAsia="en-IE"/>
        </w:rPr>
      </w:pPr>
      <w:r>
        <w:rPr>
          <w:lang w:eastAsia="en-IE"/>
        </w:rPr>
        <w:t xml:space="preserve">In 2020, outflows from DA were to the State Pension (40%), other social protection schemes (14%), and </w:t>
      </w:r>
      <w:r w:rsidR="00E7242E">
        <w:rPr>
          <w:lang w:eastAsia="en-IE"/>
        </w:rPr>
        <w:t xml:space="preserve">for </w:t>
      </w:r>
      <w:r>
        <w:rPr>
          <w:lang w:eastAsia="en-IE"/>
        </w:rPr>
        <w:t>unspecified reasons (46%), which may include people moving into employment</w:t>
      </w:r>
      <w:r w:rsidR="002D0493">
        <w:rPr>
          <w:lang w:eastAsia="en-IE"/>
        </w:rPr>
        <w:t>, although data on this are not available</w:t>
      </w:r>
      <w:r>
        <w:rPr>
          <w:lang w:eastAsia="en-IE"/>
        </w:rPr>
        <w:t xml:space="preserve">. </w:t>
      </w:r>
    </w:p>
    <w:p w14:paraId="35A94C8E" w14:textId="7B271A80" w:rsidR="0020003D" w:rsidRDefault="00673896" w:rsidP="007D0D57">
      <w:pPr>
        <w:rPr>
          <w:lang w:eastAsia="en-IE"/>
        </w:rPr>
      </w:pPr>
      <w:r w:rsidRPr="007D0D57">
        <w:t xml:space="preserve">The IGEES review also found that </w:t>
      </w:r>
      <w:r w:rsidR="007D0D57" w:rsidRPr="007D0D57">
        <w:t>while employment rates</w:t>
      </w:r>
      <w:r w:rsidRPr="007D0D57">
        <w:t xml:space="preserve"> are low among DA recipients, they have been increasing. </w:t>
      </w:r>
      <w:r w:rsidR="002D1B48" w:rsidRPr="007D0D57">
        <w:t>As</w:t>
      </w:r>
      <w:r w:rsidR="00333794" w:rsidRPr="007D0D57">
        <w:t xml:space="preserve"> of March 2022, 15.5% of DA recipients were in work, up from 13% in 2019</w:t>
      </w:r>
      <w:r w:rsidR="00934BBC" w:rsidRPr="007D0D57">
        <w:t xml:space="preserve"> </w:t>
      </w:r>
      <w:r w:rsidR="00934BBC" w:rsidRPr="007D0D57">
        <w:fldChar w:fldCharType="begin"/>
      </w:r>
      <w:r w:rsidR="00C0772E">
        <w:instrText xml:space="preserve"> ADDIN ZOTERO_ITEM CSL_CITATION {"citationID":"Wi91S6bm","properties":{"formattedCitation":"(50)","plainCitation":"(50)","noteIndex":0},"citationItems":[{"id":177,"uris":["http://zotero.org/users/local/kvLunvBP/items/T68S4C3H"],"itemData":{"id":177,"type":"report","title":"Spending Review. An Assessment of the Disability Allowance Scheme Trends and Characteristics","URL":"https://www.gov.ie/pdf/?file=https://assets.gov.ie/271075/fbfe982e-a189-434f-a130-e4c97e51df6f.pdf#page=null","author":[{"family":"Doyle","given":"Aoife"}],"issued":{"date-parts":[["2023"]]}}}],"schema":"https://github.com/citation-style-language/schema/raw/master/csl-citation.json"} </w:instrText>
      </w:r>
      <w:r w:rsidR="00934BBC" w:rsidRPr="007D0D57">
        <w:fldChar w:fldCharType="separate"/>
      </w:r>
      <w:r w:rsidR="00C0772E" w:rsidRPr="00C0772E">
        <w:t>(50)</w:t>
      </w:r>
      <w:r w:rsidR="00934BBC" w:rsidRPr="007D0D57">
        <w:fldChar w:fldCharType="end"/>
      </w:r>
      <w:r w:rsidR="00934BBC" w:rsidRPr="007D0D57">
        <w:t>.</w:t>
      </w:r>
      <w:r w:rsidR="00763216" w:rsidRPr="007D0D57">
        <w:t xml:space="preserve"> This likely reflects the impact of the </w:t>
      </w:r>
      <w:r w:rsidR="00AC575C">
        <w:t xml:space="preserve">increased </w:t>
      </w:r>
      <w:r w:rsidR="00763216" w:rsidRPr="007D0D57">
        <w:t>weekly earnings disregard</w:t>
      </w:r>
      <w:r w:rsidR="00AC575C">
        <w:t>,</w:t>
      </w:r>
      <w:r w:rsidR="00620828">
        <w:t xml:space="preserve"> which allows people on DA to earn a certain amount of income before their DA begins to reduce. The earnings disregard </w:t>
      </w:r>
      <w:r w:rsidR="00763216" w:rsidRPr="007D0D57">
        <w:t xml:space="preserve">has been increased a number of times </w:t>
      </w:r>
      <w:r w:rsidR="002F3BD2">
        <w:t>in recent years</w:t>
      </w:r>
      <w:r w:rsidR="009B2D4E">
        <w:t>,</w:t>
      </w:r>
      <w:r w:rsidR="002F3BD2">
        <w:t xml:space="preserve"> </w:t>
      </w:r>
      <w:r w:rsidR="00763216" w:rsidRPr="007D0D57">
        <w:t xml:space="preserve">rising from €120 </w:t>
      </w:r>
      <w:r w:rsidR="002F3BD2">
        <w:t xml:space="preserve">to €140 </w:t>
      </w:r>
      <w:r w:rsidR="00763216" w:rsidRPr="007D0D57">
        <w:t xml:space="preserve">in 2021 </w:t>
      </w:r>
      <w:r w:rsidR="002F3BD2">
        <w:t xml:space="preserve">and again </w:t>
      </w:r>
      <w:r w:rsidR="00763216" w:rsidRPr="007D0D57">
        <w:t>to €1</w:t>
      </w:r>
      <w:r w:rsidR="00B47B31">
        <w:t>65</w:t>
      </w:r>
      <w:r w:rsidR="00763216" w:rsidRPr="007D0D57">
        <w:t xml:space="preserve"> in 202</w:t>
      </w:r>
      <w:r w:rsidR="00B47B31">
        <w:t xml:space="preserve">3 </w:t>
      </w:r>
      <w:r w:rsidR="00B47B31">
        <w:fldChar w:fldCharType="begin"/>
      </w:r>
      <w:r w:rsidR="006B1C05">
        <w:instrText xml:space="preserve"> ADDIN ZOTERO_ITEM CSL_CITATION {"citationID":"EZo9hiIt","properties":{"formattedCitation":"(69)","plainCitation":"(69)","noteIndex":0},"citationItems":[{"id":222,"uris":["http://zotero.org/users/local/kvLunvBP/items/Z6E288Q4"],"itemData":{"id":222,"type":"webpage","abstract":"Disability Allowance Dáil Éireann Debate, Wednesday - 24 March 2021","genre":"text","language":"en-ie","license":"https://www.oireachtas.ie/en/copyright-and-reuse/","note":"archive_location: Ireland\njournalAbbreviation: https://s3-eu-west-1.amazonaws.com/oireachtas-data-repo-live/akn/ie/debateRecord/dail/2021-03-24/writtens/mul@/dbsect_848.xml\nLast Modified: 2023-03-16\npublisher: Houses of the Oireachtas","title":"Disability Allowance – Wednesday, 24 Mar 2021 – Parliamentary Questions (33rd Dáil) – Houses of the Oireachtas","URL":"https://www.oireachtas.ie/en/debates/question/2021-03-24/975","author":[{"family":"Minister for Social Proection, Heather Humphreys","given":"Houses","dropping-particle":"of the"}],"accessed":{"date-parts":[["2024",8,1]]},"issued":{"date-parts":[["2021",3,24]]}}}],"schema":"https://github.com/citation-style-language/schema/raw/master/csl-citation.json"} </w:instrText>
      </w:r>
      <w:r w:rsidR="00B47B31">
        <w:fldChar w:fldCharType="separate"/>
      </w:r>
      <w:r w:rsidR="006B1C05" w:rsidRPr="006B1C05">
        <w:t>(69)</w:t>
      </w:r>
      <w:r w:rsidR="00B47B31">
        <w:fldChar w:fldCharType="end"/>
      </w:r>
      <w:r w:rsidR="00B47B31">
        <w:t xml:space="preserve"> </w:t>
      </w:r>
      <w:r w:rsidR="00B47B31">
        <w:fldChar w:fldCharType="begin"/>
      </w:r>
      <w:r w:rsidR="006B1C05">
        <w:instrText xml:space="preserve"> ADDIN ZOTERO_ITEM CSL_CITATION {"citationID":"TZ1SOTiM","properties":{"formattedCitation":"(70)","plainCitation":"(70)","noteIndex":0},"citationItems":[{"id":221,"uris":["http://zotero.org/users/local/kvLunvBP/items/559NB8DY"],"itemData":{"id":221,"type":"webpage","language":"en","title":"Minister Humphreys announces increased earnings disregards for Disability Allowance and Blind Pension","URL":"https://www.gov.ie/en/press-release/95a3d-minister-humphreys-announces-increased-earnings-disregards-for-disability-allowance-and-blind-pension/","author":[{"family":"Department of Social Protection","given":""}],"accessed":{"date-parts":[["2024",8,1]]},"issued":{"date-parts":[["2022",12,15]]}}}],"schema":"https://github.com/citation-style-language/schema/raw/master/csl-citation.json"} </w:instrText>
      </w:r>
      <w:r w:rsidR="00B47B31">
        <w:fldChar w:fldCharType="separate"/>
      </w:r>
      <w:r w:rsidR="006B1C05" w:rsidRPr="006B1C05">
        <w:t>(70)</w:t>
      </w:r>
      <w:r w:rsidR="00B47B31">
        <w:fldChar w:fldCharType="end"/>
      </w:r>
      <w:r w:rsidR="00763216">
        <w:rPr>
          <w:lang w:eastAsia="en-IE"/>
        </w:rPr>
        <w:t xml:space="preserve">. </w:t>
      </w:r>
    </w:p>
    <w:p w14:paraId="074E6B10" w14:textId="7C295F4B" w:rsidR="007D0D57" w:rsidRPr="0020003D" w:rsidRDefault="007D0D57" w:rsidP="0020003D">
      <w:pPr>
        <w:rPr>
          <w:szCs w:val="26"/>
        </w:rPr>
      </w:pPr>
      <w:r w:rsidRPr="00FE4295">
        <w:rPr>
          <w:szCs w:val="26"/>
        </w:rPr>
        <w:t>A survey of DA recipients</w:t>
      </w:r>
      <w:r>
        <w:rPr>
          <w:szCs w:val="26"/>
        </w:rPr>
        <w:t xml:space="preserve"> conducted in 2015</w:t>
      </w:r>
      <w:r w:rsidRPr="00FE4295">
        <w:rPr>
          <w:szCs w:val="26"/>
        </w:rPr>
        <w:t xml:space="preserve"> </w:t>
      </w:r>
      <w:r>
        <w:rPr>
          <w:szCs w:val="26"/>
        </w:rPr>
        <w:t>showed</w:t>
      </w:r>
      <w:r w:rsidRPr="00FE4295">
        <w:rPr>
          <w:szCs w:val="26"/>
        </w:rPr>
        <w:t xml:space="preserve"> that 43% of </w:t>
      </w:r>
      <w:r>
        <w:rPr>
          <w:szCs w:val="26"/>
        </w:rPr>
        <w:t>people receiving DA and</w:t>
      </w:r>
      <w:r w:rsidRPr="00FE4295">
        <w:rPr>
          <w:szCs w:val="26"/>
        </w:rPr>
        <w:t xml:space="preserve"> who were not </w:t>
      </w:r>
      <w:r>
        <w:rPr>
          <w:szCs w:val="26"/>
        </w:rPr>
        <w:t>working</w:t>
      </w:r>
      <w:r w:rsidRPr="00FE4295">
        <w:rPr>
          <w:szCs w:val="26"/>
        </w:rPr>
        <w:t xml:space="preserve"> would like to work either part-time (35%) or full-time (8%)</w:t>
      </w:r>
      <w:r w:rsidR="00DD0B7C">
        <w:rPr>
          <w:szCs w:val="26"/>
        </w:rPr>
        <w:t>.</w:t>
      </w:r>
      <w:r w:rsidR="00E7242E">
        <w:rPr>
          <w:szCs w:val="26"/>
        </w:rPr>
        <w:t xml:space="preserve"> </w:t>
      </w:r>
      <w:r w:rsidR="00913423">
        <w:rPr>
          <w:szCs w:val="26"/>
        </w:rPr>
        <w:fldChar w:fldCharType="begin"/>
      </w:r>
      <w:r w:rsidR="006B1C05">
        <w:rPr>
          <w:szCs w:val="26"/>
        </w:rPr>
        <w:instrText xml:space="preserve"> ADDIN ZOTERO_ITEM CSL_CITATION {"citationID":"O6kWd5r7","properties":{"formattedCitation":"(71)","plainCitation":"(71)","noteIndex":0},"citationItems":[{"id":307,"uris":["http://zotero.org/users/local/kvLunvBP/items/A5CUH89P"],"itemData":{"id":307,"type":"report","publisher":"Department of Social Protection","title":"Department of Social Protection Report on Disability Allowance Survey 2015","author":[{"family":"Judge","given":"Ciaran"},{"family":"Rossi","given":"Éamonn"},{"family":"Hardiman","given":"Saidhbhín"},{"family":"Oman","given":"Ciarán"}],"issued":{"date-parts":[["2016"]]}}}],"schema":"https://github.com/citation-style-language/schema/raw/master/csl-citation.json"} </w:instrText>
      </w:r>
      <w:r w:rsidR="00913423">
        <w:rPr>
          <w:szCs w:val="26"/>
        </w:rPr>
        <w:fldChar w:fldCharType="separate"/>
      </w:r>
      <w:r w:rsidR="006B1C05" w:rsidRPr="006B1C05">
        <w:t>(71)</w:t>
      </w:r>
      <w:r w:rsidR="00913423">
        <w:rPr>
          <w:szCs w:val="26"/>
        </w:rPr>
        <w:fldChar w:fldCharType="end"/>
      </w:r>
      <w:r w:rsidRPr="00FE4295">
        <w:rPr>
          <w:szCs w:val="26"/>
        </w:rPr>
        <w:t xml:space="preserve"> The NDA has advised the need for more flexible work options for this group of people</w:t>
      </w:r>
      <w:r w:rsidR="0020003D">
        <w:rPr>
          <w:szCs w:val="26"/>
        </w:rPr>
        <w:t xml:space="preserve"> </w:t>
      </w:r>
      <w:r w:rsidR="0020003D">
        <w:rPr>
          <w:szCs w:val="26"/>
        </w:rPr>
        <w:fldChar w:fldCharType="begin"/>
      </w:r>
      <w:r w:rsidR="0020003D">
        <w:rPr>
          <w:szCs w:val="26"/>
        </w:rPr>
        <w:instrText xml:space="preserve"> ADDIN ZOTERO_ITEM CSL_CITATION {"citationID":"ESJiVmhE","properties":{"formattedCitation":"(4)","plainCitation":"(4)","noteIndex":0},"citationItems":[{"id":189,"uris":["http://zotero.org/users/local/kvLunvBP/items/GF4CIXZT"],"itemData":{"id":189,"type":"report","abstract":"Provides a mid-term analysis of the suite of indicators for monitoring progress under the Comprehensive Employment Strategy for Persons with Disabilities 2015-2024.","language":"en-IE","title":"Indicators for Monitoring Progress under the CES 2015-2024","title-short":"https","URL":"https://nda.ie/publications/indicators-for-monitoring-progress-under-the-ces-2015-2024","author":[{"family":"National Disability Authority","given":""}],"accessed":{"date-parts":[["2024",7,23]]},"issued":{"date-parts":[["2020"]]}}}],"schema":"https://github.com/citation-style-language/schema/raw/master/csl-citation.json"} </w:instrText>
      </w:r>
      <w:r w:rsidR="0020003D">
        <w:rPr>
          <w:szCs w:val="26"/>
        </w:rPr>
        <w:fldChar w:fldCharType="separate"/>
      </w:r>
      <w:r w:rsidR="0020003D" w:rsidRPr="0020003D">
        <w:t>(4)</w:t>
      </w:r>
      <w:r w:rsidR="0020003D">
        <w:rPr>
          <w:szCs w:val="26"/>
        </w:rPr>
        <w:fldChar w:fldCharType="end"/>
      </w:r>
      <w:r w:rsidRPr="00FE4295">
        <w:rPr>
          <w:szCs w:val="26"/>
        </w:rPr>
        <w:t xml:space="preserve">. </w:t>
      </w:r>
    </w:p>
    <w:p w14:paraId="03A5D215" w14:textId="3F7F1306" w:rsidR="00333794" w:rsidRDefault="007D0D57" w:rsidP="00085A89">
      <w:pPr>
        <w:rPr>
          <w:lang w:eastAsia="en-IE"/>
        </w:rPr>
      </w:pPr>
      <w:r w:rsidRPr="00085A89">
        <w:t xml:space="preserve">It </w:t>
      </w:r>
      <w:r w:rsidR="00B3351A" w:rsidRPr="00085A89">
        <w:t>should also be</w:t>
      </w:r>
      <w:r w:rsidR="00673896" w:rsidRPr="00085A89">
        <w:t xml:space="preserve"> note</w:t>
      </w:r>
      <w:r w:rsidR="00B3351A" w:rsidRPr="00085A89">
        <w:t>d</w:t>
      </w:r>
      <w:r w:rsidR="00673896" w:rsidRPr="00085A89">
        <w:t xml:space="preserve"> that in-work DA recipients are disproportionately</w:t>
      </w:r>
      <w:r w:rsidR="00673896">
        <w:rPr>
          <w:lang w:eastAsia="en-IE"/>
        </w:rPr>
        <w:t xml:space="preserve"> working in lower-paid sectors. In 2019, for example, 20% of in-work DA recipients worked in the low-wage sector of Wholesale, Retail and Trade, while very low proportions worked in the high-wage sectors of Professional Occupations (1%) and Information and Communication (2%),</w:t>
      </w:r>
      <w:r w:rsidR="00B3351A">
        <w:rPr>
          <w:lang w:eastAsia="en-IE"/>
        </w:rPr>
        <w:t xml:space="preserve"> when</w:t>
      </w:r>
      <w:r w:rsidR="00673896">
        <w:rPr>
          <w:lang w:eastAsia="en-IE"/>
        </w:rPr>
        <w:t xml:space="preserve"> compared to the overall population</w:t>
      </w:r>
      <w:r w:rsidR="0007123C">
        <w:rPr>
          <w:lang w:eastAsia="en-IE"/>
        </w:rPr>
        <w:t>.</w:t>
      </w:r>
      <w:r>
        <w:rPr>
          <w:lang w:eastAsia="en-IE"/>
        </w:rPr>
        <w:t xml:space="preserve"> </w:t>
      </w:r>
      <w:r w:rsidRPr="0020003D">
        <w:rPr>
          <w:b/>
          <w:bCs/>
          <w:lang w:eastAsia="en-IE"/>
        </w:rPr>
        <w:fldChar w:fldCharType="begin"/>
      </w:r>
      <w:r w:rsidR="00C0772E">
        <w:rPr>
          <w:lang w:eastAsia="en-IE"/>
        </w:rPr>
        <w:instrText xml:space="preserve"> ADDIN ZOTERO_ITEM CSL_CITATION {"citationID":"wbcpTqek","properties":{"formattedCitation":"(50)","plainCitation":"(50)","noteIndex":0},"citationItems":[{"id":177,"uris":["http://zotero.org/users/local/kvLunvBP/items/T68S4C3H"],"itemData":{"id":177,"type":"report","title":"Spending Review. An Assessment of the Disability Allowance Scheme Trends and Characteristics","URL":"https://www.gov.ie/pdf/?file=https://assets.gov.ie/271075/fbfe982e-a189-434f-a130-e4c97e51df6f.pdf#page=null","author":[{"family":"Doyle","given":"Aoife"}],"issued":{"date-parts":[["2023"]]}}}],"schema":"https://github.com/citation-style-language/schema/raw/master/csl-citation.json"} </w:instrText>
      </w:r>
      <w:r w:rsidRPr="0020003D">
        <w:rPr>
          <w:b/>
          <w:bCs/>
          <w:lang w:eastAsia="en-IE"/>
        </w:rPr>
        <w:fldChar w:fldCharType="separate"/>
      </w:r>
      <w:r w:rsidR="00C0772E" w:rsidRPr="00C0772E">
        <w:t>(50)</w:t>
      </w:r>
      <w:r w:rsidRPr="0020003D">
        <w:rPr>
          <w:b/>
          <w:bCs/>
          <w:lang w:eastAsia="en-IE"/>
        </w:rPr>
        <w:fldChar w:fldCharType="end"/>
      </w:r>
      <w:r w:rsidR="0020003D" w:rsidRPr="0020003D">
        <w:rPr>
          <w:lang w:eastAsia="en-IE"/>
        </w:rPr>
        <w:t xml:space="preserve"> </w:t>
      </w:r>
      <w:r w:rsidR="0020003D" w:rsidRPr="000B45EB">
        <w:rPr>
          <w:b/>
          <w:bCs/>
          <w:lang w:eastAsia="en-IE"/>
        </w:rPr>
        <w:fldChar w:fldCharType="begin"/>
      </w:r>
      <w:r w:rsidR="006B1C05">
        <w:rPr>
          <w:lang w:eastAsia="en-IE"/>
        </w:rPr>
        <w:instrText xml:space="preserve"> ADDIN ZOTERO_ITEM CSL_CITATION {"citationID":"iinS2tU0","properties":{"formattedCitation":"(72)","plainCitation":"(72)","noteIndex":0},"citationItems":[{"id":47,"uris":["http://zotero.org/users/local/kvLunvBP/items/PRKKGI54"],"itemData":{"id":47,"type":"report","title":"Final Review of Progress on Indicators of the National Disability Inclusion Strategy","URL":"https://nda.ie/publications/mid-term-review-of-progress-under-the-national-disability-inclusion-strategy-indicators","author":[{"family":"National Disability Authority","given":""}],"issued":{"date-parts":[["2023"]]}}}],"schema":"https://github.com/citation-style-language/schema/raw/master/csl-citation.json"} </w:instrText>
      </w:r>
      <w:r w:rsidR="0020003D" w:rsidRPr="000B45EB">
        <w:rPr>
          <w:b/>
          <w:bCs/>
          <w:lang w:eastAsia="en-IE"/>
        </w:rPr>
        <w:fldChar w:fldCharType="separate"/>
      </w:r>
      <w:r w:rsidR="006B1C05" w:rsidRPr="006B1C05">
        <w:t>(72)</w:t>
      </w:r>
      <w:r w:rsidR="0020003D" w:rsidRPr="000B45EB">
        <w:rPr>
          <w:b/>
          <w:bCs/>
          <w:lang w:eastAsia="en-IE"/>
        </w:rPr>
        <w:fldChar w:fldCharType="end"/>
      </w:r>
      <w:r w:rsidR="008C27C4">
        <w:rPr>
          <w:lang w:eastAsia="en-IE"/>
        </w:rPr>
        <w:t xml:space="preserve"> A survey by Indecon administered as part of their 2021 cost of disability report explored barriers to income that arise as a result of disability. Respondents were asked whether they believed they would have a higher income if they did not have a disability. More than two in three respondents reported believing that they would earn more if they were not disabled, with their estimates of additional income averaging €23,540</w:t>
      </w:r>
      <w:r w:rsidR="00D85E69">
        <w:rPr>
          <w:lang w:eastAsia="en-IE"/>
        </w:rPr>
        <w:t>.</w:t>
      </w:r>
      <w:r w:rsidR="008C27C4">
        <w:rPr>
          <w:lang w:eastAsia="en-IE"/>
        </w:rPr>
        <w:t xml:space="preserve"> </w:t>
      </w:r>
      <w:r w:rsidR="008C27C4">
        <w:rPr>
          <w:lang w:eastAsia="en-IE"/>
        </w:rPr>
        <w:fldChar w:fldCharType="begin"/>
      </w:r>
      <w:r w:rsidR="00C0772E">
        <w:rPr>
          <w:lang w:eastAsia="en-IE"/>
        </w:rPr>
        <w:instrText xml:space="preserve"> ADDIN ZOTERO_ITEM CSL_CITATION {"citationID":"nNPJUkb7","properties":{"formattedCitation":"(8)","plainCitation":"(8)","noteIndex":0},"citationItems":[{"id":100,"uris":["http://zotero.org/users/local/kvLunvBP/items/3PINK7QW"],"itemData":{"id":100,"type":"report","abstract":"A research report by Indecon International Research Economists about the cost of disability in Ireland.","language":"en","title":"The Cost of Disability in Ireland – Research Report","URL":"https://www.gov.ie/en/publication/1d84e-the-cost-of-disability-in-ireland-research-report/","author":[{"family":"Indecon","given":""}],"accessed":{"date-parts":[["2024",1,10]]},"issued":{"date-parts":[["2021",12,7]]}}}],"schema":"https://github.com/citation-style-language/schema/raw/master/csl-citation.json"} </w:instrText>
      </w:r>
      <w:r w:rsidR="008C27C4">
        <w:rPr>
          <w:lang w:eastAsia="en-IE"/>
        </w:rPr>
        <w:fldChar w:fldCharType="separate"/>
      </w:r>
      <w:r w:rsidR="00C0772E" w:rsidRPr="00C0772E">
        <w:t>(8)</w:t>
      </w:r>
      <w:r w:rsidR="008C27C4">
        <w:rPr>
          <w:lang w:eastAsia="en-IE"/>
        </w:rPr>
        <w:fldChar w:fldCharType="end"/>
      </w:r>
    </w:p>
    <w:p w14:paraId="59F6C5FA" w14:textId="6037E971" w:rsidR="00982337" w:rsidRPr="00982337" w:rsidRDefault="00982337" w:rsidP="00982337">
      <w:pPr>
        <w:pStyle w:val="Heading3"/>
        <w:rPr>
          <w:lang w:eastAsia="en-IE"/>
        </w:rPr>
      </w:pPr>
      <w:bookmarkStart w:id="256" w:name="_Toc182219531"/>
      <w:bookmarkStart w:id="257" w:name="_Toc182220234"/>
      <w:bookmarkStart w:id="258" w:name="_Toc182555582"/>
      <w:r w:rsidRPr="00982337">
        <w:rPr>
          <w:lang w:eastAsia="en-IE"/>
        </w:rPr>
        <w:t xml:space="preserve">3.2.2 </w:t>
      </w:r>
      <w:r w:rsidR="00CC221D">
        <w:rPr>
          <w:lang w:eastAsia="en-IE"/>
        </w:rPr>
        <w:t>Other disability payments</w:t>
      </w:r>
      <w:bookmarkEnd w:id="256"/>
      <w:bookmarkEnd w:id="257"/>
      <w:bookmarkEnd w:id="258"/>
    </w:p>
    <w:p w14:paraId="420F21CB" w14:textId="09A3B543" w:rsidR="003318FB" w:rsidRDefault="007C601A" w:rsidP="007C601A">
      <w:pPr>
        <w:rPr>
          <w:szCs w:val="26"/>
          <w:lang w:eastAsia="en-IE"/>
        </w:rPr>
      </w:pPr>
      <w:r w:rsidRPr="00982337">
        <w:rPr>
          <w:szCs w:val="26"/>
          <w:lang w:eastAsia="en-IE"/>
        </w:rPr>
        <w:t xml:space="preserve">As </w:t>
      </w:r>
      <w:r w:rsidR="00982337" w:rsidRPr="00982337">
        <w:rPr>
          <w:szCs w:val="26"/>
          <w:lang w:eastAsia="en-IE"/>
        </w:rPr>
        <w:t>show</w:t>
      </w:r>
      <w:r w:rsidR="007D0D57">
        <w:rPr>
          <w:szCs w:val="26"/>
          <w:lang w:eastAsia="en-IE"/>
        </w:rPr>
        <w:t>n</w:t>
      </w:r>
      <w:r w:rsidRPr="00982337">
        <w:rPr>
          <w:szCs w:val="26"/>
          <w:lang w:eastAsia="en-IE"/>
        </w:rPr>
        <w:t xml:space="preserve"> in</w:t>
      </w:r>
      <w:r w:rsidR="00913423">
        <w:rPr>
          <w:szCs w:val="26"/>
          <w:lang w:eastAsia="en-IE"/>
        </w:rPr>
        <w:t xml:space="preserve"> </w:t>
      </w:r>
      <w:r w:rsidR="00913423">
        <w:rPr>
          <w:szCs w:val="26"/>
          <w:lang w:eastAsia="en-IE"/>
        </w:rPr>
        <w:fldChar w:fldCharType="begin"/>
      </w:r>
      <w:r w:rsidR="00913423">
        <w:rPr>
          <w:szCs w:val="26"/>
          <w:lang w:eastAsia="en-IE"/>
        </w:rPr>
        <w:instrText xml:space="preserve"> REF _Ref180413606 \h </w:instrText>
      </w:r>
      <w:r w:rsidR="00913423">
        <w:rPr>
          <w:szCs w:val="26"/>
          <w:lang w:eastAsia="en-IE"/>
        </w:rPr>
      </w:r>
      <w:r w:rsidR="00913423">
        <w:rPr>
          <w:szCs w:val="26"/>
          <w:lang w:eastAsia="en-IE"/>
        </w:rPr>
        <w:fldChar w:fldCharType="separate"/>
      </w:r>
      <w:r w:rsidR="009C4192">
        <w:t xml:space="preserve">Figure </w:t>
      </w:r>
      <w:r w:rsidR="009C4192">
        <w:rPr>
          <w:noProof/>
        </w:rPr>
        <w:t>11</w:t>
      </w:r>
      <w:r w:rsidR="00913423">
        <w:rPr>
          <w:szCs w:val="26"/>
          <w:lang w:eastAsia="en-IE"/>
        </w:rPr>
        <w:fldChar w:fldCharType="end"/>
      </w:r>
      <w:r w:rsidRPr="00982337">
        <w:rPr>
          <w:szCs w:val="26"/>
          <w:lang w:eastAsia="en-IE"/>
        </w:rPr>
        <w:t>, the number</w:t>
      </w:r>
      <w:r w:rsidR="00982337" w:rsidRPr="00982337">
        <w:rPr>
          <w:szCs w:val="26"/>
          <w:lang w:eastAsia="en-IE"/>
        </w:rPr>
        <w:t xml:space="preserve"> of recipients</w:t>
      </w:r>
      <w:r w:rsidRPr="00982337">
        <w:rPr>
          <w:szCs w:val="26"/>
          <w:lang w:eastAsia="en-IE"/>
        </w:rPr>
        <w:t xml:space="preserve"> o</w:t>
      </w:r>
      <w:r w:rsidR="00982337" w:rsidRPr="00982337">
        <w:rPr>
          <w:szCs w:val="26"/>
          <w:lang w:eastAsia="en-IE"/>
        </w:rPr>
        <w:t>f</w:t>
      </w:r>
      <w:r w:rsidRPr="00982337">
        <w:rPr>
          <w:szCs w:val="26"/>
          <w:lang w:eastAsia="en-IE"/>
        </w:rPr>
        <w:t xml:space="preserve"> Partial Capacity Benefit</w:t>
      </w:r>
      <w:r w:rsidRPr="00233BC4">
        <w:rPr>
          <w:rStyle w:val="FootnoteReference"/>
        </w:rPr>
        <w:footnoteReference w:id="25"/>
      </w:r>
      <w:r w:rsidRPr="00982337">
        <w:rPr>
          <w:szCs w:val="26"/>
          <w:lang w:eastAsia="en-IE"/>
        </w:rPr>
        <w:t xml:space="preserve"> </w:t>
      </w:r>
      <w:r w:rsidR="007D0D57">
        <w:rPr>
          <w:szCs w:val="26"/>
          <w:lang w:eastAsia="en-IE"/>
        </w:rPr>
        <w:t xml:space="preserve">has trended upward substantially over the lifetime of the CES. The number </w:t>
      </w:r>
      <w:r w:rsidRPr="00982337">
        <w:rPr>
          <w:szCs w:val="26"/>
          <w:lang w:eastAsia="en-IE"/>
        </w:rPr>
        <w:t xml:space="preserve">increased between 2015 and 2016, decreased substantially in 2017 and </w:t>
      </w:r>
      <w:r w:rsidR="00982337" w:rsidRPr="00982337">
        <w:rPr>
          <w:szCs w:val="26"/>
          <w:lang w:eastAsia="en-IE"/>
        </w:rPr>
        <w:t xml:space="preserve">then </w:t>
      </w:r>
      <w:r w:rsidRPr="00982337">
        <w:rPr>
          <w:szCs w:val="26"/>
          <w:lang w:eastAsia="en-IE"/>
        </w:rPr>
        <w:t xml:space="preserve">increased again </w:t>
      </w:r>
      <w:r w:rsidR="00982337" w:rsidRPr="00982337">
        <w:rPr>
          <w:szCs w:val="26"/>
          <w:lang w:eastAsia="en-IE"/>
        </w:rPr>
        <w:t>in</w:t>
      </w:r>
      <w:r w:rsidRPr="00982337">
        <w:rPr>
          <w:szCs w:val="26"/>
          <w:lang w:eastAsia="en-IE"/>
        </w:rPr>
        <w:t xml:space="preserve"> 2018</w:t>
      </w:r>
      <w:r w:rsidR="003318FB">
        <w:rPr>
          <w:szCs w:val="26"/>
          <w:lang w:eastAsia="en-IE"/>
        </w:rPr>
        <w:t xml:space="preserve"> and annually until 202</w:t>
      </w:r>
      <w:r w:rsidR="007D0D57">
        <w:rPr>
          <w:szCs w:val="26"/>
          <w:lang w:eastAsia="en-IE"/>
        </w:rPr>
        <w:t>1,</w:t>
      </w:r>
      <w:r w:rsidR="003318FB">
        <w:rPr>
          <w:szCs w:val="26"/>
          <w:lang w:eastAsia="en-IE"/>
        </w:rPr>
        <w:t xml:space="preserve"> </w:t>
      </w:r>
      <w:r w:rsidR="007D0D57">
        <w:rPr>
          <w:szCs w:val="26"/>
          <w:lang w:eastAsia="en-IE"/>
        </w:rPr>
        <w:t xml:space="preserve">after which </w:t>
      </w:r>
      <w:r w:rsidR="003318FB">
        <w:rPr>
          <w:szCs w:val="26"/>
          <w:lang w:eastAsia="en-IE"/>
        </w:rPr>
        <w:t>there was a small reduction in the number of recipients. Overall, the number of recipients of Partial Capacity Benefit is 91.8% higher in 2022 than it was in 2015</w:t>
      </w:r>
      <w:r w:rsidR="00D85E69">
        <w:rPr>
          <w:szCs w:val="26"/>
          <w:lang w:eastAsia="en-IE"/>
        </w:rPr>
        <w:t>.</w:t>
      </w:r>
      <w:r w:rsidR="00ED768D">
        <w:rPr>
          <w:szCs w:val="26"/>
          <w:lang w:eastAsia="en-IE"/>
        </w:rPr>
        <w:t xml:space="preserve"> </w:t>
      </w:r>
      <w:r w:rsidR="00ED768D">
        <w:rPr>
          <w:szCs w:val="26"/>
          <w:lang w:eastAsia="en-IE"/>
        </w:rPr>
        <w:fldChar w:fldCharType="begin"/>
      </w:r>
      <w:r w:rsidR="006B1C05">
        <w:rPr>
          <w:szCs w:val="26"/>
          <w:lang w:eastAsia="en-IE"/>
        </w:rPr>
        <w:instrText xml:space="preserve"> ADDIN ZOTERO_ITEM CSL_CITATION {"citationID":"yTgyXRku","properties":{"formattedCitation":"(68)","plainCitation":"(68)","noteIndex":0},"citationItems":[{"id":194,"uris":["http://zotero.org/users/local/kvLunvBP/items/WJBBL8KS"],"itemData":{"id":194,"type":"report","title":"Statistical Information On Social Welfare Services. Annual Report 2022","URL":"https://www.gov.ie/pdf/?file=https://assets.gov.ie/262944/3bdd325b-db94-4daf-90c3-b6c00682a7d9.pdf#page=null","author":[{"family":"Department of Social Protection","given":""}],"issued":{"date-parts":[["2023"]]}}}],"schema":"https://github.com/citation-style-language/schema/raw/master/csl-citation.json"} </w:instrText>
      </w:r>
      <w:r w:rsidR="00ED768D">
        <w:rPr>
          <w:szCs w:val="26"/>
          <w:lang w:eastAsia="en-IE"/>
        </w:rPr>
        <w:fldChar w:fldCharType="separate"/>
      </w:r>
      <w:r w:rsidR="006B1C05" w:rsidRPr="006B1C05">
        <w:t>(68)</w:t>
      </w:r>
      <w:r w:rsidR="00ED768D">
        <w:rPr>
          <w:szCs w:val="26"/>
          <w:lang w:eastAsia="en-IE"/>
        </w:rPr>
        <w:fldChar w:fldCharType="end"/>
      </w:r>
    </w:p>
    <w:p w14:paraId="43D3C5AF" w14:textId="064D865D" w:rsidR="006C6809" w:rsidRDefault="006C6809" w:rsidP="007C601A">
      <w:pPr>
        <w:rPr>
          <w:szCs w:val="26"/>
          <w:lang w:eastAsia="en-IE"/>
        </w:rPr>
      </w:pPr>
      <w:r w:rsidRPr="006C6809">
        <w:rPr>
          <w:szCs w:val="26"/>
          <w:lang w:eastAsia="en-IE"/>
        </w:rPr>
        <w:t>The number of people receiving</w:t>
      </w:r>
      <w:r w:rsidR="007C601A" w:rsidRPr="006C6809">
        <w:rPr>
          <w:szCs w:val="26"/>
          <w:lang w:eastAsia="en-IE"/>
        </w:rPr>
        <w:t xml:space="preserve"> Illness Benefit</w:t>
      </w:r>
      <w:r w:rsidR="007C601A" w:rsidRPr="00233BC4">
        <w:rPr>
          <w:rStyle w:val="FootnoteReference"/>
        </w:rPr>
        <w:footnoteReference w:id="26"/>
      </w:r>
      <w:r w:rsidR="007C601A" w:rsidRPr="006C6809">
        <w:rPr>
          <w:szCs w:val="26"/>
          <w:lang w:eastAsia="en-IE"/>
        </w:rPr>
        <w:t xml:space="preserve"> </w:t>
      </w:r>
      <w:r>
        <w:rPr>
          <w:szCs w:val="26"/>
          <w:lang w:eastAsia="en-IE"/>
        </w:rPr>
        <w:t xml:space="preserve">has fluctuated over the period of the CES. The number </w:t>
      </w:r>
      <w:r w:rsidR="00B13AEA">
        <w:rPr>
          <w:szCs w:val="26"/>
          <w:lang w:eastAsia="en-IE"/>
        </w:rPr>
        <w:t xml:space="preserve">rose </w:t>
      </w:r>
      <w:r>
        <w:rPr>
          <w:szCs w:val="26"/>
          <w:lang w:eastAsia="en-IE"/>
        </w:rPr>
        <w:t>each year from 2015 to 201</w:t>
      </w:r>
      <w:r w:rsidR="00B13AEA">
        <w:rPr>
          <w:szCs w:val="26"/>
          <w:lang w:eastAsia="en-IE"/>
        </w:rPr>
        <w:t>8</w:t>
      </w:r>
      <w:r w:rsidR="007C601A" w:rsidRPr="006C6809">
        <w:rPr>
          <w:szCs w:val="26"/>
          <w:lang w:eastAsia="en-IE"/>
        </w:rPr>
        <w:t xml:space="preserve"> </w:t>
      </w:r>
      <w:r>
        <w:rPr>
          <w:szCs w:val="26"/>
          <w:lang w:eastAsia="en-IE"/>
        </w:rPr>
        <w:t xml:space="preserve">before </w:t>
      </w:r>
      <w:r w:rsidR="00B13AEA">
        <w:rPr>
          <w:szCs w:val="26"/>
          <w:lang w:eastAsia="en-IE"/>
        </w:rPr>
        <w:t>dropping</w:t>
      </w:r>
      <w:r>
        <w:rPr>
          <w:szCs w:val="26"/>
          <w:lang w:eastAsia="en-IE"/>
        </w:rPr>
        <w:t xml:space="preserve"> in 20</w:t>
      </w:r>
      <w:r w:rsidR="00B13AEA">
        <w:rPr>
          <w:szCs w:val="26"/>
          <w:lang w:eastAsia="en-IE"/>
        </w:rPr>
        <w:t>19 and again i</w:t>
      </w:r>
      <w:r>
        <w:rPr>
          <w:szCs w:val="26"/>
          <w:lang w:eastAsia="en-IE"/>
        </w:rPr>
        <w:t>n 2020</w:t>
      </w:r>
      <w:r w:rsidR="00B13AEA">
        <w:rPr>
          <w:szCs w:val="26"/>
          <w:lang w:eastAsia="en-IE"/>
        </w:rPr>
        <w:t xml:space="preserve"> and increasing once more in 2021. In 2020 and 2021</w:t>
      </w:r>
      <w:r>
        <w:rPr>
          <w:szCs w:val="26"/>
          <w:lang w:eastAsia="en-IE"/>
        </w:rPr>
        <w:t xml:space="preserve"> the numbers include those who received Enhanced Illness Benefit for COVID-19 (</w:t>
      </w:r>
      <w:r w:rsidR="00B13AEA">
        <w:rPr>
          <w:szCs w:val="26"/>
          <w:lang w:eastAsia="en-IE"/>
        </w:rPr>
        <w:t xml:space="preserve">a payment </w:t>
      </w:r>
      <w:r>
        <w:rPr>
          <w:szCs w:val="26"/>
          <w:lang w:eastAsia="en-IE"/>
        </w:rPr>
        <w:t>introduced in 2020 and ended in 2022). Overall, the number of people receiving Illness Benefit was 7.5% higher in 2022 than in 2015</w:t>
      </w:r>
      <w:r w:rsidR="00D85E69">
        <w:rPr>
          <w:szCs w:val="26"/>
          <w:lang w:eastAsia="en-IE"/>
        </w:rPr>
        <w:t>.</w:t>
      </w:r>
      <w:r w:rsidR="00ED768D">
        <w:rPr>
          <w:szCs w:val="26"/>
          <w:lang w:eastAsia="en-IE"/>
        </w:rPr>
        <w:t xml:space="preserve"> </w:t>
      </w:r>
      <w:r w:rsidR="00ED768D">
        <w:rPr>
          <w:szCs w:val="26"/>
          <w:lang w:eastAsia="en-IE"/>
        </w:rPr>
        <w:fldChar w:fldCharType="begin"/>
      </w:r>
      <w:r w:rsidR="006B1C05">
        <w:rPr>
          <w:szCs w:val="26"/>
          <w:lang w:eastAsia="en-IE"/>
        </w:rPr>
        <w:instrText xml:space="preserve"> ADDIN ZOTERO_ITEM CSL_CITATION {"citationID":"vTK9l5W6","properties":{"formattedCitation":"(68)","plainCitation":"(68)","noteIndex":0},"citationItems":[{"id":194,"uris":["http://zotero.org/users/local/kvLunvBP/items/WJBBL8KS"],"itemData":{"id":194,"type":"report","title":"Statistical Information On Social Welfare Services. Annual Report 2022","URL":"https://www.gov.ie/pdf/?file=https://assets.gov.ie/262944/3bdd325b-db94-4daf-90c3-b6c00682a7d9.pdf#page=null","author":[{"family":"Department of Social Protection","given":""}],"issued":{"date-parts":[["2023"]]}}}],"schema":"https://github.com/citation-style-language/schema/raw/master/csl-citation.json"} </w:instrText>
      </w:r>
      <w:r w:rsidR="00ED768D">
        <w:rPr>
          <w:szCs w:val="26"/>
          <w:lang w:eastAsia="en-IE"/>
        </w:rPr>
        <w:fldChar w:fldCharType="separate"/>
      </w:r>
      <w:r w:rsidR="006B1C05" w:rsidRPr="006B1C05">
        <w:t>(68)</w:t>
      </w:r>
      <w:r w:rsidR="00ED768D">
        <w:rPr>
          <w:szCs w:val="26"/>
          <w:lang w:eastAsia="en-IE"/>
        </w:rPr>
        <w:fldChar w:fldCharType="end"/>
      </w:r>
    </w:p>
    <w:p w14:paraId="0BA1B754" w14:textId="7135E944" w:rsidR="00CC6190" w:rsidRDefault="00CC6190" w:rsidP="007C601A">
      <w:pPr>
        <w:rPr>
          <w:szCs w:val="26"/>
          <w:highlight w:val="yellow"/>
          <w:lang w:eastAsia="en-IE"/>
        </w:rPr>
      </w:pPr>
      <w:r>
        <w:rPr>
          <w:szCs w:val="26"/>
          <w:lang w:eastAsia="en-IE"/>
        </w:rPr>
        <w:t xml:space="preserve">The number of people receiving </w:t>
      </w:r>
      <w:r w:rsidR="00020E26">
        <w:rPr>
          <w:szCs w:val="26"/>
          <w:lang w:eastAsia="en-IE"/>
        </w:rPr>
        <w:t>the I</w:t>
      </w:r>
      <w:r>
        <w:rPr>
          <w:szCs w:val="26"/>
          <w:lang w:eastAsia="en-IE"/>
        </w:rPr>
        <w:t xml:space="preserve">nvalidity </w:t>
      </w:r>
      <w:r w:rsidR="00020E26">
        <w:rPr>
          <w:szCs w:val="26"/>
          <w:lang w:eastAsia="en-IE"/>
        </w:rPr>
        <w:t>P</w:t>
      </w:r>
      <w:r>
        <w:rPr>
          <w:szCs w:val="26"/>
          <w:lang w:eastAsia="en-IE"/>
        </w:rPr>
        <w:t>ension has also fluctuated over the lifetime of the CES, reaching a peak of 59,230 in 2021, up from 55,115 at the start of the Strategy in 2025. Overall</w:t>
      </w:r>
      <w:r w:rsidR="00020E26">
        <w:rPr>
          <w:szCs w:val="26"/>
          <w:lang w:eastAsia="en-IE"/>
        </w:rPr>
        <w:t>,</w:t>
      </w:r>
      <w:r>
        <w:rPr>
          <w:szCs w:val="26"/>
          <w:lang w:eastAsia="en-IE"/>
        </w:rPr>
        <w:t xml:space="preserve"> however, the number of recipients was just 2.4% higher in 2022 than in 2015. </w:t>
      </w:r>
    </w:p>
    <w:p w14:paraId="4FA5FA39" w14:textId="54B5C894" w:rsidR="00913423" w:rsidRDefault="00913423" w:rsidP="00913423">
      <w:pPr>
        <w:pStyle w:val="Caption"/>
        <w:keepNext/>
        <w:jc w:val="left"/>
      </w:pPr>
      <w:bookmarkStart w:id="259" w:name="_Ref180413606"/>
      <w:bookmarkStart w:id="260" w:name="_Toc182219907"/>
      <w:r>
        <w:t xml:space="preserve">Figure </w:t>
      </w:r>
      <w:r w:rsidR="0017737A">
        <w:fldChar w:fldCharType="begin"/>
      </w:r>
      <w:r w:rsidR="0017737A">
        <w:instrText xml:space="preserve"> SEQ Figure \* ARABIC </w:instrText>
      </w:r>
      <w:r w:rsidR="0017737A">
        <w:fldChar w:fldCharType="separate"/>
      </w:r>
      <w:r w:rsidR="009C4192">
        <w:rPr>
          <w:noProof/>
        </w:rPr>
        <w:t>11</w:t>
      </w:r>
      <w:r w:rsidR="0017737A">
        <w:fldChar w:fldCharType="end"/>
      </w:r>
      <w:bookmarkEnd w:id="259"/>
      <w:r>
        <w:t xml:space="preserve">: </w:t>
      </w:r>
      <w:r w:rsidRPr="00132187">
        <w:rPr>
          <w:szCs w:val="26"/>
          <w:lang w:eastAsia="en-IE"/>
        </w:rPr>
        <w:t>Recipients of Partial Capacity Benefit, Illness Benefit and Invalidity Pension 2015-2022</w:t>
      </w:r>
      <w:bookmarkEnd w:id="260"/>
    </w:p>
    <w:p w14:paraId="5F76D3FD" w14:textId="2DC81AE6" w:rsidR="00132187" w:rsidRDefault="00132187" w:rsidP="007C601A">
      <w:pPr>
        <w:rPr>
          <w:szCs w:val="26"/>
          <w:highlight w:val="yellow"/>
          <w:lang w:eastAsia="en-IE"/>
        </w:rPr>
      </w:pPr>
      <w:r>
        <w:rPr>
          <w:noProof/>
          <w:szCs w:val="26"/>
          <w:lang w:eastAsia="en-IE"/>
        </w:rPr>
        <w:drawing>
          <wp:inline distT="0" distB="0" distL="0" distR="0" wp14:anchorId="70BCC38A" wp14:editId="784BF6D3">
            <wp:extent cx="6393180" cy="3253740"/>
            <wp:effectExtent l="0" t="0" r="0" b="0"/>
            <wp:docPr id="10" name="Chart 10" descr="This bar chart shows the number of recipients of Partial Capacity Benefit, Illness Benefit, and Invalidity Pension in each year from 2015 to 2022.&#10;&#10;In 2015, there were 1612 recipients of Partial Capacity Benefit. In 2016, 1,873 recipients. In 2017, 394 recipients. In 2018, 2,426 recipients. In 2019, 2,956 recipients. In 2020, 3,227 recipients. In 2021, 3,348 recipients. In 2022, there were 3,092 recipients of Partial Capacity Benefit.&#10;&#10;In 2015, there were 55,540 recipients of Illness Benefit. In 2016, there were 54,492 recipients. In 2017. 52,809 recipients. In 2018, 55,995 recipients. In 2019, 49,313 recipients. In 2020, 48,157 recipients. In 2021, 60,677 recipients. In 2022, there were 59.701 recipients of Illness Benefit.&#10;&#10;In 2015, there were 55,115 recipients of the Invalidity Pension. In 2016, there were 55,532 recipients. In 2017, 57,504 recipients. In 2018, 57,768 recipients. In 2019. 58,168 recipients. In 2020, 57,873 recipients. In 2021. 59. 230 recipients. In 2022, there were 56,450 people in receipt of the Invalidity Pens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B56A59" w14:textId="63676444" w:rsidR="00132187" w:rsidRPr="00B13AEA" w:rsidRDefault="00B13AEA" w:rsidP="007C601A">
      <w:pPr>
        <w:rPr>
          <w:sz w:val="22"/>
          <w:szCs w:val="22"/>
          <w:lang w:eastAsia="en-IE"/>
        </w:rPr>
      </w:pPr>
      <w:r w:rsidRPr="00B13AEA">
        <w:rPr>
          <w:sz w:val="22"/>
          <w:szCs w:val="22"/>
          <w:lang w:eastAsia="en-IE"/>
        </w:rPr>
        <w:t xml:space="preserve">Note: The </w:t>
      </w:r>
      <w:r w:rsidR="009B78D8">
        <w:rPr>
          <w:sz w:val="22"/>
          <w:szCs w:val="22"/>
          <w:lang w:eastAsia="en-IE"/>
        </w:rPr>
        <w:t>I</w:t>
      </w:r>
      <w:r w:rsidRPr="00B13AEA">
        <w:rPr>
          <w:sz w:val="22"/>
          <w:szCs w:val="22"/>
          <w:lang w:eastAsia="en-IE"/>
        </w:rPr>
        <w:t xml:space="preserve">llness </w:t>
      </w:r>
      <w:r w:rsidR="009B78D8">
        <w:rPr>
          <w:sz w:val="22"/>
          <w:szCs w:val="22"/>
          <w:lang w:eastAsia="en-IE"/>
        </w:rPr>
        <w:t>B</w:t>
      </w:r>
      <w:r w:rsidRPr="00B13AEA">
        <w:rPr>
          <w:sz w:val="22"/>
          <w:szCs w:val="22"/>
          <w:lang w:eastAsia="en-IE"/>
        </w:rPr>
        <w:t>enefit figures for 2020 and 2021</w:t>
      </w:r>
      <w:r w:rsidR="009B78D8">
        <w:rPr>
          <w:sz w:val="22"/>
          <w:szCs w:val="22"/>
          <w:lang w:eastAsia="en-IE"/>
        </w:rPr>
        <w:t xml:space="preserve"> </w:t>
      </w:r>
      <w:r>
        <w:rPr>
          <w:sz w:val="22"/>
          <w:szCs w:val="22"/>
          <w:lang w:eastAsia="en-IE"/>
        </w:rPr>
        <w:t>include</w:t>
      </w:r>
      <w:r w:rsidR="009B78D8">
        <w:rPr>
          <w:sz w:val="22"/>
          <w:szCs w:val="22"/>
          <w:lang w:eastAsia="en-IE"/>
        </w:rPr>
        <w:t xml:space="preserve"> recipients</w:t>
      </w:r>
      <w:r w:rsidRPr="00B13AEA">
        <w:rPr>
          <w:sz w:val="22"/>
          <w:szCs w:val="22"/>
          <w:lang w:eastAsia="en-IE"/>
        </w:rPr>
        <w:t xml:space="preserve"> of the temporary Enhanced Illness Benefit for C</w:t>
      </w:r>
      <w:r w:rsidR="00703626">
        <w:rPr>
          <w:sz w:val="22"/>
          <w:szCs w:val="22"/>
          <w:lang w:eastAsia="en-IE"/>
        </w:rPr>
        <w:t>OVID</w:t>
      </w:r>
      <w:r w:rsidRPr="00B13AEA">
        <w:rPr>
          <w:sz w:val="22"/>
          <w:szCs w:val="22"/>
          <w:lang w:eastAsia="en-IE"/>
        </w:rPr>
        <w:t>-19 (</w:t>
      </w:r>
      <w:r w:rsidR="00C600BE">
        <w:rPr>
          <w:sz w:val="22"/>
          <w:szCs w:val="22"/>
          <w:lang w:eastAsia="en-IE"/>
        </w:rPr>
        <w:t>22</w:t>
      </w:r>
      <w:r w:rsidR="00B3351A">
        <w:rPr>
          <w:sz w:val="22"/>
          <w:szCs w:val="22"/>
          <w:lang w:eastAsia="en-IE"/>
        </w:rPr>
        <w:t>,</w:t>
      </w:r>
      <w:r w:rsidR="00C600BE">
        <w:rPr>
          <w:sz w:val="22"/>
          <w:szCs w:val="22"/>
          <w:lang w:eastAsia="en-IE"/>
        </w:rPr>
        <w:t>287</w:t>
      </w:r>
      <w:r w:rsidRPr="00B13AEA">
        <w:rPr>
          <w:sz w:val="22"/>
          <w:szCs w:val="22"/>
          <w:lang w:eastAsia="en-IE"/>
        </w:rPr>
        <w:t xml:space="preserve"> recipients in 2020 </w:t>
      </w:r>
      <w:r w:rsidR="00667C56">
        <w:rPr>
          <w:sz w:val="22"/>
          <w:szCs w:val="22"/>
          <w:lang w:eastAsia="en-IE"/>
        </w:rPr>
        <w:fldChar w:fldCharType="begin"/>
      </w:r>
      <w:r w:rsidR="006B1C05">
        <w:rPr>
          <w:sz w:val="22"/>
          <w:szCs w:val="22"/>
          <w:lang w:eastAsia="en-IE"/>
        </w:rPr>
        <w:instrText xml:space="preserve"> ADDIN ZOTERO_ITEM CSL_CITATION {"citationID":"1cKs1MtE","properties":{"formattedCitation":"(73)","plainCitation":"(73)","noteIndex":0},"citationItems":[{"id":223,"uris":["http://zotero.org/users/local/kvLunvBP/items/JWH7427A"],"itemData":{"id":223,"type":"report","title":"Statistical Information on Social Welfare Services. Annual Report 2020","URL":"https://www.gov.ie/pdf/?file=https://assets.gov.ie/152643/d6371436-0518-471e-9674-a2b6a92739a2.pdf#page=null","author":[{"family":"Department of Social Protection","given":""}],"issued":{"date-parts":[["2021"]]}}}],"schema":"https://github.com/citation-style-language/schema/raw/master/csl-citation.json"} </w:instrText>
      </w:r>
      <w:r w:rsidR="00667C56">
        <w:rPr>
          <w:sz w:val="22"/>
          <w:szCs w:val="22"/>
          <w:lang w:eastAsia="en-IE"/>
        </w:rPr>
        <w:fldChar w:fldCharType="separate"/>
      </w:r>
      <w:r w:rsidR="006B1C05" w:rsidRPr="006B1C05">
        <w:rPr>
          <w:sz w:val="22"/>
        </w:rPr>
        <w:t>(73)</w:t>
      </w:r>
      <w:r w:rsidR="00667C56">
        <w:rPr>
          <w:sz w:val="22"/>
          <w:szCs w:val="22"/>
          <w:lang w:eastAsia="en-IE"/>
        </w:rPr>
        <w:fldChar w:fldCharType="end"/>
      </w:r>
      <w:r w:rsidR="00667C56">
        <w:rPr>
          <w:sz w:val="22"/>
          <w:szCs w:val="22"/>
          <w:lang w:eastAsia="en-IE"/>
        </w:rPr>
        <w:t xml:space="preserve"> </w:t>
      </w:r>
      <w:r w:rsidRPr="00B13AEA">
        <w:rPr>
          <w:sz w:val="22"/>
          <w:szCs w:val="22"/>
          <w:lang w:eastAsia="en-IE"/>
        </w:rPr>
        <w:t xml:space="preserve">and </w:t>
      </w:r>
      <w:r w:rsidR="00CB7047" w:rsidRPr="00CB7047">
        <w:rPr>
          <w:sz w:val="22"/>
          <w:szCs w:val="22"/>
          <w:lang w:eastAsia="en-IE"/>
        </w:rPr>
        <w:t>14,937</w:t>
      </w:r>
      <w:r w:rsidRPr="00B13AEA">
        <w:rPr>
          <w:sz w:val="22"/>
          <w:szCs w:val="22"/>
          <w:lang w:eastAsia="en-IE"/>
        </w:rPr>
        <w:t xml:space="preserve"> in 2021</w:t>
      </w:r>
      <w:r w:rsidR="00ED768D">
        <w:rPr>
          <w:sz w:val="22"/>
          <w:szCs w:val="22"/>
          <w:lang w:eastAsia="en-IE"/>
        </w:rPr>
        <w:t xml:space="preserve"> </w:t>
      </w:r>
      <w:r w:rsidR="00ED768D">
        <w:rPr>
          <w:sz w:val="22"/>
          <w:szCs w:val="22"/>
          <w:lang w:eastAsia="en-IE"/>
        </w:rPr>
        <w:fldChar w:fldCharType="begin"/>
      </w:r>
      <w:r w:rsidR="006B1C05">
        <w:rPr>
          <w:sz w:val="22"/>
          <w:szCs w:val="22"/>
          <w:lang w:eastAsia="en-IE"/>
        </w:rPr>
        <w:instrText xml:space="preserve"> ADDIN ZOTERO_ITEM CSL_CITATION {"citationID":"w02aeoX4","properties":{"formattedCitation":"(74)","plainCitation":"(74)","noteIndex":0},"citationItems":[{"id":220,"uris":["http://zotero.org/users/local/kvLunvBP/items/XTYKRRSN"],"itemData":{"id":220,"type":"report","title":"Statistical Information on Social Welfare Services. Annual Report 2021","URL":"https://www.gov.ie/pdf/?file=https://assets.gov.ie/232416/d474f67e-f392-4b48-99a6-bce9b0cf41a0.pdf#page=null","author":[{"family":"Department of Social Protection","given":""}],"issued":{"date-parts":[["2022"]]}}}],"schema":"https://github.com/citation-style-language/schema/raw/master/csl-citation.json"} </w:instrText>
      </w:r>
      <w:r w:rsidR="00ED768D">
        <w:rPr>
          <w:sz w:val="22"/>
          <w:szCs w:val="22"/>
          <w:lang w:eastAsia="en-IE"/>
        </w:rPr>
        <w:fldChar w:fldCharType="separate"/>
      </w:r>
      <w:r w:rsidR="006B1C05" w:rsidRPr="006B1C05">
        <w:rPr>
          <w:sz w:val="22"/>
        </w:rPr>
        <w:t>(74)</w:t>
      </w:r>
      <w:r w:rsidR="00ED768D">
        <w:rPr>
          <w:sz w:val="22"/>
          <w:szCs w:val="22"/>
          <w:lang w:eastAsia="en-IE"/>
        </w:rPr>
        <w:fldChar w:fldCharType="end"/>
      </w:r>
      <w:r w:rsidRPr="00B13AEA">
        <w:rPr>
          <w:sz w:val="22"/>
          <w:szCs w:val="22"/>
          <w:lang w:eastAsia="en-IE"/>
        </w:rPr>
        <w:t xml:space="preserve">). </w:t>
      </w:r>
    </w:p>
    <w:p w14:paraId="349347FD" w14:textId="3B95D9F7" w:rsidR="00252BE6" w:rsidRDefault="00252BE6" w:rsidP="00252BE6">
      <w:pPr>
        <w:pStyle w:val="Heading2"/>
      </w:pPr>
      <w:bookmarkStart w:id="261" w:name="_Toc182219532"/>
      <w:bookmarkStart w:id="262" w:name="_Toc182220235"/>
      <w:bookmarkStart w:id="263" w:name="_Toc182555583"/>
      <w:bookmarkStart w:id="264" w:name="_Toc182555730"/>
      <w:r>
        <w:t xml:space="preserve">Overview of </w:t>
      </w:r>
      <w:bookmarkEnd w:id="261"/>
      <w:bookmarkEnd w:id="262"/>
      <w:bookmarkEnd w:id="263"/>
      <w:bookmarkEnd w:id="264"/>
      <w:r w:rsidR="00147EEF">
        <w:t>Strategic Priority Three</w:t>
      </w:r>
    </w:p>
    <w:p w14:paraId="2C09DE9F" w14:textId="58C0AE6A" w:rsidR="00A93FA8" w:rsidRDefault="00A93FA8" w:rsidP="00A93FA8">
      <w:pPr>
        <w:spacing w:after="0"/>
        <w:rPr>
          <w:rFonts w:ascii="Gill Sans MT" w:eastAsia="Calibri" w:hAnsi="Gill Sans MT" w:cs="Calibri"/>
          <w:szCs w:val="26"/>
        </w:rPr>
      </w:pPr>
      <w:r w:rsidRPr="00EA069D">
        <w:rPr>
          <w:rFonts w:ascii="Gill Sans MT" w:eastAsia="Calibri" w:hAnsi="Gill Sans MT" w:cs="Calibri"/>
          <w:szCs w:val="26"/>
        </w:rPr>
        <w:t xml:space="preserve">The </w:t>
      </w:r>
      <w:r>
        <w:rPr>
          <w:rFonts w:ascii="Gill Sans MT" w:eastAsia="Calibri" w:hAnsi="Gill Sans MT" w:cs="Calibri"/>
          <w:szCs w:val="26"/>
        </w:rPr>
        <w:t xml:space="preserve">primary goal of </w:t>
      </w:r>
      <w:r w:rsidRPr="00EA069D">
        <w:rPr>
          <w:rFonts w:ascii="Gill Sans MT" w:eastAsia="Calibri" w:hAnsi="Gill Sans MT" w:cs="Calibri"/>
          <w:szCs w:val="26"/>
        </w:rPr>
        <w:t>this priority area was that</w:t>
      </w:r>
      <w:r>
        <w:rPr>
          <w:rFonts w:ascii="Gill Sans MT" w:eastAsia="Calibri" w:hAnsi="Gill Sans MT" w:cs="Calibri"/>
          <w:szCs w:val="26"/>
        </w:rPr>
        <w:t xml:space="preserve"> work</w:t>
      </w:r>
      <w:r w:rsidRPr="00EA069D">
        <w:rPr>
          <w:rFonts w:ascii="Gill Sans MT" w:eastAsia="Calibri" w:hAnsi="Gill Sans MT" w:cs="Calibri"/>
          <w:szCs w:val="26"/>
        </w:rPr>
        <w:t xml:space="preserve"> </w:t>
      </w:r>
      <w:r>
        <w:rPr>
          <w:rFonts w:ascii="Gill Sans MT" w:eastAsia="Calibri" w:hAnsi="Gill Sans MT" w:cs="Calibri"/>
          <w:szCs w:val="26"/>
        </w:rPr>
        <w:t xml:space="preserve">should </w:t>
      </w:r>
      <w:r w:rsidRPr="00EA069D">
        <w:rPr>
          <w:rFonts w:ascii="Gill Sans MT" w:eastAsia="Calibri" w:hAnsi="Gill Sans MT" w:cs="Calibri"/>
          <w:szCs w:val="26"/>
        </w:rPr>
        <w:t>pay</w:t>
      </w:r>
      <w:r>
        <w:rPr>
          <w:rFonts w:ascii="Gill Sans MT" w:eastAsia="Calibri" w:hAnsi="Gill Sans MT" w:cs="Calibri"/>
          <w:szCs w:val="26"/>
        </w:rPr>
        <w:t xml:space="preserve"> and </w:t>
      </w:r>
      <w:r w:rsidRPr="00EA069D">
        <w:rPr>
          <w:rFonts w:ascii="Gill Sans MT" w:eastAsia="Calibri" w:hAnsi="Gill Sans MT" w:cs="Calibri"/>
          <w:szCs w:val="26"/>
        </w:rPr>
        <w:t>be seen to pay</w:t>
      </w:r>
      <w:r>
        <w:rPr>
          <w:rFonts w:ascii="Gill Sans MT" w:eastAsia="Calibri" w:hAnsi="Gill Sans MT" w:cs="Calibri"/>
          <w:szCs w:val="26"/>
        </w:rPr>
        <w:t xml:space="preserve"> for disabled people. </w:t>
      </w:r>
      <w:r w:rsidR="00CA2EC0">
        <w:rPr>
          <w:rFonts w:ascii="Gill Sans MT" w:eastAsia="Calibri" w:hAnsi="Gill Sans MT" w:cs="Calibri"/>
          <w:szCs w:val="26"/>
        </w:rPr>
        <w:t>Across multiple</w:t>
      </w:r>
      <w:r>
        <w:rPr>
          <w:rFonts w:ascii="Gill Sans MT" w:eastAsia="Calibri" w:hAnsi="Gill Sans MT" w:cs="Calibri"/>
          <w:szCs w:val="26"/>
        </w:rPr>
        <w:t xml:space="preserve"> consultations</w:t>
      </w:r>
      <w:r w:rsidR="00CA2EC0">
        <w:rPr>
          <w:rFonts w:ascii="Gill Sans MT" w:eastAsia="Calibri" w:hAnsi="Gill Sans MT" w:cs="Calibri"/>
          <w:szCs w:val="26"/>
        </w:rPr>
        <w:t>,</w:t>
      </w:r>
      <w:r>
        <w:rPr>
          <w:rFonts w:ascii="Gill Sans MT" w:eastAsia="Calibri" w:hAnsi="Gill Sans MT" w:cs="Calibri"/>
          <w:szCs w:val="26"/>
        </w:rPr>
        <w:t xml:space="preserve"> </w:t>
      </w:r>
      <w:r w:rsidR="00CA2EC0">
        <w:rPr>
          <w:rFonts w:ascii="Gill Sans MT" w:eastAsia="Calibri" w:hAnsi="Gill Sans MT" w:cs="Calibri"/>
          <w:szCs w:val="26"/>
        </w:rPr>
        <w:t xml:space="preserve">however, </w:t>
      </w:r>
      <w:r>
        <w:rPr>
          <w:rFonts w:ascii="Gill Sans MT" w:eastAsia="Calibri" w:hAnsi="Gill Sans MT" w:cs="Calibri"/>
          <w:szCs w:val="26"/>
        </w:rPr>
        <w:t>d</w:t>
      </w:r>
      <w:r w:rsidRPr="0079538A">
        <w:rPr>
          <w:rFonts w:ascii="Gill Sans MT" w:eastAsia="Calibri" w:hAnsi="Gill Sans MT" w:cs="Calibri"/>
          <w:szCs w:val="26"/>
        </w:rPr>
        <w:t xml:space="preserve">isabled people </w:t>
      </w:r>
      <w:r>
        <w:rPr>
          <w:rFonts w:ascii="Gill Sans MT" w:eastAsia="Calibri" w:hAnsi="Gill Sans MT" w:cs="Calibri"/>
          <w:szCs w:val="26"/>
        </w:rPr>
        <w:t>have detailed their experiences of</w:t>
      </w:r>
      <w:r w:rsidRPr="0079538A">
        <w:rPr>
          <w:rFonts w:ascii="Gill Sans MT" w:eastAsia="Calibri" w:hAnsi="Gill Sans MT" w:cs="Calibri"/>
          <w:szCs w:val="26"/>
        </w:rPr>
        <w:t xml:space="preserve"> the disincentives </w:t>
      </w:r>
      <w:r>
        <w:rPr>
          <w:rFonts w:ascii="Gill Sans MT" w:eastAsia="Calibri" w:hAnsi="Gill Sans MT" w:cs="Calibri"/>
          <w:szCs w:val="26"/>
        </w:rPr>
        <w:t xml:space="preserve">that exist for them in </w:t>
      </w:r>
      <w:r w:rsidRPr="0079538A">
        <w:rPr>
          <w:rFonts w:ascii="Gill Sans MT" w:eastAsia="Calibri" w:hAnsi="Gill Sans MT" w:cs="Calibri"/>
          <w:szCs w:val="26"/>
        </w:rPr>
        <w:t>obtaining work and remaining in work</w:t>
      </w:r>
      <w:r>
        <w:rPr>
          <w:rFonts w:ascii="Gill Sans MT" w:eastAsia="Calibri" w:hAnsi="Gill Sans MT" w:cs="Calibri"/>
          <w:szCs w:val="26"/>
        </w:rPr>
        <w:t>. M</w:t>
      </w:r>
      <w:r w:rsidRPr="0079538A">
        <w:rPr>
          <w:rFonts w:ascii="Gill Sans MT" w:eastAsia="Calibri" w:hAnsi="Gill Sans MT" w:cs="Calibri"/>
          <w:szCs w:val="26"/>
        </w:rPr>
        <w:t xml:space="preserve">any of those disincentives were </w:t>
      </w:r>
      <w:r w:rsidRPr="00386CAC">
        <w:rPr>
          <w:rFonts w:ascii="Gill Sans MT" w:eastAsia="Calibri" w:hAnsi="Gill Sans MT" w:cs="Calibri"/>
          <w:szCs w:val="26"/>
        </w:rPr>
        <w:t>considered</w:t>
      </w:r>
      <w:r w:rsidRPr="0079538A">
        <w:rPr>
          <w:rFonts w:ascii="Gill Sans MT" w:eastAsia="Calibri" w:hAnsi="Gill Sans MT" w:cs="Calibri"/>
          <w:szCs w:val="26"/>
        </w:rPr>
        <w:t xml:space="preserve"> </w:t>
      </w:r>
      <w:r>
        <w:rPr>
          <w:rFonts w:ascii="Gill Sans MT" w:eastAsia="Calibri" w:hAnsi="Gill Sans MT" w:cs="Calibri"/>
          <w:szCs w:val="26"/>
        </w:rPr>
        <w:t>and reported on by t</w:t>
      </w:r>
      <w:r w:rsidRPr="00EB6309">
        <w:rPr>
          <w:rFonts w:ascii="Gill Sans MT" w:eastAsia="Calibri" w:hAnsi="Gill Sans MT" w:cs="Calibri"/>
          <w:szCs w:val="26"/>
        </w:rPr>
        <w:t xml:space="preserve">he Make Work Pay </w:t>
      </w:r>
      <w:r>
        <w:rPr>
          <w:rFonts w:ascii="Gill Sans MT" w:eastAsia="Calibri" w:hAnsi="Gill Sans MT" w:cs="Calibri"/>
          <w:szCs w:val="26"/>
        </w:rPr>
        <w:t xml:space="preserve">report which was produced by an </w:t>
      </w:r>
      <w:r w:rsidR="00CA2EC0">
        <w:rPr>
          <w:rFonts w:ascii="Gill Sans MT" w:eastAsia="Calibri" w:hAnsi="Gill Sans MT" w:cs="Calibri"/>
          <w:szCs w:val="26"/>
        </w:rPr>
        <w:t>i</w:t>
      </w:r>
      <w:r w:rsidRPr="00EB6309">
        <w:rPr>
          <w:rFonts w:ascii="Gill Sans MT" w:eastAsia="Calibri" w:hAnsi="Gill Sans MT" w:cs="Calibri"/>
          <w:szCs w:val="26"/>
        </w:rPr>
        <w:t xml:space="preserve">nterdepartmental </w:t>
      </w:r>
      <w:r w:rsidR="00CA2EC0">
        <w:rPr>
          <w:rFonts w:ascii="Gill Sans MT" w:eastAsia="Calibri" w:hAnsi="Gill Sans MT" w:cs="Calibri"/>
          <w:szCs w:val="26"/>
        </w:rPr>
        <w:t>g</w:t>
      </w:r>
      <w:r w:rsidRPr="00EB6309">
        <w:rPr>
          <w:rFonts w:ascii="Gill Sans MT" w:eastAsia="Calibri" w:hAnsi="Gill Sans MT" w:cs="Calibri"/>
          <w:szCs w:val="26"/>
        </w:rPr>
        <w:t>roup</w:t>
      </w:r>
      <w:r w:rsidR="00CA2EC0">
        <w:rPr>
          <w:rFonts w:ascii="Gill Sans MT" w:eastAsia="Calibri" w:hAnsi="Gill Sans MT" w:cs="Calibri"/>
          <w:szCs w:val="26"/>
        </w:rPr>
        <w:t xml:space="preserve"> and published in 2017</w:t>
      </w:r>
      <w:r>
        <w:rPr>
          <w:rFonts w:ascii="Gill Sans MT" w:eastAsia="Calibri" w:hAnsi="Gill Sans MT" w:cs="Calibri"/>
          <w:szCs w:val="26"/>
        </w:rPr>
        <w:t>.</w:t>
      </w:r>
      <w:r w:rsidR="00656507">
        <w:rPr>
          <w:rFonts w:eastAsia="Calibri" w:cs="Calibri"/>
          <w:szCs w:val="26"/>
        </w:rPr>
        <w:t xml:space="preserve"> </w:t>
      </w:r>
      <w:r w:rsidR="00656507">
        <w:rPr>
          <w:rFonts w:eastAsia="Calibri" w:cs="Calibri"/>
          <w:szCs w:val="26"/>
        </w:rPr>
        <w:fldChar w:fldCharType="begin"/>
      </w:r>
      <w:r w:rsidR="006B1C05">
        <w:rPr>
          <w:rFonts w:eastAsia="Calibri" w:cs="Calibri"/>
          <w:szCs w:val="26"/>
        </w:rPr>
        <w:instrText xml:space="preserve"> ADDIN ZOTERO_ITEM CSL_CITATION {"citationID":"hQJe9PTC","properties":{"formattedCitation":"(75)","plainCitation":"(75)","noteIndex":0},"citationItems":[{"id":74,"uris":["http://zotero.org/users/local/kvLunvBP/items/HKC5STYX"],"itemData":{"id":74,"type":"report","abstract":"The Make Work Pay report sets out a 10 year approach to ensuring that people with disabilities, who are able to, and want to work, are supported and enabled to do so.","language":"en","title":"Make Work Pay Report","URL":"https://www.gov.ie/en/publication/0fb542-make-work-pay-report/","author":[{"family":"Department of Social Protection","given":""}],"accessed":{"date-parts":[["2023",10,25]]},"issued":{"date-parts":[["2017"]]}}}],"schema":"https://github.com/citation-style-language/schema/raw/master/csl-citation.json"} </w:instrText>
      </w:r>
      <w:r w:rsidR="00656507">
        <w:rPr>
          <w:rFonts w:eastAsia="Calibri" w:cs="Calibri"/>
          <w:szCs w:val="26"/>
        </w:rPr>
        <w:fldChar w:fldCharType="separate"/>
      </w:r>
      <w:r w:rsidR="006B1C05" w:rsidRPr="006B1C05">
        <w:rPr>
          <w:rFonts w:eastAsia="Calibri"/>
        </w:rPr>
        <w:t>(75)</w:t>
      </w:r>
      <w:r w:rsidR="00656507">
        <w:rPr>
          <w:rFonts w:eastAsia="Calibri" w:cs="Calibri"/>
          <w:szCs w:val="26"/>
        </w:rPr>
        <w:fldChar w:fldCharType="end"/>
      </w:r>
      <w:r w:rsidRPr="00B71CDB">
        <w:rPr>
          <w:rFonts w:ascii="Gill Sans MT" w:eastAsia="Calibri" w:hAnsi="Gill Sans MT" w:cs="Calibri"/>
          <w:szCs w:val="26"/>
        </w:rPr>
        <w:t xml:space="preserve"> </w:t>
      </w:r>
    </w:p>
    <w:p w14:paraId="78611435" w14:textId="77777777" w:rsidR="00656507" w:rsidRDefault="00656507" w:rsidP="00A93FA8">
      <w:pPr>
        <w:spacing w:after="0"/>
        <w:rPr>
          <w:rFonts w:ascii="Gill Sans MT" w:eastAsia="Calibri" w:hAnsi="Gill Sans MT" w:cs="Calibri"/>
          <w:szCs w:val="26"/>
        </w:rPr>
      </w:pPr>
    </w:p>
    <w:p w14:paraId="3A7574E1" w14:textId="0C2E562B" w:rsidR="00A93FA8" w:rsidRPr="009A0CDD" w:rsidRDefault="00A93FA8" w:rsidP="00A93FA8">
      <w:pPr>
        <w:spacing w:after="0"/>
      </w:pPr>
      <w:r>
        <w:rPr>
          <w:rFonts w:ascii="Gill Sans MT" w:eastAsia="Calibri" w:hAnsi="Gill Sans MT" w:cs="Calibri"/>
          <w:szCs w:val="26"/>
        </w:rPr>
        <w:t xml:space="preserve">Recommendations 9a and </w:t>
      </w:r>
      <w:r w:rsidR="00CC63C6">
        <w:rPr>
          <w:rFonts w:ascii="Gill Sans MT" w:eastAsia="Calibri" w:hAnsi="Gill Sans MT" w:cs="Calibri"/>
          <w:szCs w:val="26"/>
        </w:rPr>
        <w:t>9</w:t>
      </w:r>
      <w:r>
        <w:rPr>
          <w:rFonts w:ascii="Gill Sans MT" w:eastAsia="Calibri" w:hAnsi="Gill Sans MT" w:cs="Calibri"/>
          <w:szCs w:val="26"/>
        </w:rPr>
        <w:t>b in the Make Work Pay report focused on new entrants into the Disability Allowance scheme. These recommendations highlighted actions for</w:t>
      </w:r>
      <w:r w:rsidRPr="00C2310A">
        <w:t xml:space="preserve"> 16</w:t>
      </w:r>
      <w:r w:rsidR="00051BE4">
        <w:t>-</w:t>
      </w:r>
      <w:r w:rsidRPr="00C2310A">
        <w:t>18-year-olds with significant support needs, w</w:t>
      </w:r>
      <w:r>
        <w:t xml:space="preserve">ith the possibility of increasing the age of receiving DA to 18 and that the 16 -18 period </w:t>
      </w:r>
      <w:r w:rsidRPr="00C2310A">
        <w:t>be paid via Domiciliary Care Allowance</w:t>
      </w:r>
      <w:r>
        <w:t>. The second part of this recommendation was to e</w:t>
      </w:r>
      <w:r w:rsidRPr="00C2310A">
        <w:t>xplore possibilities for the reform of the structure of the Disability Allowance for those between the ages of 18-22 to focus on participation in education, training and/or social inclusion</w:t>
      </w:r>
      <w:r w:rsidR="00051BE4">
        <w:t>,</w:t>
      </w:r>
      <w:r w:rsidRPr="00C2310A">
        <w:t xml:space="preserve"> according to individual capacity</w:t>
      </w:r>
      <w:r>
        <w:t xml:space="preserve">. While the programme of </w:t>
      </w:r>
      <w:r w:rsidR="00051BE4">
        <w:t>E</w:t>
      </w:r>
      <w:r>
        <w:t xml:space="preserve">arly </w:t>
      </w:r>
      <w:r w:rsidR="00051BE4">
        <w:t>E</w:t>
      </w:r>
      <w:r>
        <w:t xml:space="preserve">ngagement </w:t>
      </w:r>
      <w:r w:rsidR="00CC63C6">
        <w:t xml:space="preserve">currently </w:t>
      </w:r>
      <w:r>
        <w:t>underway</w:t>
      </w:r>
      <w:r w:rsidR="007D34F1">
        <w:t xml:space="preserve"> through the Department of Social Protection</w:t>
      </w:r>
      <w:r>
        <w:t xml:space="preserve"> is a useful first step</w:t>
      </w:r>
      <w:r w:rsidR="00B621A1">
        <w:t>,</w:t>
      </w:r>
      <w:r>
        <w:t xml:space="preserve"> more cross</w:t>
      </w:r>
      <w:r w:rsidR="00B621A1">
        <w:t>-</w:t>
      </w:r>
      <w:r>
        <w:t>departmental engagement is necessary to ensure that the suite of training</w:t>
      </w:r>
      <w:r w:rsidR="00B621A1">
        <w:t>,</w:t>
      </w:r>
      <w:r>
        <w:t xml:space="preserve"> education</w:t>
      </w:r>
      <w:r w:rsidR="00B621A1">
        <w:t>,</w:t>
      </w:r>
      <w:r>
        <w:t xml:space="preserve"> and social inclusion measures are presented to the young disabled </w:t>
      </w:r>
      <w:r w:rsidR="00CC63C6">
        <w:t>person</w:t>
      </w:r>
      <w:r>
        <w:t>.</w:t>
      </w:r>
    </w:p>
    <w:p w14:paraId="0F63BA59" w14:textId="77777777" w:rsidR="00B621A1" w:rsidRDefault="00B621A1" w:rsidP="000611FE">
      <w:pPr>
        <w:spacing w:after="0"/>
      </w:pPr>
    </w:p>
    <w:p w14:paraId="00C2BF4D" w14:textId="19902EAF" w:rsidR="00CC63C6" w:rsidRDefault="00CC63C6" w:rsidP="000611FE">
      <w:pPr>
        <w:spacing w:after="0"/>
        <w:rPr>
          <w:rFonts w:ascii="Gill Sans MT" w:eastAsia="Calibri" w:hAnsi="Gill Sans MT" w:cs="Calibri"/>
          <w:szCs w:val="22"/>
        </w:rPr>
      </w:pPr>
      <w:r>
        <w:rPr>
          <w:rFonts w:ascii="Gill Sans MT" w:eastAsia="Calibri" w:hAnsi="Gill Sans MT" w:cs="Calibri"/>
          <w:szCs w:val="22"/>
        </w:rPr>
        <w:t>The</w:t>
      </w:r>
      <w:r w:rsidR="00EA069D">
        <w:rPr>
          <w:rFonts w:ascii="Gill Sans MT" w:eastAsia="Calibri" w:hAnsi="Gill Sans MT" w:cs="Calibri"/>
          <w:szCs w:val="22"/>
        </w:rPr>
        <w:t xml:space="preserve"> number of people in receipt of disability payments has continued to grow over the lifetime of the CES. Further, there are issues to be addressed in relation to </w:t>
      </w:r>
      <w:r w:rsidR="00386CAC" w:rsidRPr="0079538A">
        <w:rPr>
          <w:rFonts w:ascii="Gill Sans MT" w:eastAsia="Calibri" w:hAnsi="Gill Sans MT" w:cs="Calibri"/>
          <w:szCs w:val="22"/>
        </w:rPr>
        <w:t>ensuring that work pays enough</w:t>
      </w:r>
      <w:r w:rsidR="00EA069D">
        <w:rPr>
          <w:rFonts w:ascii="Gill Sans MT" w:eastAsia="Calibri" w:hAnsi="Gill Sans MT" w:cs="Calibri"/>
          <w:szCs w:val="22"/>
        </w:rPr>
        <w:t>,</w:t>
      </w:r>
      <w:r w:rsidR="00386CAC" w:rsidRPr="0079538A">
        <w:rPr>
          <w:rFonts w:ascii="Gill Sans MT" w:eastAsia="Calibri" w:hAnsi="Gill Sans MT" w:cs="Calibri"/>
          <w:szCs w:val="22"/>
        </w:rPr>
        <w:t xml:space="preserve"> as </w:t>
      </w:r>
      <w:r w:rsidR="00EA069D">
        <w:rPr>
          <w:rFonts w:ascii="Gill Sans MT" w:eastAsia="Calibri" w:hAnsi="Gill Sans MT" w:cs="Calibri"/>
          <w:szCs w:val="22"/>
        </w:rPr>
        <w:t xml:space="preserve">there is </w:t>
      </w:r>
      <w:r w:rsidR="00386CAC" w:rsidRPr="0079538A">
        <w:rPr>
          <w:rFonts w:ascii="Gill Sans MT" w:eastAsia="Calibri" w:hAnsi="Gill Sans MT" w:cs="Calibri"/>
          <w:szCs w:val="22"/>
        </w:rPr>
        <w:t>evidence</w:t>
      </w:r>
      <w:r w:rsidR="00EA069D">
        <w:rPr>
          <w:rFonts w:ascii="Gill Sans MT" w:eastAsia="Calibri" w:hAnsi="Gill Sans MT" w:cs="Calibri"/>
          <w:szCs w:val="22"/>
        </w:rPr>
        <w:t xml:space="preserve"> relating to in-work poverty among people in employment</w:t>
      </w:r>
      <w:r w:rsidR="00386CAC" w:rsidRPr="0079538A">
        <w:rPr>
          <w:rFonts w:ascii="Gill Sans MT" w:eastAsia="Calibri" w:hAnsi="Gill Sans MT" w:cs="Calibri"/>
          <w:szCs w:val="22"/>
        </w:rPr>
        <w:t>,</w:t>
      </w:r>
      <w:r w:rsidR="00EA069D">
        <w:rPr>
          <w:rFonts w:ascii="Gill Sans MT" w:eastAsia="Calibri" w:hAnsi="Gill Sans MT" w:cs="Calibri"/>
          <w:szCs w:val="22"/>
        </w:rPr>
        <w:t xml:space="preserve"> related both to</w:t>
      </w:r>
      <w:r w:rsidR="00386CAC" w:rsidRPr="0079538A">
        <w:rPr>
          <w:rFonts w:ascii="Gill Sans MT" w:eastAsia="Calibri" w:hAnsi="Gill Sans MT" w:cs="Calibri"/>
          <w:szCs w:val="22"/>
        </w:rPr>
        <w:t xml:space="preserve"> the </w:t>
      </w:r>
      <w:r w:rsidR="00EA069D">
        <w:rPr>
          <w:rFonts w:ascii="Gill Sans MT" w:eastAsia="Calibri" w:hAnsi="Gill Sans MT" w:cs="Calibri"/>
          <w:szCs w:val="22"/>
        </w:rPr>
        <w:t>additional c</w:t>
      </w:r>
      <w:r w:rsidR="00386CAC" w:rsidRPr="0079538A">
        <w:rPr>
          <w:rFonts w:ascii="Gill Sans MT" w:eastAsia="Calibri" w:hAnsi="Gill Sans MT" w:cs="Calibri"/>
          <w:szCs w:val="22"/>
        </w:rPr>
        <w:t>ost</w:t>
      </w:r>
      <w:r w:rsidR="00EA069D">
        <w:rPr>
          <w:rFonts w:ascii="Gill Sans MT" w:eastAsia="Calibri" w:hAnsi="Gill Sans MT" w:cs="Calibri"/>
          <w:szCs w:val="22"/>
        </w:rPr>
        <w:t>s</w:t>
      </w:r>
      <w:r w:rsidR="00386CAC" w:rsidRPr="0079538A">
        <w:rPr>
          <w:rFonts w:ascii="Gill Sans MT" w:eastAsia="Calibri" w:hAnsi="Gill Sans MT" w:cs="Calibri"/>
          <w:szCs w:val="22"/>
        </w:rPr>
        <w:t xml:space="preserve"> of </w:t>
      </w:r>
      <w:r w:rsidR="00EA069D">
        <w:rPr>
          <w:rFonts w:ascii="Gill Sans MT" w:eastAsia="Calibri" w:hAnsi="Gill Sans MT" w:cs="Calibri"/>
          <w:szCs w:val="22"/>
        </w:rPr>
        <w:t xml:space="preserve">having a </w:t>
      </w:r>
      <w:r w:rsidR="00386CAC" w:rsidRPr="0079538A">
        <w:rPr>
          <w:rFonts w:ascii="Gill Sans MT" w:eastAsia="Calibri" w:hAnsi="Gill Sans MT" w:cs="Calibri"/>
          <w:szCs w:val="22"/>
        </w:rPr>
        <w:t xml:space="preserve">disability and the disparity in earning between </w:t>
      </w:r>
      <w:r w:rsidR="00EA069D">
        <w:rPr>
          <w:rFonts w:ascii="Gill Sans MT" w:eastAsia="Calibri" w:hAnsi="Gill Sans MT" w:cs="Calibri"/>
          <w:szCs w:val="22"/>
        </w:rPr>
        <w:t>disabled people</w:t>
      </w:r>
      <w:r w:rsidR="00386CAC" w:rsidRPr="0079538A">
        <w:rPr>
          <w:rFonts w:ascii="Gill Sans MT" w:eastAsia="Calibri" w:hAnsi="Gill Sans MT" w:cs="Calibri"/>
          <w:szCs w:val="22"/>
        </w:rPr>
        <w:t xml:space="preserve"> and their non-disabled peers. </w:t>
      </w:r>
      <w:r>
        <w:rPr>
          <w:rFonts w:eastAsia="Calibri" w:cs="Calibri"/>
          <w:szCs w:val="26"/>
        </w:rPr>
        <w:fldChar w:fldCharType="begin"/>
      </w:r>
      <w:r w:rsidR="00C0772E">
        <w:rPr>
          <w:rFonts w:eastAsia="Calibri" w:cs="Calibri"/>
          <w:szCs w:val="26"/>
        </w:rPr>
        <w:instrText xml:space="preserve"> ADDIN ZOTERO_ITEM CSL_CITATION {"citationID":"EXmzOBqG","properties":{"formattedCitation":"(8)","plainCitation":"(8)","noteIndex":0},"citationItems":[{"id":100,"uris":["http://zotero.org/users/local/kvLunvBP/items/3PINK7QW"],"itemData":{"id":100,"type":"report","abstract":"A research report by Indecon International Research Economists about the cost of disability in Ireland.","language":"en","title":"The Cost of Disability in Ireland – Research Report","URL":"https://www.gov.ie/en/publication/1d84e-the-cost-of-disability-in-ireland-research-report/","author":[{"family":"Indecon","given":""}],"accessed":{"date-parts":[["2024",1,10]]},"issued":{"date-parts":[["2021",12,7]]}}}],"schema":"https://github.com/citation-style-language/schema/raw/master/csl-citation.json"} </w:instrText>
      </w:r>
      <w:r>
        <w:rPr>
          <w:rFonts w:eastAsia="Calibri" w:cs="Calibri"/>
          <w:szCs w:val="26"/>
        </w:rPr>
        <w:fldChar w:fldCharType="separate"/>
      </w:r>
      <w:r w:rsidR="00C0772E" w:rsidRPr="00C0772E">
        <w:rPr>
          <w:rFonts w:eastAsia="Calibri"/>
        </w:rPr>
        <w:t>(8)</w:t>
      </w:r>
      <w:r>
        <w:rPr>
          <w:rFonts w:eastAsia="Calibri" w:cs="Calibri"/>
          <w:szCs w:val="26"/>
        </w:rPr>
        <w:fldChar w:fldCharType="end"/>
      </w:r>
    </w:p>
    <w:p w14:paraId="21BCD47B" w14:textId="77777777" w:rsidR="00EA069D" w:rsidRPr="009271C8" w:rsidRDefault="00EA069D" w:rsidP="000611FE">
      <w:pPr>
        <w:spacing w:after="0"/>
        <w:rPr>
          <w:rFonts w:ascii="Gill Sans MT" w:eastAsia="Calibri" w:hAnsi="Gill Sans MT" w:cs="Calibri"/>
          <w:szCs w:val="26"/>
        </w:rPr>
      </w:pPr>
    </w:p>
    <w:p w14:paraId="52F8B4AA" w14:textId="2AEDE8B2" w:rsidR="001610AC" w:rsidRPr="00962EBD" w:rsidRDefault="00252BE6" w:rsidP="00962EBD">
      <w:pPr>
        <w:pStyle w:val="Heading3"/>
      </w:pPr>
      <w:bookmarkStart w:id="265" w:name="_Toc182219533"/>
      <w:bookmarkStart w:id="266" w:name="_Toc182220236"/>
      <w:bookmarkStart w:id="267" w:name="_Toc182555584"/>
      <w:r>
        <w:t>Key achievements</w:t>
      </w:r>
      <w:bookmarkEnd w:id="265"/>
      <w:bookmarkEnd w:id="266"/>
      <w:bookmarkEnd w:id="267"/>
    </w:p>
    <w:p w14:paraId="5D00641F" w14:textId="1AE8FA54" w:rsidR="001610AC" w:rsidRDefault="001610AC" w:rsidP="001610AC">
      <w:pPr>
        <w:numPr>
          <w:ilvl w:val="0"/>
          <w:numId w:val="27"/>
        </w:numPr>
        <w:spacing w:after="0" w:line="259" w:lineRule="auto"/>
        <w:contextualSpacing/>
        <w:rPr>
          <w:rFonts w:ascii="Gill Sans MT" w:hAnsi="Gill Sans MT"/>
          <w:szCs w:val="26"/>
          <w:lang w:val="en-GB"/>
        </w:rPr>
      </w:pPr>
      <w:r w:rsidRPr="0079538A">
        <w:rPr>
          <w:rFonts w:ascii="Gill Sans MT" w:hAnsi="Gill Sans MT"/>
          <w:szCs w:val="26"/>
          <w:lang w:val="en-GB"/>
        </w:rPr>
        <w:t>From April 2017, if a person is in receipt of a long-term disability payment and moves off th</w:t>
      </w:r>
      <w:r w:rsidR="001E768E">
        <w:rPr>
          <w:rFonts w:ascii="Gill Sans MT" w:hAnsi="Gill Sans MT"/>
          <w:szCs w:val="26"/>
          <w:lang w:val="en-GB"/>
        </w:rPr>
        <w:t>at</w:t>
      </w:r>
      <w:r w:rsidRPr="0079538A">
        <w:rPr>
          <w:rFonts w:ascii="Gill Sans MT" w:hAnsi="Gill Sans MT"/>
          <w:szCs w:val="26"/>
          <w:lang w:val="en-GB"/>
        </w:rPr>
        <w:t xml:space="preserve"> payment to get a job, they will retain their entitlement to</w:t>
      </w:r>
      <w:r w:rsidR="00CC63C6">
        <w:rPr>
          <w:rFonts w:ascii="Gill Sans MT" w:hAnsi="Gill Sans MT"/>
          <w:szCs w:val="26"/>
          <w:lang w:val="en-GB"/>
        </w:rPr>
        <w:t xml:space="preserve"> f</w:t>
      </w:r>
      <w:r w:rsidRPr="0079538A">
        <w:rPr>
          <w:rFonts w:ascii="Gill Sans MT" w:hAnsi="Gill Sans MT"/>
          <w:szCs w:val="26"/>
          <w:lang w:val="en-GB"/>
        </w:rPr>
        <w:t xml:space="preserve">ree </w:t>
      </w:r>
      <w:r w:rsidR="00CC63C6">
        <w:rPr>
          <w:rFonts w:ascii="Gill Sans MT" w:hAnsi="Gill Sans MT"/>
          <w:szCs w:val="26"/>
          <w:lang w:val="en-GB"/>
        </w:rPr>
        <w:t>t</w:t>
      </w:r>
      <w:r w:rsidRPr="0079538A">
        <w:rPr>
          <w:rFonts w:ascii="Gill Sans MT" w:hAnsi="Gill Sans MT"/>
          <w:szCs w:val="26"/>
          <w:lang w:val="en-GB"/>
        </w:rPr>
        <w:t>ravel for a period of five years, providing all other qualifying conditions for the Free Travel Scheme are satisfied</w:t>
      </w:r>
      <w:r w:rsidR="00051BE4">
        <w:rPr>
          <w:rFonts w:ascii="Gill Sans MT" w:hAnsi="Gill Sans MT"/>
          <w:szCs w:val="26"/>
          <w:lang w:val="en-GB"/>
        </w:rPr>
        <w:t>.</w:t>
      </w:r>
    </w:p>
    <w:p w14:paraId="7230E679" w14:textId="6E63A587" w:rsidR="002D4FBB" w:rsidRPr="00B42243" w:rsidRDefault="002D4FBB" w:rsidP="00F70F8B">
      <w:pPr>
        <w:pStyle w:val="ListParagraph"/>
        <w:numPr>
          <w:ilvl w:val="0"/>
          <w:numId w:val="27"/>
        </w:numPr>
        <w:autoSpaceDE w:val="0"/>
        <w:autoSpaceDN w:val="0"/>
        <w:adjustRightInd w:val="0"/>
        <w:spacing w:after="0"/>
        <w:ind w:left="714" w:hanging="357"/>
        <w:rPr>
          <w:rFonts w:ascii="Gill Sans MT" w:eastAsia="SimSun" w:hAnsi="Gill Sans MT"/>
          <w:lang w:eastAsia="en-IE"/>
        </w:rPr>
      </w:pPr>
      <w:r w:rsidRPr="00B42243">
        <w:rPr>
          <w:rFonts w:ascii="Gill Sans MT" w:eastAsia="SimSun" w:hAnsi="Gill Sans MT"/>
          <w:lang w:eastAsia="en-IE"/>
        </w:rPr>
        <w:t xml:space="preserve">Budget 2023 was the third successive budget that the Government progressively increased earnings disregards, which </w:t>
      </w:r>
      <w:r>
        <w:rPr>
          <w:rFonts w:ascii="Gill Sans MT" w:eastAsia="SimSun" w:hAnsi="Gill Sans MT"/>
          <w:lang w:eastAsia="en-IE"/>
        </w:rPr>
        <w:t>saw</w:t>
      </w:r>
      <w:r w:rsidRPr="00B42243">
        <w:rPr>
          <w:rFonts w:ascii="Gill Sans MT" w:eastAsia="SimSun" w:hAnsi="Gill Sans MT"/>
          <w:lang w:eastAsia="en-IE"/>
        </w:rPr>
        <w:t xml:space="preserve"> people with disabilities retaining more of their payments while in employment. The earnings disregard for recipients of Disability Allowance and Blind Pension increased by almost 38% over these budgets from €120 to €140 to €165 currently. </w:t>
      </w:r>
    </w:p>
    <w:p w14:paraId="60D3E25D" w14:textId="3BD5EBC5" w:rsidR="006513CC" w:rsidRPr="00B621A1" w:rsidRDefault="006513CC" w:rsidP="00B621A1">
      <w:pPr>
        <w:numPr>
          <w:ilvl w:val="0"/>
          <w:numId w:val="27"/>
        </w:numPr>
        <w:spacing w:after="0" w:line="259" w:lineRule="auto"/>
        <w:contextualSpacing/>
        <w:rPr>
          <w:rFonts w:ascii="Gill Sans MT" w:hAnsi="Gill Sans MT"/>
          <w:szCs w:val="26"/>
          <w:lang w:val="en-GB"/>
        </w:rPr>
      </w:pPr>
      <w:r w:rsidRPr="0079538A">
        <w:rPr>
          <w:rFonts w:ascii="Gill Sans MT" w:hAnsi="Gill Sans MT"/>
          <w:szCs w:val="26"/>
          <w:lang w:val="en-GB"/>
        </w:rPr>
        <w:t xml:space="preserve">From </w:t>
      </w:r>
      <w:r w:rsidR="00A93FA8">
        <w:rPr>
          <w:rFonts w:ascii="Gill Sans MT" w:hAnsi="Gill Sans MT"/>
          <w:szCs w:val="26"/>
          <w:lang w:val="en-GB"/>
        </w:rPr>
        <w:t>2017</w:t>
      </w:r>
      <w:r w:rsidRPr="0079538A">
        <w:rPr>
          <w:rFonts w:ascii="Gill Sans MT" w:hAnsi="Gill Sans MT"/>
          <w:szCs w:val="26"/>
          <w:lang w:val="en-GB"/>
        </w:rPr>
        <w:t>, if a person is in receipt of a long-term disability payment and moves off th</w:t>
      </w:r>
      <w:r>
        <w:rPr>
          <w:rFonts w:ascii="Gill Sans MT" w:hAnsi="Gill Sans MT"/>
          <w:szCs w:val="26"/>
          <w:lang w:val="en-GB"/>
        </w:rPr>
        <w:t>at</w:t>
      </w:r>
      <w:r w:rsidRPr="0079538A">
        <w:rPr>
          <w:rFonts w:ascii="Gill Sans MT" w:hAnsi="Gill Sans MT"/>
          <w:szCs w:val="26"/>
          <w:lang w:val="en-GB"/>
        </w:rPr>
        <w:t xml:space="preserve"> payment to get a job, they will retain their entitlement to </w:t>
      </w:r>
      <w:r>
        <w:rPr>
          <w:rFonts w:ascii="Gill Sans MT" w:hAnsi="Gill Sans MT"/>
          <w:szCs w:val="26"/>
          <w:lang w:val="en-GB"/>
        </w:rPr>
        <w:t>a medical card</w:t>
      </w:r>
      <w:r w:rsidRPr="0079538A">
        <w:rPr>
          <w:rFonts w:ascii="Gill Sans MT" w:hAnsi="Gill Sans MT"/>
          <w:szCs w:val="26"/>
          <w:lang w:val="en-GB"/>
        </w:rPr>
        <w:t xml:space="preserve"> for a period </w:t>
      </w:r>
      <w:r w:rsidRPr="00CA2AD5">
        <w:rPr>
          <w:rFonts w:ascii="Gill Sans MT" w:hAnsi="Gill Sans MT"/>
          <w:szCs w:val="26"/>
          <w:lang w:val="en-GB"/>
        </w:rPr>
        <w:t>of five</w:t>
      </w:r>
      <w:r w:rsidRPr="0079538A">
        <w:rPr>
          <w:rFonts w:ascii="Gill Sans MT" w:hAnsi="Gill Sans MT"/>
          <w:szCs w:val="26"/>
          <w:lang w:val="en-GB"/>
        </w:rPr>
        <w:t xml:space="preserve"> years, providing all other qualifying conditions are satisfied. </w:t>
      </w:r>
      <w:r w:rsidR="00353275">
        <w:rPr>
          <w:rFonts w:ascii="Gill Sans MT" w:hAnsi="Gill Sans MT"/>
          <w:szCs w:val="26"/>
          <w:lang w:val="en-GB"/>
        </w:rPr>
        <w:t>However, despite this amendment</w:t>
      </w:r>
      <w:r w:rsidR="0084335E">
        <w:rPr>
          <w:rFonts w:ascii="Gill Sans MT" w:hAnsi="Gill Sans MT"/>
          <w:szCs w:val="26"/>
          <w:lang w:val="en-GB"/>
        </w:rPr>
        <w:t>,</w:t>
      </w:r>
      <w:r w:rsidR="00353275">
        <w:rPr>
          <w:rFonts w:ascii="Gill Sans MT" w:hAnsi="Gill Sans MT"/>
          <w:szCs w:val="26"/>
          <w:lang w:val="en-GB"/>
        </w:rPr>
        <w:t xml:space="preserve"> many DA recipients still cite fear of losing their medical card as a key dis</w:t>
      </w:r>
      <w:r w:rsidR="00A93FA8">
        <w:rPr>
          <w:rFonts w:ascii="Gill Sans MT" w:hAnsi="Gill Sans MT"/>
          <w:szCs w:val="26"/>
          <w:lang w:val="en-GB"/>
        </w:rPr>
        <w:t>in</w:t>
      </w:r>
      <w:r w:rsidR="00353275">
        <w:rPr>
          <w:rFonts w:ascii="Gill Sans MT" w:hAnsi="Gill Sans MT"/>
          <w:szCs w:val="26"/>
          <w:lang w:val="en-GB"/>
        </w:rPr>
        <w:t>centive to work</w:t>
      </w:r>
      <w:r w:rsidR="0084335E">
        <w:rPr>
          <w:rFonts w:ascii="Gill Sans MT" w:hAnsi="Gill Sans MT"/>
          <w:szCs w:val="26"/>
          <w:lang w:val="en-GB"/>
        </w:rPr>
        <w:t>ing</w:t>
      </w:r>
      <w:r w:rsidR="00F70F8B">
        <w:rPr>
          <w:rFonts w:ascii="Gill Sans MT" w:hAnsi="Gill Sans MT"/>
          <w:szCs w:val="26"/>
          <w:lang w:val="en-GB"/>
        </w:rPr>
        <w:t>.</w:t>
      </w:r>
    </w:p>
    <w:p w14:paraId="5B71AEC6" w14:textId="033A6002" w:rsidR="001610AC" w:rsidRDefault="001610AC" w:rsidP="001610AC">
      <w:pPr>
        <w:numPr>
          <w:ilvl w:val="0"/>
          <w:numId w:val="27"/>
        </w:numPr>
        <w:spacing w:after="0" w:line="259" w:lineRule="auto"/>
        <w:contextualSpacing/>
        <w:rPr>
          <w:rFonts w:ascii="Gill Sans MT" w:hAnsi="Gill Sans MT"/>
          <w:szCs w:val="26"/>
          <w:lang w:val="en-GB"/>
        </w:rPr>
      </w:pPr>
      <w:r w:rsidRPr="0079538A">
        <w:rPr>
          <w:rFonts w:ascii="Gill Sans MT" w:hAnsi="Gill Sans MT"/>
          <w:szCs w:val="26"/>
          <w:lang w:val="en-GB"/>
        </w:rPr>
        <w:t xml:space="preserve">In Budget 2024, additional funding for the </w:t>
      </w:r>
      <w:r w:rsidRPr="001610AC">
        <w:rPr>
          <w:rFonts w:ascii="Gill Sans MT" w:hAnsi="Gill Sans MT"/>
          <w:szCs w:val="26"/>
          <w:lang w:val="en-GB"/>
        </w:rPr>
        <w:t>Free Travel Scheme</w:t>
      </w:r>
      <w:r w:rsidRPr="0079538A">
        <w:rPr>
          <w:rFonts w:ascii="Gill Sans MT" w:hAnsi="Gill Sans MT"/>
          <w:szCs w:val="26"/>
          <w:lang w:val="en-GB"/>
        </w:rPr>
        <w:t xml:space="preserve"> was announced to provide for those medically certified unfit to drive</w:t>
      </w:r>
      <w:r w:rsidR="00F70F8B">
        <w:rPr>
          <w:rFonts w:ascii="Gill Sans MT" w:hAnsi="Gill Sans MT"/>
          <w:szCs w:val="26"/>
          <w:lang w:val="en-GB"/>
        </w:rPr>
        <w:t>.</w:t>
      </w:r>
    </w:p>
    <w:p w14:paraId="2008635F" w14:textId="1D74C8B9" w:rsidR="001610AC" w:rsidRPr="00EA069D" w:rsidRDefault="001610AC" w:rsidP="001610AC">
      <w:pPr>
        <w:numPr>
          <w:ilvl w:val="0"/>
          <w:numId w:val="27"/>
        </w:numPr>
        <w:spacing w:after="0" w:line="259" w:lineRule="auto"/>
        <w:contextualSpacing/>
        <w:rPr>
          <w:rFonts w:ascii="Gill Sans MT" w:hAnsi="Gill Sans MT"/>
          <w:szCs w:val="26"/>
          <w:lang w:val="en-GB"/>
        </w:rPr>
      </w:pPr>
      <w:r w:rsidRPr="001610AC">
        <w:rPr>
          <w:rFonts w:ascii="Gill Sans MT" w:hAnsi="Gill Sans MT"/>
          <w:szCs w:val="26"/>
          <w:lang w:val="en-GB"/>
        </w:rPr>
        <w:t xml:space="preserve">Where a person exits a disability payment to enter employment, they can </w:t>
      </w:r>
      <w:r>
        <w:rPr>
          <w:rFonts w:ascii="Gill Sans MT" w:hAnsi="Gill Sans MT"/>
          <w:szCs w:val="26"/>
          <w:lang w:val="en-GB"/>
        </w:rPr>
        <w:t xml:space="preserve">now </w:t>
      </w:r>
      <w:r w:rsidRPr="001610AC">
        <w:rPr>
          <w:rFonts w:ascii="Gill Sans MT" w:hAnsi="Gill Sans MT"/>
          <w:szCs w:val="26"/>
          <w:lang w:val="en-GB"/>
        </w:rPr>
        <w:t>be fast-tracked back to that payment, if the employment ceases within 12 months</w:t>
      </w:r>
      <w:r w:rsidR="00F70F8B">
        <w:rPr>
          <w:rFonts w:ascii="Gill Sans MT" w:hAnsi="Gill Sans MT"/>
          <w:szCs w:val="26"/>
          <w:lang w:val="en-GB"/>
        </w:rPr>
        <w:t>.</w:t>
      </w:r>
    </w:p>
    <w:p w14:paraId="47A4EB10" w14:textId="66D4895E" w:rsidR="001610AC" w:rsidRDefault="001610AC" w:rsidP="001610AC">
      <w:pPr>
        <w:numPr>
          <w:ilvl w:val="0"/>
          <w:numId w:val="27"/>
        </w:numPr>
        <w:spacing w:after="0" w:line="259" w:lineRule="auto"/>
        <w:contextualSpacing/>
        <w:rPr>
          <w:rFonts w:ascii="Gill Sans MT" w:hAnsi="Gill Sans MT"/>
          <w:szCs w:val="26"/>
          <w:lang w:val="en-GB"/>
        </w:rPr>
      </w:pPr>
      <w:r w:rsidRPr="0079538A">
        <w:rPr>
          <w:rFonts w:ascii="Gill Sans MT" w:hAnsi="Gill Sans MT"/>
          <w:szCs w:val="26"/>
          <w:lang w:val="en-GB"/>
        </w:rPr>
        <w:t>Legislation was amended to dispense with the requirement for Disability Allowance and Blind Pension that</w:t>
      </w:r>
      <w:r w:rsidR="00F70F8B">
        <w:rPr>
          <w:rFonts w:ascii="Gill Sans MT" w:hAnsi="Gill Sans MT"/>
          <w:szCs w:val="26"/>
          <w:lang w:val="en-GB"/>
        </w:rPr>
        <w:t xml:space="preserve"> any</w:t>
      </w:r>
      <w:r w:rsidRPr="0079538A">
        <w:rPr>
          <w:rFonts w:ascii="Gill Sans MT" w:hAnsi="Gill Sans MT"/>
          <w:szCs w:val="26"/>
          <w:lang w:val="en-GB"/>
        </w:rPr>
        <w:t xml:space="preserve"> </w:t>
      </w:r>
      <w:r w:rsidRPr="001610AC">
        <w:rPr>
          <w:rFonts w:ascii="Gill Sans MT" w:hAnsi="Gill Sans MT"/>
          <w:szCs w:val="26"/>
          <w:lang w:val="en-GB"/>
        </w:rPr>
        <w:t>work</w:t>
      </w:r>
      <w:r w:rsidR="00F70F8B">
        <w:rPr>
          <w:rFonts w:ascii="Gill Sans MT" w:hAnsi="Gill Sans MT"/>
          <w:szCs w:val="26"/>
          <w:lang w:val="en-GB"/>
        </w:rPr>
        <w:t xml:space="preserve"> undertaken</w:t>
      </w:r>
      <w:r w:rsidRPr="001610AC">
        <w:rPr>
          <w:rFonts w:ascii="Gill Sans MT" w:hAnsi="Gill Sans MT"/>
          <w:szCs w:val="26"/>
          <w:lang w:val="en-GB"/>
        </w:rPr>
        <w:t xml:space="preserve"> must be of a rehabilitative nature</w:t>
      </w:r>
      <w:r w:rsidR="00F70F8B">
        <w:rPr>
          <w:rFonts w:ascii="Gill Sans MT" w:hAnsi="Gill Sans MT"/>
          <w:szCs w:val="26"/>
          <w:lang w:val="en-GB"/>
        </w:rPr>
        <w:t>.</w:t>
      </w:r>
    </w:p>
    <w:p w14:paraId="10472DCD" w14:textId="09E2C832" w:rsidR="0081074C" w:rsidRPr="00962EBD" w:rsidRDefault="00962EBD" w:rsidP="00962EBD">
      <w:pPr>
        <w:pStyle w:val="ListParagraph"/>
        <w:numPr>
          <w:ilvl w:val="0"/>
          <w:numId w:val="27"/>
        </w:numPr>
        <w:spacing w:line="259" w:lineRule="auto"/>
        <w:rPr>
          <w:rFonts w:ascii="Gill Sans MT" w:hAnsi="Gill Sans MT"/>
          <w:szCs w:val="26"/>
          <w:lang w:val="en-GB"/>
        </w:rPr>
      </w:pPr>
      <w:r w:rsidRPr="00962EBD">
        <w:rPr>
          <w:rFonts w:ascii="Gill Sans MT" w:hAnsi="Gill Sans MT"/>
          <w:szCs w:val="26"/>
          <w:lang w:val="en-GB"/>
        </w:rPr>
        <w:t xml:space="preserve">An online ready reckoner ‘Benefit of Work Estimator’ is now available on the MyWelfare website. </w:t>
      </w:r>
      <w:r w:rsidRPr="00962EBD">
        <w:rPr>
          <w:rFonts w:ascii="Gill Sans MT" w:hAnsi="Gill Sans MT"/>
          <w:szCs w:val="26"/>
        </w:rPr>
        <w:t xml:space="preserve">This allows jobseekers to calculate the impact that starting work or increasing work hours would have on their current social welfare payment. </w:t>
      </w:r>
    </w:p>
    <w:p w14:paraId="18E725B5" w14:textId="2C596B87" w:rsidR="007C601A" w:rsidRDefault="00252BE6" w:rsidP="00085A89">
      <w:pPr>
        <w:pStyle w:val="Heading3"/>
      </w:pPr>
      <w:bookmarkStart w:id="268" w:name="_Toc182219534"/>
      <w:bookmarkStart w:id="269" w:name="_Toc182220237"/>
      <w:bookmarkStart w:id="270" w:name="_Toc182555585"/>
      <w:r>
        <w:t>Gaps to be addressed</w:t>
      </w:r>
      <w:bookmarkEnd w:id="268"/>
      <w:bookmarkEnd w:id="269"/>
      <w:bookmarkEnd w:id="270"/>
    </w:p>
    <w:p w14:paraId="065B43FE" w14:textId="5DD10395" w:rsidR="000611FE" w:rsidRPr="0081074C" w:rsidRDefault="0081074C" w:rsidP="002A3504">
      <w:pPr>
        <w:pStyle w:val="ListParagraph"/>
        <w:numPr>
          <w:ilvl w:val="0"/>
          <w:numId w:val="41"/>
        </w:numPr>
      </w:pPr>
      <w:r w:rsidRPr="0081074C">
        <w:t xml:space="preserve">While </w:t>
      </w:r>
      <w:r w:rsidR="000611FE" w:rsidRPr="0081074C">
        <w:t xml:space="preserve">Make </w:t>
      </w:r>
      <w:r w:rsidRPr="0081074C">
        <w:t>W</w:t>
      </w:r>
      <w:r w:rsidR="000611FE" w:rsidRPr="0081074C">
        <w:t xml:space="preserve">ork </w:t>
      </w:r>
      <w:r w:rsidRPr="0081074C">
        <w:t>P</w:t>
      </w:r>
      <w:r w:rsidR="000611FE" w:rsidRPr="0081074C">
        <w:t>ay went some way to</w:t>
      </w:r>
      <w:r w:rsidR="00074B40">
        <w:t>wards</w:t>
      </w:r>
      <w:r w:rsidR="000611FE" w:rsidRPr="0081074C">
        <w:t xml:space="preserve"> addressing </w:t>
      </w:r>
      <w:r w:rsidR="001530F2" w:rsidRPr="0081074C">
        <w:t>obstacles</w:t>
      </w:r>
      <w:r w:rsidR="000611FE" w:rsidRPr="0081074C">
        <w:t xml:space="preserve"> to employment, </w:t>
      </w:r>
      <w:r w:rsidR="005D7D40">
        <w:t xml:space="preserve">broader </w:t>
      </w:r>
      <w:r w:rsidR="000611FE" w:rsidRPr="0081074C">
        <w:t>cost of living challenges</w:t>
      </w:r>
      <w:r w:rsidR="00950000" w:rsidRPr="0081074C">
        <w:t>, the additional cost</w:t>
      </w:r>
      <w:r w:rsidR="002A3504">
        <w:t>s</w:t>
      </w:r>
      <w:r w:rsidR="00950000" w:rsidRPr="0081074C">
        <w:t xml:space="preserve"> of having a disability</w:t>
      </w:r>
      <w:r w:rsidR="002A3504">
        <w:t xml:space="preserve">, </w:t>
      </w:r>
      <w:r w:rsidR="000611FE" w:rsidRPr="0081074C">
        <w:t>and the</w:t>
      </w:r>
      <w:r w:rsidR="003C192B">
        <w:t xml:space="preserve"> low-paid sectors in which disabled people disproportionately work</w:t>
      </w:r>
      <w:r w:rsidR="003E0541">
        <w:t xml:space="preserve"> </w:t>
      </w:r>
      <w:r w:rsidR="000611FE" w:rsidRPr="0081074C">
        <w:t xml:space="preserve">have </w:t>
      </w:r>
      <w:r w:rsidR="00950000" w:rsidRPr="0081074C">
        <w:t xml:space="preserve">continued to prevent the realisation of making work pay for some disabled people. </w:t>
      </w:r>
      <w:r w:rsidR="00EA069D" w:rsidRPr="00EA069D">
        <w:t>The NDA advise</w:t>
      </w:r>
      <w:r w:rsidR="00EA069D">
        <w:t xml:space="preserve">s </w:t>
      </w:r>
      <w:r w:rsidR="00EA069D" w:rsidRPr="00EA069D">
        <w:t xml:space="preserve">that it is critical </w:t>
      </w:r>
      <w:r w:rsidR="00EA069D">
        <w:t xml:space="preserve">to </w:t>
      </w:r>
      <w:r w:rsidR="00EA069D" w:rsidRPr="00EA069D">
        <w:t>target supports to poorer</w:t>
      </w:r>
      <w:r w:rsidR="005D7D40">
        <w:t xml:space="preserve"> individuals and</w:t>
      </w:r>
      <w:r w:rsidR="00EA069D" w:rsidRPr="00EA069D">
        <w:t xml:space="preserve"> families,</w:t>
      </w:r>
      <w:r w:rsidR="00EA069D">
        <w:t xml:space="preserve"> to ensure</w:t>
      </w:r>
      <w:r w:rsidR="00EA069D" w:rsidRPr="00EA069D">
        <w:t xml:space="preserve"> that new poverty traps are not created</w:t>
      </w:r>
      <w:r w:rsidR="009C7D01">
        <w:t xml:space="preserve"> </w:t>
      </w:r>
      <w:r w:rsidR="00EA069D" w:rsidRPr="00EA069D">
        <w:t xml:space="preserve">and that the welfare-to-work journey </w:t>
      </w:r>
      <w:r w:rsidR="00EA069D">
        <w:t xml:space="preserve">be </w:t>
      </w:r>
      <w:r w:rsidR="00EA069D" w:rsidRPr="00EA069D">
        <w:t>as smooth as possible. Addressing the additional cost of having a disability in Ireland requires specific attention</w:t>
      </w:r>
      <w:r w:rsidR="005D7D40">
        <w:t>,</w:t>
      </w:r>
      <w:r w:rsidR="00EA069D" w:rsidRPr="00EA069D">
        <w:t xml:space="preserve"> and </w:t>
      </w:r>
      <w:r w:rsidR="005D7D40">
        <w:t xml:space="preserve">it is clear that </w:t>
      </w:r>
      <w:r w:rsidR="00EA069D" w:rsidRPr="00EA069D">
        <w:t>obtaining employment alone may not be sufficient.</w:t>
      </w:r>
    </w:p>
    <w:p w14:paraId="2285FB6D" w14:textId="753ADA92" w:rsidR="00353275" w:rsidRDefault="00353275" w:rsidP="00353275">
      <w:pPr>
        <w:pStyle w:val="ListParagraph"/>
        <w:numPr>
          <w:ilvl w:val="0"/>
          <w:numId w:val="41"/>
        </w:numPr>
        <w:spacing w:after="0"/>
        <w:rPr>
          <w:rFonts w:ascii="Gill Sans MT" w:eastAsia="Calibri" w:hAnsi="Gill Sans MT" w:cs="Calibri"/>
          <w:szCs w:val="22"/>
        </w:rPr>
      </w:pPr>
      <w:r w:rsidRPr="00353275">
        <w:rPr>
          <w:rFonts w:ascii="Gill Sans MT" w:eastAsia="Calibri" w:hAnsi="Gill Sans MT" w:cs="Calibri"/>
          <w:szCs w:val="22"/>
        </w:rPr>
        <w:t>It is unfortunate that a</w:t>
      </w:r>
      <w:r w:rsidR="0037032B">
        <w:rPr>
          <w:rFonts w:ascii="Gill Sans MT" w:eastAsia="Calibri" w:hAnsi="Gill Sans MT" w:cs="Calibri"/>
          <w:szCs w:val="22"/>
        </w:rPr>
        <w:t>n annual</w:t>
      </w:r>
      <w:r w:rsidRPr="00353275">
        <w:rPr>
          <w:rFonts w:ascii="Gill Sans MT" w:eastAsia="Calibri" w:hAnsi="Gill Sans MT" w:cs="Calibri"/>
          <w:szCs w:val="22"/>
        </w:rPr>
        <w:t xml:space="preserve"> review of Make Work Pay was not conducted. The implementation of this report was not monitored and there was little oversight to ensure all actions were implemented. </w:t>
      </w:r>
    </w:p>
    <w:p w14:paraId="21D6D516" w14:textId="07329F4E" w:rsidR="009F78FB" w:rsidRPr="0051118F" w:rsidRDefault="00410008" w:rsidP="009F78FB">
      <w:pPr>
        <w:pStyle w:val="ListParagraph"/>
        <w:numPr>
          <w:ilvl w:val="0"/>
          <w:numId w:val="41"/>
        </w:numPr>
        <w:spacing w:after="0"/>
        <w:rPr>
          <w:rFonts w:ascii="Gill Sans MT" w:eastAsia="Calibri" w:hAnsi="Gill Sans MT" w:cs="Calibri"/>
          <w:szCs w:val="22"/>
        </w:rPr>
      </w:pPr>
      <w:r>
        <w:rPr>
          <w:rFonts w:ascii="Gill Sans MT" w:eastAsia="Calibri" w:hAnsi="Gill Sans MT" w:cs="Calibri"/>
          <w:szCs w:val="22"/>
        </w:rPr>
        <w:t xml:space="preserve">The issue of young people </w:t>
      </w:r>
      <w:r w:rsidR="00CC7B2D">
        <w:rPr>
          <w:rFonts w:ascii="Gill Sans MT" w:eastAsia="Calibri" w:hAnsi="Gill Sans MT" w:cs="Calibri"/>
          <w:szCs w:val="22"/>
        </w:rPr>
        <w:t xml:space="preserve">being eligible to receive </w:t>
      </w:r>
      <w:r>
        <w:rPr>
          <w:rFonts w:ascii="Gill Sans MT" w:eastAsia="Calibri" w:hAnsi="Gill Sans MT" w:cs="Calibri"/>
          <w:szCs w:val="22"/>
        </w:rPr>
        <w:t>DA at age 16 should be examined as to whether it is a disincentive to work.</w:t>
      </w:r>
      <w:r w:rsidR="007D34F1">
        <w:rPr>
          <w:rFonts w:ascii="Gill Sans MT" w:eastAsia="Calibri" w:hAnsi="Gill Sans MT" w:cs="Calibri"/>
          <w:szCs w:val="22"/>
        </w:rPr>
        <w:t xml:space="preserve"> Information on this was collected on this during the consultations on the Green Paper on disability reform and may shed some light on this issue when published.</w:t>
      </w:r>
    </w:p>
    <w:p w14:paraId="6B0F46B9" w14:textId="77777777" w:rsidR="009F78FB" w:rsidRDefault="009F78FB" w:rsidP="009F78FB">
      <w:pPr>
        <w:spacing w:after="0"/>
        <w:rPr>
          <w:rFonts w:ascii="Gill Sans MT" w:eastAsia="Calibri" w:hAnsi="Gill Sans MT" w:cs="Calibri"/>
          <w:szCs w:val="22"/>
        </w:rPr>
      </w:pPr>
    </w:p>
    <w:p w14:paraId="486DF70E" w14:textId="3BB0797E" w:rsidR="009F78FB" w:rsidRPr="009F78FB" w:rsidRDefault="009F78FB" w:rsidP="009F78FB">
      <w:pPr>
        <w:spacing w:after="0"/>
        <w:rPr>
          <w:rFonts w:ascii="Gill Sans MT" w:eastAsia="Calibri" w:hAnsi="Gill Sans MT" w:cs="Calibri"/>
          <w:szCs w:val="22"/>
        </w:rPr>
        <w:sectPr w:rsidR="009F78FB" w:rsidRPr="009F78FB" w:rsidSect="0020536D">
          <w:pgSz w:w="12240" w:h="15840"/>
          <w:pgMar w:top="1440" w:right="1800" w:bottom="1440" w:left="1800" w:header="708" w:footer="708" w:gutter="0"/>
          <w:cols w:space="708"/>
          <w:docGrid w:linePitch="360"/>
        </w:sectPr>
      </w:pPr>
    </w:p>
    <w:p w14:paraId="55F99B04" w14:textId="77777777" w:rsidR="00A07C43" w:rsidRPr="00A07C43" w:rsidRDefault="00A07C43" w:rsidP="00A07C43">
      <w:pPr>
        <w:keepNext/>
        <w:pBdr>
          <w:top w:val="single" w:sz="4" w:space="4" w:color="auto"/>
          <w:left w:val="single" w:sz="4" w:space="2" w:color="auto"/>
          <w:bottom w:val="single" w:sz="4" w:space="4" w:color="auto"/>
          <w:right w:val="single" w:sz="4" w:space="4" w:color="auto"/>
        </w:pBdr>
        <w:spacing w:before="360"/>
        <w:ind w:left="-284"/>
        <w:outlineLvl w:val="0"/>
        <w:rPr>
          <w:rFonts w:ascii="Gill Sans MT" w:hAnsi="Gill Sans MT" w:cs="Arial"/>
          <w:b/>
          <w:bCs/>
          <w:kern w:val="32"/>
          <w:sz w:val="32"/>
          <w:szCs w:val="32"/>
        </w:rPr>
      </w:pPr>
      <w:bookmarkStart w:id="271" w:name="_Toc55492192"/>
      <w:bookmarkStart w:id="272" w:name="_Toc182555586"/>
      <w:bookmarkStart w:id="273" w:name="_Toc182555731"/>
      <w:r w:rsidRPr="00A07C43">
        <w:rPr>
          <w:rFonts w:ascii="Gill Sans MT" w:hAnsi="Gill Sans MT" w:cs="Arial"/>
          <w:b/>
          <w:bCs/>
          <w:kern w:val="32"/>
          <w:sz w:val="32"/>
          <w:szCs w:val="32"/>
        </w:rPr>
        <w:t>Strategic Priority 4: Promote job retention and re-entry to work</w:t>
      </w:r>
      <w:bookmarkEnd w:id="271"/>
      <w:bookmarkEnd w:id="272"/>
      <w:bookmarkEnd w:id="273"/>
    </w:p>
    <w:p w14:paraId="63BCD95E" w14:textId="5F45F391" w:rsidR="00A07C43" w:rsidRPr="00A07C43" w:rsidRDefault="00A07C43" w:rsidP="00A07C43">
      <w:pPr>
        <w:spacing w:before="120"/>
        <w:rPr>
          <w:rFonts w:ascii="Gill Sans MT" w:hAnsi="Gill Sans MT"/>
          <w:szCs w:val="26"/>
        </w:rPr>
      </w:pPr>
      <w:r w:rsidRPr="00A07C43">
        <w:rPr>
          <w:rFonts w:ascii="Gill Sans MT" w:hAnsi="Gill Sans MT"/>
          <w:szCs w:val="26"/>
        </w:rPr>
        <w:t xml:space="preserve">The strategic intention of this priority area was that </w:t>
      </w:r>
      <w:r w:rsidR="004A666D">
        <w:rPr>
          <w:rFonts w:ascii="Gill Sans MT" w:hAnsi="Gill Sans MT"/>
          <w:szCs w:val="26"/>
        </w:rPr>
        <w:t>‘</w:t>
      </w:r>
      <w:r w:rsidRPr="00A07C43">
        <w:rPr>
          <w:rFonts w:ascii="Gill Sans MT" w:hAnsi="Gill Sans MT"/>
          <w:szCs w:val="26"/>
        </w:rPr>
        <w:t>Individuals who acquire a disability during their working years will be supported to obtain, retain or regain employment, as appropriate.</w:t>
      </w:r>
      <w:r w:rsidR="004A666D">
        <w:rPr>
          <w:rFonts w:ascii="Gill Sans MT" w:hAnsi="Gill Sans MT"/>
          <w:szCs w:val="26"/>
        </w:rPr>
        <w:t>’</w:t>
      </w:r>
      <w:r w:rsidR="00AF2EDA">
        <w:rPr>
          <w:rFonts w:ascii="Gill Sans MT" w:hAnsi="Gill Sans MT"/>
          <w:szCs w:val="26"/>
          <w:vertAlign w:val="superscript"/>
        </w:rPr>
        <w:t xml:space="preserve"> </w:t>
      </w:r>
      <w:r w:rsidR="00AF2EDA">
        <w:rPr>
          <w:rFonts w:ascii="Gill Sans MT" w:hAnsi="Gill Sans MT"/>
          <w:szCs w:val="26"/>
          <w:vertAlign w:val="superscript"/>
        </w:rPr>
        <w:fldChar w:fldCharType="begin"/>
      </w:r>
      <w:r w:rsidR="00AF2EDA">
        <w:rPr>
          <w:rFonts w:ascii="Gill Sans MT" w:hAnsi="Gill Sans MT"/>
          <w:szCs w:val="26"/>
          <w:vertAlign w:val="superscript"/>
        </w:rPr>
        <w:instrText xml:space="preserve"> ADDIN ZOTERO_ITEM CSL_CITATION {"citationID":"pDVVmKZz","properties":{"formattedCitation":"(1)","plainCitation":"(1)","noteIndex":0},"citationItems":[{"id":155,"uris":["http://zotero.org/users/local/kvLunvBP/items/67YBNVMH"],"itemData":{"id":155,"type":"report","abstract":"Explaining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AF2EDA">
        <w:rPr>
          <w:rFonts w:ascii="Gill Sans MT" w:hAnsi="Gill Sans MT"/>
          <w:szCs w:val="26"/>
          <w:vertAlign w:val="superscript"/>
        </w:rPr>
        <w:fldChar w:fldCharType="separate"/>
      </w:r>
      <w:r w:rsidR="00AF2EDA" w:rsidRPr="00AF2EDA">
        <w:rPr>
          <w:rFonts w:ascii="Gill Sans MT" w:hAnsi="Gill Sans MT"/>
        </w:rPr>
        <w:t>(1)</w:t>
      </w:r>
      <w:r w:rsidR="00AF2EDA">
        <w:rPr>
          <w:rFonts w:ascii="Gill Sans MT" w:hAnsi="Gill Sans MT"/>
          <w:szCs w:val="26"/>
          <w:vertAlign w:val="superscript"/>
        </w:rPr>
        <w:fldChar w:fldCharType="end"/>
      </w:r>
      <w:r w:rsidR="00AF2EDA">
        <w:rPr>
          <w:rFonts w:ascii="Gill Sans MT" w:hAnsi="Gill Sans MT"/>
          <w:szCs w:val="26"/>
        </w:rPr>
        <w:t xml:space="preserve"> </w:t>
      </w:r>
      <w:r w:rsidR="00F43158">
        <w:rPr>
          <w:rFonts w:ascii="Gill Sans MT" w:hAnsi="Gill Sans MT"/>
          <w:szCs w:val="26"/>
        </w:rPr>
        <w:t xml:space="preserve">Four </w:t>
      </w:r>
      <w:r>
        <w:rPr>
          <w:rFonts w:ascii="Gill Sans MT" w:hAnsi="Gill Sans MT"/>
          <w:szCs w:val="26"/>
        </w:rPr>
        <w:t xml:space="preserve">indicators of progress were </w:t>
      </w:r>
      <w:r w:rsidR="00F43158">
        <w:rPr>
          <w:rFonts w:ascii="Gill Sans MT" w:hAnsi="Gill Sans MT"/>
          <w:szCs w:val="26"/>
        </w:rPr>
        <w:t>examined</w:t>
      </w:r>
      <w:r>
        <w:rPr>
          <w:rFonts w:ascii="Gill Sans MT" w:hAnsi="Gill Sans MT"/>
          <w:szCs w:val="26"/>
        </w:rPr>
        <w:t xml:space="preserve"> for this strategic priority area.</w:t>
      </w:r>
    </w:p>
    <w:p w14:paraId="5EEBE116" w14:textId="1797E5E4" w:rsidR="00A07C43" w:rsidRPr="00A07C43" w:rsidRDefault="00A07C43" w:rsidP="00A07C43">
      <w:pPr>
        <w:keepNext/>
        <w:spacing w:after="60"/>
        <w:outlineLvl w:val="1"/>
        <w:rPr>
          <w:rFonts w:ascii="Gill Sans MT" w:hAnsi="Gill Sans MT" w:cs="Arial Bold"/>
          <w:b/>
          <w:bCs/>
          <w:iCs/>
          <w:sz w:val="28"/>
          <w:szCs w:val="28"/>
        </w:rPr>
      </w:pPr>
      <w:bookmarkStart w:id="274" w:name="_Toc182219536"/>
      <w:bookmarkStart w:id="275" w:name="_Toc182220239"/>
      <w:bookmarkStart w:id="276" w:name="_Toc182555587"/>
      <w:bookmarkStart w:id="277" w:name="_Toc182555732"/>
      <w:r w:rsidRPr="00A07C43">
        <w:rPr>
          <w:rFonts w:ascii="Gill Sans MT" w:hAnsi="Gill Sans MT" w:cs="Arial Bold"/>
          <w:b/>
          <w:bCs/>
          <w:iCs/>
          <w:sz w:val="28"/>
          <w:szCs w:val="28"/>
        </w:rPr>
        <w:t>4.1 Number of persons in employment supported through the Wage Subsidy Scheme (Process)</w:t>
      </w:r>
      <w:bookmarkEnd w:id="274"/>
      <w:bookmarkEnd w:id="275"/>
      <w:bookmarkEnd w:id="276"/>
      <w:bookmarkEnd w:id="277"/>
      <w:r w:rsidRPr="00A07C43">
        <w:rPr>
          <w:rFonts w:ascii="Gill Sans MT" w:hAnsi="Gill Sans MT" w:cs="Arial Bold"/>
          <w:b/>
          <w:bCs/>
          <w:iCs/>
          <w:sz w:val="28"/>
          <w:szCs w:val="28"/>
        </w:rPr>
        <w:t xml:space="preserve"> </w:t>
      </w:r>
    </w:p>
    <w:p w14:paraId="3922BB34" w14:textId="77777777" w:rsidR="0012066D" w:rsidRDefault="000A52BC" w:rsidP="0012066D">
      <w:pPr>
        <w:rPr>
          <w:rFonts w:ascii="Gill Sans MT" w:hAnsi="Gill Sans MT"/>
          <w:szCs w:val="26"/>
        </w:rPr>
      </w:pPr>
      <w:r w:rsidRPr="000A52BC">
        <w:rPr>
          <w:rFonts w:ascii="Gill Sans MT" w:hAnsi="Gill Sans MT"/>
          <w:szCs w:val="26"/>
        </w:rPr>
        <w:t xml:space="preserve">The </w:t>
      </w:r>
      <w:r w:rsidRPr="000A52BC">
        <w:rPr>
          <w:rFonts w:ascii="Gill Sans MT" w:hAnsi="Gill Sans MT"/>
          <w:bCs/>
          <w:szCs w:val="26"/>
        </w:rPr>
        <w:t>Wage Subsidy Scheme (WSS) is a financial incentive scheme for employers in the private sector to hire people with disabilities. In instances where</w:t>
      </w:r>
      <w:r w:rsidRPr="000A52BC">
        <w:rPr>
          <w:rFonts w:ascii="Gill Sans MT" w:hAnsi="Gill Sans MT"/>
          <w:szCs w:val="26"/>
        </w:rPr>
        <w:t xml:space="preserve"> </w:t>
      </w:r>
      <w:r w:rsidRPr="000A52BC">
        <w:rPr>
          <w:rFonts w:ascii="Gill Sans MT" w:hAnsi="Gill Sans MT"/>
          <w:bCs/>
          <w:szCs w:val="26"/>
        </w:rPr>
        <w:t>the employer and employee agree that the employee has/will have a loss of productivity of 20% or more, the WSS provides a general subsidy to address this shortfall.</w:t>
      </w:r>
    </w:p>
    <w:p w14:paraId="2F735565" w14:textId="2BA24277" w:rsidR="000A52BC" w:rsidRPr="0012066D" w:rsidRDefault="0012066D" w:rsidP="000A52BC">
      <w:pPr>
        <w:rPr>
          <w:rFonts w:ascii="Gill Sans MT" w:hAnsi="Gill Sans MT"/>
          <w:szCs w:val="26"/>
        </w:rPr>
      </w:pPr>
      <w:r w:rsidRPr="0012066D">
        <w:rPr>
          <w:rFonts w:ascii="Gill Sans MT" w:hAnsi="Gill Sans MT"/>
          <w:szCs w:val="26"/>
        </w:rPr>
        <w:fldChar w:fldCharType="begin"/>
      </w:r>
      <w:r w:rsidRPr="0012066D">
        <w:rPr>
          <w:rFonts w:ascii="Gill Sans MT" w:hAnsi="Gill Sans MT"/>
          <w:szCs w:val="26"/>
        </w:rPr>
        <w:instrText xml:space="preserve"> REF _Ref181890138 \h  \* MERGEFORMAT </w:instrText>
      </w:r>
      <w:r w:rsidRPr="0012066D">
        <w:rPr>
          <w:rFonts w:ascii="Gill Sans MT" w:hAnsi="Gill Sans MT"/>
          <w:szCs w:val="26"/>
        </w:rPr>
      </w:r>
      <w:r w:rsidRPr="0012066D">
        <w:rPr>
          <w:rFonts w:ascii="Gill Sans MT" w:hAnsi="Gill Sans MT"/>
          <w:szCs w:val="26"/>
        </w:rPr>
        <w:fldChar w:fldCharType="separate"/>
      </w:r>
      <w:r w:rsidRPr="0012066D">
        <w:rPr>
          <w:rFonts w:ascii="Gill Sans MT" w:hAnsi="Gill Sans MT"/>
          <w:szCs w:val="26"/>
        </w:rPr>
        <w:t xml:space="preserve">Table </w:t>
      </w:r>
      <w:r w:rsidRPr="0012066D">
        <w:rPr>
          <w:rFonts w:ascii="Gill Sans MT" w:hAnsi="Gill Sans MT"/>
          <w:noProof/>
          <w:szCs w:val="26"/>
        </w:rPr>
        <w:t>10</w:t>
      </w:r>
      <w:r w:rsidRPr="0012066D">
        <w:rPr>
          <w:rFonts w:ascii="Gill Sans MT" w:hAnsi="Gill Sans MT"/>
          <w:szCs w:val="26"/>
        </w:rPr>
        <w:fldChar w:fldCharType="end"/>
      </w:r>
      <w:r w:rsidR="000A52BC" w:rsidRPr="000A52BC">
        <w:rPr>
          <w:rFonts w:ascii="Gill Sans MT" w:hAnsi="Gill Sans MT"/>
          <w:szCs w:val="26"/>
        </w:rPr>
        <w:t xml:space="preserve"> shows that the number of persons in employment supported through the WSS increased each year between 2015 and 2017, dropped in 2018, and then increased to its highest </w:t>
      </w:r>
      <w:r w:rsidR="00DB0433">
        <w:rPr>
          <w:rFonts w:ascii="Gill Sans MT" w:hAnsi="Gill Sans MT"/>
          <w:szCs w:val="26"/>
        </w:rPr>
        <w:t>level</w:t>
      </w:r>
      <w:r w:rsidR="000A52BC" w:rsidRPr="000A52BC">
        <w:rPr>
          <w:rFonts w:ascii="Gill Sans MT" w:hAnsi="Gill Sans MT"/>
          <w:szCs w:val="26"/>
        </w:rPr>
        <w:t xml:space="preserve"> in 2019. Although the number of recipients was higher towards the end of the CES </w:t>
      </w:r>
      <w:r w:rsidR="00DB0433">
        <w:rPr>
          <w:rFonts w:ascii="Gill Sans MT" w:hAnsi="Gill Sans MT"/>
          <w:szCs w:val="26"/>
        </w:rPr>
        <w:t xml:space="preserve">in 2023 </w:t>
      </w:r>
      <w:r w:rsidR="000A52BC" w:rsidRPr="000A52BC">
        <w:rPr>
          <w:rFonts w:ascii="Gill Sans MT" w:hAnsi="Gill Sans MT"/>
          <w:szCs w:val="26"/>
        </w:rPr>
        <w:t>than at its start in 2015, the 2023 figure is lower than the 2019 peak.</w:t>
      </w:r>
      <w:r w:rsidR="000A52BC" w:rsidRPr="00233BC4">
        <w:rPr>
          <w:rStyle w:val="FootnoteReference"/>
        </w:rPr>
        <w:footnoteReference w:id="27"/>
      </w:r>
    </w:p>
    <w:p w14:paraId="5813C6AF" w14:textId="6B7FE106" w:rsidR="000A52BC" w:rsidRPr="000A52BC" w:rsidRDefault="000A52BC" w:rsidP="000A52BC">
      <w:pPr>
        <w:rPr>
          <w:rFonts w:ascii="Gill Sans MT" w:hAnsi="Gill Sans MT"/>
          <w:b/>
          <w:bCs/>
          <w:szCs w:val="26"/>
        </w:rPr>
      </w:pPr>
      <w:bookmarkStart w:id="278" w:name="_Ref181890138"/>
      <w:bookmarkStart w:id="279" w:name="_Ref181890134"/>
      <w:bookmarkStart w:id="280" w:name="_Toc182219714"/>
      <w:r w:rsidRPr="000A52BC">
        <w:rPr>
          <w:rFonts w:ascii="Gill Sans MT" w:hAnsi="Gill Sans MT"/>
          <w:b/>
          <w:bCs/>
          <w:szCs w:val="26"/>
        </w:rPr>
        <w:t xml:space="preserve">Table </w:t>
      </w:r>
      <w:r w:rsidRPr="000A52BC">
        <w:rPr>
          <w:rFonts w:ascii="Gill Sans MT" w:hAnsi="Gill Sans MT"/>
          <w:b/>
          <w:bCs/>
          <w:szCs w:val="26"/>
        </w:rPr>
        <w:fldChar w:fldCharType="begin"/>
      </w:r>
      <w:r w:rsidRPr="000A52BC">
        <w:rPr>
          <w:rFonts w:ascii="Gill Sans MT" w:hAnsi="Gill Sans MT"/>
          <w:b/>
          <w:bCs/>
          <w:szCs w:val="26"/>
        </w:rPr>
        <w:instrText xml:space="preserve"> SEQ Table \* ARABIC </w:instrText>
      </w:r>
      <w:r w:rsidRPr="000A52BC">
        <w:rPr>
          <w:rFonts w:ascii="Gill Sans MT" w:hAnsi="Gill Sans MT"/>
          <w:b/>
          <w:bCs/>
          <w:szCs w:val="26"/>
        </w:rPr>
        <w:fldChar w:fldCharType="separate"/>
      </w:r>
      <w:r w:rsidR="009C4192">
        <w:rPr>
          <w:rFonts w:ascii="Gill Sans MT" w:hAnsi="Gill Sans MT"/>
          <w:b/>
          <w:bCs/>
          <w:noProof/>
          <w:szCs w:val="26"/>
        </w:rPr>
        <w:t>10</w:t>
      </w:r>
      <w:r w:rsidRPr="000A52BC">
        <w:rPr>
          <w:rFonts w:ascii="Gill Sans MT" w:hAnsi="Gill Sans MT"/>
          <w:szCs w:val="26"/>
        </w:rPr>
        <w:fldChar w:fldCharType="end"/>
      </w:r>
      <w:bookmarkEnd w:id="278"/>
      <w:r w:rsidRPr="000A52BC">
        <w:rPr>
          <w:rFonts w:ascii="Gill Sans MT" w:hAnsi="Gill Sans MT"/>
          <w:b/>
          <w:bCs/>
          <w:szCs w:val="26"/>
        </w:rPr>
        <w:t>: Number of persons in employment supported through the Wage Subsidy Scheme 2015-2023</w:t>
      </w:r>
      <w:bookmarkEnd w:id="279"/>
      <w:bookmarkEnd w:id="280"/>
    </w:p>
    <w:tbl>
      <w:tblPr>
        <w:tblW w:w="6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04"/>
        <w:gridCol w:w="3543"/>
      </w:tblGrid>
      <w:tr w:rsidR="000A52BC" w:rsidRPr="000A52BC" w14:paraId="586070ED" w14:textId="77777777" w:rsidTr="00A4165E">
        <w:trPr>
          <w:tblHeader/>
          <w:jc w:val="center"/>
        </w:trPr>
        <w:tc>
          <w:tcPr>
            <w:tcW w:w="2704" w:type="dxa"/>
            <w:shd w:val="clear" w:color="auto" w:fill="auto"/>
          </w:tcPr>
          <w:p w14:paraId="09B9FECB" w14:textId="77777777" w:rsidR="000A52BC" w:rsidRPr="000A52BC" w:rsidRDefault="000A52BC" w:rsidP="00E52014">
            <w:pPr>
              <w:spacing w:after="0"/>
              <w:rPr>
                <w:rFonts w:ascii="Gill Sans MT" w:hAnsi="Gill Sans MT"/>
                <w:b/>
                <w:szCs w:val="26"/>
              </w:rPr>
            </w:pPr>
            <w:r w:rsidRPr="000A52BC">
              <w:rPr>
                <w:rFonts w:ascii="Gill Sans MT" w:hAnsi="Gill Sans MT"/>
                <w:b/>
                <w:szCs w:val="26"/>
              </w:rPr>
              <w:t>Year</w:t>
            </w:r>
          </w:p>
        </w:tc>
        <w:tc>
          <w:tcPr>
            <w:tcW w:w="3543" w:type="dxa"/>
            <w:shd w:val="clear" w:color="auto" w:fill="auto"/>
          </w:tcPr>
          <w:p w14:paraId="3F7075B5" w14:textId="77777777" w:rsidR="000A52BC" w:rsidRPr="000A52BC" w:rsidRDefault="000A52BC" w:rsidP="00E52014">
            <w:pPr>
              <w:spacing w:after="0"/>
              <w:rPr>
                <w:rFonts w:ascii="Gill Sans MT" w:hAnsi="Gill Sans MT"/>
                <w:b/>
                <w:szCs w:val="26"/>
              </w:rPr>
            </w:pPr>
            <w:r w:rsidRPr="000A52BC">
              <w:rPr>
                <w:rFonts w:ascii="Gill Sans MT" w:hAnsi="Gill Sans MT"/>
                <w:b/>
                <w:szCs w:val="26"/>
              </w:rPr>
              <w:t>Number of employees</w:t>
            </w:r>
          </w:p>
        </w:tc>
      </w:tr>
      <w:tr w:rsidR="000A52BC" w:rsidRPr="000A52BC" w14:paraId="71A9F669" w14:textId="77777777" w:rsidTr="00A4165E">
        <w:trPr>
          <w:jc w:val="center"/>
        </w:trPr>
        <w:tc>
          <w:tcPr>
            <w:tcW w:w="2704" w:type="dxa"/>
            <w:shd w:val="clear" w:color="auto" w:fill="auto"/>
          </w:tcPr>
          <w:p w14:paraId="06D91B94"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2015</w:t>
            </w:r>
          </w:p>
        </w:tc>
        <w:tc>
          <w:tcPr>
            <w:tcW w:w="3543" w:type="dxa"/>
            <w:shd w:val="clear" w:color="auto" w:fill="auto"/>
          </w:tcPr>
          <w:p w14:paraId="5203AA52"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2,144</w:t>
            </w:r>
          </w:p>
        </w:tc>
      </w:tr>
      <w:tr w:rsidR="000A52BC" w:rsidRPr="000A52BC" w14:paraId="7C636CE7" w14:textId="77777777" w:rsidTr="00A4165E">
        <w:trPr>
          <w:jc w:val="center"/>
        </w:trPr>
        <w:tc>
          <w:tcPr>
            <w:tcW w:w="2704" w:type="dxa"/>
            <w:shd w:val="clear" w:color="auto" w:fill="auto"/>
          </w:tcPr>
          <w:p w14:paraId="205F0632"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2016</w:t>
            </w:r>
          </w:p>
        </w:tc>
        <w:tc>
          <w:tcPr>
            <w:tcW w:w="3543" w:type="dxa"/>
            <w:shd w:val="clear" w:color="auto" w:fill="auto"/>
          </w:tcPr>
          <w:p w14:paraId="787D5CF0"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2,482</w:t>
            </w:r>
          </w:p>
        </w:tc>
      </w:tr>
      <w:tr w:rsidR="000A52BC" w:rsidRPr="000A52BC" w14:paraId="049BC9F6" w14:textId="77777777" w:rsidTr="00A4165E">
        <w:trPr>
          <w:jc w:val="center"/>
        </w:trPr>
        <w:tc>
          <w:tcPr>
            <w:tcW w:w="2704" w:type="dxa"/>
            <w:shd w:val="clear" w:color="auto" w:fill="auto"/>
          </w:tcPr>
          <w:p w14:paraId="0D55D4BB"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2017</w:t>
            </w:r>
          </w:p>
        </w:tc>
        <w:tc>
          <w:tcPr>
            <w:tcW w:w="3543" w:type="dxa"/>
            <w:shd w:val="clear" w:color="auto" w:fill="auto"/>
          </w:tcPr>
          <w:p w14:paraId="30CEB252"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2,669</w:t>
            </w:r>
          </w:p>
        </w:tc>
      </w:tr>
      <w:tr w:rsidR="000A52BC" w:rsidRPr="000A52BC" w14:paraId="0BF5ADD0" w14:textId="77777777" w:rsidTr="00A4165E">
        <w:trPr>
          <w:jc w:val="center"/>
        </w:trPr>
        <w:tc>
          <w:tcPr>
            <w:tcW w:w="2704" w:type="dxa"/>
            <w:shd w:val="clear" w:color="auto" w:fill="auto"/>
          </w:tcPr>
          <w:p w14:paraId="679F917F"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2018</w:t>
            </w:r>
          </w:p>
        </w:tc>
        <w:tc>
          <w:tcPr>
            <w:tcW w:w="3543" w:type="dxa"/>
            <w:shd w:val="clear" w:color="auto" w:fill="auto"/>
          </w:tcPr>
          <w:p w14:paraId="6F9D98A4"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2,525</w:t>
            </w:r>
          </w:p>
        </w:tc>
      </w:tr>
      <w:tr w:rsidR="000A52BC" w:rsidRPr="000A52BC" w14:paraId="360F8F71" w14:textId="77777777" w:rsidTr="00A4165E">
        <w:trPr>
          <w:jc w:val="center"/>
        </w:trPr>
        <w:tc>
          <w:tcPr>
            <w:tcW w:w="2704" w:type="dxa"/>
            <w:shd w:val="clear" w:color="auto" w:fill="auto"/>
          </w:tcPr>
          <w:p w14:paraId="6B19BD22"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2019</w:t>
            </w:r>
          </w:p>
        </w:tc>
        <w:tc>
          <w:tcPr>
            <w:tcW w:w="3543" w:type="dxa"/>
            <w:shd w:val="clear" w:color="auto" w:fill="auto"/>
          </w:tcPr>
          <w:p w14:paraId="5579A082"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2,755</w:t>
            </w:r>
          </w:p>
        </w:tc>
      </w:tr>
      <w:tr w:rsidR="000A52BC" w:rsidRPr="000A52BC" w14:paraId="49E1144E" w14:textId="77777777" w:rsidTr="00A4165E">
        <w:trPr>
          <w:jc w:val="center"/>
        </w:trPr>
        <w:tc>
          <w:tcPr>
            <w:tcW w:w="2704" w:type="dxa"/>
            <w:shd w:val="clear" w:color="auto" w:fill="auto"/>
          </w:tcPr>
          <w:p w14:paraId="0DFEB154"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2020</w:t>
            </w:r>
          </w:p>
        </w:tc>
        <w:tc>
          <w:tcPr>
            <w:tcW w:w="3543" w:type="dxa"/>
            <w:shd w:val="clear" w:color="auto" w:fill="auto"/>
          </w:tcPr>
          <w:p w14:paraId="7EE59DBB"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2,610</w:t>
            </w:r>
          </w:p>
        </w:tc>
      </w:tr>
      <w:tr w:rsidR="000A52BC" w:rsidRPr="000A52BC" w14:paraId="1CD07D47" w14:textId="77777777" w:rsidTr="00A4165E">
        <w:trPr>
          <w:jc w:val="center"/>
        </w:trPr>
        <w:tc>
          <w:tcPr>
            <w:tcW w:w="2704" w:type="dxa"/>
            <w:shd w:val="clear" w:color="auto" w:fill="auto"/>
          </w:tcPr>
          <w:p w14:paraId="5AD4DA76"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2021</w:t>
            </w:r>
          </w:p>
        </w:tc>
        <w:tc>
          <w:tcPr>
            <w:tcW w:w="3543" w:type="dxa"/>
            <w:shd w:val="clear" w:color="auto" w:fill="auto"/>
          </w:tcPr>
          <w:p w14:paraId="32CDD0D0"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2,474</w:t>
            </w:r>
          </w:p>
        </w:tc>
      </w:tr>
      <w:tr w:rsidR="000A52BC" w:rsidRPr="000A52BC" w14:paraId="2CE0BD53" w14:textId="77777777" w:rsidTr="00A4165E">
        <w:trPr>
          <w:jc w:val="center"/>
        </w:trPr>
        <w:tc>
          <w:tcPr>
            <w:tcW w:w="2704" w:type="dxa"/>
            <w:shd w:val="clear" w:color="auto" w:fill="auto"/>
          </w:tcPr>
          <w:p w14:paraId="0562CBBD"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2022</w:t>
            </w:r>
          </w:p>
        </w:tc>
        <w:tc>
          <w:tcPr>
            <w:tcW w:w="3543" w:type="dxa"/>
            <w:shd w:val="clear" w:color="auto" w:fill="auto"/>
          </w:tcPr>
          <w:p w14:paraId="3A2EB4F4"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2,405</w:t>
            </w:r>
          </w:p>
        </w:tc>
      </w:tr>
      <w:tr w:rsidR="000A52BC" w:rsidRPr="000A52BC" w14:paraId="57FE9D91" w14:textId="77777777" w:rsidTr="00A4165E">
        <w:trPr>
          <w:jc w:val="center"/>
        </w:trPr>
        <w:tc>
          <w:tcPr>
            <w:tcW w:w="2704" w:type="dxa"/>
            <w:shd w:val="clear" w:color="auto" w:fill="auto"/>
          </w:tcPr>
          <w:p w14:paraId="44CBD3F9" w14:textId="77777777" w:rsidR="000A52BC" w:rsidRPr="000A52BC" w:rsidRDefault="000A52BC" w:rsidP="00E52014">
            <w:pPr>
              <w:spacing w:after="0"/>
              <w:rPr>
                <w:rFonts w:ascii="Gill Sans MT" w:hAnsi="Gill Sans MT"/>
                <w:bCs/>
                <w:szCs w:val="26"/>
              </w:rPr>
            </w:pPr>
            <w:r w:rsidRPr="000A52BC">
              <w:rPr>
                <w:rFonts w:ascii="Gill Sans MT" w:hAnsi="Gill Sans MT"/>
                <w:bCs/>
                <w:szCs w:val="26"/>
              </w:rPr>
              <w:t>2023</w:t>
            </w:r>
          </w:p>
        </w:tc>
        <w:tc>
          <w:tcPr>
            <w:tcW w:w="3543" w:type="dxa"/>
            <w:shd w:val="clear" w:color="auto" w:fill="auto"/>
          </w:tcPr>
          <w:p w14:paraId="5A8FC17C" w14:textId="77777777" w:rsidR="000A52BC" w:rsidRPr="000A52BC" w:rsidRDefault="000A52BC" w:rsidP="00E52014">
            <w:pPr>
              <w:spacing w:after="0"/>
              <w:jc w:val="right"/>
              <w:rPr>
                <w:rFonts w:ascii="Gill Sans MT" w:hAnsi="Gill Sans MT"/>
                <w:szCs w:val="26"/>
              </w:rPr>
            </w:pPr>
            <w:r w:rsidRPr="000A52BC">
              <w:rPr>
                <w:rFonts w:ascii="Gill Sans MT" w:hAnsi="Gill Sans MT"/>
                <w:szCs w:val="26"/>
              </w:rPr>
              <w:t>2,403</w:t>
            </w:r>
          </w:p>
        </w:tc>
      </w:tr>
    </w:tbl>
    <w:p w14:paraId="5DEFB69D" w14:textId="4ED73C62" w:rsidR="000A52BC" w:rsidRPr="00E76D9C" w:rsidRDefault="00E76D9C" w:rsidP="00E76D9C">
      <w:pPr>
        <w:jc w:val="center"/>
        <w:rPr>
          <w:rFonts w:ascii="Gill Sans MT" w:hAnsi="Gill Sans MT"/>
          <w:sz w:val="22"/>
          <w:szCs w:val="22"/>
        </w:rPr>
      </w:pPr>
      <w:r>
        <w:rPr>
          <w:rFonts w:ascii="Gill Sans MT" w:hAnsi="Gill Sans MT"/>
          <w:sz w:val="22"/>
          <w:szCs w:val="22"/>
        </w:rPr>
        <w:t>Source: Department of Social Protection</w:t>
      </w:r>
    </w:p>
    <w:p w14:paraId="1651E917" w14:textId="20DFE975" w:rsidR="000A52BC" w:rsidRDefault="000A52BC" w:rsidP="000A52BC">
      <w:pPr>
        <w:rPr>
          <w:rFonts w:ascii="Gill Sans MT" w:hAnsi="Gill Sans MT"/>
          <w:szCs w:val="26"/>
        </w:rPr>
      </w:pPr>
      <w:r>
        <w:rPr>
          <w:rFonts w:ascii="Gill Sans MT" w:hAnsi="Gill Sans MT"/>
          <w:szCs w:val="26"/>
        </w:rPr>
        <w:t>Certain</w:t>
      </w:r>
      <w:r w:rsidRPr="00A07C43">
        <w:rPr>
          <w:rFonts w:ascii="Gill Sans MT" w:hAnsi="Gill Sans MT"/>
          <w:szCs w:val="26"/>
        </w:rPr>
        <w:t xml:space="preserve"> conditions </w:t>
      </w:r>
      <w:r w:rsidRPr="0077485E">
        <w:rPr>
          <w:rFonts w:ascii="Gill Sans MT" w:hAnsi="Gill Sans MT"/>
          <w:szCs w:val="26"/>
        </w:rPr>
        <w:t>of the</w:t>
      </w:r>
      <w:r w:rsidRPr="00A07C43">
        <w:rPr>
          <w:rFonts w:ascii="Gill Sans MT" w:hAnsi="Gill Sans MT"/>
          <w:szCs w:val="26"/>
        </w:rPr>
        <w:t xml:space="preserve"> WSS</w:t>
      </w:r>
      <w:r>
        <w:rPr>
          <w:rFonts w:ascii="Gill Sans MT" w:hAnsi="Gill Sans MT"/>
          <w:szCs w:val="26"/>
        </w:rPr>
        <w:t xml:space="preserve"> </w:t>
      </w:r>
      <w:r w:rsidRPr="00A07C43">
        <w:rPr>
          <w:rFonts w:ascii="Gill Sans MT" w:hAnsi="Gill Sans MT"/>
          <w:szCs w:val="26"/>
        </w:rPr>
        <w:t xml:space="preserve">may </w:t>
      </w:r>
      <w:r w:rsidRPr="0077485E">
        <w:rPr>
          <w:rFonts w:ascii="Gill Sans MT" w:hAnsi="Gill Sans MT"/>
          <w:szCs w:val="26"/>
        </w:rPr>
        <w:t xml:space="preserve">have </w:t>
      </w:r>
      <w:r w:rsidRPr="00A07C43">
        <w:rPr>
          <w:rFonts w:ascii="Gill Sans MT" w:hAnsi="Gill Sans MT"/>
          <w:szCs w:val="26"/>
        </w:rPr>
        <w:t>disincentivise</w:t>
      </w:r>
      <w:r w:rsidRPr="0077485E">
        <w:rPr>
          <w:rFonts w:ascii="Gill Sans MT" w:hAnsi="Gill Sans MT"/>
          <w:szCs w:val="26"/>
        </w:rPr>
        <w:t>d</w:t>
      </w:r>
      <w:r w:rsidRPr="00A07C43">
        <w:rPr>
          <w:rFonts w:ascii="Gill Sans MT" w:hAnsi="Gill Sans MT"/>
          <w:szCs w:val="26"/>
        </w:rPr>
        <w:t xml:space="preserve"> employers from providing forms of reasonable accommodation, such as part-time or reduced working hours</w:t>
      </w:r>
      <w:r>
        <w:rPr>
          <w:rFonts w:ascii="Gill Sans MT" w:hAnsi="Gill Sans MT"/>
          <w:szCs w:val="26"/>
        </w:rPr>
        <w:t>, to their employees</w:t>
      </w:r>
      <w:r w:rsidRPr="00A07C43">
        <w:rPr>
          <w:rFonts w:ascii="Gill Sans MT" w:hAnsi="Gill Sans MT"/>
          <w:szCs w:val="26"/>
        </w:rPr>
        <w:t xml:space="preserve">. </w:t>
      </w:r>
      <w:r>
        <w:rPr>
          <w:rFonts w:ascii="Gill Sans MT" w:hAnsi="Gill Sans MT"/>
          <w:szCs w:val="26"/>
        </w:rPr>
        <w:t xml:space="preserve">Until recently, </w:t>
      </w:r>
      <w:r w:rsidRPr="0077485E">
        <w:rPr>
          <w:rFonts w:ascii="Gill Sans MT" w:hAnsi="Gill Sans MT"/>
          <w:szCs w:val="26"/>
        </w:rPr>
        <w:t>for an employer t</w:t>
      </w:r>
      <w:r w:rsidRPr="00A07C43">
        <w:rPr>
          <w:rFonts w:ascii="Gill Sans MT" w:hAnsi="Gill Sans MT"/>
          <w:szCs w:val="26"/>
        </w:rPr>
        <w:t xml:space="preserve">o avail of the WSS, an employee </w:t>
      </w:r>
      <w:r>
        <w:rPr>
          <w:rFonts w:ascii="Gill Sans MT" w:hAnsi="Gill Sans MT"/>
          <w:szCs w:val="26"/>
        </w:rPr>
        <w:t>had to work for</w:t>
      </w:r>
      <w:r w:rsidRPr="00A07C43">
        <w:rPr>
          <w:rFonts w:ascii="Gill Sans MT" w:hAnsi="Gill Sans MT"/>
          <w:szCs w:val="26"/>
        </w:rPr>
        <w:t xml:space="preserve"> least 21 hours per week.</w:t>
      </w:r>
      <w:r>
        <w:rPr>
          <w:rFonts w:ascii="Gill Sans MT" w:hAnsi="Gill Sans MT"/>
          <w:szCs w:val="26"/>
          <w:vertAlign w:val="superscript"/>
        </w:rPr>
        <w:t xml:space="preserve"> </w:t>
      </w:r>
      <w:r>
        <w:rPr>
          <w:rFonts w:ascii="Gill Sans MT" w:hAnsi="Gill Sans MT"/>
          <w:szCs w:val="26"/>
        </w:rPr>
        <w:t xml:space="preserve">The stated rationale for this </w:t>
      </w:r>
      <w:r w:rsidRPr="00AE3C55">
        <w:rPr>
          <w:rFonts w:ascii="Gill Sans MT" w:hAnsi="Gill Sans MT"/>
          <w:szCs w:val="26"/>
        </w:rPr>
        <w:t>was to increase the likelihood of people with disabilities obtaining and sustaining employment in the open labour market</w:t>
      </w:r>
      <w:r>
        <w:rPr>
          <w:rFonts w:ascii="Gill Sans MT" w:hAnsi="Gill Sans MT"/>
          <w:szCs w:val="26"/>
        </w:rPr>
        <w:t xml:space="preserve">. </w:t>
      </w:r>
      <w:r>
        <w:rPr>
          <w:rFonts w:ascii="Gill Sans MT" w:hAnsi="Gill Sans MT"/>
          <w:szCs w:val="26"/>
        </w:rPr>
        <w:fldChar w:fldCharType="begin"/>
      </w:r>
      <w:r w:rsidR="006B1C05">
        <w:rPr>
          <w:rFonts w:ascii="Gill Sans MT" w:hAnsi="Gill Sans MT"/>
          <w:szCs w:val="26"/>
        </w:rPr>
        <w:instrText xml:space="preserve"> ADDIN ZOTERO_ITEM CSL_CITATION {"citationID":"XoXtGzfh","properties":{"formattedCitation":"(76)","plainCitation":"(76)","noteIndex":0},"citationItems":[{"id":205,"uris":["http://zotero.org/users/local/kvLunvBP/items/V39RTI5T"],"itemData":{"id":205,"type":"webpage","abstract":"Wage Subsidy Scheme Dáil Éireann Debate, Tuesday - 19 February 2019","genre":"text","language":"en-ie","license":"https://www.oireachtas.ie/en/copyright-and-reuse/","note":"archive_location: Ireland\njournalAbbreviation: https://s3-eu-west-1.amazonaws.com/oireachtas-data-repo-live/akn/ie/debateRecord/dail/2019-02-19/writtens/mul@/dbsect_531.xml\nLast Modified: 2020-07-14\npublisher: Houses of the Oireachtas","title":"Wage Subsidy Scheme – Tuesday, 19 Feb 2019 – Parliamentary Questions (32nd Dáil) – Houses of the Oireachtas","URL":"https://www.oireachtas.ie/en/debates/question/2019-02-19/613","author":[{"family":"Minister for Employment Affairs and Social Protection, Regina Doherty","given":"Houses","dropping-particle":"of the"}],"accessed":{"date-parts":[["2024",7,26]]},"issued":{"date-parts":[["2019",2,19]]}}}],"schema":"https://github.com/citation-style-language/schema/raw/master/csl-citation.json"} </w:instrText>
      </w:r>
      <w:r>
        <w:rPr>
          <w:rFonts w:ascii="Gill Sans MT" w:hAnsi="Gill Sans MT"/>
          <w:szCs w:val="26"/>
        </w:rPr>
        <w:fldChar w:fldCharType="separate"/>
      </w:r>
      <w:r w:rsidR="006B1C05" w:rsidRPr="006B1C05">
        <w:rPr>
          <w:rFonts w:ascii="Gill Sans MT" w:hAnsi="Gill Sans MT"/>
        </w:rPr>
        <w:t>(76)</w:t>
      </w:r>
      <w:r>
        <w:rPr>
          <w:rFonts w:ascii="Gill Sans MT" w:hAnsi="Gill Sans MT"/>
          <w:szCs w:val="26"/>
        </w:rPr>
        <w:fldChar w:fldCharType="end"/>
      </w:r>
      <w:r w:rsidRPr="00AE3C55">
        <w:rPr>
          <w:rFonts w:ascii="Gill Sans MT" w:hAnsi="Gill Sans MT"/>
          <w:szCs w:val="26"/>
        </w:rPr>
        <w:t xml:space="preserve"> </w:t>
      </w:r>
      <w:r>
        <w:rPr>
          <w:rFonts w:ascii="Gill Sans MT" w:hAnsi="Gill Sans MT"/>
          <w:szCs w:val="26"/>
        </w:rPr>
        <w:t>However, c</w:t>
      </w:r>
      <w:r w:rsidRPr="00A07C43">
        <w:rPr>
          <w:rFonts w:ascii="Gill Sans MT" w:hAnsi="Gill Sans MT"/>
          <w:szCs w:val="26"/>
        </w:rPr>
        <w:t xml:space="preserve">oncerns </w:t>
      </w:r>
      <w:r>
        <w:rPr>
          <w:rFonts w:ascii="Gill Sans MT" w:hAnsi="Gill Sans MT"/>
          <w:szCs w:val="26"/>
        </w:rPr>
        <w:t>were raised</w:t>
      </w:r>
      <w:r w:rsidRPr="00A07C43">
        <w:rPr>
          <w:rFonts w:ascii="Gill Sans MT" w:hAnsi="Gill Sans MT"/>
          <w:szCs w:val="26"/>
        </w:rPr>
        <w:t xml:space="preserve"> that this threshold </w:t>
      </w:r>
      <w:r>
        <w:rPr>
          <w:rFonts w:ascii="Gill Sans MT" w:hAnsi="Gill Sans MT"/>
          <w:szCs w:val="26"/>
        </w:rPr>
        <w:t>was</w:t>
      </w:r>
      <w:r w:rsidRPr="00A07C43">
        <w:rPr>
          <w:rFonts w:ascii="Gill Sans MT" w:hAnsi="Gill Sans MT"/>
          <w:szCs w:val="26"/>
        </w:rPr>
        <w:t xml:space="preserve"> too high</w:t>
      </w:r>
      <w:r>
        <w:rPr>
          <w:rFonts w:ascii="Gill Sans MT" w:hAnsi="Gill Sans MT"/>
          <w:szCs w:val="26"/>
        </w:rPr>
        <w:t xml:space="preserve">. </w:t>
      </w:r>
      <w:r>
        <w:rPr>
          <w:rFonts w:ascii="Gill Sans MT" w:hAnsi="Gill Sans MT"/>
          <w:szCs w:val="26"/>
        </w:rPr>
        <w:fldChar w:fldCharType="begin"/>
      </w:r>
      <w:r w:rsidR="006B1C05">
        <w:rPr>
          <w:rFonts w:ascii="Gill Sans MT" w:hAnsi="Gill Sans MT"/>
          <w:szCs w:val="26"/>
        </w:rPr>
        <w:instrText xml:space="preserve"> ADDIN ZOTERO_ITEM CSL_CITATION {"citationID":"cu07XQDq","properties":{"formattedCitation":"(77)","plainCitation":"(77)","noteIndex":0},"citationItems":[{"id":206,"uris":["http://zotero.org/users/local/kvLunvBP/items/JTZRXGCA"],"itemData":{"id":206,"type":"report","title":"Reasonable Accommodations: Obstacles and Opportunities to the Employment of Persons with a Disability","URL":"https://nda.ie/publications/reasonable-accommodations-obstacles-and-opportunities-to-the-employment-of-persons-with-a-disability","author":[{"family":"National Disability Authority","given":""}],"issued":{"date-parts":[["2019"]]}}}],"schema":"https://github.com/citation-style-language/schema/raw/master/csl-citation.json"} </w:instrText>
      </w:r>
      <w:r>
        <w:rPr>
          <w:rFonts w:ascii="Gill Sans MT" w:hAnsi="Gill Sans MT"/>
          <w:szCs w:val="26"/>
        </w:rPr>
        <w:fldChar w:fldCharType="separate"/>
      </w:r>
      <w:r w:rsidR="006B1C05" w:rsidRPr="006B1C05">
        <w:rPr>
          <w:rFonts w:ascii="Gill Sans MT" w:hAnsi="Gill Sans MT"/>
        </w:rPr>
        <w:t>(77)</w:t>
      </w:r>
      <w:r>
        <w:rPr>
          <w:rFonts w:ascii="Gill Sans MT" w:hAnsi="Gill Sans MT"/>
          <w:szCs w:val="26"/>
        </w:rPr>
        <w:fldChar w:fldCharType="end"/>
      </w:r>
      <w:r w:rsidR="008771C5">
        <w:rPr>
          <w:rFonts w:ascii="Gill Sans MT" w:hAnsi="Gill Sans MT"/>
          <w:szCs w:val="26"/>
        </w:rPr>
        <w:t xml:space="preserve"> </w:t>
      </w:r>
    </w:p>
    <w:p w14:paraId="5F67CB94" w14:textId="0B85A19E" w:rsidR="000A52BC" w:rsidRDefault="000A52BC" w:rsidP="000A52BC">
      <w:pPr>
        <w:rPr>
          <w:rFonts w:ascii="Gill Sans MT" w:hAnsi="Gill Sans MT"/>
          <w:szCs w:val="26"/>
        </w:rPr>
      </w:pPr>
      <w:r>
        <w:rPr>
          <w:rFonts w:ascii="Gill Sans MT" w:hAnsi="Gill Sans MT"/>
          <w:szCs w:val="26"/>
        </w:rPr>
        <w:t>In addition, employers</w:t>
      </w:r>
      <w:r w:rsidRPr="00A07C43">
        <w:rPr>
          <w:rFonts w:ascii="Gill Sans MT" w:hAnsi="Gill Sans MT"/>
          <w:szCs w:val="26"/>
        </w:rPr>
        <w:t xml:space="preserve"> are only provided with assistance under the WSS where the employee </w:t>
      </w:r>
      <w:r>
        <w:rPr>
          <w:rFonts w:ascii="Gill Sans MT" w:hAnsi="Gill Sans MT"/>
          <w:szCs w:val="26"/>
        </w:rPr>
        <w:t xml:space="preserve">has been </w:t>
      </w:r>
      <w:r w:rsidRPr="00A07C43">
        <w:rPr>
          <w:rFonts w:ascii="Gill Sans MT" w:hAnsi="Gill Sans MT"/>
          <w:szCs w:val="26"/>
        </w:rPr>
        <w:t xml:space="preserve">in </w:t>
      </w:r>
      <w:r>
        <w:rPr>
          <w:rFonts w:ascii="Gill Sans MT" w:hAnsi="Gill Sans MT"/>
          <w:szCs w:val="26"/>
        </w:rPr>
        <w:t>their employ for less than a year</w:t>
      </w:r>
      <w:r w:rsidRPr="00A07C43">
        <w:rPr>
          <w:rFonts w:ascii="Gill Sans MT" w:hAnsi="Gill Sans MT"/>
          <w:szCs w:val="26"/>
        </w:rPr>
        <w:t xml:space="preserve">. </w:t>
      </w:r>
      <w:r>
        <w:rPr>
          <w:rFonts w:ascii="Gill Sans MT" w:hAnsi="Gill Sans MT"/>
          <w:szCs w:val="26"/>
        </w:rPr>
        <w:t>The NDA has advised that the scheme</w:t>
      </w:r>
      <w:r w:rsidRPr="00A07C43">
        <w:rPr>
          <w:rFonts w:ascii="Gill Sans MT" w:hAnsi="Gill Sans MT"/>
          <w:szCs w:val="26"/>
        </w:rPr>
        <w:t xml:space="preserve"> could be made available for those who acquire a disability after 12 months</w:t>
      </w:r>
      <w:r>
        <w:rPr>
          <w:rFonts w:ascii="Gill Sans MT" w:hAnsi="Gill Sans MT"/>
          <w:szCs w:val="26"/>
        </w:rPr>
        <w:t>,</w:t>
      </w:r>
      <w:r w:rsidRPr="00A07C43">
        <w:rPr>
          <w:rFonts w:ascii="Gill Sans MT" w:hAnsi="Gill Sans MT"/>
          <w:szCs w:val="26"/>
        </w:rPr>
        <w:t xml:space="preserve"> in order to provide the employer with a financial incentive to retain the employee</w:t>
      </w:r>
      <w:r>
        <w:rPr>
          <w:rFonts w:ascii="Gill Sans MT" w:hAnsi="Gill Sans MT"/>
          <w:szCs w:val="26"/>
        </w:rPr>
        <w:t xml:space="preserve">. </w:t>
      </w:r>
      <w:r>
        <w:rPr>
          <w:rFonts w:ascii="Gill Sans MT" w:hAnsi="Gill Sans MT"/>
          <w:szCs w:val="26"/>
        </w:rPr>
        <w:fldChar w:fldCharType="begin"/>
      </w:r>
      <w:r w:rsidR="006B1C05">
        <w:rPr>
          <w:rFonts w:ascii="Gill Sans MT" w:hAnsi="Gill Sans MT"/>
          <w:szCs w:val="26"/>
        </w:rPr>
        <w:instrText xml:space="preserve"> ADDIN ZOTERO_ITEM CSL_CITATION {"citationID":"fti9ZBTd","properties":{"formattedCitation":"(77)","plainCitation":"(77)","noteIndex":0},"citationItems":[{"id":206,"uris":["http://zotero.org/users/local/kvLunvBP/items/JTZRXGCA"],"itemData":{"id":206,"type":"report","title":"Reasonable Accommodations: Obstacles and Opportunities to the Employment of Persons with a Disability","URL":"https://nda.ie/publications/reasonable-accommodations-obstacles-and-opportunities-to-the-employment-of-persons-with-a-disability","author":[{"family":"National Disability Authority","given":""}],"issued":{"date-parts":[["2019"]]}}}],"schema":"https://github.com/citation-style-language/schema/raw/master/csl-citation.json"} </w:instrText>
      </w:r>
      <w:r>
        <w:rPr>
          <w:rFonts w:ascii="Gill Sans MT" w:hAnsi="Gill Sans MT"/>
          <w:szCs w:val="26"/>
        </w:rPr>
        <w:fldChar w:fldCharType="separate"/>
      </w:r>
      <w:r w:rsidR="006B1C05" w:rsidRPr="006B1C05">
        <w:rPr>
          <w:rFonts w:ascii="Gill Sans MT" w:hAnsi="Gill Sans MT"/>
        </w:rPr>
        <w:t>(77)</w:t>
      </w:r>
      <w:r>
        <w:rPr>
          <w:rFonts w:ascii="Gill Sans MT" w:hAnsi="Gill Sans MT"/>
          <w:szCs w:val="26"/>
        </w:rPr>
        <w:fldChar w:fldCharType="end"/>
      </w:r>
    </w:p>
    <w:p w14:paraId="036D2368" w14:textId="14F1ADE3" w:rsidR="00637806" w:rsidRDefault="00637806" w:rsidP="000A52BC">
      <w:pPr>
        <w:rPr>
          <w:rFonts w:ascii="Gill Sans MT" w:hAnsi="Gill Sans MT"/>
          <w:szCs w:val="26"/>
        </w:rPr>
      </w:pPr>
      <w:r w:rsidRPr="004B0712">
        <w:rPr>
          <w:rFonts w:ascii="Gill Sans MT" w:hAnsi="Gill Sans MT"/>
          <w:szCs w:val="26"/>
          <w:lang w:eastAsia="en-IE"/>
        </w:rPr>
        <w:t xml:space="preserve">The Wage Subsidy Scheme is </w:t>
      </w:r>
      <w:r>
        <w:rPr>
          <w:rFonts w:ascii="Gill Sans MT" w:hAnsi="Gill Sans MT"/>
          <w:szCs w:val="26"/>
          <w:lang w:eastAsia="en-IE"/>
        </w:rPr>
        <w:t>seen by some as a</w:t>
      </w:r>
      <w:r w:rsidRPr="004B0712">
        <w:rPr>
          <w:rFonts w:ascii="Gill Sans MT" w:hAnsi="Gill Sans MT"/>
          <w:szCs w:val="26"/>
          <w:lang w:eastAsia="en-IE"/>
        </w:rPr>
        <w:t xml:space="preserve"> support for employers </w:t>
      </w:r>
      <w:r>
        <w:rPr>
          <w:rFonts w:ascii="Gill Sans MT" w:hAnsi="Gill Sans MT"/>
          <w:szCs w:val="26"/>
          <w:lang w:eastAsia="en-IE"/>
        </w:rPr>
        <w:t>rather than disabled people,</w:t>
      </w:r>
      <w:r w:rsidRPr="004B0712">
        <w:rPr>
          <w:rFonts w:ascii="Gill Sans MT" w:hAnsi="Gill Sans MT"/>
          <w:szCs w:val="26"/>
          <w:lang w:eastAsia="en-IE"/>
        </w:rPr>
        <w:t xml:space="preserve"> and</w:t>
      </w:r>
      <w:r>
        <w:rPr>
          <w:rFonts w:ascii="Gill Sans MT" w:hAnsi="Gill Sans MT"/>
          <w:szCs w:val="26"/>
          <w:lang w:eastAsia="en-IE"/>
        </w:rPr>
        <w:t xml:space="preserve"> in NDA consultations, some disabled people have criticised the inherent implication in the scheme that disabled people are less productive. </w:t>
      </w:r>
      <w:r w:rsidRPr="004B0712">
        <w:rPr>
          <w:rFonts w:ascii="Gill Sans MT" w:hAnsi="Gill Sans MT"/>
          <w:szCs w:val="26"/>
          <w:lang w:eastAsia="en-IE"/>
        </w:rPr>
        <w:t xml:space="preserve"> </w:t>
      </w:r>
    </w:p>
    <w:p w14:paraId="3CA89904" w14:textId="25EB8B1C" w:rsidR="000A52BC" w:rsidRDefault="000A52BC" w:rsidP="000A52BC">
      <w:pPr>
        <w:rPr>
          <w:rFonts w:ascii="Gill Sans MT" w:hAnsi="Gill Sans MT"/>
          <w:szCs w:val="26"/>
          <w:lang w:eastAsia="en-IE"/>
        </w:rPr>
      </w:pPr>
      <w:r>
        <w:rPr>
          <w:rFonts w:ascii="Gill Sans MT" w:hAnsi="Gill Sans MT"/>
          <w:szCs w:val="26"/>
        </w:rPr>
        <w:t xml:space="preserve">In 2023, a review of the WSS was announced. A public consultation on the WSS review was held in Summer 2023 </w:t>
      </w:r>
      <w:r>
        <w:rPr>
          <w:rFonts w:ascii="Gill Sans MT" w:hAnsi="Gill Sans MT"/>
          <w:szCs w:val="26"/>
        </w:rPr>
        <w:fldChar w:fldCharType="begin"/>
      </w:r>
      <w:r w:rsidR="006B1C05">
        <w:rPr>
          <w:rFonts w:ascii="Gill Sans MT" w:hAnsi="Gill Sans MT"/>
          <w:szCs w:val="26"/>
        </w:rPr>
        <w:instrText xml:space="preserve"> ADDIN ZOTERO_ITEM CSL_CITATION {"citationID":"hDM3IbMG","properties":{"formattedCitation":"(78)","plainCitation":"(78)","noteIndex":0},"citationItems":[{"id":225,"uris":["http://zotero.org/users/local/kvLunvBP/items/XRPQ6DPY"],"itemData":{"id":225,"type":"webpage","language":"en","title":"Minister Humphreys launches public consultation on the review of the Wage Subsidy Scheme","URL":"https://www.gov.ie/en/press-release/4ab31-minister-humphreys-launches-public-consultation-on-the-review-of-the-wage-subsidy-scheme/","author":[{"family":"Department of Social Protection","given":""}],"accessed":{"date-parts":[["2024",8,1]]},"issued":{"date-parts":[["2023",6,23]]}}}],"schema":"https://github.com/citation-style-language/schema/raw/master/csl-citation.json"} </w:instrText>
      </w:r>
      <w:r>
        <w:rPr>
          <w:rFonts w:ascii="Gill Sans MT" w:hAnsi="Gill Sans MT"/>
          <w:szCs w:val="26"/>
        </w:rPr>
        <w:fldChar w:fldCharType="separate"/>
      </w:r>
      <w:r w:rsidR="006B1C05" w:rsidRPr="006B1C05">
        <w:rPr>
          <w:rFonts w:ascii="Gill Sans MT" w:hAnsi="Gill Sans MT"/>
        </w:rPr>
        <w:t>(78)</w:t>
      </w:r>
      <w:r>
        <w:rPr>
          <w:rFonts w:ascii="Gill Sans MT" w:hAnsi="Gill Sans MT"/>
          <w:szCs w:val="26"/>
        </w:rPr>
        <w:fldChar w:fldCharType="end"/>
      </w:r>
      <w:r>
        <w:rPr>
          <w:rFonts w:ascii="Gill Sans MT" w:hAnsi="Gill Sans MT"/>
          <w:szCs w:val="26"/>
          <w:lang w:eastAsia="en-IE"/>
        </w:rPr>
        <w:t xml:space="preserve"> and a report published in August 2024</w:t>
      </w:r>
      <w:r w:rsidR="00A4165E">
        <w:rPr>
          <w:rFonts w:ascii="Gill Sans MT" w:hAnsi="Gill Sans MT"/>
          <w:szCs w:val="26"/>
          <w:lang w:eastAsia="en-IE"/>
        </w:rPr>
        <w:t xml:space="preserve">. </w:t>
      </w:r>
      <w:r w:rsidR="00154670">
        <w:rPr>
          <w:rFonts w:ascii="Gill Sans MT" w:hAnsi="Gill Sans MT"/>
          <w:szCs w:val="26"/>
          <w:lang w:eastAsia="en-IE"/>
        </w:rPr>
        <w:fldChar w:fldCharType="begin"/>
      </w:r>
      <w:r w:rsidR="006B1C05">
        <w:rPr>
          <w:rFonts w:ascii="Gill Sans MT" w:hAnsi="Gill Sans MT"/>
          <w:szCs w:val="26"/>
          <w:lang w:eastAsia="en-IE"/>
        </w:rPr>
        <w:instrText xml:space="preserve"> ADDIN ZOTERO_ITEM CSL_CITATION {"citationID":"GBM7dLFE","properties":{"formattedCitation":"(79)","plainCitation":"(79)","noteIndex":0},"citationItems":[{"id":308,"uris":["http://zotero.org/users/local/kvLunvBP/items/QKMB7UND"],"itemData":{"id":308,"type":"report","language":"en","title":"Report on the Review of the Wage Subsidy Scheme","URL":"https://www.gov.ie/pdf/?file=https://assets.gov.ie/303553/feca4247-56dc-41cc-8e9f-26c89d69f8ed.pdf#page=null","author":[{"family":"Department of Social Protection","given":""}],"accessed":{"date-parts":[["2024",10,21]]},"issued":{"date-parts":[["2024",8,19]]}}}],"schema":"https://github.com/citation-style-language/schema/raw/master/csl-citation.json"} </w:instrText>
      </w:r>
      <w:r w:rsidR="00154670">
        <w:rPr>
          <w:rFonts w:ascii="Gill Sans MT" w:hAnsi="Gill Sans MT"/>
          <w:szCs w:val="26"/>
          <w:lang w:eastAsia="en-IE"/>
        </w:rPr>
        <w:fldChar w:fldCharType="separate"/>
      </w:r>
      <w:r w:rsidR="006B1C05" w:rsidRPr="006B1C05">
        <w:rPr>
          <w:rFonts w:ascii="Gill Sans MT" w:hAnsi="Gill Sans MT"/>
        </w:rPr>
        <w:t>(79)</w:t>
      </w:r>
      <w:r w:rsidR="00154670">
        <w:rPr>
          <w:rFonts w:ascii="Gill Sans MT" w:hAnsi="Gill Sans MT"/>
          <w:szCs w:val="26"/>
          <w:lang w:eastAsia="en-IE"/>
        </w:rPr>
        <w:fldChar w:fldCharType="end"/>
      </w:r>
    </w:p>
    <w:p w14:paraId="2BF9DDC2" w14:textId="6E6E1836" w:rsidR="000A52BC" w:rsidRPr="0052618C" w:rsidRDefault="000A52BC" w:rsidP="000A52BC">
      <w:pPr>
        <w:rPr>
          <w:rFonts w:ascii="Gill Sans MT" w:hAnsi="Gill Sans MT"/>
          <w:szCs w:val="26"/>
          <w:lang w:eastAsia="en-IE"/>
        </w:rPr>
      </w:pPr>
      <w:r w:rsidRPr="004B0712">
        <w:rPr>
          <w:rFonts w:ascii="Gill Sans MT" w:hAnsi="Gill Sans MT"/>
          <w:szCs w:val="26"/>
          <w:lang w:eastAsia="en-IE"/>
        </w:rPr>
        <w:t xml:space="preserve">The review </w:t>
      </w:r>
      <w:r>
        <w:rPr>
          <w:rFonts w:ascii="Gill Sans MT" w:hAnsi="Gill Sans MT"/>
          <w:szCs w:val="26"/>
          <w:lang w:eastAsia="en-IE"/>
        </w:rPr>
        <w:t xml:space="preserve">resulted in six </w:t>
      </w:r>
      <w:r w:rsidRPr="004B0712">
        <w:rPr>
          <w:rFonts w:ascii="Gill Sans MT" w:hAnsi="Gill Sans MT"/>
          <w:szCs w:val="26"/>
          <w:lang w:eastAsia="en-IE"/>
        </w:rPr>
        <w:t>recommendations</w:t>
      </w:r>
      <w:r w:rsidR="008771C5">
        <w:rPr>
          <w:rFonts w:ascii="Gill Sans MT" w:hAnsi="Gill Sans MT"/>
          <w:szCs w:val="26"/>
          <w:lang w:eastAsia="en-IE"/>
        </w:rPr>
        <w:t xml:space="preserve"> aimed at increasing the accessibility and flexibility of the scheme</w:t>
      </w:r>
      <w:r w:rsidRPr="004B0712">
        <w:rPr>
          <w:rFonts w:ascii="Gill Sans MT" w:hAnsi="Gill Sans MT"/>
          <w:szCs w:val="26"/>
          <w:lang w:eastAsia="en-IE"/>
        </w:rPr>
        <w:t>:</w:t>
      </w:r>
    </w:p>
    <w:p w14:paraId="2BBD3205" w14:textId="43108A14" w:rsidR="000A52BC" w:rsidRPr="004B0712" w:rsidRDefault="00154670" w:rsidP="000A52BC">
      <w:pPr>
        <w:numPr>
          <w:ilvl w:val="0"/>
          <w:numId w:val="24"/>
        </w:numPr>
        <w:spacing w:after="0" w:line="259" w:lineRule="auto"/>
        <w:contextualSpacing/>
        <w:rPr>
          <w:rFonts w:ascii="Gill Sans MT" w:hAnsi="Gill Sans MT"/>
          <w:szCs w:val="26"/>
          <w:lang w:val="en-GB"/>
        </w:rPr>
      </w:pPr>
      <w:r>
        <w:rPr>
          <w:rFonts w:ascii="Gill Sans MT" w:hAnsi="Gill Sans MT"/>
          <w:szCs w:val="26"/>
          <w:lang w:val="en-GB"/>
        </w:rPr>
        <w:t>R</w:t>
      </w:r>
      <w:r w:rsidR="000A52BC" w:rsidRPr="004B0712">
        <w:rPr>
          <w:rFonts w:ascii="Gill Sans MT" w:hAnsi="Gill Sans MT"/>
          <w:szCs w:val="26"/>
          <w:lang w:val="en-GB"/>
        </w:rPr>
        <w:t xml:space="preserve">educe the required minimum hours of the scheme. </w:t>
      </w:r>
    </w:p>
    <w:p w14:paraId="1434BBCA" w14:textId="02161D86" w:rsidR="000A52BC" w:rsidRPr="004B0712" w:rsidRDefault="00154670" w:rsidP="000A52BC">
      <w:pPr>
        <w:numPr>
          <w:ilvl w:val="0"/>
          <w:numId w:val="24"/>
        </w:numPr>
        <w:spacing w:after="0" w:line="259" w:lineRule="auto"/>
        <w:contextualSpacing/>
        <w:rPr>
          <w:rFonts w:ascii="Gill Sans MT" w:hAnsi="Gill Sans MT"/>
          <w:szCs w:val="26"/>
          <w:lang w:val="en-GB"/>
        </w:rPr>
      </w:pPr>
      <w:r>
        <w:rPr>
          <w:rFonts w:ascii="Gill Sans MT" w:hAnsi="Gill Sans MT"/>
          <w:szCs w:val="26"/>
          <w:lang w:val="en-GB"/>
        </w:rPr>
        <w:t>R</w:t>
      </w:r>
      <w:r w:rsidR="000A52BC" w:rsidRPr="004B0712">
        <w:rPr>
          <w:rFonts w:ascii="Gill Sans MT" w:hAnsi="Gill Sans MT"/>
          <w:szCs w:val="26"/>
          <w:lang w:val="en-GB"/>
        </w:rPr>
        <w:t xml:space="preserve">emove the </w:t>
      </w:r>
      <w:r w:rsidR="00A25FCC">
        <w:rPr>
          <w:rFonts w:ascii="Gill Sans MT" w:hAnsi="Gill Sans MT"/>
          <w:szCs w:val="26"/>
          <w:lang w:val="en-GB"/>
        </w:rPr>
        <w:t>language of</w:t>
      </w:r>
      <w:r w:rsidR="000A52BC" w:rsidRPr="004B0712">
        <w:rPr>
          <w:rFonts w:ascii="Gill Sans MT" w:hAnsi="Gill Sans MT"/>
          <w:szCs w:val="26"/>
          <w:lang w:val="en-GB"/>
        </w:rPr>
        <w:t xml:space="preserve"> ‘productivity deficit’ from the scheme.</w:t>
      </w:r>
    </w:p>
    <w:p w14:paraId="46150348" w14:textId="2A722EB9" w:rsidR="000A52BC" w:rsidRPr="004B0712" w:rsidRDefault="00154670" w:rsidP="000A52BC">
      <w:pPr>
        <w:numPr>
          <w:ilvl w:val="0"/>
          <w:numId w:val="24"/>
        </w:numPr>
        <w:spacing w:after="0" w:line="259" w:lineRule="auto"/>
        <w:contextualSpacing/>
        <w:rPr>
          <w:rFonts w:ascii="Gill Sans MT" w:hAnsi="Gill Sans MT"/>
          <w:szCs w:val="26"/>
          <w:lang w:val="en-GB"/>
        </w:rPr>
      </w:pPr>
      <w:r>
        <w:rPr>
          <w:rFonts w:ascii="Gill Sans MT" w:hAnsi="Gill Sans MT"/>
          <w:szCs w:val="26"/>
          <w:lang w:val="en-GB"/>
        </w:rPr>
        <w:t>E</w:t>
      </w:r>
      <w:r w:rsidR="000A52BC" w:rsidRPr="004B0712">
        <w:rPr>
          <w:rFonts w:ascii="Gill Sans MT" w:hAnsi="Gill Sans MT"/>
          <w:szCs w:val="26"/>
          <w:lang w:val="en-GB"/>
        </w:rPr>
        <w:t>xpand the scheme to employers who employ somebody returning to work in receipt of</w:t>
      </w:r>
      <w:r w:rsidR="000A52BC">
        <w:rPr>
          <w:rFonts w:ascii="Gill Sans MT" w:hAnsi="Gill Sans MT"/>
          <w:szCs w:val="26"/>
          <w:lang w:val="en-GB"/>
        </w:rPr>
        <w:t xml:space="preserve"> </w:t>
      </w:r>
      <w:hyperlink r:id="rId22" w:history="1">
        <w:r w:rsidR="000A52BC" w:rsidRPr="004B0712">
          <w:rPr>
            <w:rFonts w:ascii="Gill Sans MT" w:hAnsi="Gill Sans MT"/>
            <w:szCs w:val="26"/>
            <w:lang w:val="en-GB"/>
          </w:rPr>
          <w:t>Partial Capacity Benefit</w:t>
        </w:r>
      </w:hyperlink>
      <w:r w:rsidR="000A52BC" w:rsidRPr="004B0712">
        <w:rPr>
          <w:rFonts w:ascii="Gill Sans MT" w:hAnsi="Gill Sans MT"/>
          <w:szCs w:val="26"/>
          <w:lang w:val="en-GB"/>
        </w:rPr>
        <w:t>.</w:t>
      </w:r>
    </w:p>
    <w:p w14:paraId="2F2BC543" w14:textId="61B1CF3D" w:rsidR="000A52BC" w:rsidRPr="004B0712" w:rsidRDefault="00154670" w:rsidP="000A52BC">
      <w:pPr>
        <w:numPr>
          <w:ilvl w:val="0"/>
          <w:numId w:val="24"/>
        </w:numPr>
        <w:spacing w:after="0" w:line="259" w:lineRule="auto"/>
        <w:contextualSpacing/>
        <w:rPr>
          <w:rFonts w:ascii="Gill Sans MT" w:hAnsi="Gill Sans MT"/>
          <w:szCs w:val="26"/>
          <w:lang w:val="en-GB"/>
        </w:rPr>
      </w:pPr>
      <w:r>
        <w:rPr>
          <w:rFonts w:ascii="Gill Sans MT" w:hAnsi="Gill Sans MT"/>
          <w:szCs w:val="26"/>
          <w:lang w:val="en-GB"/>
        </w:rPr>
        <w:t>E</w:t>
      </w:r>
      <w:r w:rsidR="000A52BC" w:rsidRPr="004B0712">
        <w:rPr>
          <w:rFonts w:ascii="Gill Sans MT" w:hAnsi="Gill Sans MT"/>
          <w:szCs w:val="26"/>
          <w:lang w:val="en-GB"/>
        </w:rPr>
        <w:t>xpand the scheme to the community and voluntary sector and commercial state-sponsored sector.</w:t>
      </w:r>
    </w:p>
    <w:p w14:paraId="3D3B6897" w14:textId="3353D9B5" w:rsidR="000A52BC" w:rsidRPr="004B0712" w:rsidRDefault="00154670" w:rsidP="000A52BC">
      <w:pPr>
        <w:numPr>
          <w:ilvl w:val="0"/>
          <w:numId w:val="24"/>
        </w:numPr>
        <w:spacing w:after="0" w:line="259" w:lineRule="auto"/>
        <w:contextualSpacing/>
        <w:rPr>
          <w:rFonts w:ascii="Gill Sans MT" w:hAnsi="Gill Sans MT"/>
          <w:szCs w:val="26"/>
          <w:lang w:val="en-GB"/>
        </w:rPr>
      </w:pPr>
      <w:r>
        <w:rPr>
          <w:rFonts w:ascii="Gill Sans MT" w:hAnsi="Gill Sans MT"/>
          <w:szCs w:val="26"/>
          <w:lang w:val="en-GB"/>
        </w:rPr>
        <w:t>R</w:t>
      </w:r>
      <w:r w:rsidR="000A52BC" w:rsidRPr="004B0712">
        <w:rPr>
          <w:rFonts w:ascii="Gill Sans MT" w:hAnsi="Gill Sans MT"/>
          <w:szCs w:val="26"/>
          <w:lang w:val="en-GB"/>
        </w:rPr>
        <w:t>eview the subsidy rate on a regular basis.</w:t>
      </w:r>
    </w:p>
    <w:p w14:paraId="2B284D1C" w14:textId="2BE58489" w:rsidR="000A52BC" w:rsidRDefault="00154670" w:rsidP="000A52BC">
      <w:pPr>
        <w:numPr>
          <w:ilvl w:val="0"/>
          <w:numId w:val="24"/>
        </w:numPr>
        <w:spacing w:after="0" w:line="259" w:lineRule="auto"/>
        <w:contextualSpacing/>
        <w:rPr>
          <w:rFonts w:ascii="Gill Sans MT" w:hAnsi="Gill Sans MT"/>
          <w:szCs w:val="26"/>
          <w:lang w:val="en-GB"/>
        </w:rPr>
      </w:pPr>
      <w:r>
        <w:rPr>
          <w:rFonts w:ascii="Gill Sans MT" w:hAnsi="Gill Sans MT"/>
          <w:szCs w:val="26"/>
          <w:lang w:val="en-GB"/>
        </w:rPr>
        <w:t>P</w:t>
      </w:r>
      <w:r w:rsidR="000A52BC" w:rsidRPr="004B0712">
        <w:rPr>
          <w:rFonts w:ascii="Gill Sans MT" w:hAnsi="Gill Sans MT"/>
          <w:szCs w:val="26"/>
          <w:lang w:val="en-GB"/>
        </w:rPr>
        <w:t>romote and improve knowledge of the scheme.</w:t>
      </w:r>
    </w:p>
    <w:p w14:paraId="0E67699F" w14:textId="77777777" w:rsidR="008771C5" w:rsidRDefault="008771C5" w:rsidP="008771C5">
      <w:pPr>
        <w:spacing w:after="0" w:line="259" w:lineRule="auto"/>
        <w:contextualSpacing/>
        <w:rPr>
          <w:rFonts w:ascii="Gill Sans MT" w:hAnsi="Gill Sans MT"/>
          <w:szCs w:val="26"/>
          <w:lang w:val="en-GB"/>
        </w:rPr>
      </w:pPr>
    </w:p>
    <w:p w14:paraId="44262B24" w14:textId="094228D7" w:rsidR="003C00EF" w:rsidRDefault="008771C5" w:rsidP="008771C5">
      <w:pPr>
        <w:spacing w:after="0" w:line="259" w:lineRule="auto"/>
        <w:contextualSpacing/>
        <w:rPr>
          <w:rFonts w:ascii="Gill Sans MT" w:hAnsi="Gill Sans MT"/>
          <w:szCs w:val="26"/>
          <w:lang w:eastAsia="en-IE"/>
        </w:rPr>
      </w:pPr>
      <w:r w:rsidRPr="004B0712">
        <w:rPr>
          <w:rFonts w:ascii="Gill Sans MT" w:hAnsi="Gill Sans MT"/>
          <w:szCs w:val="26"/>
          <w:lang w:val="en-GB"/>
        </w:rPr>
        <w:t>The scheme’s hours were reduced from 21 hours per week to 15 hours per week in April 2024 based</w:t>
      </w:r>
      <w:r w:rsidR="00A25FCC">
        <w:rPr>
          <w:rFonts w:ascii="Gill Sans MT" w:hAnsi="Gill Sans MT"/>
          <w:szCs w:val="26"/>
          <w:lang w:val="en-GB"/>
        </w:rPr>
        <w:t xml:space="preserve"> on</w:t>
      </w:r>
      <w:r w:rsidRPr="004B0712">
        <w:rPr>
          <w:rFonts w:ascii="Gill Sans MT" w:hAnsi="Gill Sans MT"/>
          <w:szCs w:val="26"/>
          <w:lang w:val="en-GB"/>
        </w:rPr>
        <w:t xml:space="preserve"> th</w:t>
      </w:r>
      <w:r w:rsidR="00A25FCC">
        <w:rPr>
          <w:rFonts w:ascii="Gill Sans MT" w:hAnsi="Gill Sans MT"/>
          <w:szCs w:val="26"/>
          <w:lang w:val="en-GB"/>
        </w:rPr>
        <w:t>is</w:t>
      </w:r>
      <w:r w:rsidRPr="004B0712">
        <w:rPr>
          <w:rFonts w:ascii="Gill Sans MT" w:hAnsi="Gill Sans MT"/>
          <w:szCs w:val="26"/>
          <w:lang w:val="en-GB"/>
        </w:rPr>
        <w:t xml:space="preserve"> review</w:t>
      </w:r>
      <w:r w:rsidR="007B7CF8">
        <w:rPr>
          <w:rFonts w:ascii="Gill Sans MT" w:hAnsi="Gill Sans MT"/>
          <w:szCs w:val="26"/>
          <w:lang w:val="en-GB"/>
        </w:rPr>
        <w:t>, which is welcomed by the NDA</w:t>
      </w:r>
      <w:r w:rsidRPr="004B0712">
        <w:rPr>
          <w:rFonts w:ascii="Gill Sans MT" w:hAnsi="Gill Sans MT"/>
          <w:szCs w:val="26"/>
          <w:lang w:val="en-GB"/>
        </w:rPr>
        <w:t>.</w:t>
      </w:r>
      <w:r>
        <w:rPr>
          <w:rFonts w:ascii="Gill Sans MT" w:hAnsi="Gill Sans MT"/>
          <w:szCs w:val="26"/>
          <w:lang w:val="en-GB"/>
        </w:rPr>
        <w:t xml:space="preserve"> </w:t>
      </w:r>
      <w:r w:rsidR="000A52BC">
        <w:rPr>
          <w:rFonts w:ascii="Gill Sans MT" w:hAnsi="Gill Sans MT"/>
          <w:szCs w:val="26"/>
          <w:lang w:eastAsia="en-IE"/>
        </w:rPr>
        <w:t>T</w:t>
      </w:r>
      <w:r w:rsidR="000A52BC" w:rsidRPr="004B0712">
        <w:rPr>
          <w:rFonts w:ascii="Gill Sans MT" w:hAnsi="Gill Sans MT"/>
          <w:szCs w:val="26"/>
          <w:lang w:eastAsia="en-IE"/>
        </w:rPr>
        <w:t>he</w:t>
      </w:r>
      <w:r>
        <w:rPr>
          <w:rFonts w:ascii="Gill Sans MT" w:hAnsi="Gill Sans MT"/>
          <w:szCs w:val="26"/>
          <w:lang w:eastAsia="en-IE"/>
        </w:rPr>
        <w:t xml:space="preserve"> remaining</w:t>
      </w:r>
      <w:r w:rsidR="000A52BC" w:rsidRPr="004B0712">
        <w:rPr>
          <w:rFonts w:ascii="Gill Sans MT" w:hAnsi="Gill Sans MT"/>
          <w:szCs w:val="26"/>
          <w:lang w:eastAsia="en-IE"/>
        </w:rPr>
        <w:t xml:space="preserve"> recommendations in the review </w:t>
      </w:r>
      <w:r w:rsidR="000A52BC">
        <w:rPr>
          <w:rFonts w:ascii="Gill Sans MT" w:hAnsi="Gill Sans MT"/>
          <w:szCs w:val="26"/>
          <w:lang w:eastAsia="en-IE"/>
        </w:rPr>
        <w:t xml:space="preserve">will be </w:t>
      </w:r>
      <w:r w:rsidR="000619CF">
        <w:rPr>
          <w:rFonts w:ascii="Gill Sans MT" w:hAnsi="Gill Sans MT"/>
          <w:szCs w:val="26"/>
          <w:lang w:eastAsia="en-IE"/>
        </w:rPr>
        <w:t>acted upon in</w:t>
      </w:r>
      <w:r w:rsidR="000A52BC">
        <w:rPr>
          <w:rFonts w:ascii="Gill Sans MT" w:hAnsi="Gill Sans MT"/>
          <w:szCs w:val="26"/>
          <w:lang w:eastAsia="en-IE"/>
        </w:rPr>
        <w:t xml:space="preserve"> 2025.</w:t>
      </w:r>
    </w:p>
    <w:p w14:paraId="1EC6F7FF" w14:textId="77777777" w:rsidR="008771C5" w:rsidRPr="008771C5" w:rsidRDefault="008771C5" w:rsidP="008771C5">
      <w:pPr>
        <w:spacing w:after="0" w:line="259" w:lineRule="auto"/>
        <w:contextualSpacing/>
        <w:rPr>
          <w:rFonts w:ascii="Gill Sans MT" w:hAnsi="Gill Sans MT"/>
          <w:szCs w:val="26"/>
          <w:lang w:val="en-GB"/>
        </w:rPr>
      </w:pPr>
    </w:p>
    <w:p w14:paraId="7707FF1A" w14:textId="580C11B6" w:rsidR="00A07C43" w:rsidRPr="00A07C43" w:rsidRDefault="00A07C43" w:rsidP="00A07C43">
      <w:pPr>
        <w:keepNext/>
        <w:spacing w:after="60"/>
        <w:outlineLvl w:val="1"/>
        <w:rPr>
          <w:rFonts w:ascii="Gill Sans MT" w:hAnsi="Gill Sans MT" w:cs="Arial Bold"/>
          <w:b/>
          <w:bCs/>
          <w:iCs/>
          <w:sz w:val="28"/>
          <w:szCs w:val="28"/>
          <w:lang w:eastAsia="en-IE"/>
        </w:rPr>
      </w:pPr>
      <w:bookmarkStart w:id="281" w:name="_Toc182219537"/>
      <w:bookmarkStart w:id="282" w:name="_Toc182220240"/>
      <w:bookmarkStart w:id="283" w:name="_Toc182555588"/>
      <w:bookmarkStart w:id="284" w:name="_Toc182555733"/>
      <w:r w:rsidRPr="00A07C43">
        <w:rPr>
          <w:rFonts w:ascii="Gill Sans MT" w:hAnsi="Gill Sans MT" w:cs="Arial Bold"/>
          <w:b/>
          <w:bCs/>
          <w:iCs/>
          <w:sz w:val="28"/>
          <w:szCs w:val="28"/>
          <w:lang w:eastAsia="en-IE"/>
        </w:rPr>
        <w:t xml:space="preserve">4.2 Number of </w:t>
      </w:r>
      <w:r w:rsidR="002B7C86">
        <w:rPr>
          <w:rFonts w:ascii="Gill Sans MT" w:hAnsi="Gill Sans MT" w:cs="Arial Bold"/>
          <w:b/>
          <w:bCs/>
          <w:iCs/>
          <w:sz w:val="28"/>
          <w:szCs w:val="28"/>
          <w:lang w:eastAsia="en-IE"/>
        </w:rPr>
        <w:t xml:space="preserve">successful </w:t>
      </w:r>
      <w:r w:rsidRPr="00A07C43">
        <w:rPr>
          <w:rFonts w:ascii="Gill Sans MT" w:hAnsi="Gill Sans MT" w:cs="Arial Bold"/>
          <w:b/>
          <w:bCs/>
          <w:iCs/>
          <w:sz w:val="28"/>
          <w:szCs w:val="28"/>
          <w:lang w:eastAsia="en-IE"/>
        </w:rPr>
        <w:t xml:space="preserve">applications </w:t>
      </w:r>
      <w:r w:rsidR="001604C3">
        <w:rPr>
          <w:rFonts w:ascii="Gill Sans MT" w:hAnsi="Gill Sans MT" w:cs="Arial Bold"/>
          <w:b/>
          <w:bCs/>
          <w:iCs/>
          <w:sz w:val="28"/>
          <w:szCs w:val="28"/>
          <w:lang w:eastAsia="en-IE"/>
        </w:rPr>
        <w:t>to the</w:t>
      </w:r>
      <w:r w:rsidRPr="00A07C43">
        <w:rPr>
          <w:rFonts w:ascii="Gill Sans MT" w:hAnsi="Gill Sans MT" w:cs="Arial Bold"/>
          <w:b/>
          <w:bCs/>
          <w:iCs/>
          <w:sz w:val="28"/>
          <w:szCs w:val="28"/>
          <w:lang w:eastAsia="en-IE"/>
        </w:rPr>
        <w:t xml:space="preserve"> Reasonable Accommodation Fund (Process)</w:t>
      </w:r>
      <w:bookmarkEnd w:id="281"/>
      <w:bookmarkEnd w:id="282"/>
      <w:bookmarkEnd w:id="283"/>
      <w:bookmarkEnd w:id="284"/>
      <w:r w:rsidRPr="00A07C43">
        <w:rPr>
          <w:rFonts w:ascii="Gill Sans MT" w:hAnsi="Gill Sans MT" w:cs="Arial Bold"/>
          <w:b/>
          <w:bCs/>
          <w:iCs/>
          <w:sz w:val="28"/>
          <w:szCs w:val="28"/>
          <w:lang w:eastAsia="en-IE"/>
        </w:rPr>
        <w:t xml:space="preserve"> </w:t>
      </w:r>
    </w:p>
    <w:p w14:paraId="4C0DC240" w14:textId="562839B4" w:rsidR="006E6DBA" w:rsidRDefault="00A07C43" w:rsidP="00A07C43">
      <w:pPr>
        <w:spacing w:after="0"/>
        <w:rPr>
          <w:rFonts w:ascii="Gill Sans MT" w:hAnsi="Gill Sans MT" w:cs="Arial"/>
          <w:szCs w:val="26"/>
          <w:lang w:val="en"/>
        </w:rPr>
      </w:pPr>
      <w:r w:rsidRPr="00A07C43">
        <w:rPr>
          <w:rFonts w:ascii="Gill Sans MT" w:hAnsi="Gill Sans MT"/>
          <w:szCs w:val="26"/>
          <w:lang w:eastAsia="en-IE"/>
        </w:rPr>
        <w:t xml:space="preserve">The Reasonable Accommodation Fund (RAF) </w:t>
      </w:r>
      <w:r w:rsidR="007F6887">
        <w:rPr>
          <w:rFonts w:ascii="Gill Sans MT" w:hAnsi="Gill Sans MT"/>
          <w:szCs w:val="26"/>
          <w:lang w:eastAsia="en-IE"/>
        </w:rPr>
        <w:t>has provided</w:t>
      </w:r>
      <w:r w:rsidR="006E6DBA">
        <w:rPr>
          <w:rFonts w:ascii="Gill Sans MT" w:hAnsi="Gill Sans MT"/>
          <w:szCs w:val="26"/>
          <w:lang w:eastAsia="en-IE"/>
        </w:rPr>
        <w:t xml:space="preserve"> funding to employees with a disability and </w:t>
      </w:r>
      <w:r w:rsidR="00BB4716">
        <w:rPr>
          <w:rFonts w:ascii="Gill Sans MT" w:hAnsi="Gill Sans MT"/>
          <w:szCs w:val="26"/>
          <w:lang w:eastAsia="en-IE"/>
        </w:rPr>
        <w:t xml:space="preserve">also </w:t>
      </w:r>
      <w:r w:rsidR="007F6887">
        <w:rPr>
          <w:rFonts w:ascii="Gill Sans MT" w:hAnsi="Gill Sans MT"/>
          <w:szCs w:val="26"/>
          <w:lang w:eastAsia="en-IE"/>
        </w:rPr>
        <w:t xml:space="preserve">to </w:t>
      </w:r>
      <w:r w:rsidR="006E6DBA">
        <w:rPr>
          <w:rFonts w:ascii="Gill Sans MT" w:hAnsi="Gill Sans MT"/>
          <w:szCs w:val="26"/>
          <w:lang w:eastAsia="en-IE"/>
        </w:rPr>
        <w:t>employers to take</w:t>
      </w:r>
      <w:r w:rsidR="006E6DBA" w:rsidRPr="006E6DBA">
        <w:rPr>
          <w:rFonts w:ascii="Gill Sans MT" w:hAnsi="Gill Sans MT"/>
          <w:szCs w:val="26"/>
          <w:lang w:eastAsia="en-IE"/>
        </w:rPr>
        <w:t xml:space="preserve"> appropriate measures to </w:t>
      </w:r>
      <w:r w:rsidR="006E6DBA">
        <w:rPr>
          <w:rFonts w:ascii="Gill Sans MT" w:hAnsi="Gill Sans MT"/>
          <w:szCs w:val="26"/>
          <w:lang w:eastAsia="en-IE"/>
        </w:rPr>
        <w:t>support a disabled person to access, improve</w:t>
      </w:r>
      <w:r w:rsidR="00BB4716">
        <w:rPr>
          <w:rFonts w:ascii="Gill Sans MT" w:hAnsi="Gill Sans MT"/>
          <w:szCs w:val="26"/>
          <w:lang w:eastAsia="en-IE"/>
        </w:rPr>
        <w:t>,</w:t>
      </w:r>
      <w:r w:rsidR="006E6DBA">
        <w:rPr>
          <w:rFonts w:ascii="Gill Sans MT" w:hAnsi="Gill Sans MT"/>
          <w:szCs w:val="26"/>
          <w:lang w:eastAsia="en-IE"/>
        </w:rPr>
        <w:t xml:space="preserve"> or retain employment. The fund </w:t>
      </w:r>
      <w:r w:rsidRPr="00A07C43">
        <w:rPr>
          <w:rFonts w:ascii="Gill Sans MT" w:hAnsi="Gill Sans MT"/>
          <w:szCs w:val="26"/>
          <w:lang w:eastAsia="en-IE"/>
        </w:rPr>
        <w:t>consist</w:t>
      </w:r>
      <w:r w:rsidR="007F6887">
        <w:rPr>
          <w:rFonts w:ascii="Gill Sans MT" w:hAnsi="Gill Sans MT"/>
          <w:szCs w:val="26"/>
          <w:lang w:eastAsia="en-IE"/>
        </w:rPr>
        <w:t>ed</w:t>
      </w:r>
      <w:r w:rsidRPr="00A07C43">
        <w:rPr>
          <w:rFonts w:ascii="Gill Sans MT" w:hAnsi="Gill Sans MT"/>
          <w:szCs w:val="26"/>
          <w:lang w:eastAsia="en-IE"/>
        </w:rPr>
        <w:t xml:space="preserve"> of </w:t>
      </w:r>
      <w:r w:rsidRPr="00A07C43">
        <w:rPr>
          <w:rFonts w:ascii="Gill Sans MT" w:hAnsi="Gill Sans MT" w:cs="Arial"/>
          <w:color w:val="333333"/>
          <w:szCs w:val="26"/>
          <w:lang w:val="en"/>
        </w:rPr>
        <w:t xml:space="preserve">the </w:t>
      </w:r>
      <w:r w:rsidRPr="00A07C43">
        <w:rPr>
          <w:rFonts w:ascii="Gill Sans MT" w:hAnsi="Gill Sans MT" w:cs="Arial"/>
          <w:szCs w:val="26"/>
          <w:lang w:val="en"/>
        </w:rPr>
        <w:t>Workplace Equipment and Adaptation Grant, the Job Interview Interpreter Grant, the Personal Reader Grant</w:t>
      </w:r>
      <w:r w:rsidR="00BB4716">
        <w:rPr>
          <w:rFonts w:ascii="Gill Sans MT" w:hAnsi="Gill Sans MT" w:cs="Arial"/>
          <w:szCs w:val="26"/>
          <w:lang w:val="en"/>
        </w:rPr>
        <w:t>,</w:t>
      </w:r>
      <w:r w:rsidRPr="00A07C43">
        <w:rPr>
          <w:rFonts w:ascii="Gill Sans MT" w:hAnsi="Gill Sans MT" w:cs="Arial"/>
          <w:szCs w:val="26"/>
          <w:lang w:val="en"/>
        </w:rPr>
        <w:t xml:space="preserve"> and the Employee Retention Grant. </w:t>
      </w:r>
    </w:p>
    <w:p w14:paraId="63C28600" w14:textId="77777777" w:rsidR="006E6DBA" w:rsidRDefault="006E6DBA" w:rsidP="00A07C43">
      <w:pPr>
        <w:spacing w:after="0"/>
        <w:rPr>
          <w:rFonts w:ascii="Gill Sans MT" w:hAnsi="Gill Sans MT" w:cs="Arial"/>
          <w:szCs w:val="26"/>
          <w:lang w:val="en"/>
        </w:rPr>
      </w:pPr>
    </w:p>
    <w:p w14:paraId="601F705A" w14:textId="1B62611B" w:rsidR="007D34F1" w:rsidRDefault="0020536D" w:rsidP="007D34F1">
      <w:pPr>
        <w:rPr>
          <w:rFonts w:ascii="Gill Sans MT" w:hAnsi="Gill Sans MT" w:cs="Arial"/>
          <w:szCs w:val="26"/>
          <w:lang w:val="en"/>
        </w:rPr>
      </w:pPr>
      <w:r>
        <w:rPr>
          <w:rFonts w:ascii="Gill Sans MT" w:hAnsi="Gill Sans MT"/>
          <w:szCs w:val="26"/>
          <w:lang w:eastAsia="en-IE"/>
        </w:rPr>
        <w:fldChar w:fldCharType="begin"/>
      </w:r>
      <w:r>
        <w:rPr>
          <w:rFonts w:ascii="Gill Sans MT" w:hAnsi="Gill Sans MT"/>
          <w:szCs w:val="26"/>
          <w:lang w:eastAsia="en-IE"/>
        </w:rPr>
        <w:instrText xml:space="preserve"> REF _Ref179897052 \h </w:instrText>
      </w:r>
      <w:r>
        <w:rPr>
          <w:rFonts w:ascii="Gill Sans MT" w:hAnsi="Gill Sans MT"/>
          <w:szCs w:val="26"/>
          <w:lang w:eastAsia="en-IE"/>
        </w:rPr>
      </w:r>
      <w:r>
        <w:rPr>
          <w:rFonts w:ascii="Gill Sans MT" w:hAnsi="Gill Sans MT"/>
          <w:szCs w:val="26"/>
          <w:lang w:eastAsia="en-IE"/>
        </w:rPr>
        <w:fldChar w:fldCharType="separate"/>
      </w:r>
      <w:r w:rsidR="009C4192">
        <w:t xml:space="preserve">Table </w:t>
      </w:r>
      <w:r w:rsidR="009C4192">
        <w:rPr>
          <w:noProof/>
        </w:rPr>
        <w:t>11</w:t>
      </w:r>
      <w:r>
        <w:rPr>
          <w:rFonts w:ascii="Gill Sans MT" w:hAnsi="Gill Sans MT"/>
          <w:szCs w:val="26"/>
          <w:lang w:eastAsia="en-IE"/>
        </w:rPr>
        <w:fldChar w:fldCharType="end"/>
      </w:r>
      <w:r>
        <w:rPr>
          <w:rFonts w:ascii="Gill Sans MT" w:hAnsi="Gill Sans MT"/>
          <w:szCs w:val="26"/>
          <w:lang w:eastAsia="en-IE"/>
        </w:rPr>
        <w:t xml:space="preserve"> </w:t>
      </w:r>
      <w:r w:rsidRPr="006E6DBA">
        <w:rPr>
          <w:rFonts w:ascii="Gill Sans MT" w:hAnsi="Gill Sans MT"/>
          <w:szCs w:val="26"/>
          <w:lang w:eastAsia="en-IE"/>
        </w:rPr>
        <w:t>shows</w:t>
      </w:r>
      <w:r w:rsidRPr="00A07C43">
        <w:rPr>
          <w:rFonts w:ascii="Gill Sans MT" w:hAnsi="Gill Sans MT"/>
          <w:szCs w:val="26"/>
          <w:lang w:eastAsia="en-IE"/>
        </w:rPr>
        <w:t xml:space="preserve"> the number of </w:t>
      </w:r>
      <w:r w:rsidR="00BD232A">
        <w:rPr>
          <w:rFonts w:ascii="Gill Sans MT" w:hAnsi="Gill Sans MT"/>
          <w:szCs w:val="26"/>
          <w:lang w:eastAsia="en-IE"/>
        </w:rPr>
        <w:t>grant claims paid for</w:t>
      </w:r>
      <w:r w:rsidRPr="00A07C43">
        <w:rPr>
          <w:rFonts w:ascii="Gill Sans MT" w:hAnsi="Gill Sans MT"/>
          <w:szCs w:val="26"/>
          <w:lang w:eastAsia="en-IE"/>
        </w:rPr>
        <w:t xml:space="preserve"> each fund between 2015 and 20</w:t>
      </w:r>
      <w:r>
        <w:rPr>
          <w:rFonts w:ascii="Gill Sans MT" w:hAnsi="Gill Sans MT"/>
          <w:szCs w:val="26"/>
          <w:lang w:eastAsia="en-IE"/>
        </w:rPr>
        <w:t>23</w:t>
      </w:r>
      <w:r w:rsidRPr="00A07C43">
        <w:rPr>
          <w:rFonts w:ascii="Gill Sans MT" w:hAnsi="Gill Sans MT"/>
          <w:szCs w:val="26"/>
          <w:lang w:eastAsia="en-IE"/>
        </w:rPr>
        <w:t>.</w:t>
      </w:r>
      <w:r w:rsidRPr="00233BC4">
        <w:rPr>
          <w:rStyle w:val="FootnoteReference"/>
        </w:rPr>
        <w:footnoteReference w:id="28"/>
      </w:r>
      <w:r w:rsidRPr="00A07C43">
        <w:rPr>
          <w:rFonts w:ascii="Gill Sans MT" w:hAnsi="Gill Sans MT"/>
          <w:szCs w:val="26"/>
          <w:vertAlign w:val="superscript"/>
          <w:lang w:eastAsia="en-IE"/>
        </w:rPr>
        <w:t xml:space="preserve"> </w:t>
      </w:r>
      <w:r w:rsidR="0040382A">
        <w:rPr>
          <w:rFonts w:ascii="Gill Sans MT" w:hAnsi="Gill Sans MT"/>
          <w:szCs w:val="26"/>
          <w:lang w:eastAsia="en-IE"/>
        </w:rPr>
        <w:fldChar w:fldCharType="begin"/>
      </w:r>
      <w:r w:rsidR="0040382A">
        <w:rPr>
          <w:rFonts w:ascii="Gill Sans MT" w:hAnsi="Gill Sans MT"/>
          <w:szCs w:val="26"/>
          <w:lang w:eastAsia="en-IE"/>
        </w:rPr>
        <w:instrText xml:space="preserve"> REF _Ref179897052 \h </w:instrText>
      </w:r>
      <w:r w:rsidR="0040382A">
        <w:rPr>
          <w:rFonts w:ascii="Gill Sans MT" w:hAnsi="Gill Sans MT"/>
          <w:szCs w:val="26"/>
          <w:lang w:eastAsia="en-IE"/>
        </w:rPr>
      </w:r>
      <w:r w:rsidR="0040382A">
        <w:rPr>
          <w:rFonts w:ascii="Gill Sans MT" w:hAnsi="Gill Sans MT"/>
          <w:szCs w:val="26"/>
          <w:lang w:eastAsia="en-IE"/>
        </w:rPr>
        <w:fldChar w:fldCharType="separate"/>
      </w:r>
      <w:r w:rsidR="009C4192">
        <w:t xml:space="preserve">Table </w:t>
      </w:r>
      <w:r w:rsidR="009C4192">
        <w:rPr>
          <w:noProof/>
        </w:rPr>
        <w:t>11</w:t>
      </w:r>
      <w:r w:rsidR="0040382A">
        <w:rPr>
          <w:rFonts w:ascii="Gill Sans MT" w:hAnsi="Gill Sans MT"/>
          <w:szCs w:val="26"/>
          <w:lang w:eastAsia="en-IE"/>
        </w:rPr>
        <w:fldChar w:fldCharType="end"/>
      </w:r>
      <w:r w:rsidR="0040382A">
        <w:rPr>
          <w:rFonts w:ascii="Gill Sans MT" w:hAnsi="Gill Sans MT"/>
          <w:szCs w:val="26"/>
          <w:lang w:eastAsia="en-IE"/>
        </w:rPr>
        <w:t xml:space="preserve"> </w:t>
      </w:r>
      <w:r w:rsidRPr="00642858">
        <w:rPr>
          <w:rFonts w:ascii="Gill Sans MT" w:hAnsi="Gill Sans MT"/>
          <w:szCs w:val="26"/>
          <w:lang w:eastAsia="en-IE"/>
        </w:rPr>
        <w:t>highlights</w:t>
      </w:r>
      <w:r w:rsidR="0040382A">
        <w:rPr>
          <w:rFonts w:ascii="Gill Sans MT" w:hAnsi="Gill Sans MT"/>
          <w:szCs w:val="26"/>
          <w:lang w:eastAsia="en-IE"/>
        </w:rPr>
        <w:t>,</w:t>
      </w:r>
      <w:r w:rsidRPr="00642858">
        <w:rPr>
          <w:rFonts w:ascii="Gill Sans MT" w:hAnsi="Gill Sans MT"/>
          <w:szCs w:val="26"/>
          <w:lang w:eastAsia="en-IE"/>
        </w:rPr>
        <w:t xml:space="preserve"> </w:t>
      </w:r>
      <w:r w:rsidR="0040382A">
        <w:rPr>
          <w:rFonts w:ascii="Gill Sans MT" w:hAnsi="Gill Sans MT"/>
          <w:szCs w:val="26"/>
          <w:lang w:eastAsia="en-IE"/>
        </w:rPr>
        <w:t xml:space="preserve">in particular, </w:t>
      </w:r>
      <w:r w:rsidRPr="00642858">
        <w:rPr>
          <w:rFonts w:ascii="Gill Sans MT" w:hAnsi="Gill Sans MT"/>
          <w:szCs w:val="26"/>
          <w:lang w:eastAsia="en-IE"/>
        </w:rPr>
        <w:t>the very limited up</w:t>
      </w:r>
      <w:r>
        <w:rPr>
          <w:rFonts w:ascii="Gill Sans MT" w:hAnsi="Gill Sans MT"/>
          <w:szCs w:val="26"/>
          <w:lang w:eastAsia="en-IE"/>
        </w:rPr>
        <w:t>t</w:t>
      </w:r>
      <w:r w:rsidRPr="00642858">
        <w:rPr>
          <w:rFonts w:ascii="Gill Sans MT" w:hAnsi="Gill Sans MT"/>
          <w:szCs w:val="26"/>
          <w:lang w:eastAsia="en-IE"/>
        </w:rPr>
        <w:t xml:space="preserve">ake of </w:t>
      </w:r>
      <w:r w:rsidRPr="00642858">
        <w:rPr>
          <w:rFonts w:ascii="Gill Sans MT" w:hAnsi="Gill Sans MT" w:cs="Arial"/>
          <w:szCs w:val="26"/>
          <w:lang w:val="en"/>
        </w:rPr>
        <w:t xml:space="preserve">the Employee Retention Grant. Between 2015 and 2023, 2018 was the first and only year in which an employer </w:t>
      </w:r>
      <w:r w:rsidR="00BD232A">
        <w:rPr>
          <w:rFonts w:ascii="Gill Sans MT" w:hAnsi="Gill Sans MT" w:cs="Arial"/>
          <w:szCs w:val="26"/>
          <w:lang w:val="en"/>
        </w:rPr>
        <w:t>received</w:t>
      </w:r>
      <w:r w:rsidRPr="00642858">
        <w:rPr>
          <w:rFonts w:ascii="Gill Sans MT" w:hAnsi="Gill Sans MT" w:cs="Arial"/>
          <w:szCs w:val="26"/>
          <w:lang w:val="en"/>
        </w:rPr>
        <w:t xml:space="preserve"> this grant. The table also shows the clear decrease in </w:t>
      </w:r>
      <w:r w:rsidR="00BD232A">
        <w:rPr>
          <w:rFonts w:ascii="Gill Sans MT" w:hAnsi="Gill Sans MT" w:cs="Arial"/>
          <w:szCs w:val="26"/>
          <w:lang w:val="en"/>
        </w:rPr>
        <w:t>claims</w:t>
      </w:r>
      <w:r w:rsidRPr="00642858">
        <w:rPr>
          <w:rFonts w:ascii="Gill Sans MT" w:hAnsi="Gill Sans MT" w:cs="Arial"/>
          <w:szCs w:val="26"/>
          <w:lang w:val="en"/>
        </w:rPr>
        <w:t xml:space="preserve"> for the </w:t>
      </w:r>
      <w:r>
        <w:rPr>
          <w:rFonts w:ascii="Gill Sans MT" w:hAnsi="Gill Sans MT" w:cs="Arial"/>
          <w:szCs w:val="26"/>
          <w:lang w:val="en"/>
        </w:rPr>
        <w:t>J</w:t>
      </w:r>
      <w:r w:rsidRPr="00642858">
        <w:rPr>
          <w:rFonts w:ascii="Gill Sans MT" w:hAnsi="Gill Sans MT" w:cs="Arial"/>
          <w:szCs w:val="26"/>
          <w:lang w:val="en"/>
        </w:rPr>
        <w:t xml:space="preserve">ob </w:t>
      </w:r>
      <w:r>
        <w:rPr>
          <w:rFonts w:ascii="Gill Sans MT" w:hAnsi="Gill Sans MT" w:cs="Arial"/>
          <w:szCs w:val="26"/>
          <w:lang w:val="en"/>
        </w:rPr>
        <w:t>I</w:t>
      </w:r>
      <w:r w:rsidRPr="00642858">
        <w:rPr>
          <w:rFonts w:ascii="Gill Sans MT" w:hAnsi="Gill Sans MT" w:cs="Arial"/>
          <w:szCs w:val="26"/>
          <w:lang w:val="en"/>
        </w:rPr>
        <w:t xml:space="preserve">nterview </w:t>
      </w:r>
      <w:r>
        <w:rPr>
          <w:rFonts w:ascii="Gill Sans MT" w:hAnsi="Gill Sans MT" w:cs="Arial"/>
          <w:szCs w:val="26"/>
          <w:lang w:val="en"/>
        </w:rPr>
        <w:t>G</w:t>
      </w:r>
      <w:r w:rsidRPr="00642858">
        <w:rPr>
          <w:rFonts w:ascii="Gill Sans MT" w:hAnsi="Gill Sans MT" w:cs="Arial"/>
          <w:szCs w:val="26"/>
          <w:lang w:val="en"/>
        </w:rPr>
        <w:t>rant over the period of interest</w:t>
      </w:r>
      <w:r>
        <w:rPr>
          <w:rFonts w:ascii="Gill Sans MT" w:hAnsi="Gill Sans MT" w:cs="Arial"/>
          <w:szCs w:val="26"/>
          <w:lang w:val="en"/>
        </w:rPr>
        <w:t xml:space="preserve">, with just </w:t>
      </w:r>
      <w:r w:rsidR="00BD232A">
        <w:rPr>
          <w:rFonts w:ascii="Gill Sans MT" w:hAnsi="Gill Sans MT" w:cs="Arial"/>
          <w:szCs w:val="26"/>
          <w:lang w:val="en"/>
        </w:rPr>
        <w:t xml:space="preserve">four claims paid </w:t>
      </w:r>
      <w:r w:rsidR="0009118A">
        <w:rPr>
          <w:rFonts w:ascii="Gill Sans MT" w:hAnsi="Gill Sans MT" w:cs="Arial"/>
          <w:szCs w:val="26"/>
          <w:lang w:val="en"/>
        </w:rPr>
        <w:t>in 2023</w:t>
      </w:r>
      <w:r w:rsidR="00C7553C">
        <w:rPr>
          <w:rFonts w:ascii="Gill Sans MT" w:hAnsi="Gill Sans MT" w:cs="Arial"/>
          <w:szCs w:val="26"/>
          <w:lang w:val="en"/>
        </w:rPr>
        <w:t>, down from 32 in 2015.</w:t>
      </w:r>
      <w:r w:rsidRPr="00642858">
        <w:rPr>
          <w:rFonts w:ascii="Gill Sans MT" w:hAnsi="Gill Sans MT" w:cs="Arial"/>
          <w:szCs w:val="26"/>
          <w:lang w:val="en"/>
        </w:rPr>
        <w:t xml:space="preserve"> </w:t>
      </w:r>
    </w:p>
    <w:p w14:paraId="31260A35" w14:textId="0AB106B3" w:rsidR="007D34F1" w:rsidRDefault="007D34F1" w:rsidP="007D34F1">
      <w:pPr>
        <w:rPr>
          <w:rFonts w:ascii="Gill Sans MT" w:hAnsi="Gill Sans MT"/>
          <w:szCs w:val="26"/>
          <w:vertAlign w:val="superscript"/>
          <w:lang w:eastAsia="en-IE"/>
        </w:rPr>
      </w:pPr>
      <w:r>
        <w:rPr>
          <w:rFonts w:ascii="Gill Sans MT" w:hAnsi="Gill Sans MT"/>
          <w:szCs w:val="26"/>
          <w:lang w:eastAsia="en-IE"/>
        </w:rPr>
        <w:t xml:space="preserve">Over the lifetime of the CES, DSP expenditure on the </w:t>
      </w:r>
      <w:r w:rsidRPr="00A07C43">
        <w:rPr>
          <w:rFonts w:ascii="Gill Sans MT" w:hAnsi="Gill Sans MT"/>
          <w:szCs w:val="26"/>
          <w:lang w:eastAsia="en-IE"/>
        </w:rPr>
        <w:t xml:space="preserve">RAF </w:t>
      </w:r>
      <w:r>
        <w:rPr>
          <w:rFonts w:ascii="Gill Sans MT" w:hAnsi="Gill Sans MT"/>
          <w:szCs w:val="26"/>
          <w:lang w:eastAsia="en-IE"/>
        </w:rPr>
        <w:t xml:space="preserve">rose from a low of €74,790 in 2015 to a peak of €120,413 in 2018, before dropping off (Table 12). In 2021, RAF expenditure was 27.8% higher in 2021 than at the outset of the CES in 2015. The highest level of expenditure was related to the Workplace Equipment and Adaptation Grant. With the exception of €1,900 in 2018 there was no expenditure through the Employee Retention Grant between 2015 and 2021. Over the seven years from 2015 – 2021, total expenditure across all four RAF grant schemes was </w:t>
      </w:r>
      <w:r>
        <w:rPr>
          <w:rFonts w:ascii="Gill Sans MT" w:hAnsi="Gill Sans MT" w:cs="Arial"/>
          <w:color w:val="000000"/>
          <w:szCs w:val="26"/>
          <w:lang w:eastAsia="en-IE"/>
        </w:rPr>
        <w:t xml:space="preserve">€690,533. </w:t>
      </w:r>
      <w:r>
        <w:rPr>
          <w:rFonts w:ascii="Gill Sans MT" w:hAnsi="Gill Sans MT" w:cs="Arial"/>
          <w:color w:val="000000"/>
          <w:szCs w:val="26"/>
          <w:lang w:eastAsia="en-IE"/>
        </w:rPr>
        <w:fldChar w:fldCharType="begin"/>
      </w:r>
      <w:r w:rsidR="006B1C05">
        <w:rPr>
          <w:rFonts w:ascii="Gill Sans MT" w:hAnsi="Gill Sans MT" w:cs="Arial"/>
          <w:color w:val="000000"/>
          <w:szCs w:val="26"/>
          <w:lang w:eastAsia="en-IE"/>
        </w:rPr>
        <w:instrText xml:space="preserve"> ADDIN ZOTERO_ITEM CSL_CITATION {"citationID":"hHRoNVvz","properties":{"formattedCitation":"(80)","plainCitation":"(80)","noteIndex":0},"citationItems":[{"id":184,"uris":["http://zotero.org/users/local/kvLunvBP/items/6USKLIQT"],"itemData":{"id":184,"type":"report","title":"Review of the Reasonable Accommodation Fund and Disability Awareness Support Scheme","URL":"https://www.gov.ie/pdf/?file=https://assets.gov.ie/268690/738f9cd4-ee53-4afc-a8a0-1042fe5ae249.pdf#page=null","author":[{"family":"Department of Social Protection","given":""}],"issued":{"date-parts":[["2023"]]}}}],"schema":"https://github.com/citation-style-language/schema/raw/master/csl-citation.json"} </w:instrText>
      </w:r>
      <w:r>
        <w:rPr>
          <w:rFonts w:ascii="Gill Sans MT" w:hAnsi="Gill Sans MT" w:cs="Arial"/>
          <w:color w:val="000000"/>
          <w:szCs w:val="26"/>
          <w:lang w:eastAsia="en-IE"/>
        </w:rPr>
        <w:fldChar w:fldCharType="separate"/>
      </w:r>
      <w:r w:rsidR="006B1C05" w:rsidRPr="006B1C05">
        <w:rPr>
          <w:rFonts w:ascii="Gill Sans MT" w:hAnsi="Gill Sans MT"/>
        </w:rPr>
        <w:t>(80)</w:t>
      </w:r>
      <w:r>
        <w:rPr>
          <w:rFonts w:ascii="Gill Sans MT" w:hAnsi="Gill Sans MT" w:cs="Arial"/>
          <w:color w:val="000000"/>
          <w:szCs w:val="26"/>
          <w:lang w:eastAsia="en-IE"/>
        </w:rPr>
        <w:fldChar w:fldCharType="end"/>
      </w:r>
    </w:p>
    <w:p w14:paraId="2B59693B" w14:textId="64996D40" w:rsidR="007D34F1" w:rsidRDefault="007D34F1" w:rsidP="0020536D">
      <w:pPr>
        <w:spacing w:after="0"/>
        <w:rPr>
          <w:rFonts w:ascii="Gill Sans MT" w:hAnsi="Gill Sans MT" w:cs="Arial"/>
          <w:szCs w:val="26"/>
          <w:highlight w:val="yellow"/>
          <w:lang w:val="en"/>
        </w:rPr>
        <w:sectPr w:rsidR="007D34F1" w:rsidSect="0020536D">
          <w:pgSz w:w="12240" w:h="15840"/>
          <w:pgMar w:top="1440" w:right="1800" w:bottom="1440" w:left="1800" w:header="708" w:footer="708" w:gutter="0"/>
          <w:cols w:space="708"/>
          <w:docGrid w:linePitch="360"/>
        </w:sectPr>
      </w:pPr>
    </w:p>
    <w:p w14:paraId="05720E0E" w14:textId="20AAF9AF" w:rsidR="0020536D" w:rsidRDefault="0020536D" w:rsidP="0020536D">
      <w:pPr>
        <w:pStyle w:val="Caption"/>
      </w:pPr>
      <w:bookmarkStart w:id="285" w:name="_Ref179897052"/>
      <w:bookmarkStart w:id="286" w:name="_Ref180417042"/>
      <w:bookmarkStart w:id="287" w:name="_Toc182219715"/>
      <w:bookmarkStart w:id="288" w:name="_Hlk172207775"/>
      <w:bookmarkStart w:id="289" w:name="_Hlk177393904"/>
      <w:r>
        <w:t xml:space="preserve">Table </w:t>
      </w:r>
      <w:r>
        <w:fldChar w:fldCharType="begin"/>
      </w:r>
      <w:r>
        <w:instrText xml:space="preserve"> SEQ Table \* ARABIC </w:instrText>
      </w:r>
      <w:r>
        <w:fldChar w:fldCharType="separate"/>
      </w:r>
      <w:r w:rsidR="009C4192">
        <w:rPr>
          <w:noProof/>
        </w:rPr>
        <w:t>11</w:t>
      </w:r>
      <w:r>
        <w:fldChar w:fldCharType="end"/>
      </w:r>
      <w:bookmarkEnd w:id="285"/>
      <w:r>
        <w:t xml:space="preserve">: </w:t>
      </w:r>
      <w:r w:rsidRPr="0085766B">
        <w:t xml:space="preserve">Number of </w:t>
      </w:r>
      <w:r w:rsidR="00BD232A">
        <w:t>grant claims claimed</w:t>
      </w:r>
      <w:r w:rsidRPr="0085766B">
        <w:t xml:space="preserve"> </w:t>
      </w:r>
      <w:r w:rsidR="00BD232A">
        <w:t>through the</w:t>
      </w:r>
      <w:r w:rsidRPr="0085766B">
        <w:t xml:space="preserve"> Reasonable Accommodation Fund 2015-2023, by grant type</w:t>
      </w:r>
      <w:bookmarkEnd w:id="286"/>
      <w:bookmarkEnd w:id="287"/>
    </w:p>
    <w:tbl>
      <w:tblPr>
        <w:tblW w:w="123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02"/>
        <w:gridCol w:w="993"/>
        <w:gridCol w:w="1002"/>
        <w:gridCol w:w="992"/>
        <w:gridCol w:w="992"/>
        <w:gridCol w:w="993"/>
        <w:gridCol w:w="992"/>
        <w:gridCol w:w="992"/>
        <w:gridCol w:w="992"/>
        <w:gridCol w:w="993"/>
      </w:tblGrid>
      <w:tr w:rsidR="0020536D" w:rsidRPr="00A05B6B" w14:paraId="32245471" w14:textId="77777777" w:rsidTr="00E66352">
        <w:trPr>
          <w:trHeight w:val="919"/>
          <w:tblHeader/>
        </w:trPr>
        <w:tc>
          <w:tcPr>
            <w:tcW w:w="3402" w:type="dxa"/>
            <w:shd w:val="clear" w:color="auto" w:fill="auto"/>
          </w:tcPr>
          <w:p w14:paraId="0391F18D" w14:textId="77777777" w:rsidR="0020536D" w:rsidRPr="00A05B6B" w:rsidRDefault="0020536D" w:rsidP="007D34F1">
            <w:pPr>
              <w:spacing w:after="0"/>
              <w:rPr>
                <w:b/>
              </w:rPr>
            </w:pPr>
            <w:bookmarkStart w:id="290" w:name="_Hlk172208101"/>
            <w:r w:rsidRPr="00A05B6B">
              <w:rPr>
                <w:b/>
              </w:rPr>
              <w:t>Type of Reasonable Accommodation Fund Grant</w:t>
            </w:r>
          </w:p>
        </w:tc>
        <w:tc>
          <w:tcPr>
            <w:tcW w:w="993" w:type="dxa"/>
          </w:tcPr>
          <w:p w14:paraId="10EC661F" w14:textId="77777777" w:rsidR="0020536D" w:rsidRPr="00A05B6B" w:rsidRDefault="0020536D" w:rsidP="007D34F1">
            <w:pPr>
              <w:spacing w:after="0"/>
              <w:jc w:val="right"/>
              <w:rPr>
                <w:b/>
              </w:rPr>
            </w:pPr>
            <w:r w:rsidRPr="00A05B6B">
              <w:rPr>
                <w:b/>
              </w:rPr>
              <w:t>2015</w:t>
            </w:r>
          </w:p>
        </w:tc>
        <w:tc>
          <w:tcPr>
            <w:tcW w:w="1002" w:type="dxa"/>
            <w:shd w:val="clear" w:color="auto" w:fill="auto"/>
          </w:tcPr>
          <w:p w14:paraId="58167A11" w14:textId="77777777" w:rsidR="0020536D" w:rsidRPr="00A05B6B" w:rsidRDefault="0020536D" w:rsidP="007D34F1">
            <w:pPr>
              <w:spacing w:after="0"/>
              <w:jc w:val="right"/>
              <w:rPr>
                <w:b/>
              </w:rPr>
            </w:pPr>
            <w:r w:rsidRPr="00A05B6B">
              <w:rPr>
                <w:b/>
              </w:rPr>
              <w:t>2016</w:t>
            </w:r>
          </w:p>
        </w:tc>
        <w:tc>
          <w:tcPr>
            <w:tcW w:w="992" w:type="dxa"/>
          </w:tcPr>
          <w:p w14:paraId="7155D0F7" w14:textId="77777777" w:rsidR="0020536D" w:rsidRPr="00A05B6B" w:rsidRDefault="0020536D" w:rsidP="007D34F1">
            <w:pPr>
              <w:spacing w:after="0"/>
              <w:jc w:val="right"/>
              <w:rPr>
                <w:b/>
              </w:rPr>
            </w:pPr>
            <w:r w:rsidRPr="00A05B6B">
              <w:rPr>
                <w:b/>
              </w:rPr>
              <w:t>2017</w:t>
            </w:r>
          </w:p>
        </w:tc>
        <w:tc>
          <w:tcPr>
            <w:tcW w:w="992" w:type="dxa"/>
          </w:tcPr>
          <w:p w14:paraId="043E7810" w14:textId="77777777" w:rsidR="0020536D" w:rsidRPr="00A05B6B" w:rsidRDefault="0020536D" w:rsidP="007D34F1">
            <w:pPr>
              <w:spacing w:after="0"/>
              <w:jc w:val="right"/>
              <w:rPr>
                <w:b/>
              </w:rPr>
            </w:pPr>
            <w:r w:rsidRPr="00A05B6B">
              <w:rPr>
                <w:b/>
              </w:rPr>
              <w:t>2018</w:t>
            </w:r>
          </w:p>
        </w:tc>
        <w:tc>
          <w:tcPr>
            <w:tcW w:w="993" w:type="dxa"/>
          </w:tcPr>
          <w:p w14:paraId="6B90B9AE" w14:textId="77777777" w:rsidR="0020536D" w:rsidRPr="00495FE5" w:rsidRDefault="0020536D" w:rsidP="007D34F1">
            <w:pPr>
              <w:spacing w:after="0"/>
              <w:jc w:val="right"/>
              <w:rPr>
                <w:b/>
              </w:rPr>
            </w:pPr>
            <w:r w:rsidRPr="00495FE5">
              <w:rPr>
                <w:b/>
              </w:rPr>
              <w:t>2019</w:t>
            </w:r>
          </w:p>
        </w:tc>
        <w:tc>
          <w:tcPr>
            <w:tcW w:w="992" w:type="dxa"/>
          </w:tcPr>
          <w:p w14:paraId="2A302712" w14:textId="77777777" w:rsidR="0020536D" w:rsidRPr="00495FE5" w:rsidRDefault="0020536D" w:rsidP="007D34F1">
            <w:pPr>
              <w:spacing w:after="0"/>
              <w:jc w:val="right"/>
              <w:rPr>
                <w:b/>
              </w:rPr>
            </w:pPr>
            <w:r w:rsidRPr="00495FE5">
              <w:rPr>
                <w:b/>
              </w:rPr>
              <w:t>2020</w:t>
            </w:r>
          </w:p>
        </w:tc>
        <w:tc>
          <w:tcPr>
            <w:tcW w:w="992" w:type="dxa"/>
          </w:tcPr>
          <w:p w14:paraId="1457B5E2" w14:textId="77777777" w:rsidR="0020536D" w:rsidRPr="00495FE5" w:rsidRDefault="0020536D" w:rsidP="007D34F1">
            <w:pPr>
              <w:spacing w:after="0"/>
              <w:jc w:val="right"/>
              <w:rPr>
                <w:b/>
              </w:rPr>
            </w:pPr>
            <w:r w:rsidRPr="00495FE5">
              <w:rPr>
                <w:b/>
              </w:rPr>
              <w:t>2021</w:t>
            </w:r>
          </w:p>
        </w:tc>
        <w:tc>
          <w:tcPr>
            <w:tcW w:w="992" w:type="dxa"/>
          </w:tcPr>
          <w:p w14:paraId="03E95880" w14:textId="77777777" w:rsidR="0020536D" w:rsidRPr="00495FE5" w:rsidRDefault="0020536D" w:rsidP="007D34F1">
            <w:pPr>
              <w:spacing w:after="0"/>
              <w:jc w:val="right"/>
              <w:rPr>
                <w:b/>
              </w:rPr>
            </w:pPr>
            <w:r w:rsidRPr="00495FE5">
              <w:rPr>
                <w:b/>
              </w:rPr>
              <w:t>2022</w:t>
            </w:r>
          </w:p>
        </w:tc>
        <w:tc>
          <w:tcPr>
            <w:tcW w:w="993" w:type="dxa"/>
          </w:tcPr>
          <w:p w14:paraId="29F4DF39" w14:textId="6D696504" w:rsidR="0020536D" w:rsidRPr="00495FE5" w:rsidRDefault="0020536D" w:rsidP="007D34F1">
            <w:pPr>
              <w:spacing w:after="0"/>
              <w:jc w:val="right"/>
              <w:rPr>
                <w:b/>
              </w:rPr>
            </w:pPr>
            <w:r w:rsidRPr="00495FE5">
              <w:rPr>
                <w:b/>
              </w:rPr>
              <w:t>2023</w:t>
            </w:r>
          </w:p>
        </w:tc>
      </w:tr>
      <w:tr w:rsidR="0020536D" w:rsidRPr="00A05B6B" w14:paraId="3AFEF197" w14:textId="77777777" w:rsidTr="00E66352">
        <w:trPr>
          <w:trHeight w:val="588"/>
        </w:trPr>
        <w:tc>
          <w:tcPr>
            <w:tcW w:w="3402" w:type="dxa"/>
            <w:shd w:val="clear" w:color="auto" w:fill="auto"/>
          </w:tcPr>
          <w:p w14:paraId="36C83883" w14:textId="77777777" w:rsidR="0020536D" w:rsidRPr="00A05B6B" w:rsidRDefault="0020536D" w:rsidP="007D34F1">
            <w:pPr>
              <w:spacing w:after="0"/>
            </w:pPr>
            <w:r w:rsidRPr="00A05B6B">
              <w:rPr>
                <w:lang w:val="en"/>
              </w:rPr>
              <w:t>Workplace Equipment and Adaptation Grant</w:t>
            </w:r>
          </w:p>
        </w:tc>
        <w:tc>
          <w:tcPr>
            <w:tcW w:w="993" w:type="dxa"/>
          </w:tcPr>
          <w:p w14:paraId="3A2CBBAD" w14:textId="77777777" w:rsidR="0020536D" w:rsidRPr="00A05B6B" w:rsidRDefault="0020536D" w:rsidP="007D34F1">
            <w:pPr>
              <w:spacing w:after="0"/>
              <w:jc w:val="right"/>
            </w:pPr>
            <w:r>
              <w:t>35</w:t>
            </w:r>
          </w:p>
        </w:tc>
        <w:tc>
          <w:tcPr>
            <w:tcW w:w="1002" w:type="dxa"/>
            <w:shd w:val="clear" w:color="auto" w:fill="auto"/>
          </w:tcPr>
          <w:p w14:paraId="6128BDA1" w14:textId="77777777" w:rsidR="0020536D" w:rsidRPr="00A05B6B" w:rsidRDefault="0020536D" w:rsidP="007D34F1">
            <w:pPr>
              <w:spacing w:after="0"/>
              <w:jc w:val="right"/>
            </w:pPr>
            <w:r w:rsidRPr="00A05B6B">
              <w:t>39</w:t>
            </w:r>
          </w:p>
        </w:tc>
        <w:tc>
          <w:tcPr>
            <w:tcW w:w="992" w:type="dxa"/>
          </w:tcPr>
          <w:p w14:paraId="72FFA4E6" w14:textId="77777777" w:rsidR="0020536D" w:rsidRPr="00A05B6B" w:rsidRDefault="0020536D" w:rsidP="007D34F1">
            <w:pPr>
              <w:spacing w:after="0"/>
              <w:jc w:val="right"/>
            </w:pPr>
            <w:r>
              <w:t>41</w:t>
            </w:r>
          </w:p>
        </w:tc>
        <w:tc>
          <w:tcPr>
            <w:tcW w:w="992" w:type="dxa"/>
          </w:tcPr>
          <w:p w14:paraId="5465FC79" w14:textId="77777777" w:rsidR="0020536D" w:rsidRPr="00A05B6B" w:rsidRDefault="0020536D" w:rsidP="007D34F1">
            <w:pPr>
              <w:spacing w:after="0"/>
              <w:jc w:val="right"/>
            </w:pPr>
            <w:r w:rsidRPr="00A05B6B">
              <w:t>44</w:t>
            </w:r>
          </w:p>
        </w:tc>
        <w:tc>
          <w:tcPr>
            <w:tcW w:w="993" w:type="dxa"/>
          </w:tcPr>
          <w:p w14:paraId="67937D9B" w14:textId="77777777" w:rsidR="0020536D" w:rsidRPr="00495FE5" w:rsidRDefault="0020536D" w:rsidP="007D34F1">
            <w:pPr>
              <w:spacing w:after="0"/>
              <w:jc w:val="right"/>
            </w:pPr>
            <w:r w:rsidRPr="00495FE5">
              <w:t>40</w:t>
            </w:r>
          </w:p>
        </w:tc>
        <w:tc>
          <w:tcPr>
            <w:tcW w:w="992" w:type="dxa"/>
          </w:tcPr>
          <w:p w14:paraId="2046805F" w14:textId="77777777" w:rsidR="0020536D" w:rsidRPr="00A05B6B" w:rsidRDefault="0020536D" w:rsidP="007D34F1">
            <w:pPr>
              <w:spacing w:after="0"/>
              <w:jc w:val="right"/>
            </w:pPr>
            <w:r>
              <w:t>41</w:t>
            </w:r>
          </w:p>
        </w:tc>
        <w:tc>
          <w:tcPr>
            <w:tcW w:w="992" w:type="dxa"/>
          </w:tcPr>
          <w:p w14:paraId="4BB786EA" w14:textId="77777777" w:rsidR="0020536D" w:rsidRPr="00A05B6B" w:rsidRDefault="0020536D" w:rsidP="007D34F1">
            <w:pPr>
              <w:spacing w:after="0"/>
              <w:jc w:val="right"/>
            </w:pPr>
            <w:r>
              <w:t>29</w:t>
            </w:r>
          </w:p>
        </w:tc>
        <w:tc>
          <w:tcPr>
            <w:tcW w:w="992" w:type="dxa"/>
          </w:tcPr>
          <w:p w14:paraId="5ABFA702" w14:textId="77777777" w:rsidR="0020536D" w:rsidRPr="00A05B6B" w:rsidRDefault="0020536D" w:rsidP="007D34F1">
            <w:pPr>
              <w:spacing w:after="0"/>
              <w:jc w:val="right"/>
            </w:pPr>
            <w:r>
              <w:t>33</w:t>
            </w:r>
          </w:p>
        </w:tc>
        <w:tc>
          <w:tcPr>
            <w:tcW w:w="993" w:type="dxa"/>
          </w:tcPr>
          <w:p w14:paraId="0576D611" w14:textId="77777777" w:rsidR="0020536D" w:rsidRPr="00A05B6B" w:rsidRDefault="0020536D" w:rsidP="007D34F1">
            <w:pPr>
              <w:spacing w:after="0"/>
              <w:jc w:val="right"/>
            </w:pPr>
            <w:r>
              <w:t>26</w:t>
            </w:r>
          </w:p>
        </w:tc>
      </w:tr>
      <w:tr w:rsidR="0020536D" w:rsidRPr="00A05B6B" w14:paraId="04140D69" w14:textId="77777777" w:rsidTr="00E66352">
        <w:tc>
          <w:tcPr>
            <w:tcW w:w="3402" w:type="dxa"/>
            <w:shd w:val="clear" w:color="auto" w:fill="auto"/>
          </w:tcPr>
          <w:p w14:paraId="6186F629" w14:textId="77777777" w:rsidR="0020536D" w:rsidRPr="00A05B6B" w:rsidRDefault="0020536D" w:rsidP="007D34F1">
            <w:pPr>
              <w:spacing w:after="0"/>
            </w:pPr>
            <w:r w:rsidRPr="00A05B6B">
              <w:rPr>
                <w:lang w:val="en"/>
              </w:rPr>
              <w:t>Job Interview Interpreter Grant</w:t>
            </w:r>
          </w:p>
        </w:tc>
        <w:tc>
          <w:tcPr>
            <w:tcW w:w="993" w:type="dxa"/>
          </w:tcPr>
          <w:p w14:paraId="119E679A" w14:textId="77777777" w:rsidR="0020536D" w:rsidRPr="00A05B6B" w:rsidRDefault="0020536D" w:rsidP="007D34F1">
            <w:pPr>
              <w:spacing w:after="0"/>
              <w:jc w:val="right"/>
            </w:pPr>
            <w:r>
              <w:t>32</w:t>
            </w:r>
          </w:p>
        </w:tc>
        <w:tc>
          <w:tcPr>
            <w:tcW w:w="1002" w:type="dxa"/>
            <w:shd w:val="clear" w:color="auto" w:fill="auto"/>
          </w:tcPr>
          <w:p w14:paraId="04F93738" w14:textId="77777777" w:rsidR="0020536D" w:rsidRPr="00A05B6B" w:rsidRDefault="0020536D" w:rsidP="007D34F1">
            <w:pPr>
              <w:spacing w:after="0"/>
              <w:jc w:val="right"/>
            </w:pPr>
            <w:r w:rsidRPr="00A05B6B">
              <w:t>2</w:t>
            </w:r>
            <w:r>
              <w:t>1</w:t>
            </w:r>
          </w:p>
        </w:tc>
        <w:tc>
          <w:tcPr>
            <w:tcW w:w="992" w:type="dxa"/>
          </w:tcPr>
          <w:p w14:paraId="67C822A1" w14:textId="77777777" w:rsidR="0020536D" w:rsidRPr="00A05B6B" w:rsidRDefault="0020536D" w:rsidP="007D34F1">
            <w:pPr>
              <w:spacing w:after="0"/>
              <w:jc w:val="right"/>
            </w:pPr>
            <w:r w:rsidRPr="00A05B6B">
              <w:t>2</w:t>
            </w:r>
            <w:r>
              <w:t>5</w:t>
            </w:r>
          </w:p>
        </w:tc>
        <w:tc>
          <w:tcPr>
            <w:tcW w:w="992" w:type="dxa"/>
          </w:tcPr>
          <w:p w14:paraId="03E558AD" w14:textId="77777777" w:rsidR="0020536D" w:rsidRPr="00A05B6B" w:rsidRDefault="0020536D" w:rsidP="007D34F1">
            <w:pPr>
              <w:spacing w:after="0"/>
              <w:jc w:val="right"/>
            </w:pPr>
            <w:r>
              <w:t>36</w:t>
            </w:r>
          </w:p>
        </w:tc>
        <w:tc>
          <w:tcPr>
            <w:tcW w:w="993" w:type="dxa"/>
          </w:tcPr>
          <w:p w14:paraId="1087A4B1" w14:textId="77777777" w:rsidR="0020536D" w:rsidRPr="00495FE5" w:rsidRDefault="0020536D" w:rsidP="007D34F1">
            <w:pPr>
              <w:spacing w:after="0"/>
              <w:jc w:val="right"/>
            </w:pPr>
            <w:r w:rsidRPr="00495FE5">
              <w:t>24</w:t>
            </w:r>
          </w:p>
        </w:tc>
        <w:tc>
          <w:tcPr>
            <w:tcW w:w="992" w:type="dxa"/>
          </w:tcPr>
          <w:p w14:paraId="3EC5C47C" w14:textId="77777777" w:rsidR="0020536D" w:rsidRPr="00A05B6B" w:rsidRDefault="0020536D" w:rsidP="007D34F1">
            <w:pPr>
              <w:spacing w:after="0"/>
              <w:jc w:val="right"/>
            </w:pPr>
            <w:r>
              <w:t>23</w:t>
            </w:r>
          </w:p>
        </w:tc>
        <w:tc>
          <w:tcPr>
            <w:tcW w:w="992" w:type="dxa"/>
          </w:tcPr>
          <w:p w14:paraId="440FAD00" w14:textId="77777777" w:rsidR="0020536D" w:rsidRPr="00A05B6B" w:rsidRDefault="0020536D" w:rsidP="007D34F1">
            <w:pPr>
              <w:spacing w:after="0"/>
              <w:jc w:val="right"/>
            </w:pPr>
            <w:r>
              <w:t>15</w:t>
            </w:r>
          </w:p>
        </w:tc>
        <w:tc>
          <w:tcPr>
            <w:tcW w:w="992" w:type="dxa"/>
          </w:tcPr>
          <w:p w14:paraId="286CBEAE" w14:textId="77777777" w:rsidR="0020536D" w:rsidRPr="00A05B6B" w:rsidRDefault="0020536D" w:rsidP="007D34F1">
            <w:pPr>
              <w:spacing w:after="0"/>
              <w:jc w:val="right"/>
            </w:pPr>
            <w:r>
              <w:t>6</w:t>
            </w:r>
          </w:p>
        </w:tc>
        <w:tc>
          <w:tcPr>
            <w:tcW w:w="993" w:type="dxa"/>
          </w:tcPr>
          <w:p w14:paraId="6EDBDF57" w14:textId="77777777" w:rsidR="0020536D" w:rsidRPr="00A05B6B" w:rsidRDefault="0020536D" w:rsidP="007D34F1">
            <w:pPr>
              <w:spacing w:after="0"/>
              <w:jc w:val="right"/>
            </w:pPr>
            <w:r>
              <w:t>4</w:t>
            </w:r>
          </w:p>
        </w:tc>
      </w:tr>
      <w:tr w:rsidR="0020536D" w:rsidRPr="00A05B6B" w14:paraId="4FD98C6C" w14:textId="77777777" w:rsidTr="00E66352">
        <w:tc>
          <w:tcPr>
            <w:tcW w:w="3402" w:type="dxa"/>
            <w:shd w:val="clear" w:color="auto" w:fill="auto"/>
          </w:tcPr>
          <w:p w14:paraId="105331EA" w14:textId="77777777" w:rsidR="0020536D" w:rsidRPr="00A05B6B" w:rsidRDefault="0020536D" w:rsidP="007D34F1">
            <w:pPr>
              <w:spacing w:after="0"/>
            </w:pPr>
            <w:r w:rsidRPr="00A05B6B">
              <w:rPr>
                <w:lang w:val="en"/>
              </w:rPr>
              <w:t>Personal Reader Grant</w:t>
            </w:r>
          </w:p>
        </w:tc>
        <w:tc>
          <w:tcPr>
            <w:tcW w:w="993" w:type="dxa"/>
          </w:tcPr>
          <w:p w14:paraId="62AE9D65" w14:textId="77777777" w:rsidR="0020536D" w:rsidRPr="00A05B6B" w:rsidRDefault="0020536D" w:rsidP="007D34F1">
            <w:pPr>
              <w:spacing w:after="0"/>
              <w:jc w:val="right"/>
            </w:pPr>
            <w:r>
              <w:t>36</w:t>
            </w:r>
          </w:p>
        </w:tc>
        <w:tc>
          <w:tcPr>
            <w:tcW w:w="1002" w:type="dxa"/>
            <w:shd w:val="clear" w:color="auto" w:fill="auto"/>
          </w:tcPr>
          <w:p w14:paraId="5FD91F27" w14:textId="77777777" w:rsidR="0020536D" w:rsidRPr="00A05B6B" w:rsidRDefault="0020536D" w:rsidP="007D34F1">
            <w:pPr>
              <w:spacing w:after="0"/>
              <w:jc w:val="right"/>
            </w:pPr>
            <w:r w:rsidRPr="00A05B6B">
              <w:t>4</w:t>
            </w:r>
            <w:r>
              <w:t>8</w:t>
            </w:r>
          </w:p>
        </w:tc>
        <w:tc>
          <w:tcPr>
            <w:tcW w:w="992" w:type="dxa"/>
          </w:tcPr>
          <w:p w14:paraId="278D17DA" w14:textId="77777777" w:rsidR="0020536D" w:rsidRPr="00A05B6B" w:rsidRDefault="0020536D" w:rsidP="007D34F1">
            <w:pPr>
              <w:spacing w:after="0"/>
              <w:jc w:val="right"/>
            </w:pPr>
            <w:r w:rsidRPr="00A05B6B">
              <w:t>56</w:t>
            </w:r>
          </w:p>
        </w:tc>
        <w:tc>
          <w:tcPr>
            <w:tcW w:w="992" w:type="dxa"/>
          </w:tcPr>
          <w:p w14:paraId="6AD8C342" w14:textId="77777777" w:rsidR="0020536D" w:rsidRPr="00A05B6B" w:rsidRDefault="0020536D" w:rsidP="007D34F1">
            <w:pPr>
              <w:spacing w:after="0"/>
              <w:jc w:val="right"/>
            </w:pPr>
            <w:r>
              <w:t>35</w:t>
            </w:r>
          </w:p>
        </w:tc>
        <w:tc>
          <w:tcPr>
            <w:tcW w:w="993" w:type="dxa"/>
          </w:tcPr>
          <w:p w14:paraId="18C7BC9B" w14:textId="77777777" w:rsidR="0020536D" w:rsidRPr="00495FE5" w:rsidRDefault="0020536D" w:rsidP="007D34F1">
            <w:pPr>
              <w:spacing w:after="0"/>
              <w:jc w:val="right"/>
            </w:pPr>
            <w:r w:rsidRPr="00495FE5">
              <w:t>26</w:t>
            </w:r>
          </w:p>
        </w:tc>
        <w:tc>
          <w:tcPr>
            <w:tcW w:w="992" w:type="dxa"/>
          </w:tcPr>
          <w:p w14:paraId="419B4313" w14:textId="77777777" w:rsidR="0020536D" w:rsidRPr="00A05B6B" w:rsidRDefault="0020536D" w:rsidP="007D34F1">
            <w:pPr>
              <w:spacing w:after="0"/>
              <w:jc w:val="right"/>
            </w:pPr>
            <w:r>
              <w:t>28</w:t>
            </w:r>
          </w:p>
        </w:tc>
        <w:tc>
          <w:tcPr>
            <w:tcW w:w="992" w:type="dxa"/>
          </w:tcPr>
          <w:p w14:paraId="7C6915A7" w14:textId="77777777" w:rsidR="0020536D" w:rsidRPr="00A05B6B" w:rsidRDefault="0020536D" w:rsidP="007D34F1">
            <w:pPr>
              <w:spacing w:after="0"/>
              <w:jc w:val="right"/>
            </w:pPr>
            <w:r>
              <w:t>55</w:t>
            </w:r>
          </w:p>
        </w:tc>
        <w:tc>
          <w:tcPr>
            <w:tcW w:w="992" w:type="dxa"/>
          </w:tcPr>
          <w:p w14:paraId="66709B21" w14:textId="77777777" w:rsidR="0020536D" w:rsidRPr="00A05B6B" w:rsidRDefault="0020536D" w:rsidP="007D34F1">
            <w:pPr>
              <w:spacing w:after="0"/>
              <w:jc w:val="right"/>
            </w:pPr>
            <w:r>
              <w:t>61</w:t>
            </w:r>
          </w:p>
        </w:tc>
        <w:tc>
          <w:tcPr>
            <w:tcW w:w="993" w:type="dxa"/>
          </w:tcPr>
          <w:p w14:paraId="08FC3DBF" w14:textId="77777777" w:rsidR="0020536D" w:rsidRPr="00A05B6B" w:rsidRDefault="0020536D" w:rsidP="007D34F1">
            <w:pPr>
              <w:spacing w:after="0"/>
              <w:jc w:val="right"/>
            </w:pPr>
            <w:r>
              <w:t>55</w:t>
            </w:r>
          </w:p>
        </w:tc>
      </w:tr>
      <w:tr w:rsidR="0020536D" w:rsidRPr="00A05B6B" w14:paraId="6F4DCFE8" w14:textId="77777777" w:rsidTr="00E66352">
        <w:tc>
          <w:tcPr>
            <w:tcW w:w="3402" w:type="dxa"/>
            <w:shd w:val="clear" w:color="auto" w:fill="auto"/>
          </w:tcPr>
          <w:p w14:paraId="67ECE260" w14:textId="77777777" w:rsidR="0020536D" w:rsidRPr="00A05B6B" w:rsidRDefault="0020536D" w:rsidP="007D34F1">
            <w:pPr>
              <w:spacing w:after="0"/>
            </w:pPr>
            <w:r w:rsidRPr="00A05B6B">
              <w:rPr>
                <w:lang w:val="en"/>
              </w:rPr>
              <w:t>Employee Retention Grant</w:t>
            </w:r>
          </w:p>
        </w:tc>
        <w:tc>
          <w:tcPr>
            <w:tcW w:w="993" w:type="dxa"/>
          </w:tcPr>
          <w:p w14:paraId="05B5603C" w14:textId="77777777" w:rsidR="0020536D" w:rsidRPr="00A05B6B" w:rsidRDefault="0020536D" w:rsidP="007D34F1">
            <w:pPr>
              <w:spacing w:after="0"/>
              <w:jc w:val="right"/>
            </w:pPr>
            <w:r w:rsidRPr="00A05B6B">
              <w:t>0</w:t>
            </w:r>
          </w:p>
        </w:tc>
        <w:tc>
          <w:tcPr>
            <w:tcW w:w="1002" w:type="dxa"/>
            <w:shd w:val="clear" w:color="auto" w:fill="auto"/>
            <w:vAlign w:val="bottom"/>
          </w:tcPr>
          <w:p w14:paraId="1A398BBB" w14:textId="77777777" w:rsidR="0020536D" w:rsidRPr="00A05B6B" w:rsidRDefault="0020536D" w:rsidP="007D34F1">
            <w:pPr>
              <w:spacing w:after="0"/>
              <w:jc w:val="right"/>
            </w:pPr>
            <w:r w:rsidRPr="00A05B6B">
              <w:t>0</w:t>
            </w:r>
          </w:p>
        </w:tc>
        <w:tc>
          <w:tcPr>
            <w:tcW w:w="992" w:type="dxa"/>
            <w:vAlign w:val="bottom"/>
          </w:tcPr>
          <w:p w14:paraId="2CB245AC" w14:textId="77777777" w:rsidR="0020536D" w:rsidRPr="00A05B6B" w:rsidRDefault="0020536D" w:rsidP="007D34F1">
            <w:pPr>
              <w:spacing w:after="0"/>
              <w:jc w:val="right"/>
            </w:pPr>
            <w:r w:rsidRPr="00A05B6B">
              <w:t>0</w:t>
            </w:r>
          </w:p>
        </w:tc>
        <w:tc>
          <w:tcPr>
            <w:tcW w:w="992" w:type="dxa"/>
            <w:vAlign w:val="bottom"/>
          </w:tcPr>
          <w:p w14:paraId="4E27AEED" w14:textId="77777777" w:rsidR="0020536D" w:rsidRPr="00A05B6B" w:rsidRDefault="0020536D" w:rsidP="007D34F1">
            <w:pPr>
              <w:spacing w:after="0"/>
              <w:jc w:val="right"/>
            </w:pPr>
            <w:r w:rsidRPr="00A05B6B">
              <w:t>1</w:t>
            </w:r>
          </w:p>
        </w:tc>
        <w:tc>
          <w:tcPr>
            <w:tcW w:w="993" w:type="dxa"/>
          </w:tcPr>
          <w:p w14:paraId="636E92F6" w14:textId="77777777" w:rsidR="0020536D" w:rsidRPr="00495FE5" w:rsidRDefault="0020536D" w:rsidP="007D34F1">
            <w:pPr>
              <w:spacing w:after="0"/>
              <w:jc w:val="right"/>
            </w:pPr>
            <w:r w:rsidRPr="00495FE5">
              <w:t>0</w:t>
            </w:r>
          </w:p>
        </w:tc>
        <w:tc>
          <w:tcPr>
            <w:tcW w:w="992" w:type="dxa"/>
          </w:tcPr>
          <w:p w14:paraId="2408D18B" w14:textId="77777777" w:rsidR="0020536D" w:rsidRPr="00A05B6B" w:rsidRDefault="0020536D" w:rsidP="007D34F1">
            <w:pPr>
              <w:spacing w:after="0"/>
              <w:jc w:val="right"/>
            </w:pPr>
            <w:r>
              <w:t>0</w:t>
            </w:r>
          </w:p>
        </w:tc>
        <w:tc>
          <w:tcPr>
            <w:tcW w:w="992" w:type="dxa"/>
          </w:tcPr>
          <w:p w14:paraId="015B83BD" w14:textId="77777777" w:rsidR="0020536D" w:rsidRPr="00A05B6B" w:rsidRDefault="0020536D" w:rsidP="007D34F1">
            <w:pPr>
              <w:spacing w:after="0"/>
              <w:jc w:val="right"/>
            </w:pPr>
            <w:r>
              <w:t>0</w:t>
            </w:r>
          </w:p>
        </w:tc>
        <w:tc>
          <w:tcPr>
            <w:tcW w:w="992" w:type="dxa"/>
          </w:tcPr>
          <w:p w14:paraId="2ED98CA7" w14:textId="77777777" w:rsidR="0020536D" w:rsidRPr="00A05B6B" w:rsidRDefault="0020536D" w:rsidP="007D34F1">
            <w:pPr>
              <w:spacing w:after="0"/>
              <w:jc w:val="right"/>
            </w:pPr>
            <w:r>
              <w:t>0</w:t>
            </w:r>
          </w:p>
        </w:tc>
        <w:tc>
          <w:tcPr>
            <w:tcW w:w="993" w:type="dxa"/>
          </w:tcPr>
          <w:p w14:paraId="6AF5B5D6" w14:textId="77777777" w:rsidR="0020536D" w:rsidRPr="00A05B6B" w:rsidRDefault="0020536D" w:rsidP="007D34F1">
            <w:pPr>
              <w:spacing w:after="0"/>
              <w:jc w:val="right"/>
            </w:pPr>
            <w:r>
              <w:t>0</w:t>
            </w:r>
          </w:p>
        </w:tc>
      </w:tr>
      <w:tr w:rsidR="0020536D" w:rsidRPr="00A05B6B" w14:paraId="1C7FD826" w14:textId="77777777" w:rsidTr="00E66352">
        <w:tc>
          <w:tcPr>
            <w:tcW w:w="3402" w:type="dxa"/>
            <w:shd w:val="clear" w:color="auto" w:fill="auto"/>
          </w:tcPr>
          <w:p w14:paraId="172DF4F0" w14:textId="77777777" w:rsidR="0020536D" w:rsidRPr="00A05B6B" w:rsidRDefault="0020536D" w:rsidP="007D34F1">
            <w:pPr>
              <w:spacing w:after="0"/>
              <w:rPr>
                <w:b/>
              </w:rPr>
            </w:pPr>
            <w:r w:rsidRPr="00A05B6B">
              <w:rPr>
                <w:b/>
              </w:rPr>
              <w:t>Total</w:t>
            </w:r>
          </w:p>
        </w:tc>
        <w:tc>
          <w:tcPr>
            <w:tcW w:w="993" w:type="dxa"/>
          </w:tcPr>
          <w:p w14:paraId="591A6631" w14:textId="77777777" w:rsidR="0020536D" w:rsidRPr="00E66352" w:rsidRDefault="0020536D" w:rsidP="007D34F1">
            <w:pPr>
              <w:spacing w:after="0"/>
              <w:jc w:val="right"/>
              <w:rPr>
                <w:bCs/>
              </w:rPr>
            </w:pPr>
            <w:r w:rsidRPr="00E66352">
              <w:rPr>
                <w:bCs/>
              </w:rPr>
              <w:t>103</w:t>
            </w:r>
          </w:p>
        </w:tc>
        <w:tc>
          <w:tcPr>
            <w:tcW w:w="1002" w:type="dxa"/>
            <w:shd w:val="clear" w:color="auto" w:fill="auto"/>
            <w:vAlign w:val="bottom"/>
          </w:tcPr>
          <w:p w14:paraId="64CF38D2" w14:textId="77777777" w:rsidR="0020536D" w:rsidRPr="00E66352" w:rsidRDefault="0020536D" w:rsidP="007D34F1">
            <w:pPr>
              <w:spacing w:after="0"/>
              <w:jc w:val="right"/>
              <w:rPr>
                <w:bCs/>
              </w:rPr>
            </w:pPr>
            <w:r w:rsidRPr="00E66352">
              <w:rPr>
                <w:bCs/>
              </w:rPr>
              <w:t>108</w:t>
            </w:r>
          </w:p>
        </w:tc>
        <w:tc>
          <w:tcPr>
            <w:tcW w:w="992" w:type="dxa"/>
            <w:vAlign w:val="bottom"/>
          </w:tcPr>
          <w:p w14:paraId="7CC3B404" w14:textId="77777777" w:rsidR="0020536D" w:rsidRPr="00E66352" w:rsidRDefault="0020536D" w:rsidP="007D34F1">
            <w:pPr>
              <w:spacing w:after="0"/>
              <w:jc w:val="right"/>
              <w:rPr>
                <w:bCs/>
              </w:rPr>
            </w:pPr>
            <w:r w:rsidRPr="00E66352">
              <w:rPr>
                <w:bCs/>
              </w:rPr>
              <w:t>122</w:t>
            </w:r>
          </w:p>
        </w:tc>
        <w:tc>
          <w:tcPr>
            <w:tcW w:w="992" w:type="dxa"/>
            <w:vAlign w:val="bottom"/>
          </w:tcPr>
          <w:p w14:paraId="7ADDF496" w14:textId="77777777" w:rsidR="0020536D" w:rsidRPr="00E66352" w:rsidRDefault="0020536D" w:rsidP="007D34F1">
            <w:pPr>
              <w:spacing w:after="0"/>
              <w:jc w:val="right"/>
              <w:rPr>
                <w:bCs/>
              </w:rPr>
            </w:pPr>
            <w:r w:rsidRPr="00E66352">
              <w:rPr>
                <w:bCs/>
              </w:rPr>
              <w:t>116</w:t>
            </w:r>
          </w:p>
        </w:tc>
        <w:tc>
          <w:tcPr>
            <w:tcW w:w="993" w:type="dxa"/>
          </w:tcPr>
          <w:p w14:paraId="2FFD1781" w14:textId="77777777" w:rsidR="0020536D" w:rsidRPr="00E66352" w:rsidRDefault="0020536D" w:rsidP="007D34F1">
            <w:pPr>
              <w:spacing w:after="0"/>
              <w:jc w:val="right"/>
              <w:rPr>
                <w:bCs/>
              </w:rPr>
            </w:pPr>
            <w:r w:rsidRPr="00E66352">
              <w:rPr>
                <w:bCs/>
              </w:rPr>
              <w:t>90</w:t>
            </w:r>
          </w:p>
        </w:tc>
        <w:tc>
          <w:tcPr>
            <w:tcW w:w="992" w:type="dxa"/>
          </w:tcPr>
          <w:p w14:paraId="1B7B70D4" w14:textId="77777777" w:rsidR="0020536D" w:rsidRPr="00E66352" w:rsidRDefault="0020536D" w:rsidP="007D34F1">
            <w:pPr>
              <w:spacing w:after="0"/>
              <w:jc w:val="right"/>
              <w:rPr>
                <w:bCs/>
              </w:rPr>
            </w:pPr>
            <w:r w:rsidRPr="00E66352">
              <w:rPr>
                <w:bCs/>
              </w:rPr>
              <w:t>92</w:t>
            </w:r>
          </w:p>
        </w:tc>
        <w:tc>
          <w:tcPr>
            <w:tcW w:w="992" w:type="dxa"/>
          </w:tcPr>
          <w:p w14:paraId="69A43AFF" w14:textId="77777777" w:rsidR="0020536D" w:rsidRPr="00E66352" w:rsidRDefault="0020536D" w:rsidP="007D34F1">
            <w:pPr>
              <w:spacing w:after="0"/>
              <w:jc w:val="right"/>
              <w:rPr>
                <w:bCs/>
              </w:rPr>
            </w:pPr>
            <w:r w:rsidRPr="00E66352">
              <w:rPr>
                <w:bCs/>
              </w:rPr>
              <w:t>99</w:t>
            </w:r>
          </w:p>
        </w:tc>
        <w:tc>
          <w:tcPr>
            <w:tcW w:w="992" w:type="dxa"/>
          </w:tcPr>
          <w:p w14:paraId="5C783B80" w14:textId="77777777" w:rsidR="0020536D" w:rsidRPr="00E66352" w:rsidRDefault="0020536D" w:rsidP="007D34F1">
            <w:pPr>
              <w:spacing w:after="0"/>
              <w:jc w:val="right"/>
              <w:rPr>
                <w:bCs/>
              </w:rPr>
            </w:pPr>
            <w:r w:rsidRPr="00E66352">
              <w:rPr>
                <w:bCs/>
              </w:rPr>
              <w:t>100</w:t>
            </w:r>
          </w:p>
        </w:tc>
        <w:tc>
          <w:tcPr>
            <w:tcW w:w="993" w:type="dxa"/>
          </w:tcPr>
          <w:p w14:paraId="0B8F88CD" w14:textId="77777777" w:rsidR="0020536D" w:rsidRPr="00E66352" w:rsidRDefault="0020536D" w:rsidP="007D34F1">
            <w:pPr>
              <w:spacing w:after="0"/>
              <w:jc w:val="right"/>
              <w:rPr>
                <w:bCs/>
              </w:rPr>
            </w:pPr>
            <w:r w:rsidRPr="00E66352">
              <w:rPr>
                <w:bCs/>
              </w:rPr>
              <w:t>85</w:t>
            </w:r>
          </w:p>
        </w:tc>
      </w:tr>
    </w:tbl>
    <w:bookmarkEnd w:id="288"/>
    <w:bookmarkEnd w:id="289"/>
    <w:bookmarkEnd w:id="290"/>
    <w:p w14:paraId="70740460" w14:textId="4DF4E1BA" w:rsidR="0020536D" w:rsidRPr="00E76D9C" w:rsidRDefault="00E76D9C" w:rsidP="00E76D9C">
      <w:pPr>
        <w:jc w:val="center"/>
        <w:rPr>
          <w:rFonts w:ascii="Gill Sans MT" w:hAnsi="Gill Sans MT"/>
          <w:sz w:val="22"/>
          <w:szCs w:val="22"/>
          <w:lang w:eastAsia="en-IE"/>
        </w:rPr>
      </w:pPr>
      <w:r w:rsidRPr="00E76D9C">
        <w:rPr>
          <w:rFonts w:ascii="Gill Sans MT" w:hAnsi="Gill Sans MT"/>
          <w:sz w:val="22"/>
          <w:szCs w:val="22"/>
          <w:lang w:eastAsia="en-IE"/>
        </w:rPr>
        <w:t>Source: Department of Social Protection</w:t>
      </w:r>
    </w:p>
    <w:p w14:paraId="5744C4D1" w14:textId="4F1F96D9" w:rsidR="0085766B" w:rsidRDefault="0085766B" w:rsidP="0085766B">
      <w:pPr>
        <w:pStyle w:val="Caption"/>
        <w:keepNext/>
      </w:pPr>
      <w:bookmarkStart w:id="291" w:name="_Toc182219716"/>
      <w:r>
        <w:t xml:space="preserve">Table </w:t>
      </w:r>
      <w:r>
        <w:fldChar w:fldCharType="begin"/>
      </w:r>
      <w:r>
        <w:instrText xml:space="preserve"> SEQ Table \* ARABIC </w:instrText>
      </w:r>
      <w:r>
        <w:fldChar w:fldCharType="separate"/>
      </w:r>
      <w:r w:rsidR="009C4192">
        <w:rPr>
          <w:noProof/>
        </w:rPr>
        <w:t>12</w:t>
      </w:r>
      <w:r>
        <w:fldChar w:fldCharType="end"/>
      </w:r>
      <w:r>
        <w:t xml:space="preserve">: </w:t>
      </w:r>
      <w:r>
        <w:rPr>
          <w:rFonts w:ascii="Gill Sans MT" w:hAnsi="Gill Sans MT"/>
          <w:lang w:eastAsia="en-IE"/>
        </w:rPr>
        <w:t>Yearly</w:t>
      </w:r>
      <w:r w:rsidRPr="00A07C43">
        <w:rPr>
          <w:rFonts w:ascii="Gill Sans MT" w:hAnsi="Gill Sans MT"/>
          <w:lang w:eastAsia="en-IE"/>
        </w:rPr>
        <w:t xml:space="preserve"> Reasonable Accommodation Fund</w:t>
      </w:r>
      <w:r>
        <w:rPr>
          <w:rFonts w:ascii="Gill Sans MT" w:hAnsi="Gill Sans MT"/>
          <w:lang w:eastAsia="en-IE"/>
        </w:rPr>
        <w:t xml:space="preserve"> expenditure</w:t>
      </w:r>
      <w:r w:rsidRPr="00A07C43">
        <w:rPr>
          <w:rFonts w:ascii="Gill Sans MT" w:hAnsi="Gill Sans MT"/>
          <w:lang w:eastAsia="en-IE"/>
        </w:rPr>
        <w:t xml:space="preserve"> 2015-20</w:t>
      </w:r>
      <w:r w:rsidRPr="00BA6192">
        <w:rPr>
          <w:rFonts w:ascii="Gill Sans MT" w:hAnsi="Gill Sans MT"/>
          <w:lang w:eastAsia="en-IE"/>
        </w:rPr>
        <w:t>2</w:t>
      </w:r>
      <w:r>
        <w:rPr>
          <w:rFonts w:ascii="Gill Sans MT" w:hAnsi="Gill Sans MT"/>
          <w:lang w:eastAsia="en-IE"/>
        </w:rPr>
        <w:t>1, by grant type</w:t>
      </w:r>
      <w:bookmarkEnd w:id="291"/>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789"/>
        <w:gridCol w:w="1082"/>
        <w:gridCol w:w="1082"/>
        <w:gridCol w:w="1212"/>
        <w:gridCol w:w="1212"/>
        <w:gridCol w:w="1082"/>
        <w:gridCol w:w="1212"/>
        <w:gridCol w:w="1082"/>
        <w:gridCol w:w="1212"/>
      </w:tblGrid>
      <w:tr w:rsidR="00BE2E4D" w:rsidRPr="00A07C43" w14:paraId="29A6BD95" w14:textId="088F5121" w:rsidTr="00E66352">
        <w:trPr>
          <w:tblHeader/>
        </w:trPr>
        <w:tc>
          <w:tcPr>
            <w:tcW w:w="0" w:type="auto"/>
            <w:shd w:val="clear" w:color="auto" w:fill="auto"/>
          </w:tcPr>
          <w:p w14:paraId="7C4390C8" w14:textId="77777777" w:rsidR="00BE2E4D" w:rsidRPr="00A07C43" w:rsidRDefault="00BE2E4D" w:rsidP="007D34F1">
            <w:pPr>
              <w:spacing w:after="0"/>
              <w:jc w:val="right"/>
              <w:rPr>
                <w:rFonts w:ascii="Gill Sans MT" w:hAnsi="Gill Sans MT"/>
                <w:b/>
                <w:lang w:eastAsia="en-IE"/>
              </w:rPr>
            </w:pPr>
            <w:r w:rsidRPr="00A07C43">
              <w:rPr>
                <w:rFonts w:ascii="Gill Sans MT" w:hAnsi="Gill Sans MT"/>
                <w:b/>
                <w:lang w:eastAsia="en-IE"/>
              </w:rPr>
              <w:t>Type of Reasonable Accommodation Fund Grant</w:t>
            </w:r>
          </w:p>
        </w:tc>
        <w:tc>
          <w:tcPr>
            <w:tcW w:w="0" w:type="auto"/>
          </w:tcPr>
          <w:p w14:paraId="471653DF" w14:textId="77777777" w:rsidR="00BE2E4D" w:rsidRPr="00A07C43" w:rsidRDefault="00BE2E4D" w:rsidP="007D34F1">
            <w:pPr>
              <w:spacing w:after="0"/>
              <w:jc w:val="center"/>
              <w:rPr>
                <w:rFonts w:ascii="Gill Sans MT" w:hAnsi="Gill Sans MT"/>
                <w:b/>
                <w:lang w:eastAsia="en-IE"/>
              </w:rPr>
            </w:pPr>
            <w:r w:rsidRPr="00A07C43">
              <w:rPr>
                <w:rFonts w:ascii="Gill Sans MT" w:hAnsi="Gill Sans MT"/>
                <w:b/>
                <w:lang w:eastAsia="en-IE"/>
              </w:rPr>
              <w:t>2015</w:t>
            </w:r>
          </w:p>
        </w:tc>
        <w:tc>
          <w:tcPr>
            <w:tcW w:w="0" w:type="auto"/>
            <w:shd w:val="clear" w:color="auto" w:fill="auto"/>
          </w:tcPr>
          <w:p w14:paraId="3E9C7EBC" w14:textId="77777777" w:rsidR="00BE2E4D" w:rsidRPr="00A07C43" w:rsidRDefault="00BE2E4D" w:rsidP="007D34F1">
            <w:pPr>
              <w:spacing w:after="0"/>
              <w:jc w:val="center"/>
              <w:rPr>
                <w:rFonts w:ascii="Gill Sans MT" w:hAnsi="Gill Sans MT"/>
                <w:b/>
                <w:lang w:eastAsia="en-IE"/>
              </w:rPr>
            </w:pPr>
            <w:r w:rsidRPr="00A07C43">
              <w:rPr>
                <w:rFonts w:ascii="Gill Sans MT" w:hAnsi="Gill Sans MT"/>
                <w:b/>
                <w:lang w:eastAsia="en-IE"/>
              </w:rPr>
              <w:t>2016</w:t>
            </w:r>
          </w:p>
        </w:tc>
        <w:tc>
          <w:tcPr>
            <w:tcW w:w="0" w:type="auto"/>
          </w:tcPr>
          <w:p w14:paraId="14B6BB48" w14:textId="77777777" w:rsidR="00BE2E4D" w:rsidRPr="00A07C43" w:rsidRDefault="00BE2E4D" w:rsidP="007D34F1">
            <w:pPr>
              <w:spacing w:after="0"/>
              <w:jc w:val="center"/>
              <w:rPr>
                <w:rFonts w:ascii="Gill Sans MT" w:hAnsi="Gill Sans MT"/>
                <w:b/>
                <w:lang w:eastAsia="en-IE"/>
              </w:rPr>
            </w:pPr>
            <w:r w:rsidRPr="00A07C43">
              <w:rPr>
                <w:rFonts w:ascii="Gill Sans MT" w:hAnsi="Gill Sans MT"/>
                <w:b/>
                <w:lang w:eastAsia="en-IE"/>
              </w:rPr>
              <w:t>2017</w:t>
            </w:r>
          </w:p>
        </w:tc>
        <w:tc>
          <w:tcPr>
            <w:tcW w:w="0" w:type="auto"/>
          </w:tcPr>
          <w:p w14:paraId="413B697C" w14:textId="77777777" w:rsidR="00BE2E4D" w:rsidRPr="00A07C43" w:rsidRDefault="00BE2E4D" w:rsidP="007D34F1">
            <w:pPr>
              <w:spacing w:after="0"/>
              <w:jc w:val="center"/>
              <w:rPr>
                <w:rFonts w:ascii="Gill Sans MT" w:hAnsi="Gill Sans MT"/>
                <w:b/>
                <w:lang w:eastAsia="en-IE"/>
              </w:rPr>
            </w:pPr>
            <w:r w:rsidRPr="00A07C43">
              <w:rPr>
                <w:rFonts w:ascii="Gill Sans MT" w:hAnsi="Gill Sans MT"/>
                <w:b/>
                <w:lang w:eastAsia="en-IE"/>
              </w:rPr>
              <w:t>2018</w:t>
            </w:r>
          </w:p>
        </w:tc>
        <w:tc>
          <w:tcPr>
            <w:tcW w:w="0" w:type="auto"/>
          </w:tcPr>
          <w:p w14:paraId="1F4A99F5" w14:textId="7CFFA454" w:rsidR="00BE2E4D" w:rsidRPr="00A07C43" w:rsidRDefault="00BE2E4D" w:rsidP="007D34F1">
            <w:pPr>
              <w:spacing w:after="0"/>
              <w:jc w:val="center"/>
              <w:rPr>
                <w:rFonts w:ascii="Gill Sans MT" w:hAnsi="Gill Sans MT"/>
                <w:b/>
                <w:lang w:eastAsia="en-IE"/>
              </w:rPr>
            </w:pPr>
            <w:r w:rsidRPr="00A07C43">
              <w:rPr>
                <w:rFonts w:ascii="Gill Sans MT" w:hAnsi="Gill Sans MT"/>
                <w:b/>
                <w:lang w:eastAsia="en-IE"/>
              </w:rPr>
              <w:t>2019</w:t>
            </w:r>
          </w:p>
        </w:tc>
        <w:tc>
          <w:tcPr>
            <w:tcW w:w="0" w:type="auto"/>
          </w:tcPr>
          <w:p w14:paraId="0C0112AA" w14:textId="77777777" w:rsidR="00BE2E4D" w:rsidRPr="00A07C43" w:rsidRDefault="00BE2E4D" w:rsidP="007D34F1">
            <w:pPr>
              <w:spacing w:after="0"/>
              <w:jc w:val="center"/>
              <w:rPr>
                <w:rFonts w:ascii="Gill Sans MT" w:hAnsi="Gill Sans MT"/>
                <w:b/>
                <w:lang w:eastAsia="en-IE"/>
              </w:rPr>
            </w:pPr>
            <w:r>
              <w:rPr>
                <w:rFonts w:ascii="Gill Sans MT" w:hAnsi="Gill Sans MT"/>
                <w:b/>
                <w:lang w:eastAsia="en-IE"/>
              </w:rPr>
              <w:t>2020</w:t>
            </w:r>
          </w:p>
        </w:tc>
        <w:tc>
          <w:tcPr>
            <w:tcW w:w="0" w:type="auto"/>
          </w:tcPr>
          <w:p w14:paraId="2035C240" w14:textId="77777777" w:rsidR="00BE2E4D" w:rsidRPr="00A07C43" w:rsidRDefault="00BE2E4D" w:rsidP="007D34F1">
            <w:pPr>
              <w:spacing w:after="0"/>
              <w:jc w:val="center"/>
              <w:rPr>
                <w:rFonts w:ascii="Gill Sans MT" w:hAnsi="Gill Sans MT"/>
                <w:b/>
                <w:lang w:eastAsia="en-IE"/>
              </w:rPr>
            </w:pPr>
            <w:r>
              <w:rPr>
                <w:rFonts w:ascii="Gill Sans MT" w:hAnsi="Gill Sans MT"/>
                <w:b/>
                <w:lang w:eastAsia="en-IE"/>
              </w:rPr>
              <w:t>2021</w:t>
            </w:r>
          </w:p>
        </w:tc>
        <w:tc>
          <w:tcPr>
            <w:tcW w:w="0" w:type="auto"/>
          </w:tcPr>
          <w:p w14:paraId="7D282305" w14:textId="2D9CF2AB" w:rsidR="00BE2E4D" w:rsidRDefault="00BE2E4D" w:rsidP="007D34F1">
            <w:pPr>
              <w:spacing w:after="0"/>
              <w:jc w:val="center"/>
              <w:rPr>
                <w:rFonts w:ascii="Gill Sans MT" w:hAnsi="Gill Sans MT"/>
                <w:b/>
                <w:lang w:eastAsia="en-IE"/>
              </w:rPr>
            </w:pPr>
            <w:r>
              <w:rPr>
                <w:rFonts w:ascii="Gill Sans MT" w:hAnsi="Gill Sans MT"/>
                <w:b/>
                <w:lang w:eastAsia="en-IE"/>
              </w:rPr>
              <w:t>Total</w:t>
            </w:r>
          </w:p>
        </w:tc>
      </w:tr>
      <w:tr w:rsidR="00BE2E4D" w:rsidRPr="00A07C43" w14:paraId="74CC5C5E" w14:textId="07D47453" w:rsidTr="00E66352">
        <w:trPr>
          <w:trHeight w:val="588"/>
        </w:trPr>
        <w:tc>
          <w:tcPr>
            <w:tcW w:w="0" w:type="auto"/>
            <w:shd w:val="clear" w:color="auto" w:fill="auto"/>
          </w:tcPr>
          <w:p w14:paraId="7CC3B5FF" w14:textId="77777777" w:rsidR="00BE2E4D" w:rsidRPr="00A07C43" w:rsidRDefault="00BE2E4D" w:rsidP="007D34F1">
            <w:pPr>
              <w:spacing w:after="0"/>
              <w:rPr>
                <w:rFonts w:ascii="Gill Sans MT" w:hAnsi="Gill Sans MT"/>
                <w:lang w:eastAsia="en-IE"/>
              </w:rPr>
            </w:pPr>
            <w:r w:rsidRPr="00A07C43">
              <w:rPr>
                <w:rFonts w:ascii="Gill Sans MT" w:hAnsi="Gill Sans MT" w:cs="Arial"/>
                <w:lang w:val="en"/>
              </w:rPr>
              <w:t>Workplace Equipment and Adaptation Grant</w:t>
            </w:r>
          </w:p>
        </w:tc>
        <w:tc>
          <w:tcPr>
            <w:tcW w:w="0" w:type="auto"/>
          </w:tcPr>
          <w:p w14:paraId="7B29F2AA" w14:textId="7D416166" w:rsidR="00BE2E4D" w:rsidRPr="00A07C43" w:rsidRDefault="00940165" w:rsidP="007D34F1">
            <w:pPr>
              <w:spacing w:after="0" w:line="360" w:lineRule="auto"/>
              <w:jc w:val="right"/>
              <w:rPr>
                <w:rFonts w:ascii="Gill Sans MT" w:hAnsi="Gill Sans MT" w:cs="Arial"/>
                <w:color w:val="000000"/>
                <w:szCs w:val="26"/>
                <w:lang w:eastAsia="en-IE"/>
              </w:rPr>
            </w:pPr>
            <w:r>
              <w:rPr>
                <w:rFonts w:ascii="Gill Sans MT" w:hAnsi="Gill Sans MT" w:cs="Arial"/>
                <w:color w:val="000000"/>
                <w:szCs w:val="26"/>
                <w:lang w:eastAsia="en-IE"/>
              </w:rPr>
              <w:t>€58,108</w:t>
            </w:r>
          </w:p>
        </w:tc>
        <w:tc>
          <w:tcPr>
            <w:tcW w:w="0" w:type="auto"/>
            <w:shd w:val="clear" w:color="auto" w:fill="auto"/>
          </w:tcPr>
          <w:p w14:paraId="134F6DDB" w14:textId="4299943C"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€58,472</w:t>
            </w:r>
          </w:p>
        </w:tc>
        <w:tc>
          <w:tcPr>
            <w:tcW w:w="0" w:type="auto"/>
          </w:tcPr>
          <w:p w14:paraId="6936150A" w14:textId="6AE62E8F"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€81,635</w:t>
            </w:r>
          </w:p>
        </w:tc>
        <w:tc>
          <w:tcPr>
            <w:tcW w:w="0" w:type="auto"/>
          </w:tcPr>
          <w:p w14:paraId="5AD22076" w14:textId="7194F237"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€100,023</w:t>
            </w:r>
          </w:p>
        </w:tc>
        <w:tc>
          <w:tcPr>
            <w:tcW w:w="0" w:type="auto"/>
          </w:tcPr>
          <w:p w14:paraId="4A34240F" w14:textId="6434B62E"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€81,984</w:t>
            </w:r>
          </w:p>
        </w:tc>
        <w:tc>
          <w:tcPr>
            <w:tcW w:w="0" w:type="auto"/>
          </w:tcPr>
          <w:p w14:paraId="4D584172" w14:textId="6DC9ABEC"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€83,968</w:t>
            </w:r>
          </w:p>
        </w:tc>
        <w:tc>
          <w:tcPr>
            <w:tcW w:w="0" w:type="auto"/>
          </w:tcPr>
          <w:p w14:paraId="4DD37EC4" w14:textId="4C43C832"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€65,118</w:t>
            </w:r>
          </w:p>
        </w:tc>
        <w:tc>
          <w:tcPr>
            <w:tcW w:w="0" w:type="auto"/>
          </w:tcPr>
          <w:p w14:paraId="7C7F5137" w14:textId="4FD695AB" w:rsidR="00BE2E4D" w:rsidRPr="00A07C43" w:rsidRDefault="00940165" w:rsidP="007D34F1">
            <w:pPr>
              <w:spacing w:after="0"/>
              <w:jc w:val="right"/>
              <w:rPr>
                <w:rFonts w:ascii="Gill Sans MT" w:hAnsi="Gill Sans MT"/>
                <w:color w:val="000000"/>
                <w:szCs w:val="26"/>
                <w:lang w:eastAsia="en-IE"/>
              </w:rPr>
            </w:pPr>
            <w:r>
              <w:rPr>
                <w:rFonts w:ascii="Gill Sans MT" w:hAnsi="Gill Sans MT"/>
                <w:color w:val="000000"/>
                <w:szCs w:val="26"/>
                <w:lang w:eastAsia="en-IE"/>
              </w:rPr>
              <w:t>€529,308</w:t>
            </w:r>
          </w:p>
        </w:tc>
      </w:tr>
      <w:tr w:rsidR="00BE2E4D" w:rsidRPr="00A07C43" w14:paraId="6EEBCCB7" w14:textId="3B5BAC9B" w:rsidTr="00E66352">
        <w:tc>
          <w:tcPr>
            <w:tcW w:w="0" w:type="auto"/>
            <w:shd w:val="clear" w:color="auto" w:fill="auto"/>
          </w:tcPr>
          <w:p w14:paraId="5F008858" w14:textId="77777777" w:rsidR="00BE2E4D" w:rsidRPr="00A07C43" w:rsidRDefault="00BE2E4D" w:rsidP="007D34F1">
            <w:pPr>
              <w:spacing w:after="0"/>
              <w:rPr>
                <w:rFonts w:ascii="Gill Sans MT" w:hAnsi="Gill Sans MT"/>
                <w:lang w:eastAsia="en-IE"/>
              </w:rPr>
            </w:pPr>
            <w:r w:rsidRPr="00A07C43">
              <w:rPr>
                <w:rFonts w:ascii="Gill Sans MT" w:hAnsi="Gill Sans MT" w:cs="Arial"/>
                <w:lang w:val="en"/>
              </w:rPr>
              <w:t>Job Interview Interpreter Grant</w:t>
            </w:r>
          </w:p>
        </w:tc>
        <w:tc>
          <w:tcPr>
            <w:tcW w:w="0" w:type="auto"/>
          </w:tcPr>
          <w:p w14:paraId="327B7E19" w14:textId="18A49F9C" w:rsidR="00BE2E4D" w:rsidRPr="00A07C43" w:rsidRDefault="006F4E14" w:rsidP="00E52014">
            <w:pPr>
              <w:spacing w:after="120"/>
              <w:jc w:val="right"/>
              <w:rPr>
                <w:rFonts w:ascii="Gill Sans MT" w:hAnsi="Gill Sans MT" w:cs="Arial"/>
                <w:color w:val="000000"/>
                <w:szCs w:val="26"/>
                <w:lang w:eastAsia="en-IE"/>
              </w:rPr>
            </w:pPr>
            <w:r>
              <w:rPr>
                <w:rFonts w:ascii="Gill Sans MT" w:hAnsi="Gill Sans MT" w:cs="Arial"/>
                <w:color w:val="000000"/>
                <w:szCs w:val="26"/>
                <w:lang w:eastAsia="en-IE"/>
              </w:rPr>
              <w:t>€4</w:t>
            </w:r>
            <w:r w:rsidR="00EE5DB3">
              <w:rPr>
                <w:rFonts w:ascii="Gill Sans MT" w:hAnsi="Gill Sans MT" w:cs="Arial"/>
                <w:color w:val="000000"/>
                <w:szCs w:val="26"/>
                <w:lang w:eastAsia="en-IE"/>
              </w:rPr>
              <w:t>,</w:t>
            </w:r>
            <w:r>
              <w:rPr>
                <w:rFonts w:ascii="Gill Sans MT" w:hAnsi="Gill Sans MT" w:cs="Arial"/>
                <w:color w:val="000000"/>
                <w:szCs w:val="26"/>
                <w:lang w:eastAsia="en-IE"/>
              </w:rPr>
              <w:t>816</w:t>
            </w:r>
          </w:p>
        </w:tc>
        <w:tc>
          <w:tcPr>
            <w:tcW w:w="0" w:type="auto"/>
            <w:shd w:val="clear" w:color="auto" w:fill="auto"/>
          </w:tcPr>
          <w:p w14:paraId="46A14EA9" w14:textId="7E8BD259"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913BF9">
              <w:rPr>
                <w:rFonts w:ascii="Gill Sans MT" w:hAnsi="Gill Sans MT" w:cs="Arial"/>
                <w:color w:val="000000"/>
                <w:szCs w:val="26"/>
                <w:lang w:eastAsia="en-IE"/>
              </w:rPr>
              <w:t>3</w:t>
            </w:r>
            <w:r w:rsidR="00EE5DB3">
              <w:rPr>
                <w:rFonts w:ascii="Gill Sans MT" w:hAnsi="Gill Sans MT" w:cs="Arial"/>
                <w:color w:val="000000"/>
                <w:szCs w:val="26"/>
                <w:lang w:eastAsia="en-IE"/>
              </w:rPr>
              <w:t>,</w:t>
            </w:r>
            <w:r w:rsidR="00913BF9">
              <w:rPr>
                <w:rFonts w:ascii="Gill Sans MT" w:hAnsi="Gill Sans MT" w:cs="Arial"/>
                <w:color w:val="000000"/>
                <w:szCs w:val="26"/>
                <w:lang w:eastAsia="en-IE"/>
              </w:rPr>
              <w:t>083</w:t>
            </w:r>
          </w:p>
        </w:tc>
        <w:tc>
          <w:tcPr>
            <w:tcW w:w="0" w:type="auto"/>
          </w:tcPr>
          <w:p w14:paraId="35539179" w14:textId="5511A6C1"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913BF9">
              <w:rPr>
                <w:rFonts w:ascii="Gill Sans MT" w:hAnsi="Gill Sans MT" w:cs="Arial"/>
                <w:color w:val="000000"/>
                <w:szCs w:val="26"/>
                <w:lang w:eastAsia="en-IE"/>
              </w:rPr>
              <w:t>4</w:t>
            </w:r>
            <w:r w:rsidR="00EE5DB3">
              <w:rPr>
                <w:rFonts w:ascii="Gill Sans MT" w:hAnsi="Gill Sans MT" w:cs="Arial"/>
                <w:color w:val="000000"/>
                <w:szCs w:val="26"/>
                <w:lang w:eastAsia="en-IE"/>
              </w:rPr>
              <w:t>,</w:t>
            </w:r>
            <w:r w:rsidR="00913BF9">
              <w:rPr>
                <w:rFonts w:ascii="Gill Sans MT" w:hAnsi="Gill Sans MT" w:cs="Arial"/>
                <w:color w:val="000000"/>
                <w:szCs w:val="26"/>
                <w:lang w:eastAsia="en-IE"/>
              </w:rPr>
              <w:t>295</w:t>
            </w:r>
          </w:p>
        </w:tc>
        <w:tc>
          <w:tcPr>
            <w:tcW w:w="0" w:type="auto"/>
          </w:tcPr>
          <w:p w14:paraId="62008DE5" w14:textId="21370EDC"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913BF9">
              <w:rPr>
                <w:rFonts w:ascii="Gill Sans MT" w:hAnsi="Gill Sans MT" w:cs="Arial"/>
                <w:color w:val="000000"/>
                <w:szCs w:val="26"/>
                <w:lang w:eastAsia="en-IE"/>
              </w:rPr>
              <w:t>6</w:t>
            </w:r>
            <w:r w:rsidR="00EE5DB3">
              <w:rPr>
                <w:rFonts w:ascii="Gill Sans MT" w:hAnsi="Gill Sans MT" w:cs="Arial"/>
                <w:color w:val="000000"/>
                <w:szCs w:val="26"/>
                <w:lang w:eastAsia="en-IE"/>
              </w:rPr>
              <w:t>,</w:t>
            </w:r>
            <w:r w:rsidR="00913BF9">
              <w:rPr>
                <w:rFonts w:ascii="Gill Sans MT" w:hAnsi="Gill Sans MT" w:cs="Arial"/>
                <w:color w:val="000000"/>
                <w:szCs w:val="26"/>
                <w:lang w:eastAsia="en-IE"/>
              </w:rPr>
              <w:t>361</w:t>
            </w:r>
          </w:p>
        </w:tc>
        <w:tc>
          <w:tcPr>
            <w:tcW w:w="0" w:type="auto"/>
          </w:tcPr>
          <w:p w14:paraId="4A507A35" w14:textId="5841D21B"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913BF9">
              <w:rPr>
                <w:rFonts w:ascii="Gill Sans MT" w:hAnsi="Gill Sans MT" w:cs="Arial"/>
                <w:color w:val="000000"/>
                <w:szCs w:val="26"/>
                <w:lang w:eastAsia="en-IE"/>
              </w:rPr>
              <w:t>4</w:t>
            </w:r>
            <w:r w:rsidR="00EE5DB3">
              <w:rPr>
                <w:rFonts w:ascii="Gill Sans MT" w:hAnsi="Gill Sans MT" w:cs="Arial"/>
                <w:color w:val="000000"/>
                <w:szCs w:val="26"/>
                <w:lang w:eastAsia="en-IE"/>
              </w:rPr>
              <w:t>,</w:t>
            </w:r>
            <w:r w:rsidR="00913BF9">
              <w:rPr>
                <w:rFonts w:ascii="Gill Sans MT" w:hAnsi="Gill Sans MT" w:cs="Arial"/>
                <w:color w:val="000000"/>
                <w:szCs w:val="26"/>
                <w:lang w:eastAsia="en-IE"/>
              </w:rPr>
              <w:t>269</w:t>
            </w:r>
          </w:p>
        </w:tc>
        <w:tc>
          <w:tcPr>
            <w:tcW w:w="0" w:type="auto"/>
          </w:tcPr>
          <w:p w14:paraId="0C6D324D" w14:textId="70263AE2"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913BF9">
              <w:rPr>
                <w:rFonts w:ascii="Gill Sans MT" w:hAnsi="Gill Sans MT" w:cs="Arial"/>
                <w:color w:val="000000"/>
                <w:szCs w:val="26"/>
                <w:lang w:eastAsia="en-IE"/>
              </w:rPr>
              <w:t>4</w:t>
            </w:r>
            <w:r w:rsidR="00EE5DB3">
              <w:rPr>
                <w:rFonts w:ascii="Gill Sans MT" w:hAnsi="Gill Sans MT" w:cs="Arial"/>
                <w:color w:val="000000"/>
                <w:szCs w:val="26"/>
                <w:lang w:eastAsia="en-IE"/>
              </w:rPr>
              <w:t>,</w:t>
            </w:r>
            <w:r w:rsidR="00913BF9">
              <w:rPr>
                <w:rFonts w:ascii="Gill Sans MT" w:hAnsi="Gill Sans MT" w:cs="Arial"/>
                <w:color w:val="000000"/>
                <w:szCs w:val="26"/>
                <w:lang w:eastAsia="en-IE"/>
              </w:rPr>
              <w:t>027</w:t>
            </w:r>
          </w:p>
        </w:tc>
        <w:tc>
          <w:tcPr>
            <w:tcW w:w="0" w:type="auto"/>
          </w:tcPr>
          <w:p w14:paraId="542F6ECA" w14:textId="05ADF195"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913BF9">
              <w:rPr>
                <w:rFonts w:ascii="Gill Sans MT" w:hAnsi="Gill Sans MT" w:cs="Arial"/>
                <w:color w:val="000000"/>
                <w:szCs w:val="26"/>
                <w:lang w:eastAsia="en-IE"/>
              </w:rPr>
              <w:t>2</w:t>
            </w:r>
            <w:r w:rsidR="00EE5DB3">
              <w:rPr>
                <w:rFonts w:ascii="Gill Sans MT" w:hAnsi="Gill Sans MT" w:cs="Arial"/>
                <w:color w:val="000000"/>
                <w:szCs w:val="26"/>
                <w:lang w:eastAsia="en-IE"/>
              </w:rPr>
              <w:t>,</w:t>
            </w:r>
            <w:r w:rsidR="00913BF9">
              <w:rPr>
                <w:rFonts w:ascii="Gill Sans MT" w:hAnsi="Gill Sans MT" w:cs="Arial"/>
                <w:color w:val="000000"/>
                <w:szCs w:val="26"/>
                <w:lang w:eastAsia="en-IE"/>
              </w:rPr>
              <w:t>878</w:t>
            </w:r>
          </w:p>
        </w:tc>
        <w:tc>
          <w:tcPr>
            <w:tcW w:w="0" w:type="auto"/>
          </w:tcPr>
          <w:p w14:paraId="46F99970" w14:textId="4B3EE594"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8742EE" w:rsidRPr="008742EE">
              <w:rPr>
                <w:rFonts w:ascii="Gill Sans MT" w:hAnsi="Gill Sans MT" w:cs="Arial"/>
                <w:color w:val="000000"/>
                <w:szCs w:val="26"/>
                <w:lang w:eastAsia="en-IE"/>
              </w:rPr>
              <w:t>29,729</w:t>
            </w:r>
          </w:p>
        </w:tc>
      </w:tr>
      <w:tr w:rsidR="00BE2E4D" w:rsidRPr="00A07C43" w14:paraId="4C4FA755" w14:textId="70804370" w:rsidTr="00E66352">
        <w:tc>
          <w:tcPr>
            <w:tcW w:w="0" w:type="auto"/>
            <w:shd w:val="clear" w:color="auto" w:fill="auto"/>
          </w:tcPr>
          <w:p w14:paraId="67197ABE" w14:textId="77777777" w:rsidR="00BE2E4D" w:rsidRPr="00A07C43" w:rsidRDefault="00BE2E4D" w:rsidP="007D34F1">
            <w:pPr>
              <w:spacing w:after="0"/>
              <w:rPr>
                <w:rFonts w:ascii="Gill Sans MT" w:hAnsi="Gill Sans MT"/>
                <w:lang w:eastAsia="en-IE"/>
              </w:rPr>
            </w:pPr>
            <w:r w:rsidRPr="00A07C43">
              <w:rPr>
                <w:rFonts w:ascii="Gill Sans MT" w:hAnsi="Gill Sans MT" w:cs="Arial"/>
                <w:lang w:val="en"/>
              </w:rPr>
              <w:t>Personal Reader Grant</w:t>
            </w:r>
          </w:p>
        </w:tc>
        <w:tc>
          <w:tcPr>
            <w:tcW w:w="0" w:type="auto"/>
          </w:tcPr>
          <w:p w14:paraId="5786CB60" w14:textId="6CED27DA" w:rsidR="00BE2E4D" w:rsidRPr="00A07C43" w:rsidRDefault="006F4E14" w:rsidP="00E52014">
            <w:pPr>
              <w:spacing w:after="120"/>
              <w:jc w:val="right"/>
              <w:rPr>
                <w:rFonts w:ascii="Gill Sans MT" w:hAnsi="Gill Sans MT" w:cs="Arial"/>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11,866</w:t>
            </w:r>
          </w:p>
        </w:tc>
        <w:tc>
          <w:tcPr>
            <w:tcW w:w="0" w:type="auto"/>
            <w:shd w:val="clear" w:color="auto" w:fill="auto"/>
          </w:tcPr>
          <w:p w14:paraId="6935017B" w14:textId="6332E595"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16,537</w:t>
            </w:r>
          </w:p>
        </w:tc>
        <w:tc>
          <w:tcPr>
            <w:tcW w:w="0" w:type="auto"/>
          </w:tcPr>
          <w:p w14:paraId="3186C332" w14:textId="72D2AAF8"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31,619</w:t>
            </w:r>
          </w:p>
        </w:tc>
        <w:tc>
          <w:tcPr>
            <w:tcW w:w="0" w:type="auto"/>
          </w:tcPr>
          <w:p w14:paraId="19FB2424" w14:textId="7691BC0C"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12,129</w:t>
            </w:r>
          </w:p>
        </w:tc>
        <w:tc>
          <w:tcPr>
            <w:tcW w:w="0" w:type="auto"/>
          </w:tcPr>
          <w:p w14:paraId="52A63DC9" w14:textId="31F1A999"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10,903</w:t>
            </w:r>
          </w:p>
        </w:tc>
        <w:tc>
          <w:tcPr>
            <w:tcW w:w="0" w:type="auto"/>
          </w:tcPr>
          <w:p w14:paraId="4E9D3783" w14:textId="21D75C37"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18,970</w:t>
            </w:r>
          </w:p>
        </w:tc>
        <w:tc>
          <w:tcPr>
            <w:tcW w:w="0" w:type="auto"/>
          </w:tcPr>
          <w:p w14:paraId="00678139" w14:textId="4A069258"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27,572</w:t>
            </w:r>
          </w:p>
        </w:tc>
        <w:tc>
          <w:tcPr>
            <w:tcW w:w="0" w:type="auto"/>
          </w:tcPr>
          <w:p w14:paraId="03A81328" w14:textId="112E3BC0" w:rsidR="00BE2E4D" w:rsidRPr="00A07C43" w:rsidRDefault="006F4E14"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w:t>
            </w:r>
            <w:r w:rsidR="00AA3078">
              <w:rPr>
                <w:rFonts w:ascii="Gill Sans MT" w:hAnsi="Gill Sans MT" w:cs="Arial"/>
                <w:color w:val="000000"/>
                <w:szCs w:val="26"/>
                <w:lang w:eastAsia="en-IE"/>
              </w:rPr>
              <w:t>129,596</w:t>
            </w:r>
          </w:p>
        </w:tc>
      </w:tr>
      <w:tr w:rsidR="00BE2E4D" w:rsidRPr="00A07C43" w14:paraId="14DEEAD3" w14:textId="61F3958F" w:rsidTr="00E66352">
        <w:tc>
          <w:tcPr>
            <w:tcW w:w="0" w:type="auto"/>
            <w:shd w:val="clear" w:color="auto" w:fill="auto"/>
          </w:tcPr>
          <w:p w14:paraId="26D34CCF" w14:textId="77777777" w:rsidR="00BE2E4D" w:rsidRPr="00A07C43" w:rsidRDefault="00BE2E4D" w:rsidP="007D34F1">
            <w:pPr>
              <w:spacing w:after="0"/>
              <w:rPr>
                <w:rFonts w:ascii="Gill Sans MT" w:hAnsi="Gill Sans MT"/>
                <w:lang w:eastAsia="en-IE"/>
              </w:rPr>
            </w:pPr>
            <w:r w:rsidRPr="00A07C43">
              <w:rPr>
                <w:rFonts w:ascii="Gill Sans MT" w:hAnsi="Gill Sans MT" w:cs="Arial"/>
                <w:lang w:val="en"/>
              </w:rPr>
              <w:t>Employee Retention Grant</w:t>
            </w:r>
          </w:p>
        </w:tc>
        <w:tc>
          <w:tcPr>
            <w:tcW w:w="0" w:type="auto"/>
          </w:tcPr>
          <w:p w14:paraId="13366E61" w14:textId="4F3658E2" w:rsidR="00BE2E4D" w:rsidRPr="00A07C43" w:rsidRDefault="00BE2E4D" w:rsidP="00E52014">
            <w:pPr>
              <w:spacing w:after="120"/>
              <w:jc w:val="right"/>
              <w:rPr>
                <w:rFonts w:ascii="Gill Sans MT" w:hAnsi="Gill Sans MT" w:cs="Arial"/>
                <w:color w:val="000000"/>
                <w:szCs w:val="26"/>
                <w:lang w:eastAsia="en-IE"/>
              </w:rPr>
            </w:pPr>
            <w:r>
              <w:rPr>
                <w:rFonts w:ascii="Gill Sans MT" w:hAnsi="Gill Sans MT" w:cs="Arial"/>
                <w:color w:val="000000"/>
                <w:szCs w:val="26"/>
                <w:lang w:eastAsia="en-IE"/>
              </w:rPr>
              <w:t>€0</w:t>
            </w:r>
          </w:p>
        </w:tc>
        <w:tc>
          <w:tcPr>
            <w:tcW w:w="0" w:type="auto"/>
            <w:shd w:val="clear" w:color="auto" w:fill="auto"/>
            <w:vAlign w:val="bottom"/>
          </w:tcPr>
          <w:p w14:paraId="2A35362A" w14:textId="72FCC7C4" w:rsidR="00BE2E4D" w:rsidRPr="00A07C43" w:rsidRDefault="00BE2E4D"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€0</w:t>
            </w:r>
          </w:p>
        </w:tc>
        <w:tc>
          <w:tcPr>
            <w:tcW w:w="0" w:type="auto"/>
            <w:vAlign w:val="bottom"/>
          </w:tcPr>
          <w:p w14:paraId="566BA234" w14:textId="66889918" w:rsidR="00BE2E4D" w:rsidRPr="00A07C43" w:rsidRDefault="00BE2E4D"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€0</w:t>
            </w:r>
          </w:p>
        </w:tc>
        <w:tc>
          <w:tcPr>
            <w:tcW w:w="0" w:type="auto"/>
            <w:vAlign w:val="bottom"/>
          </w:tcPr>
          <w:p w14:paraId="7A3A8086" w14:textId="7DE757A8" w:rsidR="00BE2E4D" w:rsidRPr="00A07C43" w:rsidRDefault="00BE2E4D" w:rsidP="00E52014">
            <w:pPr>
              <w:spacing w:after="120"/>
              <w:jc w:val="right"/>
              <w:rPr>
                <w:rFonts w:ascii="Gill Sans MT" w:hAnsi="Gill Sans MT"/>
                <w:color w:val="000000"/>
                <w:szCs w:val="26"/>
                <w:lang w:eastAsia="en-IE"/>
              </w:rPr>
            </w:pPr>
            <w:r>
              <w:rPr>
                <w:rFonts w:ascii="Gill Sans MT" w:hAnsi="Gill Sans MT"/>
                <w:color w:val="000000"/>
                <w:szCs w:val="26"/>
                <w:lang w:eastAsia="en-IE"/>
              </w:rPr>
              <w:t>€1</w:t>
            </w:r>
            <w:r w:rsidR="008E3735">
              <w:rPr>
                <w:rFonts w:ascii="Gill Sans MT" w:hAnsi="Gill Sans MT"/>
                <w:color w:val="000000"/>
                <w:szCs w:val="26"/>
                <w:lang w:eastAsia="en-IE"/>
              </w:rPr>
              <w:t>,</w:t>
            </w:r>
            <w:r>
              <w:rPr>
                <w:rFonts w:ascii="Gill Sans MT" w:hAnsi="Gill Sans MT"/>
                <w:color w:val="000000"/>
                <w:szCs w:val="26"/>
                <w:lang w:eastAsia="en-IE"/>
              </w:rPr>
              <w:t>900</w:t>
            </w:r>
          </w:p>
        </w:tc>
        <w:tc>
          <w:tcPr>
            <w:tcW w:w="0" w:type="auto"/>
          </w:tcPr>
          <w:p w14:paraId="31619A81" w14:textId="21662754" w:rsidR="00BE2E4D" w:rsidRPr="00A07C43" w:rsidRDefault="00BE2E4D"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€0</w:t>
            </w:r>
          </w:p>
        </w:tc>
        <w:tc>
          <w:tcPr>
            <w:tcW w:w="0" w:type="auto"/>
          </w:tcPr>
          <w:p w14:paraId="08710A3A" w14:textId="66FF93C9" w:rsidR="00BE2E4D" w:rsidRPr="00A07C43" w:rsidRDefault="00BE2E4D"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€0</w:t>
            </w:r>
          </w:p>
        </w:tc>
        <w:tc>
          <w:tcPr>
            <w:tcW w:w="0" w:type="auto"/>
          </w:tcPr>
          <w:p w14:paraId="73A211DB" w14:textId="75D570CA" w:rsidR="00BE2E4D" w:rsidRPr="00A07C43" w:rsidRDefault="00BE2E4D" w:rsidP="00E52014">
            <w:pPr>
              <w:spacing w:after="120"/>
              <w:jc w:val="right"/>
              <w:rPr>
                <w:rFonts w:ascii="Gill Sans MT" w:hAnsi="Gill Sans MT"/>
                <w:color w:val="000000"/>
                <w:szCs w:val="26"/>
                <w:lang w:eastAsia="en-IE"/>
              </w:rPr>
            </w:pPr>
            <w:r>
              <w:rPr>
                <w:rFonts w:ascii="Gill Sans MT" w:hAnsi="Gill Sans MT" w:cs="Arial"/>
                <w:color w:val="000000"/>
                <w:szCs w:val="26"/>
                <w:lang w:eastAsia="en-IE"/>
              </w:rPr>
              <w:t>€0</w:t>
            </w:r>
          </w:p>
        </w:tc>
        <w:tc>
          <w:tcPr>
            <w:tcW w:w="0" w:type="auto"/>
          </w:tcPr>
          <w:p w14:paraId="58BD7959" w14:textId="1061C55B" w:rsidR="00BE2E4D" w:rsidRDefault="00BE2E4D" w:rsidP="00E52014">
            <w:pPr>
              <w:spacing w:after="120"/>
              <w:jc w:val="right"/>
              <w:rPr>
                <w:rFonts w:ascii="Gill Sans MT" w:hAnsi="Gill Sans MT" w:cs="Arial"/>
                <w:color w:val="000000"/>
                <w:szCs w:val="26"/>
                <w:lang w:eastAsia="en-IE"/>
              </w:rPr>
            </w:pPr>
            <w:r>
              <w:rPr>
                <w:rFonts w:ascii="Gill Sans MT" w:hAnsi="Gill Sans MT"/>
                <w:color w:val="000000"/>
                <w:szCs w:val="26"/>
                <w:lang w:eastAsia="en-IE"/>
              </w:rPr>
              <w:t>€1900</w:t>
            </w:r>
          </w:p>
        </w:tc>
      </w:tr>
      <w:tr w:rsidR="00BE2E4D" w:rsidRPr="00A07C43" w14:paraId="60C80432" w14:textId="77E52278" w:rsidTr="00E66352">
        <w:tc>
          <w:tcPr>
            <w:tcW w:w="0" w:type="auto"/>
            <w:shd w:val="clear" w:color="auto" w:fill="auto"/>
          </w:tcPr>
          <w:p w14:paraId="46E36D9B" w14:textId="77777777" w:rsidR="00BE2E4D" w:rsidRPr="00A07C43" w:rsidRDefault="00BE2E4D" w:rsidP="007D34F1">
            <w:pPr>
              <w:spacing w:after="0"/>
              <w:rPr>
                <w:rFonts w:ascii="Gill Sans MT" w:hAnsi="Gill Sans MT"/>
                <w:b/>
                <w:lang w:eastAsia="en-IE"/>
              </w:rPr>
            </w:pPr>
            <w:r w:rsidRPr="00A07C43">
              <w:rPr>
                <w:rFonts w:ascii="Gill Sans MT" w:hAnsi="Gill Sans MT"/>
                <w:b/>
                <w:lang w:eastAsia="en-IE"/>
              </w:rPr>
              <w:t>Total</w:t>
            </w:r>
          </w:p>
        </w:tc>
        <w:tc>
          <w:tcPr>
            <w:tcW w:w="0" w:type="auto"/>
          </w:tcPr>
          <w:p w14:paraId="1DF09BB1" w14:textId="0F15D505" w:rsidR="00BE2E4D" w:rsidRPr="00A07C43" w:rsidRDefault="006F4E14" w:rsidP="007D34F1">
            <w:pPr>
              <w:spacing w:after="0"/>
              <w:jc w:val="right"/>
              <w:rPr>
                <w:rFonts w:ascii="Gill Sans MT" w:hAnsi="Gill Sans MT" w:cs="Arial"/>
                <w:b/>
                <w:color w:val="000000"/>
                <w:szCs w:val="26"/>
                <w:lang w:eastAsia="en-IE"/>
              </w:rPr>
            </w:pPr>
            <w:r>
              <w:rPr>
                <w:rFonts w:ascii="Gill Sans MT" w:hAnsi="Gill Sans MT" w:cs="Arial"/>
                <w:color w:val="000000"/>
                <w:szCs w:val="26"/>
                <w:lang w:eastAsia="en-IE"/>
              </w:rPr>
              <w:t>€</w:t>
            </w:r>
            <w:r w:rsidR="00825044">
              <w:rPr>
                <w:rFonts w:ascii="Gill Sans MT" w:hAnsi="Gill Sans MT" w:cs="Arial"/>
                <w:color w:val="000000"/>
                <w:szCs w:val="26"/>
                <w:lang w:eastAsia="en-IE"/>
              </w:rPr>
              <w:t>74,790</w:t>
            </w:r>
          </w:p>
        </w:tc>
        <w:tc>
          <w:tcPr>
            <w:tcW w:w="0" w:type="auto"/>
            <w:shd w:val="clear" w:color="auto" w:fill="auto"/>
            <w:vAlign w:val="bottom"/>
          </w:tcPr>
          <w:p w14:paraId="32919A9C" w14:textId="57B074A2"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825044">
              <w:rPr>
                <w:rFonts w:ascii="Gill Sans MT" w:hAnsi="Gill Sans MT" w:cs="Arial"/>
                <w:color w:val="000000"/>
                <w:szCs w:val="26"/>
                <w:lang w:eastAsia="en-IE"/>
              </w:rPr>
              <w:t>78,092</w:t>
            </w:r>
          </w:p>
        </w:tc>
        <w:tc>
          <w:tcPr>
            <w:tcW w:w="0" w:type="auto"/>
            <w:vAlign w:val="bottom"/>
          </w:tcPr>
          <w:p w14:paraId="16E52D30" w14:textId="721C7156"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6B253D">
              <w:rPr>
                <w:rFonts w:ascii="Gill Sans MT" w:hAnsi="Gill Sans MT" w:cs="Arial"/>
                <w:color w:val="000000"/>
                <w:szCs w:val="26"/>
                <w:lang w:eastAsia="en-IE"/>
              </w:rPr>
              <w:t>117,549</w:t>
            </w:r>
          </w:p>
        </w:tc>
        <w:tc>
          <w:tcPr>
            <w:tcW w:w="0" w:type="auto"/>
            <w:vAlign w:val="bottom"/>
          </w:tcPr>
          <w:p w14:paraId="71034E18" w14:textId="0E6EFDFA"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8E3735">
              <w:rPr>
                <w:rFonts w:ascii="Gill Sans MT" w:hAnsi="Gill Sans MT" w:cs="Arial"/>
                <w:color w:val="000000"/>
                <w:szCs w:val="26"/>
                <w:lang w:eastAsia="en-IE"/>
              </w:rPr>
              <w:t>120,413</w:t>
            </w:r>
          </w:p>
        </w:tc>
        <w:tc>
          <w:tcPr>
            <w:tcW w:w="0" w:type="auto"/>
          </w:tcPr>
          <w:p w14:paraId="26D7EFBF" w14:textId="72D3DEE9"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8E3735">
              <w:rPr>
                <w:rFonts w:ascii="Gill Sans MT" w:hAnsi="Gill Sans MT" w:cs="Arial"/>
                <w:color w:val="000000"/>
                <w:szCs w:val="26"/>
                <w:lang w:eastAsia="en-IE"/>
              </w:rPr>
              <w:t>97,156</w:t>
            </w:r>
          </w:p>
        </w:tc>
        <w:tc>
          <w:tcPr>
            <w:tcW w:w="0" w:type="auto"/>
          </w:tcPr>
          <w:p w14:paraId="45154422" w14:textId="5C9F3B21"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293219">
              <w:rPr>
                <w:rFonts w:ascii="Gill Sans MT" w:hAnsi="Gill Sans MT" w:cs="Arial"/>
                <w:color w:val="000000"/>
                <w:szCs w:val="26"/>
                <w:lang w:eastAsia="en-IE"/>
              </w:rPr>
              <w:t>106,965</w:t>
            </w:r>
          </w:p>
        </w:tc>
        <w:tc>
          <w:tcPr>
            <w:tcW w:w="0" w:type="auto"/>
          </w:tcPr>
          <w:p w14:paraId="5BE3ACB5" w14:textId="0E9AE387"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293219">
              <w:rPr>
                <w:rFonts w:ascii="Gill Sans MT" w:hAnsi="Gill Sans MT" w:cs="Arial"/>
                <w:color w:val="000000"/>
                <w:szCs w:val="26"/>
                <w:lang w:eastAsia="en-IE"/>
              </w:rPr>
              <w:t>95,568</w:t>
            </w:r>
          </w:p>
        </w:tc>
        <w:tc>
          <w:tcPr>
            <w:tcW w:w="0" w:type="auto"/>
          </w:tcPr>
          <w:p w14:paraId="2C685F50" w14:textId="35DCE3BC" w:rsidR="00BE2E4D" w:rsidRPr="00A07C43" w:rsidRDefault="006F4E14" w:rsidP="007D34F1">
            <w:pPr>
              <w:spacing w:after="0"/>
              <w:jc w:val="right"/>
              <w:rPr>
                <w:rFonts w:ascii="Gill Sans MT" w:hAnsi="Gill Sans MT"/>
                <w:b/>
                <w:color w:val="000000"/>
                <w:szCs w:val="26"/>
                <w:lang w:eastAsia="en-IE"/>
              </w:rPr>
            </w:pPr>
            <w:r>
              <w:rPr>
                <w:rFonts w:ascii="Gill Sans MT" w:hAnsi="Gill Sans MT" w:cs="Arial"/>
                <w:color w:val="000000"/>
                <w:szCs w:val="26"/>
                <w:lang w:eastAsia="en-IE"/>
              </w:rPr>
              <w:t>€</w:t>
            </w:r>
            <w:r w:rsidR="00A708F0">
              <w:rPr>
                <w:rFonts w:ascii="Gill Sans MT" w:hAnsi="Gill Sans MT" w:cs="Arial"/>
                <w:color w:val="000000"/>
                <w:szCs w:val="26"/>
                <w:lang w:eastAsia="en-IE"/>
              </w:rPr>
              <w:t>690,533</w:t>
            </w:r>
          </w:p>
        </w:tc>
      </w:tr>
    </w:tbl>
    <w:p w14:paraId="7373637A" w14:textId="2434B44D" w:rsidR="004652EF" w:rsidRPr="004652EF" w:rsidRDefault="004652EF" w:rsidP="004652EF">
      <w:pPr>
        <w:spacing w:before="120"/>
        <w:jc w:val="center"/>
        <w:rPr>
          <w:rFonts w:ascii="Gill Sans MT" w:hAnsi="Gill Sans MT"/>
          <w:sz w:val="22"/>
          <w:szCs w:val="22"/>
          <w:lang w:eastAsia="en-IE"/>
        </w:rPr>
      </w:pPr>
      <w:r>
        <w:rPr>
          <w:rFonts w:ascii="Gill Sans MT" w:hAnsi="Gill Sans MT"/>
          <w:sz w:val="22"/>
          <w:szCs w:val="22"/>
          <w:lang w:eastAsia="en-IE"/>
        </w:rPr>
        <w:t>Source: Department of Social Protection</w:t>
      </w:r>
    </w:p>
    <w:p w14:paraId="12394AA8" w14:textId="77777777" w:rsidR="009420AA" w:rsidRDefault="009420AA" w:rsidP="004652EF">
      <w:pPr>
        <w:spacing w:before="120"/>
        <w:jc w:val="center"/>
        <w:rPr>
          <w:rFonts w:ascii="Gill Sans MT" w:hAnsi="Gill Sans MT"/>
          <w:szCs w:val="26"/>
          <w:lang w:eastAsia="en-IE"/>
        </w:rPr>
      </w:pPr>
    </w:p>
    <w:p w14:paraId="7455E4E0" w14:textId="794673D0" w:rsidR="004652EF" w:rsidRDefault="004652EF" w:rsidP="004652EF">
      <w:pPr>
        <w:spacing w:before="120"/>
        <w:jc w:val="center"/>
        <w:rPr>
          <w:rFonts w:ascii="Gill Sans MT" w:hAnsi="Gill Sans MT"/>
          <w:szCs w:val="26"/>
          <w:lang w:eastAsia="en-IE"/>
        </w:rPr>
        <w:sectPr w:rsidR="004652EF" w:rsidSect="009420AA">
          <w:pgSz w:w="15840" w:h="12240" w:orient="landscape"/>
          <w:pgMar w:top="1800" w:right="1440" w:bottom="1800" w:left="1440" w:header="708" w:footer="708" w:gutter="0"/>
          <w:cols w:space="708"/>
          <w:docGrid w:linePitch="360"/>
        </w:sectPr>
      </w:pPr>
    </w:p>
    <w:p w14:paraId="414EA8FE" w14:textId="2496AE47" w:rsidR="001323A4" w:rsidRDefault="001323A4" w:rsidP="00A07C43">
      <w:pPr>
        <w:spacing w:before="120"/>
        <w:rPr>
          <w:rFonts w:ascii="Gill Sans MT" w:hAnsi="Gill Sans MT"/>
          <w:szCs w:val="26"/>
          <w:lang w:eastAsia="en-IE"/>
        </w:rPr>
      </w:pPr>
      <w:r>
        <w:rPr>
          <w:rFonts w:ascii="Gill Sans MT" w:hAnsi="Gill Sans MT"/>
          <w:szCs w:val="26"/>
          <w:lang w:eastAsia="en-IE"/>
        </w:rPr>
        <w:t xml:space="preserve">A </w:t>
      </w:r>
      <w:r w:rsidR="00A07C43" w:rsidRPr="00A07C43">
        <w:rPr>
          <w:rFonts w:ascii="Gill Sans MT" w:hAnsi="Gill Sans MT"/>
          <w:szCs w:val="26"/>
          <w:lang w:eastAsia="en-IE"/>
        </w:rPr>
        <w:t xml:space="preserve">2019 review of </w:t>
      </w:r>
      <w:r>
        <w:rPr>
          <w:rFonts w:ascii="Gill Sans MT" w:hAnsi="Gill Sans MT"/>
          <w:szCs w:val="26"/>
          <w:lang w:eastAsia="en-IE"/>
        </w:rPr>
        <w:t>r</w:t>
      </w:r>
      <w:r w:rsidR="00A07C43" w:rsidRPr="00A07C43">
        <w:rPr>
          <w:rFonts w:ascii="Gill Sans MT" w:hAnsi="Gill Sans MT"/>
          <w:szCs w:val="26"/>
          <w:lang w:eastAsia="en-IE"/>
        </w:rPr>
        <w:t xml:space="preserve">easonable </w:t>
      </w:r>
      <w:r>
        <w:rPr>
          <w:rFonts w:ascii="Gill Sans MT" w:hAnsi="Gill Sans MT"/>
          <w:szCs w:val="26"/>
          <w:lang w:eastAsia="en-IE"/>
        </w:rPr>
        <w:t>a</w:t>
      </w:r>
      <w:r w:rsidR="00A07C43" w:rsidRPr="00A07C43">
        <w:rPr>
          <w:rFonts w:ascii="Gill Sans MT" w:hAnsi="Gill Sans MT"/>
          <w:szCs w:val="26"/>
          <w:lang w:eastAsia="en-IE"/>
        </w:rPr>
        <w:t>ccommodations</w:t>
      </w:r>
      <w:r w:rsidR="007634E5">
        <w:rPr>
          <w:rFonts w:ascii="Gill Sans MT" w:hAnsi="Gill Sans MT"/>
          <w:szCs w:val="26"/>
          <w:lang w:eastAsia="en-IE"/>
        </w:rPr>
        <w:t xml:space="preserve"> by the NDA</w:t>
      </w:r>
      <w:r w:rsidR="00717787">
        <w:rPr>
          <w:rFonts w:ascii="Gill Sans MT" w:hAnsi="Gill Sans MT"/>
          <w:szCs w:val="26"/>
          <w:vertAlign w:val="superscript"/>
          <w:lang w:eastAsia="en-IE"/>
        </w:rPr>
        <w:t xml:space="preserve"> </w:t>
      </w:r>
      <w:r w:rsidR="00A07C43" w:rsidRPr="00A07C43">
        <w:rPr>
          <w:rFonts w:ascii="Gill Sans MT" w:hAnsi="Gill Sans MT"/>
          <w:szCs w:val="26"/>
          <w:lang w:eastAsia="en-IE"/>
        </w:rPr>
        <w:t>identified areas where the scheme could be examined with a view to widening its benefits.</w:t>
      </w:r>
      <w:r w:rsidR="00F6422F">
        <w:rPr>
          <w:rFonts w:ascii="Gill Sans MT" w:hAnsi="Gill Sans MT"/>
          <w:szCs w:val="26"/>
          <w:lang w:eastAsia="en-IE"/>
        </w:rPr>
        <w:t xml:space="preserve"> </w:t>
      </w:r>
      <w:r w:rsidR="00F6422F">
        <w:rPr>
          <w:rFonts w:ascii="Gill Sans MT" w:hAnsi="Gill Sans MT"/>
          <w:szCs w:val="26"/>
          <w:vertAlign w:val="superscript"/>
          <w:lang w:eastAsia="en-IE"/>
        </w:rPr>
        <w:fldChar w:fldCharType="begin"/>
      </w:r>
      <w:r w:rsidR="00F6422F">
        <w:rPr>
          <w:rFonts w:ascii="Gill Sans MT" w:hAnsi="Gill Sans MT"/>
          <w:szCs w:val="26"/>
          <w:vertAlign w:val="superscript"/>
          <w:lang w:eastAsia="en-IE"/>
        </w:rPr>
        <w:instrText xml:space="preserve"> ADDIN ZOTERO_ITEM CSL_CITATION {"citationID":"XyigoDZN","properties":{"formattedCitation":"(77)","plainCitation":"(77)","noteIndex":0},"citationItems":[{"id":206,"uris":["http://zotero.org/users/local/kvLunvBP/items/JTZRXGCA"],"itemData":{"id":206,"type":"report","title":"Reasonable Accommodations: Obstacles and Opportunities to the Employment of Persons with a Disability","URL":"https://nda.ie/publications/reasonable-accommodations-obstacles-and-opportunities-to-the-employment-of-persons-with-a-disability","author":[{"family":"National Disability Authority","given":""}],"issued":{"date-parts":[["2019"]]}}}],"schema":"https://github.com/citation-style-language/schema/raw/master/csl-citation.json"} </w:instrText>
      </w:r>
      <w:r w:rsidR="00F6422F">
        <w:rPr>
          <w:rFonts w:ascii="Gill Sans MT" w:hAnsi="Gill Sans MT"/>
          <w:szCs w:val="26"/>
          <w:vertAlign w:val="superscript"/>
          <w:lang w:eastAsia="en-IE"/>
        </w:rPr>
        <w:fldChar w:fldCharType="separate"/>
      </w:r>
      <w:r w:rsidR="00F6422F" w:rsidRPr="006B1C05">
        <w:rPr>
          <w:rFonts w:ascii="Gill Sans MT" w:hAnsi="Gill Sans MT"/>
        </w:rPr>
        <w:t>(77)</w:t>
      </w:r>
      <w:r w:rsidR="00F6422F">
        <w:rPr>
          <w:rFonts w:ascii="Gill Sans MT" w:hAnsi="Gill Sans MT"/>
          <w:szCs w:val="26"/>
          <w:vertAlign w:val="superscript"/>
          <w:lang w:eastAsia="en-IE"/>
        </w:rPr>
        <w:fldChar w:fldCharType="end"/>
      </w:r>
      <w:r w:rsidR="00A07C43" w:rsidRPr="00A07C43">
        <w:rPr>
          <w:rFonts w:ascii="Gill Sans MT" w:hAnsi="Gill Sans MT"/>
          <w:szCs w:val="26"/>
          <w:lang w:eastAsia="en-IE"/>
        </w:rPr>
        <w:t xml:space="preserve"> </w:t>
      </w:r>
      <w:r>
        <w:rPr>
          <w:rFonts w:ascii="Gill Sans MT" w:hAnsi="Gill Sans MT"/>
          <w:szCs w:val="26"/>
          <w:lang w:eastAsia="en-IE"/>
        </w:rPr>
        <w:t>The review</w:t>
      </w:r>
      <w:r w:rsidR="00A07C43" w:rsidRPr="00A07C43">
        <w:rPr>
          <w:rFonts w:ascii="Gill Sans MT" w:hAnsi="Gill Sans MT"/>
          <w:szCs w:val="26"/>
          <w:lang w:eastAsia="en-IE"/>
        </w:rPr>
        <w:t xml:space="preserve"> </w:t>
      </w:r>
      <w:r>
        <w:rPr>
          <w:rFonts w:ascii="Gill Sans MT" w:hAnsi="Gill Sans MT"/>
          <w:szCs w:val="26"/>
          <w:lang w:eastAsia="en-IE"/>
        </w:rPr>
        <w:t>identified</w:t>
      </w:r>
      <w:r w:rsidR="00A07C43" w:rsidRPr="00A07C43">
        <w:rPr>
          <w:rFonts w:ascii="Gill Sans MT" w:hAnsi="Gill Sans MT"/>
          <w:szCs w:val="26"/>
          <w:lang w:eastAsia="en-IE"/>
        </w:rPr>
        <w:t xml:space="preserve"> low levels of awareness of the RAF amongst employers, low levels of uptake</w:t>
      </w:r>
      <w:r>
        <w:rPr>
          <w:rFonts w:ascii="Gill Sans MT" w:hAnsi="Gill Sans MT"/>
          <w:szCs w:val="26"/>
          <w:lang w:eastAsia="en-IE"/>
        </w:rPr>
        <w:t>,</w:t>
      </w:r>
      <w:r w:rsidR="00A07C43" w:rsidRPr="00A07C43">
        <w:rPr>
          <w:rFonts w:ascii="Gill Sans MT" w:hAnsi="Gill Sans MT"/>
          <w:szCs w:val="26"/>
          <w:lang w:eastAsia="en-IE"/>
        </w:rPr>
        <w:t xml:space="preserve"> and inconsistencies in </w:t>
      </w:r>
      <w:r w:rsidR="00D32ADF">
        <w:rPr>
          <w:rFonts w:ascii="Gill Sans MT" w:hAnsi="Gill Sans MT"/>
          <w:szCs w:val="26"/>
          <w:lang w:eastAsia="en-IE"/>
        </w:rPr>
        <w:t xml:space="preserve">application </w:t>
      </w:r>
      <w:r w:rsidR="00A07C43" w:rsidRPr="00A07C43">
        <w:rPr>
          <w:rFonts w:ascii="Gill Sans MT" w:hAnsi="Gill Sans MT"/>
          <w:szCs w:val="26"/>
          <w:lang w:eastAsia="en-IE"/>
        </w:rPr>
        <w:t xml:space="preserve">processing times across areas. The report also highlighted concerns about issues and conditions associated with specific grants under the RAF. For instance, the Workplace Equipment Adaptation Grant </w:t>
      </w:r>
      <w:r w:rsidR="006E0F9E">
        <w:rPr>
          <w:rFonts w:ascii="Gill Sans MT" w:hAnsi="Gill Sans MT"/>
          <w:szCs w:val="26"/>
          <w:lang w:eastAsia="en-IE"/>
        </w:rPr>
        <w:t>was</w:t>
      </w:r>
      <w:r w:rsidR="00A07C43" w:rsidRPr="00A07C43">
        <w:rPr>
          <w:rFonts w:ascii="Gill Sans MT" w:hAnsi="Gill Sans MT"/>
          <w:szCs w:val="26"/>
          <w:lang w:eastAsia="en-IE"/>
        </w:rPr>
        <w:t xml:space="preserve"> only available on a refund basis, thereby requiring employers to purchase equipment prior to receipt of funding. This can cause difficulties for smaller and medium</w:t>
      </w:r>
      <w:r w:rsidR="006E0F9E">
        <w:rPr>
          <w:rFonts w:ascii="Gill Sans MT" w:hAnsi="Gill Sans MT"/>
          <w:szCs w:val="26"/>
          <w:lang w:eastAsia="en-IE"/>
        </w:rPr>
        <w:t>-</w:t>
      </w:r>
      <w:r w:rsidR="00A07C43" w:rsidRPr="00A07C43">
        <w:rPr>
          <w:rFonts w:ascii="Gill Sans MT" w:hAnsi="Gill Sans MT"/>
          <w:szCs w:val="26"/>
          <w:lang w:eastAsia="en-IE"/>
        </w:rPr>
        <w:t xml:space="preserve">sized employers. </w:t>
      </w:r>
    </w:p>
    <w:p w14:paraId="41EB91E0" w14:textId="68EF4408" w:rsidR="009420AA" w:rsidRDefault="001912D6" w:rsidP="001872F5">
      <w:pPr>
        <w:tabs>
          <w:tab w:val="left" w:pos="5670"/>
        </w:tabs>
        <w:spacing w:before="120"/>
        <w:rPr>
          <w:rFonts w:ascii="Gill Sans MT" w:hAnsi="Gill Sans MT"/>
          <w:szCs w:val="26"/>
          <w:lang w:eastAsia="en-IE"/>
        </w:rPr>
      </w:pPr>
      <w:r>
        <w:rPr>
          <w:rFonts w:ascii="Gill Sans MT" w:hAnsi="Gill Sans MT"/>
          <w:szCs w:val="26"/>
          <w:lang w:eastAsia="en-IE"/>
        </w:rPr>
        <w:t xml:space="preserve">Over 2022 and 2023, the DSP </w:t>
      </w:r>
      <w:r w:rsidR="001323A4" w:rsidRPr="001323A4">
        <w:rPr>
          <w:rFonts w:ascii="Gill Sans MT" w:hAnsi="Gill Sans MT"/>
          <w:szCs w:val="26"/>
          <w:lang w:eastAsia="en-IE"/>
        </w:rPr>
        <w:t>undertook</w:t>
      </w:r>
      <w:r w:rsidR="00A07C43" w:rsidRPr="00A07C43">
        <w:rPr>
          <w:rFonts w:ascii="Gill Sans MT" w:hAnsi="Gill Sans MT"/>
          <w:szCs w:val="26"/>
          <w:lang w:eastAsia="en-IE"/>
        </w:rPr>
        <w:t xml:space="preserve"> </w:t>
      </w:r>
      <w:r w:rsidR="00BB4716">
        <w:rPr>
          <w:rFonts w:ascii="Gill Sans MT" w:hAnsi="Gill Sans MT"/>
          <w:szCs w:val="26"/>
          <w:lang w:eastAsia="en-IE"/>
        </w:rPr>
        <w:t>their own</w:t>
      </w:r>
      <w:r w:rsidR="00A07C43" w:rsidRPr="00A07C43">
        <w:rPr>
          <w:rFonts w:ascii="Gill Sans MT" w:hAnsi="Gill Sans MT"/>
          <w:szCs w:val="26"/>
          <w:lang w:eastAsia="en-IE"/>
        </w:rPr>
        <w:t xml:space="preserve"> review of the RAF</w:t>
      </w:r>
      <w:r w:rsidR="001323A4" w:rsidRPr="001323A4">
        <w:rPr>
          <w:rFonts w:ascii="Gill Sans MT" w:hAnsi="Gill Sans MT"/>
          <w:szCs w:val="26"/>
          <w:lang w:eastAsia="en-IE"/>
        </w:rPr>
        <w:t xml:space="preserve">, which was published in </w:t>
      </w:r>
      <w:r>
        <w:rPr>
          <w:rFonts w:ascii="Gill Sans MT" w:hAnsi="Gill Sans MT"/>
          <w:szCs w:val="26"/>
          <w:lang w:eastAsia="en-IE"/>
        </w:rPr>
        <w:t xml:space="preserve">August </w:t>
      </w:r>
      <w:r w:rsidR="001323A4" w:rsidRPr="001323A4">
        <w:rPr>
          <w:rFonts w:ascii="Gill Sans MT" w:hAnsi="Gill Sans MT"/>
          <w:szCs w:val="26"/>
          <w:lang w:eastAsia="en-IE"/>
        </w:rPr>
        <w:t>2023</w:t>
      </w:r>
      <w:r w:rsidR="00D85E69">
        <w:rPr>
          <w:rFonts w:ascii="Gill Sans MT" w:hAnsi="Gill Sans MT"/>
          <w:szCs w:val="26"/>
          <w:lang w:eastAsia="en-IE"/>
        </w:rPr>
        <w:t>.</w:t>
      </w:r>
      <w:r w:rsidR="00D32ADF">
        <w:rPr>
          <w:rFonts w:ascii="Gill Sans MT" w:hAnsi="Gill Sans MT"/>
          <w:szCs w:val="26"/>
          <w:lang w:eastAsia="en-IE"/>
        </w:rPr>
        <w:t xml:space="preserve"> </w:t>
      </w:r>
      <w:r w:rsidR="00D32ADF">
        <w:rPr>
          <w:rFonts w:ascii="Gill Sans MT" w:hAnsi="Gill Sans MT"/>
          <w:szCs w:val="26"/>
          <w:lang w:eastAsia="en-IE"/>
        </w:rPr>
        <w:fldChar w:fldCharType="begin"/>
      </w:r>
      <w:r w:rsidR="006B1C05">
        <w:rPr>
          <w:rFonts w:ascii="Gill Sans MT" w:hAnsi="Gill Sans MT"/>
          <w:szCs w:val="26"/>
          <w:lang w:eastAsia="en-IE"/>
        </w:rPr>
        <w:instrText xml:space="preserve"> ADDIN ZOTERO_ITEM CSL_CITATION {"citationID":"eUlclnmV","properties":{"formattedCitation":"(80)","plainCitation":"(80)","noteIndex":0},"citationItems":[{"id":184,"uris":["http://zotero.org/users/local/kvLunvBP/items/6USKLIQT"],"itemData":{"id":184,"type":"report","title":"Review of the Reasonable Accommodation Fund and Disability Awareness Support Scheme","URL":"https://www.gov.ie/pdf/?file=https://assets.gov.ie/268690/738f9cd4-ee53-4afc-a8a0-1042fe5ae249.pdf#page=null","author":[{"family":"Department of Social Protection","given":""}],"issued":{"date-parts":[["2023"]]}}}],"schema":"https://github.com/citation-style-language/schema/raw/master/csl-citation.json"} </w:instrText>
      </w:r>
      <w:r w:rsidR="00D32ADF">
        <w:rPr>
          <w:rFonts w:ascii="Gill Sans MT" w:hAnsi="Gill Sans MT"/>
          <w:szCs w:val="26"/>
          <w:lang w:eastAsia="en-IE"/>
        </w:rPr>
        <w:fldChar w:fldCharType="separate"/>
      </w:r>
      <w:r w:rsidR="006B1C05" w:rsidRPr="006B1C05">
        <w:rPr>
          <w:rFonts w:ascii="Gill Sans MT" w:hAnsi="Gill Sans MT"/>
        </w:rPr>
        <w:t>(80)</w:t>
      </w:r>
      <w:r w:rsidR="00D32ADF">
        <w:rPr>
          <w:rFonts w:ascii="Gill Sans MT" w:hAnsi="Gill Sans MT"/>
          <w:szCs w:val="26"/>
          <w:lang w:eastAsia="en-IE"/>
        </w:rPr>
        <w:fldChar w:fldCharType="end"/>
      </w:r>
      <w:r w:rsidR="001323A4" w:rsidRPr="001323A4">
        <w:t xml:space="preserve"> </w:t>
      </w:r>
      <w:r w:rsidR="001323A4">
        <w:rPr>
          <w:rFonts w:ascii="Gill Sans MT" w:hAnsi="Gill Sans MT"/>
          <w:szCs w:val="26"/>
          <w:lang w:eastAsia="en-IE"/>
        </w:rPr>
        <w:t>This</w:t>
      </w:r>
      <w:r w:rsidR="001323A4" w:rsidRPr="001323A4">
        <w:rPr>
          <w:rFonts w:ascii="Gill Sans MT" w:hAnsi="Gill Sans MT"/>
          <w:szCs w:val="26"/>
          <w:lang w:eastAsia="en-IE"/>
        </w:rPr>
        <w:t xml:space="preserve"> </w:t>
      </w:r>
      <w:r w:rsidR="001323A4">
        <w:rPr>
          <w:rFonts w:ascii="Gill Sans MT" w:hAnsi="Gill Sans MT"/>
          <w:szCs w:val="26"/>
          <w:lang w:eastAsia="en-IE"/>
        </w:rPr>
        <w:t>entailed</w:t>
      </w:r>
      <w:r w:rsidR="001323A4" w:rsidRPr="001323A4">
        <w:rPr>
          <w:rFonts w:ascii="Gill Sans MT" w:hAnsi="Gill Sans MT"/>
          <w:szCs w:val="26"/>
          <w:lang w:eastAsia="en-IE"/>
        </w:rPr>
        <w:t xml:space="preserve"> a review o</w:t>
      </w:r>
      <w:r>
        <w:rPr>
          <w:rFonts w:ascii="Gill Sans MT" w:hAnsi="Gill Sans MT"/>
          <w:szCs w:val="26"/>
          <w:lang w:eastAsia="en-IE"/>
        </w:rPr>
        <w:t>f</w:t>
      </w:r>
      <w:r w:rsidR="001323A4" w:rsidRPr="001323A4">
        <w:rPr>
          <w:rFonts w:ascii="Gill Sans MT" w:hAnsi="Gill Sans MT"/>
          <w:szCs w:val="26"/>
          <w:lang w:eastAsia="en-IE"/>
        </w:rPr>
        <w:t xml:space="preserve"> spending on the scheme over </w:t>
      </w:r>
      <w:r>
        <w:rPr>
          <w:rFonts w:ascii="Gill Sans MT" w:hAnsi="Gill Sans MT"/>
          <w:szCs w:val="26"/>
          <w:lang w:eastAsia="en-IE"/>
        </w:rPr>
        <w:t xml:space="preserve">the </w:t>
      </w:r>
      <w:r w:rsidR="001323A4">
        <w:rPr>
          <w:rFonts w:ascii="Gill Sans MT" w:hAnsi="Gill Sans MT"/>
          <w:szCs w:val="26"/>
          <w:lang w:eastAsia="en-IE"/>
        </w:rPr>
        <w:t>previous decade</w:t>
      </w:r>
      <w:r w:rsidR="001323A4" w:rsidRPr="001323A4">
        <w:rPr>
          <w:rFonts w:ascii="Gill Sans MT" w:hAnsi="Gill Sans MT"/>
          <w:szCs w:val="26"/>
          <w:lang w:eastAsia="en-IE"/>
        </w:rPr>
        <w:t>, a public consultation, a literature review</w:t>
      </w:r>
      <w:r>
        <w:rPr>
          <w:rFonts w:ascii="Gill Sans MT" w:hAnsi="Gill Sans MT"/>
          <w:szCs w:val="26"/>
          <w:lang w:eastAsia="en-IE"/>
        </w:rPr>
        <w:t>,</w:t>
      </w:r>
      <w:r w:rsidR="001323A4" w:rsidRPr="001323A4">
        <w:rPr>
          <w:rFonts w:ascii="Gill Sans MT" w:hAnsi="Gill Sans MT"/>
          <w:szCs w:val="26"/>
          <w:lang w:eastAsia="en-IE"/>
        </w:rPr>
        <w:t xml:space="preserve"> and comparison </w:t>
      </w:r>
      <w:r w:rsidR="001323A4">
        <w:rPr>
          <w:rFonts w:ascii="Gill Sans MT" w:hAnsi="Gill Sans MT"/>
          <w:szCs w:val="26"/>
          <w:lang w:eastAsia="en-IE"/>
        </w:rPr>
        <w:t xml:space="preserve">with </w:t>
      </w:r>
      <w:r w:rsidR="001323A4" w:rsidRPr="001323A4">
        <w:rPr>
          <w:rFonts w:ascii="Gill Sans MT" w:hAnsi="Gill Sans MT"/>
          <w:szCs w:val="26"/>
          <w:lang w:eastAsia="en-IE"/>
        </w:rPr>
        <w:t>similar schemes</w:t>
      </w:r>
      <w:r w:rsidR="001323A4">
        <w:rPr>
          <w:rFonts w:ascii="Gill Sans MT" w:hAnsi="Gill Sans MT"/>
          <w:szCs w:val="26"/>
          <w:lang w:eastAsia="en-IE"/>
        </w:rPr>
        <w:t xml:space="preserve"> internationally. The review </w:t>
      </w:r>
      <w:r>
        <w:rPr>
          <w:rFonts w:ascii="Gill Sans MT" w:hAnsi="Gill Sans MT"/>
          <w:szCs w:val="26"/>
          <w:lang w:eastAsia="en-IE"/>
        </w:rPr>
        <w:t xml:space="preserve">concluded </w:t>
      </w:r>
      <w:r w:rsidR="001323A4">
        <w:rPr>
          <w:rFonts w:ascii="Gill Sans MT" w:hAnsi="Gill Sans MT"/>
          <w:szCs w:val="26"/>
          <w:lang w:eastAsia="en-IE"/>
        </w:rPr>
        <w:t>that there was low uptake of and low spending on the RAF</w:t>
      </w:r>
      <w:r w:rsidR="00D32ADF">
        <w:rPr>
          <w:rFonts w:ascii="Gill Sans MT" w:hAnsi="Gill Sans MT"/>
          <w:szCs w:val="26"/>
          <w:lang w:eastAsia="en-IE"/>
        </w:rPr>
        <w:t xml:space="preserve"> over the decade preceding the review, with the scheme typically supporting fewer than 100 people each year</w:t>
      </w:r>
      <w:r w:rsidR="00284C91">
        <w:rPr>
          <w:rFonts w:ascii="Gill Sans MT" w:hAnsi="Gill Sans MT"/>
          <w:szCs w:val="26"/>
          <w:lang w:eastAsia="en-IE"/>
        </w:rPr>
        <w:t>.</w:t>
      </w:r>
      <w:r w:rsidR="00D32ADF">
        <w:rPr>
          <w:rFonts w:ascii="Gill Sans MT" w:hAnsi="Gill Sans MT"/>
          <w:szCs w:val="26"/>
          <w:lang w:eastAsia="en-IE"/>
        </w:rPr>
        <w:t xml:space="preserve"> </w:t>
      </w:r>
      <w:r w:rsidR="00284C91">
        <w:rPr>
          <w:rFonts w:ascii="Gill Sans MT" w:hAnsi="Gill Sans MT"/>
          <w:szCs w:val="26"/>
          <w:lang w:eastAsia="en-IE"/>
        </w:rPr>
        <w:t>The review also revealed that</w:t>
      </w:r>
      <w:r w:rsidR="00D32ADF">
        <w:rPr>
          <w:rFonts w:ascii="Gill Sans MT" w:hAnsi="Gill Sans MT"/>
          <w:szCs w:val="26"/>
          <w:lang w:eastAsia="en-IE"/>
        </w:rPr>
        <w:t xml:space="preserve"> 35% of the claims </w:t>
      </w:r>
      <w:r w:rsidR="00D9284A">
        <w:rPr>
          <w:rFonts w:ascii="Gill Sans MT" w:hAnsi="Gill Sans MT"/>
          <w:szCs w:val="26"/>
          <w:lang w:eastAsia="en-IE"/>
        </w:rPr>
        <w:t xml:space="preserve">were </w:t>
      </w:r>
      <w:r w:rsidR="00D32ADF">
        <w:rPr>
          <w:rFonts w:ascii="Gill Sans MT" w:hAnsi="Gill Sans MT"/>
          <w:szCs w:val="26"/>
          <w:lang w:eastAsia="en-IE"/>
        </w:rPr>
        <w:t>for amounts lower than €250</w:t>
      </w:r>
      <w:r w:rsidR="00284C91">
        <w:rPr>
          <w:rFonts w:ascii="Gill Sans MT" w:hAnsi="Gill Sans MT"/>
          <w:szCs w:val="26"/>
          <w:lang w:eastAsia="en-IE"/>
        </w:rPr>
        <w:t xml:space="preserve">, that </w:t>
      </w:r>
      <w:r w:rsidR="00284C91" w:rsidRPr="00284C91">
        <w:rPr>
          <w:rFonts w:ascii="Gill Sans MT" w:hAnsi="Gill Sans MT"/>
          <w:szCs w:val="26"/>
          <w:lang w:eastAsia="en-IE"/>
        </w:rPr>
        <w:t>individual grants are rarely awarded for the maximum amount allowable</w:t>
      </w:r>
      <w:r w:rsidR="00284C91">
        <w:rPr>
          <w:rFonts w:ascii="Gill Sans MT" w:hAnsi="Gill Sans MT"/>
          <w:szCs w:val="26"/>
          <w:lang w:eastAsia="en-IE"/>
        </w:rPr>
        <w:t xml:space="preserve">, and that employers generally </w:t>
      </w:r>
      <w:r w:rsidR="00284C91" w:rsidRPr="00284C91">
        <w:rPr>
          <w:rFonts w:ascii="Gill Sans MT" w:hAnsi="Gill Sans MT"/>
          <w:szCs w:val="26"/>
          <w:lang w:eastAsia="en-IE"/>
        </w:rPr>
        <w:t xml:space="preserve">apply for funding </w:t>
      </w:r>
      <w:r w:rsidR="00284C91">
        <w:rPr>
          <w:rFonts w:ascii="Gill Sans MT" w:hAnsi="Gill Sans MT"/>
          <w:szCs w:val="26"/>
          <w:lang w:eastAsia="en-IE"/>
        </w:rPr>
        <w:t>amounts lower than</w:t>
      </w:r>
      <w:r w:rsidR="00284C91" w:rsidRPr="00284C91">
        <w:rPr>
          <w:rFonts w:ascii="Gill Sans MT" w:hAnsi="Gill Sans MT"/>
          <w:szCs w:val="26"/>
          <w:lang w:eastAsia="en-IE"/>
        </w:rPr>
        <w:t xml:space="preserve"> €1,500</w:t>
      </w:r>
      <w:r w:rsidR="00D85E69">
        <w:rPr>
          <w:rFonts w:ascii="Gill Sans MT" w:hAnsi="Gill Sans MT"/>
          <w:szCs w:val="26"/>
          <w:lang w:eastAsia="en-IE"/>
        </w:rPr>
        <w:t>.</w:t>
      </w:r>
      <w:r w:rsidR="00D32ADF">
        <w:rPr>
          <w:rFonts w:ascii="Gill Sans MT" w:hAnsi="Gill Sans MT"/>
          <w:szCs w:val="26"/>
          <w:lang w:eastAsia="en-IE"/>
        </w:rPr>
        <w:t xml:space="preserve"> </w:t>
      </w:r>
      <w:r w:rsidR="00D32ADF">
        <w:rPr>
          <w:rFonts w:ascii="Gill Sans MT" w:hAnsi="Gill Sans MT"/>
          <w:szCs w:val="26"/>
          <w:lang w:eastAsia="en-IE"/>
        </w:rPr>
        <w:fldChar w:fldCharType="begin"/>
      </w:r>
      <w:r w:rsidR="006B1C05">
        <w:rPr>
          <w:rFonts w:ascii="Gill Sans MT" w:hAnsi="Gill Sans MT"/>
          <w:szCs w:val="26"/>
          <w:lang w:eastAsia="en-IE"/>
        </w:rPr>
        <w:instrText xml:space="preserve"> ADDIN ZOTERO_ITEM CSL_CITATION {"citationID":"LxzyzcYw","properties":{"formattedCitation":"(80)","plainCitation":"(80)","noteIndex":0},"citationItems":[{"id":184,"uris":["http://zotero.org/users/local/kvLunvBP/items/6USKLIQT"],"itemData":{"id":184,"type":"report","title":"Review of the Reasonable Accommodation Fund and Disability Awareness Support Scheme","URL":"https://www.gov.ie/pdf/?file=https://assets.gov.ie/268690/738f9cd4-ee53-4afc-a8a0-1042fe5ae249.pdf#page=null","author":[{"family":"Department of Social Protection","given":""}],"issued":{"date-parts":[["2023"]]}}}],"schema":"https://github.com/citation-style-language/schema/raw/master/csl-citation.json"} </w:instrText>
      </w:r>
      <w:r w:rsidR="00D32ADF">
        <w:rPr>
          <w:rFonts w:ascii="Gill Sans MT" w:hAnsi="Gill Sans MT"/>
          <w:szCs w:val="26"/>
          <w:lang w:eastAsia="en-IE"/>
        </w:rPr>
        <w:fldChar w:fldCharType="separate"/>
      </w:r>
      <w:r w:rsidR="006B1C05" w:rsidRPr="006B1C05">
        <w:rPr>
          <w:rFonts w:ascii="Gill Sans MT" w:hAnsi="Gill Sans MT"/>
        </w:rPr>
        <w:t>(80)</w:t>
      </w:r>
      <w:r w:rsidR="00D32ADF">
        <w:rPr>
          <w:rFonts w:ascii="Gill Sans MT" w:hAnsi="Gill Sans MT"/>
          <w:szCs w:val="26"/>
          <w:lang w:eastAsia="en-IE"/>
        </w:rPr>
        <w:fldChar w:fldCharType="end"/>
      </w:r>
      <w:r w:rsidR="00D32ADF">
        <w:rPr>
          <w:rFonts w:ascii="Gill Sans MT" w:hAnsi="Gill Sans MT"/>
          <w:szCs w:val="26"/>
          <w:lang w:eastAsia="en-IE"/>
        </w:rPr>
        <w:t xml:space="preserve"> </w:t>
      </w:r>
      <w:r w:rsidR="009A19F6">
        <w:rPr>
          <w:rFonts w:ascii="Gill Sans MT" w:hAnsi="Gill Sans MT"/>
          <w:szCs w:val="26"/>
          <w:lang w:eastAsia="en-IE"/>
        </w:rPr>
        <w:t>The public consultation identified lack of awareness of schemes, complex paper-based application and processing systems, and low funding levels as the key reasons for the low uptake and spending.</w:t>
      </w:r>
    </w:p>
    <w:p w14:paraId="303CC504" w14:textId="49C2B215" w:rsidR="007A1CC0" w:rsidRDefault="007A1CC0" w:rsidP="007A1CC0">
      <w:pPr>
        <w:spacing w:before="120"/>
        <w:rPr>
          <w:rFonts w:ascii="Gill Sans MT" w:hAnsi="Gill Sans MT"/>
          <w:szCs w:val="26"/>
          <w:lang w:eastAsia="en-IE"/>
        </w:rPr>
      </w:pPr>
      <w:r>
        <w:rPr>
          <w:rFonts w:ascii="Gill Sans MT" w:hAnsi="Gill Sans MT"/>
          <w:szCs w:val="26"/>
          <w:lang w:eastAsia="en-IE"/>
        </w:rPr>
        <w:t xml:space="preserve">In July 2024, </w:t>
      </w:r>
      <w:r w:rsidRPr="00A36B59">
        <w:rPr>
          <w:rFonts w:ascii="Gill Sans MT" w:hAnsi="Gill Sans MT"/>
          <w:szCs w:val="26"/>
          <w:lang w:eastAsia="en-IE"/>
        </w:rPr>
        <w:t xml:space="preserve">a new scheme of supports </w:t>
      </w:r>
      <w:r>
        <w:rPr>
          <w:rFonts w:ascii="Gill Sans MT" w:hAnsi="Gill Sans MT"/>
          <w:szCs w:val="26"/>
          <w:lang w:eastAsia="en-IE"/>
        </w:rPr>
        <w:t xml:space="preserve">called </w:t>
      </w:r>
      <w:r w:rsidRPr="00B06931">
        <w:rPr>
          <w:rFonts w:ascii="Gill Sans MT" w:hAnsi="Gill Sans MT"/>
          <w:szCs w:val="26"/>
          <w:lang w:eastAsia="en-IE"/>
        </w:rPr>
        <w:t xml:space="preserve">Work and Access </w:t>
      </w:r>
      <w:r>
        <w:rPr>
          <w:rFonts w:ascii="Gill Sans MT" w:hAnsi="Gill Sans MT"/>
          <w:szCs w:val="26"/>
          <w:lang w:eastAsia="en-IE"/>
        </w:rPr>
        <w:fldChar w:fldCharType="begin"/>
      </w:r>
      <w:r w:rsidR="006B1C05">
        <w:rPr>
          <w:rFonts w:ascii="Gill Sans MT" w:hAnsi="Gill Sans MT"/>
          <w:szCs w:val="26"/>
          <w:lang w:eastAsia="en-IE"/>
        </w:rPr>
        <w:instrText xml:space="preserve"> ADDIN ZOTERO_ITEM CSL_CITATION {"citationID":"TMOpglES","properties":{"formattedCitation":"(81)","plainCitation":"(81)","noteIndex":0},"citationItems":[{"id":226,"uris":["http://zotero.org/users/local/kvLunvBP/items/FFJF934K"],"itemData":{"id":226,"type":"webpage","abstract":"Work and Access is a set of supports to help people with a disability get work. It aims to remove barriers in the workplace that limit employment opportunities.","language":"en","title":"Work and Access","URL":"https://www.gov.ie/en/service/47db8-work-and-access-supports/?referrer=https://www.gov.ie/en/service/62fd96-reasonable-accommodation-fund/","author":[{"family":"Department of Social Protection","given":""}],"accessed":{"date-parts":[["2024",8,1]]},"issued":{"date-parts":[["2024",7,30]]}}}],"schema":"https://github.com/citation-style-language/schema/raw/master/csl-citation.json"} </w:instrText>
      </w:r>
      <w:r>
        <w:rPr>
          <w:rFonts w:ascii="Gill Sans MT" w:hAnsi="Gill Sans MT"/>
          <w:szCs w:val="26"/>
          <w:lang w:eastAsia="en-IE"/>
        </w:rPr>
        <w:fldChar w:fldCharType="separate"/>
      </w:r>
      <w:r w:rsidR="006B1C05" w:rsidRPr="006B1C05">
        <w:rPr>
          <w:rFonts w:ascii="Gill Sans MT" w:hAnsi="Gill Sans MT"/>
        </w:rPr>
        <w:t>(81)</w:t>
      </w:r>
      <w:r>
        <w:rPr>
          <w:rFonts w:ascii="Gill Sans MT" w:hAnsi="Gill Sans MT"/>
          <w:szCs w:val="26"/>
          <w:lang w:eastAsia="en-IE"/>
        </w:rPr>
        <w:fldChar w:fldCharType="end"/>
      </w:r>
      <w:r>
        <w:rPr>
          <w:rFonts w:ascii="Gill Sans MT" w:hAnsi="Gill Sans MT"/>
          <w:szCs w:val="26"/>
          <w:lang w:eastAsia="en-IE"/>
        </w:rPr>
        <w:t xml:space="preserve"> was announced to replace the Reasonable Accommodation Fund and the</w:t>
      </w:r>
      <w:r w:rsidRPr="00586BFE">
        <w:t xml:space="preserve"> </w:t>
      </w:r>
      <w:r w:rsidRPr="00586BFE">
        <w:rPr>
          <w:rFonts w:ascii="Gill Sans MT" w:hAnsi="Gill Sans MT"/>
          <w:szCs w:val="26"/>
          <w:lang w:eastAsia="en-IE"/>
        </w:rPr>
        <w:t>Disability Awareness Support Scheme</w:t>
      </w:r>
      <w:r w:rsidR="00BB4716">
        <w:rPr>
          <w:rFonts w:ascii="Gill Sans MT" w:hAnsi="Gill Sans MT"/>
          <w:szCs w:val="26"/>
          <w:lang w:eastAsia="en-IE"/>
        </w:rPr>
        <w:t xml:space="preserve"> (DASS)</w:t>
      </w:r>
      <w:r w:rsidR="00EF7BA3" w:rsidRPr="00233BC4">
        <w:rPr>
          <w:rStyle w:val="FootnoteReference"/>
        </w:rPr>
        <w:footnoteReference w:id="29"/>
      </w:r>
      <w:r>
        <w:rPr>
          <w:rFonts w:ascii="Gill Sans MT" w:hAnsi="Gill Sans MT"/>
          <w:szCs w:val="26"/>
          <w:lang w:eastAsia="en-IE"/>
        </w:rPr>
        <w:t>, per the recommendations in the RAF review. Work and Access</w:t>
      </w:r>
      <w:r w:rsidRPr="007A1CC0">
        <w:rPr>
          <w:rFonts w:ascii="Gill Sans MT" w:hAnsi="Gill Sans MT"/>
          <w:szCs w:val="26"/>
          <w:lang w:eastAsia="en-IE"/>
        </w:rPr>
        <w:t xml:space="preserve"> supports aim to remove or reduce barriers in the workplace for </w:t>
      </w:r>
      <w:r>
        <w:rPr>
          <w:rFonts w:ascii="Gill Sans MT" w:hAnsi="Gill Sans MT"/>
          <w:szCs w:val="26"/>
          <w:lang w:eastAsia="en-IE"/>
        </w:rPr>
        <w:t>disabled people</w:t>
      </w:r>
      <w:r w:rsidR="00F135A9">
        <w:rPr>
          <w:rFonts w:ascii="Gill Sans MT" w:hAnsi="Gill Sans MT"/>
          <w:szCs w:val="26"/>
          <w:lang w:eastAsia="en-IE"/>
        </w:rPr>
        <w:t>.</w:t>
      </w:r>
      <w:r>
        <w:rPr>
          <w:rFonts w:ascii="Gill Sans MT" w:hAnsi="Gill Sans MT"/>
          <w:szCs w:val="26"/>
          <w:lang w:eastAsia="en-IE"/>
        </w:rPr>
        <w:t xml:space="preserve"> </w:t>
      </w:r>
      <w:r w:rsidR="00F135A9">
        <w:rPr>
          <w:rFonts w:ascii="Gill Sans MT" w:hAnsi="Gill Sans MT"/>
          <w:szCs w:val="26"/>
          <w:lang w:eastAsia="en-IE"/>
        </w:rPr>
        <w:t xml:space="preserve">Supports </w:t>
      </w:r>
      <w:r>
        <w:rPr>
          <w:rFonts w:ascii="Gill Sans MT" w:hAnsi="Gill Sans MT"/>
          <w:szCs w:val="26"/>
          <w:lang w:eastAsia="en-IE"/>
        </w:rPr>
        <w:t>for employees, jobseekers and self-employed people</w:t>
      </w:r>
      <w:r w:rsidR="00CE4365">
        <w:rPr>
          <w:rFonts w:ascii="Gill Sans MT" w:hAnsi="Gill Sans MT"/>
          <w:szCs w:val="26"/>
          <w:lang w:eastAsia="en-IE"/>
        </w:rPr>
        <w:t xml:space="preserve"> </w:t>
      </w:r>
      <w:r w:rsidR="00FE3CED">
        <w:rPr>
          <w:rFonts w:ascii="Gill Sans MT" w:hAnsi="Gill Sans MT"/>
          <w:szCs w:val="26"/>
          <w:lang w:eastAsia="en-IE"/>
        </w:rPr>
        <w:t xml:space="preserve">under Work and Access </w:t>
      </w:r>
      <w:r w:rsidR="00CE4365">
        <w:rPr>
          <w:rFonts w:ascii="Gill Sans MT" w:hAnsi="Gill Sans MT"/>
          <w:szCs w:val="26"/>
          <w:lang w:eastAsia="en-IE"/>
        </w:rPr>
        <w:t>include</w:t>
      </w:r>
      <w:r>
        <w:rPr>
          <w:rFonts w:ascii="Gill Sans MT" w:hAnsi="Gill Sans MT"/>
          <w:szCs w:val="26"/>
          <w:lang w:eastAsia="en-IE"/>
        </w:rPr>
        <w:t>:</w:t>
      </w:r>
    </w:p>
    <w:p w14:paraId="36CEC1F2" w14:textId="5696C236" w:rsidR="007A1CC0" w:rsidRDefault="00CE4365" w:rsidP="00FD0C3F">
      <w:pPr>
        <w:pStyle w:val="ListParagraph"/>
        <w:numPr>
          <w:ilvl w:val="0"/>
          <w:numId w:val="11"/>
        </w:numPr>
        <w:spacing w:before="120"/>
        <w:rPr>
          <w:rFonts w:ascii="Gill Sans MT" w:hAnsi="Gill Sans MT"/>
          <w:szCs w:val="26"/>
          <w:lang w:eastAsia="en-IE"/>
        </w:rPr>
      </w:pPr>
      <w:r>
        <w:rPr>
          <w:rFonts w:ascii="Gill Sans MT" w:hAnsi="Gill Sans MT"/>
          <w:szCs w:val="26"/>
          <w:lang w:eastAsia="en-IE"/>
        </w:rPr>
        <w:t>W</w:t>
      </w:r>
      <w:r w:rsidR="007A1CC0" w:rsidRPr="007A1CC0">
        <w:rPr>
          <w:rFonts w:ascii="Gill Sans MT" w:hAnsi="Gill Sans MT"/>
          <w:szCs w:val="26"/>
          <w:lang w:eastAsia="en-IE"/>
        </w:rPr>
        <w:t xml:space="preserve">orkplace </w:t>
      </w:r>
      <w:r w:rsidR="007A1CC0">
        <w:rPr>
          <w:rFonts w:ascii="Gill Sans MT" w:hAnsi="Gill Sans MT"/>
          <w:szCs w:val="26"/>
          <w:lang w:eastAsia="en-IE"/>
        </w:rPr>
        <w:t>n</w:t>
      </w:r>
      <w:r w:rsidR="007A1CC0" w:rsidRPr="007A1CC0">
        <w:rPr>
          <w:rFonts w:ascii="Gill Sans MT" w:hAnsi="Gill Sans MT"/>
          <w:szCs w:val="26"/>
          <w:lang w:eastAsia="en-IE"/>
        </w:rPr>
        <w:t xml:space="preserve">eeds </w:t>
      </w:r>
      <w:r w:rsidR="007A1CC0">
        <w:rPr>
          <w:rFonts w:ascii="Gill Sans MT" w:hAnsi="Gill Sans MT"/>
          <w:szCs w:val="26"/>
          <w:lang w:eastAsia="en-IE"/>
        </w:rPr>
        <w:t>a</w:t>
      </w:r>
      <w:r w:rsidR="007A1CC0" w:rsidRPr="007A1CC0">
        <w:rPr>
          <w:rFonts w:ascii="Gill Sans MT" w:hAnsi="Gill Sans MT"/>
          <w:szCs w:val="26"/>
          <w:lang w:eastAsia="en-IE"/>
        </w:rPr>
        <w:t>ssessment to assist in identifying the need for additional supports</w:t>
      </w:r>
      <w:r w:rsidR="00573C36">
        <w:rPr>
          <w:rFonts w:ascii="Gill Sans MT" w:hAnsi="Gill Sans MT"/>
          <w:szCs w:val="26"/>
          <w:lang w:eastAsia="en-IE"/>
        </w:rPr>
        <w:t>,</w:t>
      </w:r>
    </w:p>
    <w:p w14:paraId="2B56D94E" w14:textId="14604175" w:rsidR="007A1CC0" w:rsidRDefault="00CE4365" w:rsidP="00FD0C3F">
      <w:pPr>
        <w:pStyle w:val="ListParagraph"/>
        <w:numPr>
          <w:ilvl w:val="0"/>
          <w:numId w:val="11"/>
        </w:numPr>
        <w:spacing w:before="120"/>
        <w:rPr>
          <w:rFonts w:ascii="Gill Sans MT" w:hAnsi="Gill Sans MT"/>
          <w:szCs w:val="26"/>
          <w:lang w:eastAsia="en-IE"/>
        </w:rPr>
      </w:pPr>
      <w:r>
        <w:rPr>
          <w:rFonts w:ascii="Gill Sans MT" w:hAnsi="Gill Sans MT"/>
          <w:szCs w:val="26"/>
          <w:lang w:eastAsia="en-IE"/>
        </w:rPr>
        <w:t>C</w:t>
      </w:r>
      <w:r w:rsidR="007A1CC0" w:rsidRPr="007A1CC0">
        <w:rPr>
          <w:rFonts w:ascii="Gill Sans MT" w:hAnsi="Gill Sans MT"/>
          <w:szCs w:val="26"/>
          <w:lang w:eastAsia="en-IE"/>
        </w:rPr>
        <w:t xml:space="preserve">ommunication </w:t>
      </w:r>
      <w:r w:rsidR="007A1CC0">
        <w:rPr>
          <w:rFonts w:ascii="Gill Sans MT" w:hAnsi="Gill Sans MT"/>
          <w:szCs w:val="26"/>
          <w:lang w:eastAsia="en-IE"/>
        </w:rPr>
        <w:t>supports, both</w:t>
      </w:r>
      <w:r w:rsidR="007A1CC0" w:rsidRPr="007A1CC0">
        <w:rPr>
          <w:rFonts w:ascii="Gill Sans MT" w:hAnsi="Gill Sans MT"/>
          <w:szCs w:val="26"/>
          <w:lang w:eastAsia="en-IE"/>
        </w:rPr>
        <w:t xml:space="preserve"> for interview </w:t>
      </w:r>
      <w:r w:rsidR="007A1CC0">
        <w:rPr>
          <w:rFonts w:ascii="Gill Sans MT" w:hAnsi="Gill Sans MT"/>
          <w:szCs w:val="26"/>
          <w:lang w:eastAsia="en-IE"/>
        </w:rPr>
        <w:t xml:space="preserve">purposes </w:t>
      </w:r>
      <w:r w:rsidR="007A1CC0" w:rsidRPr="007A1CC0">
        <w:rPr>
          <w:rFonts w:ascii="Gill Sans MT" w:hAnsi="Gill Sans MT"/>
          <w:szCs w:val="26"/>
          <w:lang w:eastAsia="en-IE"/>
        </w:rPr>
        <w:t>and in work</w:t>
      </w:r>
      <w:r w:rsidR="00573C36">
        <w:rPr>
          <w:rFonts w:ascii="Gill Sans MT" w:hAnsi="Gill Sans MT"/>
          <w:szCs w:val="26"/>
          <w:lang w:eastAsia="en-IE"/>
        </w:rPr>
        <w:t>,</w:t>
      </w:r>
    </w:p>
    <w:p w14:paraId="74376A31" w14:textId="43706661" w:rsidR="007A1CC0" w:rsidRDefault="00CE4365" w:rsidP="00FD0C3F">
      <w:pPr>
        <w:pStyle w:val="ListParagraph"/>
        <w:numPr>
          <w:ilvl w:val="0"/>
          <w:numId w:val="11"/>
        </w:numPr>
        <w:spacing w:before="120"/>
        <w:rPr>
          <w:rFonts w:ascii="Gill Sans MT" w:hAnsi="Gill Sans MT"/>
          <w:szCs w:val="26"/>
          <w:lang w:eastAsia="en-IE"/>
        </w:rPr>
      </w:pPr>
      <w:r>
        <w:rPr>
          <w:rFonts w:ascii="Gill Sans MT" w:hAnsi="Gill Sans MT"/>
          <w:szCs w:val="26"/>
          <w:lang w:eastAsia="en-IE"/>
        </w:rPr>
        <w:t>I</w:t>
      </w:r>
      <w:r w:rsidR="007A1CC0" w:rsidRPr="007A1CC0">
        <w:rPr>
          <w:rFonts w:ascii="Gill Sans MT" w:hAnsi="Gill Sans MT"/>
          <w:szCs w:val="26"/>
          <w:lang w:eastAsia="en-IE"/>
        </w:rPr>
        <w:t>n-</w:t>
      </w:r>
      <w:r w:rsidR="007A1CC0">
        <w:rPr>
          <w:rFonts w:ascii="Gill Sans MT" w:hAnsi="Gill Sans MT"/>
          <w:szCs w:val="26"/>
          <w:lang w:eastAsia="en-IE"/>
        </w:rPr>
        <w:t>w</w:t>
      </w:r>
      <w:r w:rsidR="007A1CC0" w:rsidRPr="007A1CC0">
        <w:rPr>
          <w:rFonts w:ascii="Gill Sans MT" w:hAnsi="Gill Sans MT"/>
          <w:szCs w:val="26"/>
          <w:lang w:eastAsia="en-IE"/>
        </w:rPr>
        <w:t xml:space="preserve">ork </w:t>
      </w:r>
      <w:r w:rsidR="007A1CC0">
        <w:rPr>
          <w:rFonts w:ascii="Gill Sans MT" w:hAnsi="Gill Sans MT"/>
          <w:szCs w:val="26"/>
          <w:lang w:eastAsia="en-IE"/>
        </w:rPr>
        <w:t>s</w:t>
      </w:r>
      <w:r w:rsidR="007A1CC0" w:rsidRPr="007A1CC0">
        <w:rPr>
          <w:rFonts w:ascii="Gill Sans MT" w:hAnsi="Gill Sans MT"/>
          <w:szCs w:val="26"/>
          <w:lang w:eastAsia="en-IE"/>
        </w:rPr>
        <w:t xml:space="preserve">upport to help </w:t>
      </w:r>
      <w:r w:rsidR="007A1CC0">
        <w:rPr>
          <w:rFonts w:ascii="Gill Sans MT" w:hAnsi="Gill Sans MT"/>
          <w:szCs w:val="26"/>
          <w:lang w:eastAsia="en-IE"/>
        </w:rPr>
        <w:t>an individual perform in their role</w:t>
      </w:r>
      <w:r>
        <w:rPr>
          <w:rFonts w:ascii="Gill Sans MT" w:hAnsi="Gill Sans MT"/>
          <w:szCs w:val="26"/>
          <w:lang w:eastAsia="en-IE"/>
        </w:rPr>
        <w:t>,</w:t>
      </w:r>
    </w:p>
    <w:p w14:paraId="5F0575E7" w14:textId="4A14696F" w:rsidR="007A1CC0" w:rsidRDefault="007A1CC0" w:rsidP="00FD0C3F">
      <w:pPr>
        <w:pStyle w:val="ListParagraph"/>
        <w:numPr>
          <w:ilvl w:val="0"/>
          <w:numId w:val="11"/>
        </w:numPr>
        <w:spacing w:before="120"/>
        <w:rPr>
          <w:rFonts w:ascii="Gill Sans MT" w:hAnsi="Gill Sans MT"/>
          <w:szCs w:val="26"/>
          <w:lang w:eastAsia="en-IE"/>
        </w:rPr>
      </w:pPr>
      <w:r w:rsidRPr="007A1CC0">
        <w:rPr>
          <w:rFonts w:ascii="Gill Sans MT" w:hAnsi="Gill Sans MT"/>
          <w:szCs w:val="26"/>
          <w:lang w:eastAsia="en-IE"/>
        </w:rPr>
        <w:t xml:space="preserve">Personal </w:t>
      </w:r>
      <w:r>
        <w:rPr>
          <w:rFonts w:ascii="Gill Sans MT" w:hAnsi="Gill Sans MT"/>
          <w:szCs w:val="26"/>
          <w:lang w:eastAsia="en-IE"/>
        </w:rPr>
        <w:t>r</w:t>
      </w:r>
      <w:r w:rsidRPr="007A1CC0">
        <w:rPr>
          <w:rFonts w:ascii="Gill Sans MT" w:hAnsi="Gill Sans MT"/>
          <w:szCs w:val="26"/>
          <w:lang w:eastAsia="en-IE"/>
        </w:rPr>
        <w:t>eader</w:t>
      </w:r>
      <w:r>
        <w:rPr>
          <w:rFonts w:ascii="Gill Sans MT" w:hAnsi="Gill Sans MT"/>
          <w:szCs w:val="26"/>
          <w:lang w:eastAsia="en-IE"/>
        </w:rPr>
        <w:t>s</w:t>
      </w:r>
      <w:r w:rsidRPr="007A1CC0">
        <w:rPr>
          <w:rFonts w:ascii="Gill Sans MT" w:hAnsi="Gill Sans MT"/>
          <w:szCs w:val="26"/>
          <w:lang w:eastAsia="en-IE"/>
        </w:rPr>
        <w:t xml:space="preserve"> to assist </w:t>
      </w:r>
      <w:r>
        <w:rPr>
          <w:rFonts w:ascii="Gill Sans MT" w:hAnsi="Gill Sans MT"/>
          <w:szCs w:val="26"/>
          <w:lang w:eastAsia="en-IE"/>
        </w:rPr>
        <w:t>an individual</w:t>
      </w:r>
      <w:r w:rsidRPr="007A1CC0">
        <w:rPr>
          <w:rFonts w:ascii="Gill Sans MT" w:hAnsi="Gill Sans MT"/>
          <w:szCs w:val="26"/>
          <w:lang w:eastAsia="en-IE"/>
        </w:rPr>
        <w:t xml:space="preserve"> </w:t>
      </w:r>
      <w:r>
        <w:rPr>
          <w:rFonts w:ascii="Gill Sans MT" w:hAnsi="Gill Sans MT"/>
          <w:szCs w:val="26"/>
          <w:lang w:eastAsia="en-IE"/>
        </w:rPr>
        <w:t>at</w:t>
      </w:r>
      <w:r w:rsidRPr="007A1CC0">
        <w:rPr>
          <w:rFonts w:ascii="Gill Sans MT" w:hAnsi="Gill Sans MT"/>
          <w:szCs w:val="26"/>
          <w:lang w:eastAsia="en-IE"/>
        </w:rPr>
        <w:t xml:space="preserve"> work</w:t>
      </w:r>
      <w:r w:rsidR="00CE4365">
        <w:rPr>
          <w:rFonts w:ascii="Gill Sans MT" w:hAnsi="Gill Sans MT"/>
          <w:szCs w:val="26"/>
          <w:lang w:eastAsia="en-IE"/>
        </w:rPr>
        <w:t>,</w:t>
      </w:r>
    </w:p>
    <w:p w14:paraId="124AAE49" w14:textId="10375F0B" w:rsidR="007A1CC0" w:rsidRPr="007A1CC0" w:rsidRDefault="007A1CC0" w:rsidP="00FD0C3F">
      <w:pPr>
        <w:pStyle w:val="ListParagraph"/>
        <w:numPr>
          <w:ilvl w:val="0"/>
          <w:numId w:val="11"/>
        </w:numPr>
        <w:spacing w:before="120"/>
        <w:rPr>
          <w:rFonts w:ascii="Gill Sans MT" w:hAnsi="Gill Sans MT"/>
          <w:szCs w:val="26"/>
          <w:lang w:eastAsia="en-IE"/>
        </w:rPr>
      </w:pPr>
      <w:r w:rsidRPr="007A1CC0">
        <w:rPr>
          <w:rFonts w:ascii="Gill Sans MT" w:hAnsi="Gill Sans MT"/>
          <w:szCs w:val="26"/>
          <w:lang w:eastAsia="en-IE"/>
        </w:rPr>
        <w:t xml:space="preserve">Work </w:t>
      </w:r>
      <w:r>
        <w:rPr>
          <w:rFonts w:ascii="Gill Sans MT" w:hAnsi="Gill Sans MT"/>
          <w:szCs w:val="26"/>
          <w:lang w:eastAsia="en-IE"/>
        </w:rPr>
        <w:t>e</w:t>
      </w:r>
      <w:r w:rsidRPr="007A1CC0">
        <w:rPr>
          <w:rFonts w:ascii="Gill Sans MT" w:hAnsi="Gill Sans MT"/>
          <w:szCs w:val="26"/>
          <w:lang w:eastAsia="en-IE"/>
        </w:rPr>
        <w:t>quipment</w:t>
      </w:r>
      <w:r>
        <w:rPr>
          <w:rFonts w:ascii="Gill Sans MT" w:hAnsi="Gill Sans MT"/>
          <w:szCs w:val="26"/>
          <w:lang w:eastAsia="en-IE"/>
        </w:rPr>
        <w:t>.</w:t>
      </w:r>
    </w:p>
    <w:p w14:paraId="62705415" w14:textId="77777777" w:rsidR="007A1CC0" w:rsidRDefault="007A1CC0" w:rsidP="007A1CC0">
      <w:pPr>
        <w:spacing w:before="120"/>
        <w:rPr>
          <w:rFonts w:ascii="Gill Sans MT" w:hAnsi="Gill Sans MT"/>
          <w:szCs w:val="26"/>
          <w:lang w:eastAsia="en-IE"/>
        </w:rPr>
      </w:pPr>
      <w:r>
        <w:rPr>
          <w:rFonts w:ascii="Gill Sans MT" w:hAnsi="Gill Sans MT"/>
          <w:szCs w:val="26"/>
          <w:lang w:eastAsia="en-IE"/>
        </w:rPr>
        <w:t>Available supports for employers under Work and Access include</w:t>
      </w:r>
      <w:r w:rsidRPr="007A1CC0">
        <w:rPr>
          <w:rFonts w:ascii="Gill Sans MT" w:hAnsi="Gill Sans MT"/>
          <w:szCs w:val="26"/>
          <w:lang w:eastAsia="en-IE"/>
        </w:rPr>
        <w:t>:</w:t>
      </w:r>
    </w:p>
    <w:p w14:paraId="25045A75" w14:textId="6FDFE02F" w:rsidR="007A1CC0" w:rsidRDefault="007A1CC0" w:rsidP="00FD0C3F">
      <w:pPr>
        <w:pStyle w:val="ListParagraph"/>
        <w:numPr>
          <w:ilvl w:val="0"/>
          <w:numId w:val="12"/>
        </w:numPr>
        <w:spacing w:before="120"/>
        <w:rPr>
          <w:rFonts w:ascii="Gill Sans MT" w:hAnsi="Gill Sans MT"/>
          <w:szCs w:val="26"/>
          <w:lang w:eastAsia="en-IE"/>
        </w:rPr>
      </w:pPr>
      <w:r w:rsidRPr="007A1CC0">
        <w:rPr>
          <w:rFonts w:ascii="Gill Sans MT" w:hAnsi="Gill Sans MT"/>
          <w:szCs w:val="26"/>
          <w:lang w:eastAsia="en-IE"/>
        </w:rPr>
        <w:t xml:space="preserve">Workplace </w:t>
      </w:r>
      <w:r>
        <w:rPr>
          <w:rFonts w:ascii="Gill Sans MT" w:hAnsi="Gill Sans MT"/>
          <w:szCs w:val="26"/>
          <w:lang w:eastAsia="en-IE"/>
        </w:rPr>
        <w:t>n</w:t>
      </w:r>
      <w:r w:rsidRPr="007A1CC0">
        <w:rPr>
          <w:rFonts w:ascii="Gill Sans MT" w:hAnsi="Gill Sans MT"/>
          <w:szCs w:val="26"/>
          <w:lang w:eastAsia="en-IE"/>
        </w:rPr>
        <w:t xml:space="preserve">eeds </w:t>
      </w:r>
      <w:r>
        <w:rPr>
          <w:rFonts w:ascii="Gill Sans MT" w:hAnsi="Gill Sans MT"/>
          <w:szCs w:val="26"/>
          <w:lang w:eastAsia="en-IE"/>
        </w:rPr>
        <w:t>a</w:t>
      </w:r>
      <w:r w:rsidRPr="007A1CC0">
        <w:rPr>
          <w:rFonts w:ascii="Gill Sans MT" w:hAnsi="Gill Sans MT"/>
          <w:szCs w:val="26"/>
          <w:lang w:eastAsia="en-IE"/>
        </w:rPr>
        <w:t>ssessment</w:t>
      </w:r>
      <w:r w:rsidR="00134CF7">
        <w:rPr>
          <w:rFonts w:ascii="Gill Sans MT" w:hAnsi="Gill Sans MT"/>
          <w:szCs w:val="26"/>
          <w:lang w:eastAsia="en-IE"/>
        </w:rPr>
        <w:t>,</w:t>
      </w:r>
    </w:p>
    <w:p w14:paraId="7D81E4B6" w14:textId="3D11609B" w:rsidR="007A1CC0" w:rsidRDefault="007A1CC0" w:rsidP="00FD0C3F">
      <w:pPr>
        <w:pStyle w:val="ListParagraph"/>
        <w:numPr>
          <w:ilvl w:val="0"/>
          <w:numId w:val="12"/>
        </w:numPr>
        <w:spacing w:before="120"/>
        <w:rPr>
          <w:rFonts w:ascii="Gill Sans MT" w:hAnsi="Gill Sans MT"/>
          <w:szCs w:val="26"/>
          <w:lang w:eastAsia="en-IE"/>
        </w:rPr>
      </w:pPr>
      <w:r w:rsidRPr="007A1CC0">
        <w:rPr>
          <w:rFonts w:ascii="Gill Sans MT" w:hAnsi="Gill Sans MT"/>
          <w:szCs w:val="26"/>
          <w:lang w:eastAsia="en-IE"/>
        </w:rPr>
        <w:t xml:space="preserve">Workplace </w:t>
      </w:r>
      <w:r>
        <w:rPr>
          <w:rFonts w:ascii="Gill Sans MT" w:hAnsi="Gill Sans MT"/>
          <w:szCs w:val="26"/>
          <w:lang w:eastAsia="en-IE"/>
        </w:rPr>
        <w:t>a</w:t>
      </w:r>
      <w:r w:rsidRPr="007A1CC0">
        <w:rPr>
          <w:rFonts w:ascii="Gill Sans MT" w:hAnsi="Gill Sans MT"/>
          <w:szCs w:val="26"/>
          <w:lang w:eastAsia="en-IE"/>
        </w:rPr>
        <w:t xml:space="preserve">daptation, </w:t>
      </w:r>
    </w:p>
    <w:p w14:paraId="270F3237" w14:textId="3606A5DE" w:rsidR="009420AA" w:rsidRDefault="007A1CC0" w:rsidP="00FD0C3F">
      <w:pPr>
        <w:pStyle w:val="ListParagraph"/>
        <w:numPr>
          <w:ilvl w:val="0"/>
          <w:numId w:val="12"/>
        </w:numPr>
        <w:spacing w:before="120"/>
        <w:rPr>
          <w:rFonts w:ascii="Gill Sans MT" w:hAnsi="Gill Sans MT"/>
          <w:szCs w:val="26"/>
          <w:lang w:eastAsia="en-IE"/>
        </w:rPr>
      </w:pPr>
      <w:r w:rsidRPr="007A1CC0">
        <w:rPr>
          <w:rFonts w:ascii="Gill Sans MT" w:hAnsi="Gill Sans MT"/>
          <w:szCs w:val="26"/>
          <w:lang w:eastAsia="en-IE"/>
        </w:rPr>
        <w:t xml:space="preserve">Disability </w:t>
      </w:r>
      <w:r>
        <w:rPr>
          <w:rFonts w:ascii="Gill Sans MT" w:hAnsi="Gill Sans MT"/>
          <w:szCs w:val="26"/>
          <w:lang w:eastAsia="en-IE"/>
        </w:rPr>
        <w:t>e</w:t>
      </w:r>
      <w:r w:rsidRPr="007A1CC0">
        <w:rPr>
          <w:rFonts w:ascii="Gill Sans MT" w:hAnsi="Gill Sans MT"/>
          <w:szCs w:val="26"/>
          <w:lang w:eastAsia="en-IE"/>
        </w:rPr>
        <w:t xml:space="preserve">quality and </w:t>
      </w:r>
      <w:r>
        <w:rPr>
          <w:rFonts w:ascii="Gill Sans MT" w:hAnsi="Gill Sans MT"/>
          <w:szCs w:val="26"/>
          <w:lang w:eastAsia="en-IE"/>
        </w:rPr>
        <w:t>i</w:t>
      </w:r>
      <w:r w:rsidRPr="007A1CC0">
        <w:rPr>
          <w:rFonts w:ascii="Gill Sans MT" w:hAnsi="Gill Sans MT"/>
          <w:szCs w:val="26"/>
          <w:lang w:eastAsia="en-IE"/>
        </w:rPr>
        <w:t xml:space="preserve">nclusion </w:t>
      </w:r>
      <w:r>
        <w:rPr>
          <w:rFonts w:ascii="Gill Sans MT" w:hAnsi="Gill Sans MT"/>
          <w:szCs w:val="26"/>
          <w:lang w:eastAsia="en-IE"/>
        </w:rPr>
        <w:t>t</w:t>
      </w:r>
      <w:r w:rsidRPr="007A1CC0">
        <w:rPr>
          <w:rFonts w:ascii="Gill Sans MT" w:hAnsi="Gill Sans MT"/>
          <w:szCs w:val="26"/>
          <w:lang w:eastAsia="en-IE"/>
        </w:rPr>
        <w:t>raining</w:t>
      </w:r>
      <w:r w:rsidR="00134CF7">
        <w:rPr>
          <w:rFonts w:ascii="Gill Sans MT" w:hAnsi="Gill Sans MT"/>
          <w:szCs w:val="26"/>
          <w:lang w:eastAsia="en-IE"/>
        </w:rPr>
        <w:t>.</w:t>
      </w:r>
    </w:p>
    <w:p w14:paraId="75FDD01A" w14:textId="2CB7E8EB" w:rsidR="009A19F6" w:rsidRDefault="009A19F6" w:rsidP="009A19F6">
      <w:pPr>
        <w:spacing w:before="120"/>
        <w:rPr>
          <w:rFonts w:ascii="Gill Sans MT" w:hAnsi="Gill Sans MT"/>
          <w:szCs w:val="26"/>
          <w:lang w:eastAsia="en-IE"/>
        </w:rPr>
      </w:pPr>
      <w:r w:rsidRPr="00EA6921">
        <w:rPr>
          <w:rFonts w:ascii="Gill Sans MT" w:hAnsi="Gill Sans MT"/>
          <w:szCs w:val="26"/>
          <w:lang w:eastAsia="en-IE"/>
        </w:rPr>
        <w:t xml:space="preserve">An additional €1m was provided to implement the new scheme based on the recommendations in the </w:t>
      </w:r>
      <w:r>
        <w:rPr>
          <w:rFonts w:ascii="Gill Sans MT" w:hAnsi="Gill Sans MT"/>
          <w:szCs w:val="26"/>
          <w:lang w:eastAsia="en-IE"/>
        </w:rPr>
        <w:t>RAF and DAS</w:t>
      </w:r>
      <w:r w:rsidR="00EF7BA3">
        <w:rPr>
          <w:rFonts w:ascii="Gill Sans MT" w:hAnsi="Gill Sans MT"/>
          <w:szCs w:val="26"/>
          <w:lang w:eastAsia="en-IE"/>
        </w:rPr>
        <w:t>S</w:t>
      </w:r>
      <w:r>
        <w:rPr>
          <w:rFonts w:ascii="Gill Sans MT" w:hAnsi="Gill Sans MT"/>
          <w:szCs w:val="26"/>
          <w:lang w:eastAsia="en-IE"/>
        </w:rPr>
        <w:t xml:space="preserve"> </w:t>
      </w:r>
      <w:r w:rsidRPr="00EA6921">
        <w:rPr>
          <w:rFonts w:ascii="Gill Sans MT" w:hAnsi="Gill Sans MT"/>
          <w:szCs w:val="26"/>
          <w:lang w:eastAsia="en-IE"/>
        </w:rPr>
        <w:t>review. A nationwide public promotional campaign commenced in August and r</w:t>
      </w:r>
      <w:r w:rsidR="00B5374E">
        <w:rPr>
          <w:rFonts w:ascii="Gill Sans MT" w:hAnsi="Gill Sans MT"/>
          <w:szCs w:val="26"/>
          <w:lang w:eastAsia="en-IE"/>
        </w:rPr>
        <w:t>an</w:t>
      </w:r>
      <w:r w:rsidRPr="00EA6921">
        <w:rPr>
          <w:rFonts w:ascii="Gill Sans MT" w:hAnsi="Gill Sans MT"/>
          <w:szCs w:val="26"/>
          <w:lang w:eastAsia="en-IE"/>
        </w:rPr>
        <w:t xml:space="preserve"> to the end of November 2024.</w:t>
      </w:r>
    </w:p>
    <w:p w14:paraId="34765FC4" w14:textId="4D7C1C5C" w:rsidR="009A19F6" w:rsidRPr="00FA7DF2" w:rsidRDefault="0035571D" w:rsidP="00FA7DF2">
      <w:r>
        <w:t>The</w:t>
      </w:r>
      <w:r w:rsidR="00C32AF1">
        <w:t xml:space="preserve"> Irish Human Rights and Equality Commission</w:t>
      </w:r>
      <w:r w:rsidR="001C3FA0">
        <w:t xml:space="preserve"> (IHREC)</w:t>
      </w:r>
      <w:r w:rsidR="00C32AF1">
        <w:t xml:space="preserve"> have </w:t>
      </w:r>
      <w:r w:rsidR="00EF7BA3">
        <w:t xml:space="preserve">recently </w:t>
      </w:r>
      <w:r>
        <w:t>drafted a new</w:t>
      </w:r>
      <w:r w:rsidR="00C32AF1">
        <w:t xml:space="preserve"> Code of Practice on the provision of reasonable accommodation</w:t>
      </w:r>
      <w:r w:rsidR="00EF7BA3">
        <w:t>s</w:t>
      </w:r>
      <w:r w:rsidR="00C32AF1">
        <w:t>, with guidance for both employer</w:t>
      </w:r>
      <w:r w:rsidR="00EF7BA3">
        <w:t>s</w:t>
      </w:r>
      <w:r w:rsidR="00C32AF1">
        <w:t xml:space="preserve"> and employee</w:t>
      </w:r>
      <w:r w:rsidR="00EF7BA3">
        <w:t>s</w:t>
      </w:r>
      <w:r w:rsidR="00C32AF1">
        <w:t xml:space="preserve">. </w:t>
      </w:r>
      <w:r w:rsidR="00C32AF1" w:rsidRPr="00B90464">
        <w:rPr>
          <w:szCs w:val="26"/>
        </w:rPr>
        <w:t xml:space="preserve">Ibec and ICTU </w:t>
      </w:r>
      <w:r>
        <w:rPr>
          <w:szCs w:val="26"/>
        </w:rPr>
        <w:t xml:space="preserve">have also </w:t>
      </w:r>
      <w:r w:rsidR="00C32AF1" w:rsidRPr="00B90464">
        <w:rPr>
          <w:szCs w:val="26"/>
        </w:rPr>
        <w:t xml:space="preserve">developed </w:t>
      </w:r>
      <w:r>
        <w:rPr>
          <w:szCs w:val="26"/>
        </w:rPr>
        <w:t xml:space="preserve">a </w:t>
      </w:r>
      <w:r w:rsidR="00C32AF1" w:rsidRPr="00B90464">
        <w:rPr>
          <w:szCs w:val="26"/>
        </w:rPr>
        <w:t>‘reasonable accommodation passport’</w:t>
      </w:r>
      <w:r>
        <w:rPr>
          <w:szCs w:val="26"/>
        </w:rPr>
        <w:t xml:space="preserve"> </w:t>
      </w:r>
      <w:r>
        <w:rPr>
          <w:szCs w:val="26"/>
        </w:rPr>
        <w:fldChar w:fldCharType="begin"/>
      </w:r>
      <w:r w:rsidR="006B1C05">
        <w:rPr>
          <w:szCs w:val="26"/>
        </w:rPr>
        <w:instrText xml:space="preserve"> ADDIN ZOTERO_ITEM CSL_CITATION {"citationID":"JqxkN4Qm","properties":{"formattedCitation":"(82)","plainCitation":"(82)","noteIndex":0},"citationItems":[{"id":309,"uris":["http://zotero.org/users/local/kvLunvBP/items/RFXRWDIV"],"itemData":{"id":309,"type":"report","abstract":"Equality legislation requires employers to make reasonable accommodation to enable disabled workers to carry out their work on an equal footing with others. This passport system provides a confidential live record of the barriers people face and the accommodations that have been agreed to p","language":"en","title":"Reasonable Adjustment Disability Passport | ICTU","URL":"https://www.ictu.ie/publications/reasonable-adjustment-disability-passport","author":[{"family":"ICTU and Ibec","given":""}],"accessed":{"date-parts":[["2024",10,21]]},"issued":{"date-parts":[["2019"]]}}}],"schema":"https://github.com/citation-style-language/schema/raw/master/csl-citation.json"} </w:instrText>
      </w:r>
      <w:r>
        <w:rPr>
          <w:szCs w:val="26"/>
        </w:rPr>
        <w:fldChar w:fldCharType="separate"/>
      </w:r>
      <w:r w:rsidR="006B1C05" w:rsidRPr="006B1C05">
        <w:t>(82)</w:t>
      </w:r>
      <w:r>
        <w:rPr>
          <w:szCs w:val="26"/>
        </w:rPr>
        <w:fldChar w:fldCharType="end"/>
      </w:r>
      <w:r w:rsidR="00C32AF1" w:rsidRPr="00B90464">
        <w:rPr>
          <w:szCs w:val="26"/>
        </w:rPr>
        <w:t xml:space="preserve">, which </w:t>
      </w:r>
      <w:r>
        <w:rPr>
          <w:szCs w:val="26"/>
        </w:rPr>
        <w:t xml:space="preserve">may be a </w:t>
      </w:r>
      <w:r w:rsidR="00C32AF1">
        <w:rPr>
          <w:szCs w:val="26"/>
        </w:rPr>
        <w:t>helpful addition to both employee and employer when discussing the</w:t>
      </w:r>
      <w:r w:rsidR="0037032B">
        <w:rPr>
          <w:szCs w:val="26"/>
        </w:rPr>
        <w:t xml:space="preserve"> how the provision of a reasonable accommodation might work in their individual circumstances</w:t>
      </w:r>
      <w:r w:rsidR="00E66352">
        <w:rPr>
          <w:szCs w:val="26"/>
        </w:rPr>
        <w:t>.</w:t>
      </w:r>
      <w:r w:rsidR="00C32AF1">
        <w:rPr>
          <w:szCs w:val="26"/>
        </w:rPr>
        <w:t xml:space="preserve"> </w:t>
      </w:r>
    </w:p>
    <w:p w14:paraId="0E0ECF3F" w14:textId="7CE8CE22" w:rsidR="00A07C43" w:rsidRPr="00A07C43" w:rsidRDefault="00A07C43" w:rsidP="00A07C43">
      <w:pPr>
        <w:keepNext/>
        <w:spacing w:after="60"/>
        <w:outlineLvl w:val="1"/>
        <w:rPr>
          <w:rFonts w:ascii="Gill Sans MT" w:hAnsi="Gill Sans MT" w:cs="Arial Bold"/>
          <w:b/>
          <w:bCs/>
          <w:iCs/>
          <w:sz w:val="28"/>
          <w:szCs w:val="28"/>
          <w:lang w:eastAsia="en-IE"/>
        </w:rPr>
      </w:pPr>
      <w:bookmarkStart w:id="292" w:name="_Toc182219538"/>
      <w:bookmarkStart w:id="293" w:name="_Toc182220241"/>
      <w:bookmarkStart w:id="294" w:name="_Toc182555589"/>
      <w:bookmarkStart w:id="295" w:name="_Toc182555734"/>
      <w:r w:rsidRPr="00A07C43">
        <w:rPr>
          <w:rFonts w:ascii="Gill Sans MT" w:hAnsi="Gill Sans MT" w:cs="Arial Bold"/>
          <w:b/>
          <w:bCs/>
          <w:iCs/>
          <w:sz w:val="28"/>
          <w:szCs w:val="28"/>
          <w:lang w:eastAsia="en-IE"/>
        </w:rPr>
        <w:t>4.3 Number of people exiting disability payments/benefits into employment (Outcome)</w:t>
      </w:r>
      <w:bookmarkEnd w:id="292"/>
      <w:bookmarkEnd w:id="293"/>
      <w:bookmarkEnd w:id="294"/>
      <w:bookmarkEnd w:id="295"/>
      <w:r w:rsidRPr="00A07C43">
        <w:rPr>
          <w:rFonts w:ascii="Gill Sans MT" w:hAnsi="Gill Sans MT" w:cs="Arial Bold"/>
          <w:b/>
          <w:bCs/>
          <w:iCs/>
          <w:sz w:val="28"/>
          <w:szCs w:val="28"/>
          <w:lang w:eastAsia="en-IE"/>
        </w:rPr>
        <w:t xml:space="preserve"> </w:t>
      </w:r>
    </w:p>
    <w:p w14:paraId="425EAB35" w14:textId="52A063BF" w:rsidR="00D85E69" w:rsidRDefault="00DF4506" w:rsidP="00D85E69">
      <w:pPr>
        <w:spacing w:after="0"/>
        <w:rPr>
          <w:rFonts w:ascii="Gill Sans MT" w:hAnsi="Gill Sans MT"/>
          <w:szCs w:val="26"/>
        </w:rPr>
      </w:pPr>
      <w:r w:rsidRPr="00DF4506">
        <w:rPr>
          <w:rFonts w:ascii="Gill Sans MT" w:hAnsi="Gill Sans MT"/>
          <w:szCs w:val="26"/>
        </w:rPr>
        <w:t>By the end of September 2024, approximately 9,000 people ha</w:t>
      </w:r>
      <w:r w:rsidR="001609A0">
        <w:rPr>
          <w:rFonts w:ascii="Gill Sans MT" w:hAnsi="Gill Sans MT"/>
          <w:szCs w:val="26"/>
        </w:rPr>
        <w:t>d</w:t>
      </w:r>
      <w:r w:rsidRPr="00DF4506">
        <w:rPr>
          <w:rFonts w:ascii="Gill Sans MT" w:hAnsi="Gill Sans MT"/>
          <w:szCs w:val="26"/>
        </w:rPr>
        <w:t xml:space="preserve"> taken up employment and signed off Disability Allowance since the Make Work Pay report was published in April 2017</w:t>
      </w:r>
      <w:r>
        <w:rPr>
          <w:rFonts w:ascii="Gill Sans MT" w:hAnsi="Gill Sans MT"/>
          <w:szCs w:val="26"/>
        </w:rPr>
        <w:t>.</w:t>
      </w:r>
      <w:r w:rsidR="00727725">
        <w:rPr>
          <w:rFonts w:ascii="Gill Sans MT" w:hAnsi="Gill Sans MT"/>
          <w:szCs w:val="26"/>
        </w:rPr>
        <w:t xml:space="preserve"> </w:t>
      </w:r>
      <w:r w:rsidRPr="00233BC4">
        <w:rPr>
          <w:rStyle w:val="FootnoteReference"/>
        </w:rPr>
        <w:footnoteReference w:id="30"/>
      </w:r>
      <w:r w:rsidR="00BB3948">
        <w:rPr>
          <w:rFonts w:ascii="Gill Sans MT" w:hAnsi="Gill Sans MT"/>
          <w:szCs w:val="26"/>
        </w:rPr>
        <w:t xml:space="preserve"> See 3.2.1 for more information on DA</w:t>
      </w:r>
      <w:r w:rsidR="00E66352">
        <w:rPr>
          <w:rFonts w:ascii="Gill Sans MT" w:hAnsi="Gill Sans MT"/>
          <w:szCs w:val="26"/>
        </w:rPr>
        <w:t>.</w:t>
      </w:r>
    </w:p>
    <w:p w14:paraId="22BBC3C8" w14:textId="77777777" w:rsidR="00DF4506" w:rsidRDefault="00DF4506" w:rsidP="00D85E69">
      <w:pPr>
        <w:spacing w:after="0"/>
        <w:rPr>
          <w:rFonts w:ascii="Gill Sans MT" w:hAnsi="Gill Sans MT"/>
          <w:szCs w:val="26"/>
          <w:highlight w:val="yellow"/>
        </w:rPr>
      </w:pPr>
    </w:p>
    <w:p w14:paraId="666090D1" w14:textId="2FBB3817" w:rsidR="00BB3948" w:rsidRDefault="00BB3948" w:rsidP="00D85E69">
      <w:pPr>
        <w:spacing w:after="0"/>
        <w:rPr>
          <w:rFonts w:ascii="Gill Sans MT" w:hAnsi="Gill Sans MT"/>
          <w:szCs w:val="26"/>
        </w:rPr>
      </w:pPr>
      <w:r w:rsidRPr="000C0006">
        <w:rPr>
          <w:rFonts w:ascii="Gill Sans MT" w:hAnsi="Gill Sans MT"/>
          <w:b/>
          <w:bCs/>
          <w:szCs w:val="26"/>
        </w:rPr>
        <w:t xml:space="preserve">Indicator 4.4 </w:t>
      </w:r>
      <w:r w:rsidR="000C0006" w:rsidRPr="000C0006">
        <w:rPr>
          <w:rFonts w:ascii="Gill Sans MT" w:hAnsi="Gill Sans MT"/>
          <w:b/>
          <w:bCs/>
          <w:szCs w:val="26"/>
        </w:rPr>
        <w:t xml:space="preserve">on the percentage of persons with disabilities age 20-64 unemployed after having lost or given up previous job </w:t>
      </w:r>
      <w:r w:rsidRPr="000C0006">
        <w:rPr>
          <w:rFonts w:ascii="Gill Sans MT" w:hAnsi="Gill Sans MT"/>
          <w:b/>
          <w:bCs/>
          <w:szCs w:val="26"/>
        </w:rPr>
        <w:t>was removed due to lack of data</w:t>
      </w:r>
      <w:r w:rsidRPr="000C0006">
        <w:rPr>
          <w:rFonts w:ascii="Gill Sans MT" w:hAnsi="Gill Sans MT"/>
          <w:szCs w:val="26"/>
        </w:rPr>
        <w:t>.</w:t>
      </w:r>
      <w:r w:rsidRPr="00E66352">
        <w:rPr>
          <w:rFonts w:ascii="Gill Sans MT" w:hAnsi="Gill Sans MT"/>
          <w:szCs w:val="26"/>
        </w:rPr>
        <w:t xml:space="preserve"> </w:t>
      </w:r>
    </w:p>
    <w:p w14:paraId="57548EF2" w14:textId="77777777" w:rsidR="001B5D10" w:rsidRDefault="001B5D10" w:rsidP="00D85E69">
      <w:pPr>
        <w:spacing w:after="0"/>
        <w:rPr>
          <w:rFonts w:ascii="Gill Sans MT" w:hAnsi="Gill Sans MT"/>
          <w:szCs w:val="26"/>
        </w:rPr>
      </w:pPr>
    </w:p>
    <w:p w14:paraId="49D9AEFD" w14:textId="0A1FACD4" w:rsidR="004F7C2A" w:rsidRPr="007D34F1" w:rsidRDefault="001B5D10" w:rsidP="007D34F1">
      <w:pPr>
        <w:rPr>
          <w:rFonts w:ascii="Gill Sans MT" w:hAnsi="Gill Sans MT" w:cs="Arial Bold"/>
          <w:b/>
          <w:bCs/>
          <w:iCs/>
          <w:sz w:val="28"/>
          <w:szCs w:val="28"/>
          <w:lang w:eastAsia="en-IE"/>
        </w:rPr>
      </w:pPr>
      <w:r w:rsidRPr="001B5D10">
        <w:rPr>
          <w:rFonts w:ascii="Gill Sans MT" w:hAnsi="Gill Sans MT"/>
          <w:b/>
          <w:bCs/>
          <w:szCs w:val="26"/>
        </w:rPr>
        <w:t xml:space="preserve">Indicator 4.5 on the number of </w:t>
      </w:r>
      <w:r w:rsidRPr="001B5D10">
        <w:rPr>
          <w:rFonts w:ascii="Gill Sans MT" w:hAnsi="Gill Sans MT" w:cs="Arial Bold"/>
          <w:b/>
          <w:bCs/>
          <w:iCs/>
          <w:szCs w:val="26"/>
        </w:rPr>
        <w:t>q</w:t>
      </w:r>
      <w:r w:rsidR="00A07C43" w:rsidRPr="001B5D10">
        <w:rPr>
          <w:rFonts w:ascii="Gill Sans MT" w:hAnsi="Gill Sans MT" w:cs="Arial Bold"/>
          <w:b/>
          <w:bCs/>
          <w:iCs/>
          <w:szCs w:val="26"/>
        </w:rPr>
        <w:t>ueries received by the Employer Disability Information Service on retention of employees with acquired disabilities</w:t>
      </w:r>
      <w:r w:rsidRPr="001B5D10">
        <w:rPr>
          <w:rFonts w:ascii="Gill Sans MT" w:hAnsi="Gill Sans MT" w:cs="Arial Bold"/>
          <w:b/>
          <w:bCs/>
          <w:iCs/>
          <w:szCs w:val="26"/>
        </w:rPr>
        <w:t xml:space="preserve"> was removed</w:t>
      </w:r>
      <w:r>
        <w:rPr>
          <w:rFonts w:ascii="Gill Sans MT" w:hAnsi="Gill Sans MT" w:cs="Arial Bold"/>
          <w:b/>
          <w:bCs/>
          <w:iCs/>
          <w:szCs w:val="26"/>
        </w:rPr>
        <w:t xml:space="preserve"> as the service concluded in January 2020 and data on the nature of queries received w</w:t>
      </w:r>
      <w:r w:rsidR="008A6906">
        <w:rPr>
          <w:rFonts w:ascii="Gill Sans MT" w:hAnsi="Gill Sans MT" w:cs="Arial Bold"/>
          <w:b/>
          <w:bCs/>
          <w:iCs/>
          <w:szCs w:val="26"/>
        </w:rPr>
        <w:t>ere</w:t>
      </w:r>
      <w:r>
        <w:rPr>
          <w:rFonts w:ascii="Gill Sans MT" w:hAnsi="Gill Sans MT" w:cs="Arial Bold"/>
          <w:b/>
          <w:bCs/>
          <w:iCs/>
          <w:szCs w:val="26"/>
        </w:rPr>
        <w:t xml:space="preserve"> not available.</w:t>
      </w:r>
    </w:p>
    <w:p w14:paraId="1A81291B" w14:textId="00CB1A05" w:rsidR="00252BE6" w:rsidRDefault="00252BE6" w:rsidP="00D85E69">
      <w:pPr>
        <w:pStyle w:val="Heading2"/>
      </w:pPr>
      <w:bookmarkStart w:id="296" w:name="_Toc182219539"/>
      <w:bookmarkStart w:id="297" w:name="_Toc182220242"/>
      <w:bookmarkStart w:id="298" w:name="_Toc182555590"/>
      <w:bookmarkStart w:id="299" w:name="_Toc182555735"/>
      <w:r w:rsidRPr="00D85E69">
        <w:t xml:space="preserve">Overview of </w:t>
      </w:r>
      <w:bookmarkEnd w:id="296"/>
      <w:bookmarkEnd w:id="297"/>
      <w:bookmarkEnd w:id="298"/>
      <w:bookmarkEnd w:id="299"/>
      <w:r w:rsidR="00147EEF">
        <w:t>Strategic Priority Four</w:t>
      </w:r>
    </w:p>
    <w:p w14:paraId="4B84E1F0" w14:textId="2400E5EA" w:rsidR="00E7602D" w:rsidRPr="00E7602D" w:rsidRDefault="009271C8" w:rsidP="00E7602D">
      <w:r w:rsidRPr="00A07C43">
        <w:rPr>
          <w:rFonts w:ascii="Gill Sans MT" w:hAnsi="Gill Sans MT"/>
          <w:szCs w:val="26"/>
        </w:rPr>
        <w:t>Th</w:t>
      </w:r>
      <w:r>
        <w:rPr>
          <w:rFonts w:ascii="Gill Sans MT" w:hAnsi="Gill Sans MT"/>
          <w:szCs w:val="26"/>
        </w:rPr>
        <w:t>is intention of this priority area was to support people who acquire a disability during their working life to retain, regain</w:t>
      </w:r>
      <w:r w:rsidR="00F32639">
        <w:rPr>
          <w:rFonts w:ascii="Gill Sans MT" w:hAnsi="Gill Sans MT"/>
          <w:szCs w:val="26"/>
        </w:rPr>
        <w:t>,</w:t>
      </w:r>
      <w:r>
        <w:rPr>
          <w:rFonts w:ascii="Gill Sans MT" w:hAnsi="Gill Sans MT"/>
          <w:szCs w:val="26"/>
        </w:rPr>
        <w:t xml:space="preserve"> or obtain employment.</w:t>
      </w:r>
      <w:r w:rsidRPr="00A07C43">
        <w:rPr>
          <w:rFonts w:ascii="Gill Sans MT" w:hAnsi="Gill Sans MT"/>
          <w:szCs w:val="26"/>
        </w:rPr>
        <w:t xml:space="preserve"> </w:t>
      </w:r>
      <w:r w:rsidR="00E7602D">
        <w:t xml:space="preserve">Progress in </w:t>
      </w:r>
      <w:r>
        <w:t>this regard</w:t>
      </w:r>
      <w:r w:rsidR="00E7602D">
        <w:t xml:space="preserve"> has been mixed. Examination of schemes relevant to th</w:t>
      </w:r>
      <w:r w:rsidR="00B05283">
        <w:t xml:space="preserve">e aims of this </w:t>
      </w:r>
      <w:r w:rsidR="00E7602D">
        <w:t>priority area shows that uptake has remained low over the course of the CES, remaining relatively static in the case of the Wage Subsidy Scheme and decreasing in the case of the Reasonable Accommodation Fund. However, towards the end of the lifetime of the CES, comprehensive reviews of these schemes have been conducted</w:t>
      </w:r>
      <w:r w:rsidR="00B05283">
        <w:t>,</w:t>
      </w:r>
      <w:r w:rsidR="00E7602D">
        <w:t xml:space="preserve"> and actions to address the recommendations of these reviews have been taken. These developments provide cause for optimism </w:t>
      </w:r>
      <w:r w:rsidR="00B05283">
        <w:t>regarding</w:t>
      </w:r>
      <w:r w:rsidR="00E7602D">
        <w:t xml:space="preserve"> increased appropriateness, accessibility</w:t>
      </w:r>
      <w:r w:rsidR="00B619E6">
        <w:t>,</w:t>
      </w:r>
      <w:r w:rsidR="00E7602D">
        <w:t xml:space="preserve"> and flexibility of supports to promote job retention and re-entry to work. </w:t>
      </w:r>
      <w:r w:rsidR="00B619E6">
        <w:t>Nonetheless, gaps relating to smoothing transitions on re-entry to work after acquisition of a disability remain.</w:t>
      </w:r>
    </w:p>
    <w:p w14:paraId="2EB0F0A2" w14:textId="77777777" w:rsidR="00252BE6" w:rsidRDefault="00252BE6" w:rsidP="00252BE6">
      <w:pPr>
        <w:pStyle w:val="Heading3"/>
      </w:pPr>
      <w:bookmarkStart w:id="300" w:name="_Toc182219540"/>
      <w:bookmarkStart w:id="301" w:name="_Toc182220243"/>
      <w:bookmarkStart w:id="302" w:name="_Toc182555591"/>
      <w:r>
        <w:t>Key achievements</w:t>
      </w:r>
      <w:bookmarkEnd w:id="300"/>
      <w:bookmarkEnd w:id="301"/>
      <w:bookmarkEnd w:id="302"/>
    </w:p>
    <w:p w14:paraId="265584F2" w14:textId="46A80A3C" w:rsidR="00276178" w:rsidRDefault="008F7DB4" w:rsidP="00276178">
      <w:pPr>
        <w:pStyle w:val="ListParagraph"/>
        <w:numPr>
          <w:ilvl w:val="0"/>
          <w:numId w:val="33"/>
        </w:numPr>
      </w:pPr>
      <w:r>
        <w:t>The</w:t>
      </w:r>
      <w:r w:rsidR="00276178">
        <w:t xml:space="preserve"> review of the Wage Subsidy Scheme </w:t>
      </w:r>
      <w:r>
        <w:t>in 2023 and subsequent changes to the scheme’s criteria should make the scheme more accessible and flexible.</w:t>
      </w:r>
    </w:p>
    <w:p w14:paraId="550C387D" w14:textId="0BAAF5E0" w:rsidR="00252BE6" w:rsidRPr="00252BE6" w:rsidRDefault="00276178" w:rsidP="00252BE6">
      <w:pPr>
        <w:pStyle w:val="ListParagraph"/>
        <w:numPr>
          <w:ilvl w:val="0"/>
          <w:numId w:val="33"/>
        </w:numPr>
      </w:pPr>
      <w:r>
        <w:t xml:space="preserve">The introduction of the </w:t>
      </w:r>
      <w:r w:rsidR="002F78A8">
        <w:t>new Work and Access programme</w:t>
      </w:r>
      <w:r>
        <w:t xml:space="preserve">, building on the recommendations of the </w:t>
      </w:r>
      <w:r w:rsidR="00BB3948">
        <w:t xml:space="preserve">review of the </w:t>
      </w:r>
      <w:r>
        <w:t>RAF and DASS, is a key achievement</w:t>
      </w:r>
      <w:r w:rsidR="008F7DB4">
        <w:t xml:space="preserve"> that should lead to increased uptake of the supports offered.</w:t>
      </w:r>
    </w:p>
    <w:p w14:paraId="6306065E" w14:textId="7D7EE857" w:rsidR="00276178" w:rsidRPr="00276178" w:rsidRDefault="00252BE6" w:rsidP="00276178">
      <w:pPr>
        <w:pStyle w:val="Heading3"/>
      </w:pPr>
      <w:bookmarkStart w:id="303" w:name="_Toc182219541"/>
      <w:bookmarkStart w:id="304" w:name="_Toc182220244"/>
      <w:bookmarkStart w:id="305" w:name="_Toc182555592"/>
      <w:r>
        <w:t>Gaps to be addressed</w:t>
      </w:r>
      <w:bookmarkEnd w:id="303"/>
      <w:bookmarkEnd w:id="304"/>
      <w:bookmarkEnd w:id="305"/>
    </w:p>
    <w:p w14:paraId="73B3FF4B" w14:textId="4CDC1763" w:rsidR="00276178" w:rsidRPr="00276178" w:rsidRDefault="00276178" w:rsidP="00276178">
      <w:pPr>
        <w:pStyle w:val="ListParagraph"/>
        <w:numPr>
          <w:ilvl w:val="0"/>
          <w:numId w:val="32"/>
        </w:numPr>
      </w:pPr>
      <w:r>
        <w:t>Evidence shows that the likelihood of re-entry to work following acquiring a disability or long-term health condition decreases the longer someone has been out of work. Indeed, for many private sector workers, evidence suggests there may no longer be a job to return to after a six-month absence</w:t>
      </w:r>
      <w:r w:rsidR="002B0D86">
        <w:t xml:space="preserve">. </w:t>
      </w:r>
      <w:r w:rsidR="002B0D86">
        <w:fldChar w:fldCharType="begin"/>
      </w:r>
      <w:r w:rsidR="006B1C05">
        <w:instrText xml:space="preserve"> ADDIN ZOTERO_ITEM CSL_CITATION {"citationID":"2EVzGvqo","properties":{"formattedCitation":"(83)","plainCitation":"(83)","noteIndex":0},"citationItems":[{"id":329,"uris":["http://zotero.org/users/local/kvLunvBP/items/3PNFZ8K5"],"itemData":{"id":329,"type":"article-journal","abstract":"BACKGROUND: Long-term disability has a great impact on both society and workers with disabilities. Little is known about the barriers which prohibit workers with long-term disabilities from returning to work and which interventions are best suited to counteract these barriers. The main purpose of this study was to obtain consensus among professionals on important return to work (RTW) factors and effective vocational rehabilitation (VR) interventions for long-term (&gt;</w:instrText>
      </w:r>
      <w:r w:rsidR="006B1C05">
        <w:rPr>
          <w:rFonts w:ascii="Arial" w:hAnsi="Arial" w:cs="Arial"/>
        </w:rPr>
        <w:instrText> </w:instrText>
      </w:r>
      <w:r w:rsidR="006B1C05">
        <w:instrText>2</w:instrText>
      </w:r>
      <w:r w:rsidR="006B1C05">
        <w:rPr>
          <w:rFonts w:ascii="Gill Sans MT" w:hAnsi="Gill Sans MT" w:cs="Gill Sans MT"/>
        </w:rPr>
        <w:instrText> </w:instrText>
      </w:r>
      <w:r w:rsidR="006B1C05">
        <w:instrText xml:space="preserve">years), partially disabled workers. Our three research questions were: (1) which factors are associated with RTW for long-term disabled workers?; (2) which factors associated with RTW can be targeted by VR interventions?; and (3) which VR interventions are the most effective to target these factors?\nMETHODS: A modified Delphi Study was conducted using a panel of 22 labour experts, caseworkers, and insurance physicians. The study consisted of several rounds of questionnaires and one online meeting.\nRESULTS: The multidisciplinary panel reached consensus that 58 out of 67 factors were important for RTW and that 35 of these factors could be targeted using VR interventions. In five rounds, the expert panel reached consensus that 11 out of 22 VR interventions were effective for at least one of the eight most important RTW factors.\nCONCLUSIONS: Consensus was reached among the expert panel that many factors that are important for the RTW of short-term disabled workers are also important for the RTW of long-term partially disabled workers and that a substantial number of these factors could effectively be targeted using VR interventions. The results of this study will be used to develop a decision aid that supports vocational rehabilitation professionals in profiling clients and in choosing suitable VR interventions.","container-title":"BMC public health","DOI":"10.1186/s12889-022-13295-6","ISSN":"1471-2458","issue":"1","journalAbbreviation":"BMC Public Health","language":"eng","note":"PMID: 35501737\nPMCID: PMC9063173","page":"875","source":"PubMed","title":"Return to work factors and vocational rehabilitation interventions for long-term, partially disabled workers: a modified Delphi study among vocational rehabilitation professionals","title-short":"Return to work factors and vocational rehabilitation interventions for long-term, partially disabled workers","volume":"22","author":[{"family":"Geus","given":"Christa J. C.","non-dropping-particle":"de"},{"family":"Huysmans","given":"Maaike A."},{"family":"Rijssen","given":"H. Jolanda","non-dropping-particle":"van"},{"family":"Anema","given":"Johannes R."}],"issued":{"date-parts":[["2022",5,2]]}}}],"schema":"https://github.com/citation-style-language/schema/raw/master/csl-citation.json"} </w:instrText>
      </w:r>
      <w:r w:rsidR="002B0D86">
        <w:fldChar w:fldCharType="separate"/>
      </w:r>
      <w:r w:rsidR="006B1C05" w:rsidRPr="006B1C05">
        <w:t>(83)</w:t>
      </w:r>
      <w:r w:rsidR="002B0D86">
        <w:fldChar w:fldCharType="end"/>
      </w:r>
      <w:r w:rsidR="002B0D86">
        <w:t xml:space="preserve"> A</w:t>
      </w:r>
      <w:r>
        <w:t xml:space="preserve"> systematic response to returning to employment needs to be developed to ensure that people with acquired disabilities can remain in employment.</w:t>
      </w:r>
    </w:p>
    <w:p w14:paraId="42CD3158" w14:textId="5181054B" w:rsidR="007D34F1" w:rsidRDefault="00276178" w:rsidP="00410008">
      <w:pPr>
        <w:pStyle w:val="ListParagraph"/>
        <w:numPr>
          <w:ilvl w:val="0"/>
          <w:numId w:val="32"/>
        </w:numPr>
      </w:pPr>
      <w:r>
        <w:t>To inform actions in this area, the ‘NDA Policy Advice on Vocational Rehabilitation Provision in Ireland’ was published in 2021</w:t>
      </w:r>
      <w:r w:rsidR="008F7DB4">
        <w:t xml:space="preserve"> </w:t>
      </w:r>
      <w:r w:rsidR="008F7DB4">
        <w:fldChar w:fldCharType="begin"/>
      </w:r>
      <w:r w:rsidR="006B1C05">
        <w:instrText xml:space="preserve"> ADDIN ZOTERO_ITEM CSL_CITATION {"citationID":"DAAfaynK","properties":{"formattedCitation":"(84)","plainCitation":"(84)","noteIndex":0},"citationItems":[{"id":312,"uris":["http://zotero.org/users/local/kvLunvBP/items/SGJWRSZF"],"itemData":{"id":312,"type":"report","title":"NDA Policy Advice on Vocational Rehabilitation Provision in Ireland","URL":"https://nda.ie/uploads/publications/nda-policy-advice-on-vocational-rehabilitation-provision-in-ireland1.pdf","author":[{"family":"National Disability Authority","given":""}],"issued":{"date-parts":[["2021"]]}}}],"schema":"https://github.com/citation-style-language/schema/raw/master/csl-citation.json"} </w:instrText>
      </w:r>
      <w:r w:rsidR="008F7DB4">
        <w:fldChar w:fldCharType="separate"/>
      </w:r>
      <w:r w:rsidR="006B1C05" w:rsidRPr="006B1C05">
        <w:t>(84)</w:t>
      </w:r>
      <w:r w:rsidR="008F7DB4">
        <w:fldChar w:fldCharType="end"/>
      </w:r>
      <w:r>
        <w:t>. This advice paper collated research on return to work from 12 jurisdictions and consultation with disabled people, through a survey and development of case studies</w:t>
      </w:r>
      <w:r w:rsidR="00410008">
        <w:t xml:space="preserve"> finding that supports in Ireland were limited</w:t>
      </w:r>
      <w:r w:rsidR="002B0D86">
        <w:t xml:space="preserve">. </w:t>
      </w:r>
      <w:r>
        <w:t>The NDA advise that with the introduction of the new Work and Access scheme</w:t>
      </w:r>
      <w:r w:rsidR="00F32639">
        <w:t>,</w:t>
      </w:r>
      <w:r>
        <w:t xml:space="preserve"> there should </w:t>
      </w:r>
      <w:r w:rsidR="001B5D10">
        <w:t xml:space="preserve">be </w:t>
      </w:r>
      <w:r>
        <w:t>support</w:t>
      </w:r>
      <w:r w:rsidR="001B5D10">
        <w:t>s offered to</w:t>
      </w:r>
      <w:r>
        <w:t xml:space="preserve"> both employer and employee in the return-to-work process.</w:t>
      </w:r>
    </w:p>
    <w:p w14:paraId="29BDB6A8" w14:textId="77777777" w:rsidR="007D34F1" w:rsidRDefault="007D34F1">
      <w:pPr>
        <w:spacing w:after="0"/>
      </w:pPr>
      <w:r>
        <w:br w:type="page"/>
      </w:r>
    </w:p>
    <w:p w14:paraId="0B0270D5" w14:textId="77777777" w:rsidR="00B24FD6" w:rsidRDefault="00B24FD6" w:rsidP="00B24FD6">
      <w:pPr>
        <w:pStyle w:val="Heading1"/>
      </w:pPr>
      <w:bookmarkStart w:id="306" w:name="_Toc55492193"/>
      <w:bookmarkStart w:id="307" w:name="_Toc182555593"/>
      <w:bookmarkStart w:id="308" w:name="_Toc182555736"/>
      <w:r>
        <w:t>Strategic Priority 5: Provide coordinated and seamless support</w:t>
      </w:r>
      <w:bookmarkEnd w:id="306"/>
      <w:bookmarkEnd w:id="307"/>
      <w:bookmarkEnd w:id="308"/>
    </w:p>
    <w:p w14:paraId="23610E35" w14:textId="08F91DD2" w:rsidR="00616F10" w:rsidRDefault="00B24FD6" w:rsidP="007D34F1">
      <w:pPr>
        <w:pStyle w:val="NormalAfterList"/>
        <w:rPr>
          <w:szCs w:val="26"/>
        </w:rPr>
      </w:pPr>
      <w:r w:rsidRPr="00EC1F56">
        <w:rPr>
          <w:szCs w:val="26"/>
        </w:rPr>
        <w:t xml:space="preserve">The </w:t>
      </w:r>
      <w:r>
        <w:rPr>
          <w:szCs w:val="26"/>
        </w:rPr>
        <w:t>statement of intent for this</w:t>
      </w:r>
      <w:r w:rsidRPr="00EC1F56">
        <w:rPr>
          <w:szCs w:val="26"/>
        </w:rPr>
        <w:t xml:space="preserve"> priority area </w:t>
      </w:r>
      <w:r>
        <w:rPr>
          <w:szCs w:val="26"/>
        </w:rPr>
        <w:t>was</w:t>
      </w:r>
      <w:r w:rsidRPr="00EC1F56">
        <w:rPr>
          <w:szCs w:val="26"/>
        </w:rPr>
        <w:t xml:space="preserve"> that </w:t>
      </w:r>
      <w:r w:rsidR="00F32639">
        <w:rPr>
          <w:szCs w:val="26"/>
        </w:rPr>
        <w:t>‘</w:t>
      </w:r>
      <w:r w:rsidRPr="00EC1F56">
        <w:rPr>
          <w:szCs w:val="26"/>
        </w:rPr>
        <w:t>The services provided by public bodies to support people with disabilities in their pathway to work and to sustain them in employment, will be both seamless and co-ordinated.</w:t>
      </w:r>
      <w:r w:rsidR="00F32639">
        <w:rPr>
          <w:szCs w:val="26"/>
        </w:rPr>
        <w:t>’</w:t>
      </w:r>
      <w:r w:rsidR="00106DE0">
        <w:rPr>
          <w:rFonts w:ascii="Gill Sans MT" w:hAnsi="Gill Sans MT"/>
          <w:szCs w:val="26"/>
        </w:rPr>
        <w:t xml:space="preserve"> </w:t>
      </w:r>
      <w:r w:rsidR="00106DE0">
        <w:rPr>
          <w:rFonts w:ascii="Gill Sans MT" w:hAnsi="Gill Sans MT"/>
          <w:szCs w:val="26"/>
        </w:rPr>
        <w:fldChar w:fldCharType="begin"/>
      </w:r>
      <w:r w:rsidR="00106DE0">
        <w:rPr>
          <w:rFonts w:ascii="Gill Sans MT" w:hAnsi="Gill Sans MT"/>
          <w:szCs w:val="26"/>
        </w:rPr>
        <w:instrText xml:space="preserve"> ADDIN ZOTERO_ITEM CSL_CITATION {"citationID":"GJXaTTdX","properties":{"formattedCitation":"(1)","plainCitation":"(1)","noteIndex":0},"citationItems":[{"id":155,"uris":["http://zotero.org/users/local/kvLunvBP/items/67YBNVMH"],"itemData":{"id":155,"type":"report","abstract":"Explaining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106DE0">
        <w:rPr>
          <w:rFonts w:ascii="Gill Sans MT" w:hAnsi="Gill Sans MT"/>
          <w:szCs w:val="26"/>
        </w:rPr>
        <w:fldChar w:fldCharType="separate"/>
      </w:r>
      <w:r w:rsidR="00106DE0" w:rsidRPr="00106DE0">
        <w:rPr>
          <w:rFonts w:ascii="Gill Sans MT" w:hAnsi="Gill Sans MT"/>
        </w:rPr>
        <w:t>(1)</w:t>
      </w:r>
      <w:r w:rsidR="00106DE0">
        <w:rPr>
          <w:rFonts w:ascii="Gill Sans MT" w:hAnsi="Gill Sans MT"/>
          <w:szCs w:val="26"/>
        </w:rPr>
        <w:fldChar w:fldCharType="end"/>
      </w:r>
      <w:r w:rsidRPr="00EC1F56">
        <w:rPr>
          <w:szCs w:val="26"/>
        </w:rPr>
        <w:t xml:space="preserve"> </w:t>
      </w:r>
      <w:r>
        <w:rPr>
          <w:szCs w:val="26"/>
        </w:rPr>
        <w:t>There are four</w:t>
      </w:r>
      <w:r w:rsidRPr="00EC1F56">
        <w:rPr>
          <w:szCs w:val="26"/>
        </w:rPr>
        <w:t xml:space="preserve"> </w:t>
      </w:r>
      <w:r>
        <w:rPr>
          <w:szCs w:val="26"/>
        </w:rPr>
        <w:t>indicators of progress relating to this indicator</w:t>
      </w:r>
      <w:r w:rsidRPr="00EC1F56">
        <w:rPr>
          <w:szCs w:val="26"/>
        </w:rPr>
        <w:t>.</w:t>
      </w:r>
    </w:p>
    <w:p w14:paraId="199F4E2F" w14:textId="77777777" w:rsidR="00B24FD6" w:rsidRPr="00DD5C78" w:rsidRDefault="00B24FD6" w:rsidP="00B24FD6">
      <w:pPr>
        <w:pStyle w:val="Heading2"/>
      </w:pPr>
      <w:bookmarkStart w:id="309" w:name="_Toc182219543"/>
      <w:bookmarkStart w:id="310" w:name="_Toc182220246"/>
      <w:bookmarkStart w:id="311" w:name="_Toc182555594"/>
      <w:bookmarkStart w:id="312" w:name="_Toc182555737"/>
      <w:r w:rsidRPr="00DD5C78">
        <w:t>5.1 Evaluation of Ability programmes to provide innovative pre-activation approaches for persons with disabilities (Process)</w:t>
      </w:r>
      <w:bookmarkEnd w:id="309"/>
      <w:bookmarkEnd w:id="310"/>
      <w:bookmarkEnd w:id="311"/>
      <w:bookmarkEnd w:id="312"/>
    </w:p>
    <w:p w14:paraId="0690B81A" w14:textId="0077A244" w:rsidR="00037A03" w:rsidRDefault="00616F10" w:rsidP="00B24FD6">
      <w:pPr>
        <w:rPr>
          <w:szCs w:val="26"/>
        </w:rPr>
      </w:pPr>
      <w:r>
        <w:rPr>
          <w:szCs w:val="26"/>
        </w:rPr>
        <w:t>From</w:t>
      </w:r>
      <w:r w:rsidR="00162D18">
        <w:rPr>
          <w:szCs w:val="26"/>
        </w:rPr>
        <w:t xml:space="preserve"> J</w:t>
      </w:r>
      <w:r w:rsidR="00037A03" w:rsidRPr="00037A03">
        <w:rPr>
          <w:szCs w:val="26"/>
        </w:rPr>
        <w:t xml:space="preserve">uly 2018 to August 2021, the Ability programme provided funding to projects around the country focused on bringing young people aged 15-29 closer to the labour market. The Ability Programme aimed to provide work readiness supports to over 2,600 young people with disabilities and was co-financed by the Irish Government and the European Social Fund </w:t>
      </w:r>
      <w:r>
        <w:rPr>
          <w:szCs w:val="26"/>
        </w:rPr>
        <w:t xml:space="preserve">(ESF) </w:t>
      </w:r>
      <w:r w:rsidR="00037A03" w:rsidRPr="00037A03">
        <w:rPr>
          <w:szCs w:val="26"/>
        </w:rPr>
        <w:t>as part of the ESF Programme for Employability, Inclusion and Learning 2014-2020. The total programme budget was €16</w:t>
      </w:r>
      <w:r w:rsidR="00E413E2">
        <w:rPr>
          <w:szCs w:val="26"/>
        </w:rPr>
        <w:t xml:space="preserve"> </w:t>
      </w:r>
      <w:r w:rsidR="00037A03" w:rsidRPr="00037A03">
        <w:rPr>
          <w:szCs w:val="26"/>
        </w:rPr>
        <w:t xml:space="preserve">million, and the programme was administered by Pobal. In total, 27 organisations received funding. </w:t>
      </w:r>
      <w:r w:rsidR="0030478D">
        <w:rPr>
          <w:szCs w:val="26"/>
        </w:rPr>
        <w:t>A</w:t>
      </w:r>
      <w:r w:rsidR="00037A03" w:rsidRPr="00037A03">
        <w:rPr>
          <w:szCs w:val="26"/>
        </w:rPr>
        <w:t xml:space="preserve"> total of 1,946 participants had enrolled in the programme as of February 202</w:t>
      </w:r>
      <w:r w:rsidR="0030478D">
        <w:rPr>
          <w:szCs w:val="26"/>
        </w:rPr>
        <w:t>1, falling somewhat short of the original 2,600 target.</w:t>
      </w:r>
      <w:r w:rsidR="00037A03" w:rsidRPr="00037A03">
        <w:rPr>
          <w:szCs w:val="26"/>
        </w:rPr>
        <w:t xml:space="preserve"> </w:t>
      </w:r>
    </w:p>
    <w:p w14:paraId="5C77D5F8" w14:textId="1E7518E2" w:rsidR="00616F10" w:rsidRPr="00616F10" w:rsidRDefault="00616F10" w:rsidP="00616F10">
      <w:pPr>
        <w:rPr>
          <w:szCs w:val="26"/>
        </w:rPr>
      </w:pPr>
      <w:r w:rsidRPr="00616F10">
        <w:rPr>
          <w:szCs w:val="26"/>
        </w:rPr>
        <w:t>An independent evaluation of the Ability Programme by Quality Matters found that of 1,019 programme participants for whom outcome data were available, 32% progressed into education or training, 42% gained a qualification, 25% obtained paid employment, and 15% obtained a voluntary social role. (73)</w:t>
      </w:r>
      <w:r>
        <w:rPr>
          <w:szCs w:val="26"/>
        </w:rPr>
        <w:t xml:space="preserve"> </w:t>
      </w:r>
      <w:r w:rsidRPr="00162D18">
        <w:rPr>
          <w:rFonts w:ascii="Gill Sans MT" w:hAnsi="Gill Sans MT"/>
          <w:szCs w:val="26"/>
        </w:rPr>
        <w:t>The evaluation identified 24 recommendations under three categories</w:t>
      </w:r>
      <w:r>
        <w:rPr>
          <w:rFonts w:ascii="Gill Sans MT" w:hAnsi="Gill Sans MT"/>
          <w:szCs w:val="26"/>
        </w:rPr>
        <w:t>, with r</w:t>
      </w:r>
      <w:r w:rsidRPr="00162D18">
        <w:rPr>
          <w:rFonts w:ascii="Gill Sans MT" w:hAnsi="Gill Sans MT"/>
          <w:szCs w:val="26"/>
        </w:rPr>
        <w:t>ecommendations for</w:t>
      </w:r>
      <w:r>
        <w:rPr>
          <w:rFonts w:ascii="Gill Sans MT" w:hAnsi="Gill Sans MT"/>
          <w:szCs w:val="26"/>
        </w:rPr>
        <w:t xml:space="preserve"> s</w:t>
      </w:r>
      <w:r w:rsidRPr="00162D18">
        <w:rPr>
          <w:rFonts w:ascii="Gill Sans MT" w:hAnsi="Gill Sans MT"/>
          <w:szCs w:val="26"/>
        </w:rPr>
        <w:t>ervice providers who are supporting people with disabilities to progress into education, training or employment</w:t>
      </w:r>
      <w:r>
        <w:rPr>
          <w:rFonts w:ascii="Gill Sans MT" w:hAnsi="Gill Sans MT"/>
          <w:szCs w:val="26"/>
        </w:rPr>
        <w:t>, f</w:t>
      </w:r>
      <w:r w:rsidRPr="00162D18">
        <w:rPr>
          <w:rFonts w:ascii="Gill Sans MT" w:hAnsi="Gill Sans MT"/>
          <w:szCs w:val="26"/>
        </w:rPr>
        <w:t>uture programme planning and design</w:t>
      </w:r>
      <w:r>
        <w:rPr>
          <w:rFonts w:ascii="Gill Sans MT" w:hAnsi="Gill Sans MT"/>
          <w:szCs w:val="26"/>
        </w:rPr>
        <w:t>, and w</w:t>
      </w:r>
      <w:r w:rsidRPr="00162D18">
        <w:rPr>
          <w:rFonts w:ascii="Gill Sans MT" w:hAnsi="Gill Sans MT"/>
          <w:szCs w:val="26"/>
        </w:rPr>
        <w:t>ider policy development.</w:t>
      </w:r>
    </w:p>
    <w:p w14:paraId="7B1DD2C6" w14:textId="0D485F16" w:rsidR="00162D18" w:rsidRPr="00616F10" w:rsidRDefault="00616F10" w:rsidP="00616F10">
      <w:pPr>
        <w:rPr>
          <w:szCs w:val="26"/>
        </w:rPr>
      </w:pPr>
      <w:r w:rsidRPr="00616F10">
        <w:rPr>
          <w:szCs w:val="26"/>
        </w:rPr>
        <w:t>In February 2021, it was announced that once the three-year Ability Programme concluded in June 2021, new measures would be put in place to ensure that funding support for young people with disabilities would remain available into the future. (74)</w:t>
      </w:r>
    </w:p>
    <w:p w14:paraId="37455ED8" w14:textId="67128F67" w:rsidR="00162D18" w:rsidRPr="007D34F1" w:rsidRDefault="00616F10" w:rsidP="007D34F1">
      <w:pPr>
        <w:rPr>
          <w:rFonts w:ascii="Gill Sans MT" w:hAnsi="Gill Sans MT"/>
          <w:szCs w:val="26"/>
        </w:rPr>
      </w:pPr>
      <w:r w:rsidRPr="003766D4">
        <w:rPr>
          <w:szCs w:val="26"/>
        </w:rPr>
        <w:t>In August 2023, the Minister for Social Protection launched a call for applications for a new employment-related programme for disabled people, called ‘WorkAbility: Inclusive Pathways to Employment’</w:t>
      </w:r>
      <w:r>
        <w:rPr>
          <w:szCs w:val="26"/>
        </w:rPr>
        <w:t>. Workability</w:t>
      </w:r>
      <w:r w:rsidRPr="003766D4">
        <w:rPr>
          <w:szCs w:val="26"/>
        </w:rPr>
        <w:t xml:space="preserve"> builds on the work of the Ability programme, </w:t>
      </w:r>
      <w:r>
        <w:rPr>
          <w:szCs w:val="26"/>
        </w:rPr>
        <w:t xml:space="preserve">and incorporates learnings from the Ability evaluation, </w:t>
      </w:r>
      <w:r w:rsidRPr="003766D4">
        <w:rPr>
          <w:szCs w:val="26"/>
        </w:rPr>
        <w:t xml:space="preserve">but </w:t>
      </w:r>
      <w:r>
        <w:rPr>
          <w:szCs w:val="26"/>
        </w:rPr>
        <w:t>it has</w:t>
      </w:r>
      <w:r w:rsidRPr="003766D4">
        <w:rPr>
          <w:szCs w:val="26"/>
        </w:rPr>
        <w:t xml:space="preserve"> broader aim of supporting people with disabilities aged 16 and older into employment. </w:t>
      </w:r>
      <w:r w:rsidR="003766D4" w:rsidRPr="003766D4">
        <w:rPr>
          <w:szCs w:val="26"/>
        </w:rPr>
        <w:t>The initiative involve</w:t>
      </w:r>
      <w:r w:rsidR="00ED5635">
        <w:rPr>
          <w:szCs w:val="26"/>
        </w:rPr>
        <w:t>s</w:t>
      </w:r>
      <w:r w:rsidR="003766D4" w:rsidRPr="003766D4">
        <w:rPr>
          <w:szCs w:val="26"/>
        </w:rPr>
        <w:t xml:space="preserve"> efforts to build the capacity of employers to recruit, retain</w:t>
      </w:r>
      <w:r w:rsidR="006E06D8">
        <w:rPr>
          <w:szCs w:val="26"/>
        </w:rPr>
        <w:t>,</w:t>
      </w:r>
      <w:r w:rsidR="003766D4" w:rsidRPr="003766D4">
        <w:rPr>
          <w:szCs w:val="26"/>
        </w:rPr>
        <w:t xml:space="preserve"> and progress disabled people in their workforces</w:t>
      </w:r>
      <w:r w:rsidR="00ED5635">
        <w:rPr>
          <w:szCs w:val="26"/>
        </w:rPr>
        <w:t xml:space="preserve">. It also has a focus on </w:t>
      </w:r>
      <w:r w:rsidR="003766D4" w:rsidRPr="003766D4">
        <w:rPr>
          <w:szCs w:val="26"/>
        </w:rPr>
        <w:t xml:space="preserve">facilitating new partnerships amongst stakeholders (disabled people, disability services, employment services and employers) and </w:t>
      </w:r>
      <w:r w:rsidR="00ED5635">
        <w:rPr>
          <w:szCs w:val="26"/>
        </w:rPr>
        <w:t xml:space="preserve">on </w:t>
      </w:r>
      <w:r w:rsidR="003766D4" w:rsidRPr="003766D4">
        <w:rPr>
          <w:szCs w:val="26"/>
        </w:rPr>
        <w:t>new approaches to providing employment supports to people with disabilities. WorkAbility aims to provide supports to up to 5,000 disabled people, is co-financed by the Irish Government</w:t>
      </w:r>
      <w:r w:rsidR="004F31AC">
        <w:rPr>
          <w:szCs w:val="26"/>
        </w:rPr>
        <w:t xml:space="preserve"> and</w:t>
      </w:r>
      <w:r w:rsidR="003766D4" w:rsidRPr="003766D4">
        <w:rPr>
          <w:szCs w:val="26"/>
        </w:rPr>
        <w:t xml:space="preserve"> the new European Social Fund Plus (ESF+)</w:t>
      </w:r>
      <w:r w:rsidR="006E06D8">
        <w:rPr>
          <w:szCs w:val="26"/>
        </w:rPr>
        <w:t>,</w:t>
      </w:r>
      <w:r w:rsidR="003766D4" w:rsidRPr="003766D4">
        <w:rPr>
          <w:szCs w:val="26"/>
        </w:rPr>
        <w:t xml:space="preserve"> and is</w:t>
      </w:r>
      <w:r w:rsidR="004F31AC">
        <w:rPr>
          <w:szCs w:val="26"/>
        </w:rPr>
        <w:t xml:space="preserve"> also</w:t>
      </w:r>
      <w:r w:rsidR="003766D4" w:rsidRPr="003766D4">
        <w:rPr>
          <w:szCs w:val="26"/>
        </w:rPr>
        <w:t xml:space="preserve"> administered by Pobal. The programme closed for applications in September 2023, with 52 successful organisations notified in December 2023. Funded projects commenced on 1 January 2024 and will run to 31 December 2028. The overall budget for the programme is €36.29 million.</w:t>
      </w:r>
    </w:p>
    <w:p w14:paraId="1262190D" w14:textId="013ADFBB" w:rsidR="00B24FD6" w:rsidRDefault="00B24FD6" w:rsidP="00B24FD6">
      <w:pPr>
        <w:pStyle w:val="Heading2"/>
      </w:pPr>
      <w:bookmarkStart w:id="313" w:name="_Toc182219544"/>
      <w:bookmarkStart w:id="314" w:name="_Toc182220247"/>
      <w:bookmarkStart w:id="315" w:name="_Toc182555595"/>
      <w:bookmarkStart w:id="316" w:name="_Toc182555738"/>
      <w:r w:rsidRPr="00A114F1">
        <w:t>5.2 Evaluation of pilot phase to provide complementary support services to persons with disabilities (5.1 implementation plan) (Outcome)</w:t>
      </w:r>
      <w:bookmarkEnd w:id="313"/>
      <w:bookmarkEnd w:id="314"/>
      <w:bookmarkEnd w:id="315"/>
      <w:bookmarkEnd w:id="316"/>
    </w:p>
    <w:p w14:paraId="430DE91D" w14:textId="7C8E9CA8" w:rsidR="00F0797D" w:rsidRDefault="00F0797D" w:rsidP="00F0797D">
      <w:r>
        <w:t xml:space="preserve">It was understood that collaborative working across government was necessary to ensure that the CES delivered as intended. In the first CES three-year action plan (2015 to 2018) an interdepartmental working group was established to progress </w:t>
      </w:r>
      <w:r w:rsidR="006E06D8">
        <w:t>A</w:t>
      </w:r>
      <w:r>
        <w:t xml:space="preserve">ction 5.1. This action was: </w:t>
      </w:r>
    </w:p>
    <w:p w14:paraId="07B4E7F0" w14:textId="77777777" w:rsidR="00F0797D" w:rsidRDefault="00F0797D" w:rsidP="00F0797D">
      <w:pPr>
        <w:ind w:left="720"/>
      </w:pPr>
      <w:r>
        <w:t xml:space="preserve">To work together to develop an effective co-ordinated policy approach (and draw up an implementation plan based on that approach), to assist individuals with disabilities, including those who require a high level of support, to obtain and retain employment having due regard to the implementation of New Directions. </w:t>
      </w:r>
    </w:p>
    <w:p w14:paraId="423292F7" w14:textId="27878712" w:rsidR="00F0797D" w:rsidRDefault="00F0797D" w:rsidP="00F0797D">
      <w:r>
        <w:t>The report from this group described the steps necessary to develop a coordinated approach to the provision of employment supports</w:t>
      </w:r>
      <w:r w:rsidR="000B09B9">
        <w:t>,</w:t>
      </w:r>
      <w:r>
        <w:t xml:space="preserve"> while recommending the introduction of a national supported employment programme. This recommendation echoed an OECD report that showed ‘unequivocal evidence’ of the effectiveness of supported employment in helping persons with disabilities gain and retain work. (87) </w:t>
      </w:r>
    </w:p>
    <w:p w14:paraId="5867B9EC" w14:textId="0772DEDB" w:rsidR="00B24FD6" w:rsidRPr="003C2582" w:rsidRDefault="00B24FD6" w:rsidP="00B24FD6">
      <w:pPr>
        <w:rPr>
          <w:i/>
          <w:szCs w:val="26"/>
        </w:rPr>
      </w:pPr>
      <w:r w:rsidRPr="003C2582">
        <w:rPr>
          <w:szCs w:val="26"/>
        </w:rPr>
        <w:t>This indicator originally sought to evaluate outcomes from the pilot phase of any demonstration projects arising from Action 5.1 in the CES</w:t>
      </w:r>
      <w:r w:rsidR="00F0797D">
        <w:rPr>
          <w:szCs w:val="26"/>
        </w:rPr>
        <w:t xml:space="preserve">. </w:t>
      </w:r>
      <w:r w:rsidRPr="003C2582">
        <w:rPr>
          <w:szCs w:val="26"/>
        </w:rPr>
        <w:t>Although the cross-departmental working group for Action 5.1 developed and agreed a coordinated policy</w:t>
      </w:r>
      <w:r w:rsidR="00F0797D">
        <w:rPr>
          <w:szCs w:val="26"/>
        </w:rPr>
        <w:t xml:space="preserve">, and </w:t>
      </w:r>
      <w:r w:rsidR="00F0797D">
        <w:t>an implementation plan was delivered to the Minister in Q1 2018</w:t>
      </w:r>
      <w:r w:rsidRPr="003C2582">
        <w:rPr>
          <w:szCs w:val="26"/>
        </w:rPr>
        <w:t xml:space="preserve">, the mechanisms to implement this policy </w:t>
      </w:r>
      <w:r w:rsidR="003C2582">
        <w:rPr>
          <w:szCs w:val="26"/>
        </w:rPr>
        <w:t xml:space="preserve">were never </w:t>
      </w:r>
      <w:r w:rsidRPr="003C2582">
        <w:rPr>
          <w:szCs w:val="26"/>
        </w:rPr>
        <w:t xml:space="preserve">agreed. As such, there </w:t>
      </w:r>
      <w:r w:rsidR="003C2582">
        <w:rPr>
          <w:szCs w:val="26"/>
        </w:rPr>
        <w:t>were no</w:t>
      </w:r>
      <w:r w:rsidRPr="003C2582">
        <w:rPr>
          <w:szCs w:val="26"/>
        </w:rPr>
        <w:t xml:space="preserve"> demonstration projects to evaluate</w:t>
      </w:r>
      <w:r w:rsidR="003C2582">
        <w:rPr>
          <w:szCs w:val="26"/>
        </w:rPr>
        <w:t>,</w:t>
      </w:r>
      <w:r w:rsidRPr="003C2582">
        <w:rPr>
          <w:szCs w:val="26"/>
        </w:rPr>
        <w:t xml:space="preserve"> and it is not possible to report on this indicator. </w:t>
      </w:r>
      <w:r w:rsidR="00F0797D">
        <w:t xml:space="preserve">While the development of the policy by the working group illustrated that cross-departmental work is achievable, a further impetus at senior official level in the relevant government agencies was necessary to ensure implementation of this intrinsic part of the CES. </w:t>
      </w:r>
      <w:r w:rsidR="00172355">
        <w:rPr>
          <w:szCs w:val="26"/>
        </w:rPr>
        <w:t>Lack of agreement on advancing Action 5.1 was one of the key stumbling blocks in agreeing a final three</w:t>
      </w:r>
      <w:r w:rsidR="00DB78AD">
        <w:rPr>
          <w:szCs w:val="26"/>
        </w:rPr>
        <w:t>-</w:t>
      </w:r>
      <w:r w:rsidR="00172355">
        <w:rPr>
          <w:szCs w:val="26"/>
        </w:rPr>
        <w:t xml:space="preserve">year action plan for the strategy. </w:t>
      </w:r>
    </w:p>
    <w:p w14:paraId="1E548766" w14:textId="3063E7FE" w:rsidR="00B24FD6" w:rsidRPr="00C575C9" w:rsidRDefault="00B24FD6" w:rsidP="00B24FD6">
      <w:pPr>
        <w:pStyle w:val="Heading2"/>
      </w:pPr>
      <w:bookmarkStart w:id="317" w:name="_Toc182219545"/>
      <w:bookmarkStart w:id="318" w:name="_Toc182220248"/>
      <w:bookmarkStart w:id="319" w:name="_Toc182555596"/>
      <w:bookmarkStart w:id="320" w:name="_Toc182555739"/>
      <w:r w:rsidRPr="00C575C9">
        <w:t xml:space="preserve">5.3 </w:t>
      </w:r>
      <w:r w:rsidR="00C575C9">
        <w:t>Number</w:t>
      </w:r>
      <w:r w:rsidRPr="00C575C9">
        <w:t xml:space="preserve"> of persons with mental health difficulties benefiting from IPS model of supported employment (Process)</w:t>
      </w:r>
      <w:bookmarkEnd w:id="317"/>
      <w:bookmarkEnd w:id="318"/>
      <w:bookmarkEnd w:id="319"/>
      <w:bookmarkEnd w:id="320"/>
    </w:p>
    <w:p w14:paraId="2BDB26C7" w14:textId="5DEBB580" w:rsidR="00B24FD6" w:rsidRPr="00C575C9" w:rsidRDefault="00B24FD6" w:rsidP="00B24FD6">
      <w:r w:rsidRPr="00C575C9">
        <w:t>See indicator 2.</w:t>
      </w:r>
      <w:r w:rsidR="003B3D6F">
        <w:t>5.</w:t>
      </w:r>
    </w:p>
    <w:p w14:paraId="116B6827" w14:textId="77777777" w:rsidR="00B24FD6" w:rsidRPr="00C575C9" w:rsidRDefault="00B24FD6" w:rsidP="00B24FD6">
      <w:pPr>
        <w:pStyle w:val="Heading2"/>
      </w:pPr>
      <w:bookmarkStart w:id="321" w:name="_Toc182219546"/>
      <w:bookmarkStart w:id="322" w:name="_Toc182220249"/>
      <w:bookmarkStart w:id="323" w:name="_Toc182555597"/>
      <w:bookmarkStart w:id="324" w:name="_Toc182555740"/>
      <w:bookmarkStart w:id="325" w:name="_Hlk181883173"/>
      <w:r w:rsidRPr="00C575C9">
        <w:t>5.4 Development of protocols and MoUs for cross-departmental cooperation, at national and local level (Process)</w:t>
      </w:r>
      <w:bookmarkEnd w:id="321"/>
      <w:bookmarkEnd w:id="322"/>
      <w:bookmarkEnd w:id="323"/>
      <w:bookmarkEnd w:id="324"/>
    </w:p>
    <w:bookmarkEnd w:id="325"/>
    <w:p w14:paraId="25325994" w14:textId="77777777" w:rsidR="006E2429" w:rsidRPr="006E2429" w:rsidRDefault="006E2429" w:rsidP="006E2429">
      <w:pPr>
        <w:rPr>
          <w:rFonts w:ascii="Gill Sans MT" w:hAnsi="Gill Sans MT"/>
          <w:color w:val="000000"/>
          <w:szCs w:val="26"/>
        </w:rPr>
      </w:pPr>
      <w:r w:rsidRPr="006E2429">
        <w:rPr>
          <w:rFonts w:ascii="Gill Sans MT" w:hAnsi="Gill Sans MT"/>
          <w:szCs w:val="26"/>
        </w:rPr>
        <w:t xml:space="preserve">The original CES strategic action plan 2015 to 2018 described two actions relevant to protocols and MoU development. Action 1.8 was to agree a </w:t>
      </w:r>
      <w:r w:rsidRPr="006E2429">
        <w:rPr>
          <w:rFonts w:ascii="Gill Sans MT" w:hAnsi="Gill Sans MT"/>
          <w:color w:val="000000"/>
          <w:szCs w:val="26"/>
        </w:rPr>
        <w:t xml:space="preserve">Memorandum of Understanding between SOLAS and DSP to include targets and outcomes for people with disabilities. In addition, a second action called 5.2 was to develop and implement </w:t>
      </w:r>
      <w:r w:rsidRPr="006E2429">
        <w:rPr>
          <w:rFonts w:ascii="Gill Sans MT" w:eastAsia="SimSun" w:hAnsi="Gill Sans MT" w:cs="Helv"/>
          <w:color w:val="000000"/>
          <w:kern w:val="2"/>
          <w:szCs w:val="26"/>
          <w14:ligatures w14:val="standardContextual"/>
        </w:rPr>
        <w:t>Interdepartmental protocols for cross-referrals at national and local level and within organisations</w:t>
      </w:r>
      <w:r w:rsidRPr="006E2429">
        <w:rPr>
          <w:rFonts w:ascii="Gill Sans MT" w:hAnsi="Gill Sans MT"/>
          <w:color w:val="000000"/>
          <w:szCs w:val="26"/>
        </w:rPr>
        <w:t>.</w:t>
      </w:r>
    </w:p>
    <w:p w14:paraId="438AEB7E" w14:textId="5F176E80" w:rsidR="006E2429" w:rsidRPr="00260795" w:rsidRDefault="006E2429" w:rsidP="00260795">
      <w:pPr>
        <w:rPr>
          <w:szCs w:val="26"/>
        </w:rPr>
      </w:pPr>
      <w:r w:rsidRPr="006E2429">
        <w:rPr>
          <w:color w:val="000000"/>
          <w:szCs w:val="26"/>
        </w:rPr>
        <w:t xml:space="preserve">These actions were realigned as actions within </w:t>
      </w:r>
      <w:r w:rsidRPr="006E2429">
        <w:rPr>
          <w:szCs w:val="26"/>
        </w:rPr>
        <w:t xml:space="preserve">Pathways to Work 2016-2020 which set out a number of actions in relation to protocols and Memoranda of Understanding (MoU). </w:t>
      </w:r>
      <w:r w:rsidRPr="006E2429">
        <w:rPr>
          <w:szCs w:val="26"/>
        </w:rPr>
        <w:fldChar w:fldCharType="begin"/>
      </w:r>
      <w:r w:rsidR="006B1C05">
        <w:rPr>
          <w:szCs w:val="26"/>
        </w:rPr>
        <w:instrText xml:space="preserve"> ADDIN ZOTERO_ITEM CSL_CITATION {"citationID":"nigr7mPd","properties":{"formattedCitation":"(85)","plainCitation":"(85)","noteIndex":0},"citationItems":[{"id":340,"uris":["http://zotero.org/users/local/kvLunvBP/items/XZJYKNFD"],"itemData":{"id":340,"type":"webpage","language":"en","title":"Pathways to Work Strategy 2021 - 2025","URL":"https://www.gov.ie/en/publication/1feaf-pathways-to-work-2021/","author":[{"family":"Department of Social Protection","given":""}],"accessed":{"date-parts":[["2024",11,6]]},"issued":{"date-parts":[["2021",7,12]]}}}],"schema":"https://github.com/citation-style-language/schema/raw/master/csl-citation.json"} </w:instrText>
      </w:r>
      <w:r w:rsidRPr="006E2429">
        <w:rPr>
          <w:szCs w:val="26"/>
        </w:rPr>
        <w:fldChar w:fldCharType="separate"/>
      </w:r>
      <w:r w:rsidR="006B1C05" w:rsidRPr="006B1C05">
        <w:t>(85)</w:t>
      </w:r>
      <w:r w:rsidRPr="006E2429">
        <w:rPr>
          <w:szCs w:val="26"/>
        </w:rPr>
        <w:fldChar w:fldCharType="end"/>
      </w:r>
      <w:r w:rsidRPr="006E2429">
        <w:rPr>
          <w:szCs w:val="26"/>
        </w:rPr>
        <w:t xml:space="preserve"> </w:t>
      </w:r>
    </w:p>
    <w:p w14:paraId="2FB68280" w14:textId="474C45E6" w:rsidR="00252BE6" w:rsidRDefault="00252BE6" w:rsidP="00252BE6">
      <w:pPr>
        <w:pStyle w:val="Heading2"/>
      </w:pPr>
      <w:bookmarkStart w:id="326" w:name="_Toc182219547"/>
      <w:bookmarkStart w:id="327" w:name="_Toc182220250"/>
      <w:bookmarkStart w:id="328" w:name="_Toc182555598"/>
      <w:bookmarkStart w:id="329" w:name="_Toc182555741"/>
      <w:r>
        <w:t xml:space="preserve">Overview of </w:t>
      </w:r>
      <w:bookmarkEnd w:id="326"/>
      <w:bookmarkEnd w:id="327"/>
      <w:bookmarkEnd w:id="328"/>
      <w:bookmarkEnd w:id="329"/>
      <w:r w:rsidR="00147EEF">
        <w:t>Strategic Priority Five</w:t>
      </w:r>
    </w:p>
    <w:p w14:paraId="11F26EB5" w14:textId="69EB863F" w:rsidR="002B1036" w:rsidRDefault="009E39F7" w:rsidP="002B1036">
      <w:r>
        <w:t>The aim of this priority was to ensure that individuals with disabilities can access coordinated and seamless support</w:t>
      </w:r>
      <w:r w:rsidR="000835E8">
        <w:t xml:space="preserve"> in their pathways to work</w:t>
      </w:r>
      <w:r>
        <w:t xml:space="preserve">. </w:t>
      </w:r>
      <w:r w:rsidR="00363C8D">
        <w:t xml:space="preserve">Progress under this priority area has been mixed and, when consulted, many disabled people describe their experience of </w:t>
      </w:r>
      <w:r w:rsidR="00DE4F78">
        <w:t xml:space="preserve">employment </w:t>
      </w:r>
      <w:r w:rsidR="00363C8D">
        <w:t>services and supports as fragmented and insufficient. Considerable work remains to create the coordinated and seamless pathways envisioned in the CES.</w:t>
      </w:r>
    </w:p>
    <w:p w14:paraId="37E00843" w14:textId="219C9AD9" w:rsidR="002B1036" w:rsidRDefault="002B1036" w:rsidP="002B1036">
      <w:pPr>
        <w:pStyle w:val="Heading3"/>
      </w:pPr>
      <w:bookmarkStart w:id="330" w:name="_Toc182219548"/>
      <w:bookmarkStart w:id="331" w:name="_Toc182220251"/>
      <w:bookmarkStart w:id="332" w:name="_Toc182555599"/>
      <w:r>
        <w:t>Key achievements</w:t>
      </w:r>
      <w:bookmarkEnd w:id="330"/>
      <w:bookmarkEnd w:id="331"/>
      <w:bookmarkEnd w:id="332"/>
    </w:p>
    <w:p w14:paraId="1F299B65" w14:textId="0B8A0EAF" w:rsidR="00E7602D" w:rsidRDefault="00E7602D" w:rsidP="002773D9">
      <w:pPr>
        <w:pStyle w:val="Heading3"/>
        <w:numPr>
          <w:ilvl w:val="0"/>
          <w:numId w:val="37"/>
        </w:numPr>
        <w:rPr>
          <w:rFonts w:cs="Times New Roman"/>
          <w:b w:val="0"/>
          <w:bCs w:val="0"/>
        </w:rPr>
      </w:pPr>
      <w:bookmarkStart w:id="333" w:name="_Toc182219549"/>
      <w:bookmarkStart w:id="334" w:name="_Toc182220252"/>
      <w:bookmarkStart w:id="335" w:name="_Toc182555600"/>
      <w:r w:rsidRPr="00E7602D">
        <w:rPr>
          <w:rFonts w:cs="Times New Roman"/>
          <w:b w:val="0"/>
          <w:bCs w:val="0"/>
        </w:rPr>
        <w:t>An evaluation of the Ability Programme by Quality Matters found</w:t>
      </w:r>
      <w:r>
        <w:rPr>
          <w:rFonts w:cs="Times New Roman"/>
          <w:b w:val="0"/>
          <w:bCs w:val="0"/>
        </w:rPr>
        <w:t xml:space="preserve"> positive education and employment outcomes for those who participated.</w:t>
      </w:r>
      <w:r w:rsidR="00C83B86">
        <w:rPr>
          <w:rFonts w:cs="Times New Roman"/>
          <w:b w:val="0"/>
          <w:bCs w:val="0"/>
        </w:rPr>
        <w:t xml:space="preserve"> </w:t>
      </w:r>
      <w:r w:rsidR="00221D6B">
        <w:rPr>
          <w:rFonts w:cs="Times New Roman"/>
          <w:b w:val="0"/>
          <w:bCs w:val="0"/>
        </w:rPr>
        <w:t>Although</w:t>
      </w:r>
      <w:r w:rsidR="00C83B86">
        <w:rPr>
          <w:rFonts w:cs="Times New Roman"/>
          <w:b w:val="0"/>
          <w:bCs w:val="0"/>
        </w:rPr>
        <w:t>, the programme has now ceased</w:t>
      </w:r>
      <w:r w:rsidR="00221D6B">
        <w:rPr>
          <w:rFonts w:cs="Times New Roman"/>
          <w:b w:val="0"/>
          <w:bCs w:val="0"/>
        </w:rPr>
        <w:t>, in theory the learning should have been brough</w:t>
      </w:r>
      <w:r w:rsidR="00DE4F78">
        <w:rPr>
          <w:rFonts w:cs="Times New Roman"/>
          <w:b w:val="0"/>
          <w:bCs w:val="0"/>
        </w:rPr>
        <w:t>t</w:t>
      </w:r>
      <w:r w:rsidR="00221D6B">
        <w:rPr>
          <w:rFonts w:cs="Times New Roman"/>
          <w:b w:val="0"/>
          <w:bCs w:val="0"/>
        </w:rPr>
        <w:t xml:space="preserve"> into the new WorkAbility programme</w:t>
      </w:r>
      <w:r w:rsidR="00C83B86">
        <w:rPr>
          <w:rFonts w:cs="Times New Roman"/>
          <w:b w:val="0"/>
          <w:bCs w:val="0"/>
        </w:rPr>
        <w:t>.</w:t>
      </w:r>
      <w:bookmarkEnd w:id="333"/>
      <w:bookmarkEnd w:id="334"/>
      <w:bookmarkEnd w:id="335"/>
    </w:p>
    <w:p w14:paraId="53EEEAC2" w14:textId="57CDDAD9" w:rsidR="00E7602D" w:rsidRDefault="00E7602D" w:rsidP="00E7602D">
      <w:pPr>
        <w:pStyle w:val="ListParagraph"/>
        <w:numPr>
          <w:ilvl w:val="0"/>
          <w:numId w:val="37"/>
        </w:numPr>
      </w:pPr>
      <w:r>
        <w:t>A total of 52 organisations secured funding for five years</w:t>
      </w:r>
      <w:r w:rsidR="00C83B86">
        <w:t xml:space="preserve"> (2024 to 2028)</w:t>
      </w:r>
      <w:r>
        <w:t xml:space="preserve"> under WorkAbility to support people with disabilities into employment.</w:t>
      </w:r>
    </w:p>
    <w:p w14:paraId="3656DBF1" w14:textId="08A44AB1" w:rsidR="002773D9" w:rsidRDefault="002773D9" w:rsidP="002773D9">
      <w:pPr>
        <w:pStyle w:val="Heading3"/>
        <w:rPr>
          <w:highlight w:val="yellow"/>
        </w:rPr>
      </w:pPr>
      <w:bookmarkStart w:id="336" w:name="_Toc182219550"/>
      <w:bookmarkStart w:id="337" w:name="_Toc182220253"/>
      <w:bookmarkStart w:id="338" w:name="_Toc182555601"/>
      <w:r>
        <w:t>Gaps to be addressed</w:t>
      </w:r>
      <w:bookmarkEnd w:id="336"/>
      <w:bookmarkEnd w:id="337"/>
      <w:bookmarkEnd w:id="338"/>
    </w:p>
    <w:p w14:paraId="10A7F172" w14:textId="77777777" w:rsidR="002B1036" w:rsidRDefault="002773D9" w:rsidP="004B4C04">
      <w:pPr>
        <w:pStyle w:val="ListParagraph"/>
        <w:numPr>
          <w:ilvl w:val="0"/>
          <w:numId w:val="35"/>
        </w:numPr>
        <w:spacing w:before="120"/>
        <w:rPr>
          <w:rFonts w:eastAsia="Calibri" w:cs="Calibri"/>
          <w:szCs w:val="22"/>
        </w:rPr>
      </w:pPr>
      <w:r w:rsidRPr="002B1036">
        <w:rPr>
          <w:rFonts w:eastAsia="Calibri" w:cs="Calibri"/>
          <w:szCs w:val="22"/>
        </w:rPr>
        <w:t>Over the course of this strategy</w:t>
      </w:r>
      <w:r w:rsidR="002B1036">
        <w:rPr>
          <w:rFonts w:eastAsia="Calibri" w:cs="Calibri"/>
          <w:szCs w:val="22"/>
        </w:rPr>
        <w:t>,</w:t>
      </w:r>
      <w:r w:rsidRPr="002B1036">
        <w:rPr>
          <w:rFonts w:eastAsia="Calibri" w:cs="Calibri"/>
          <w:szCs w:val="22"/>
        </w:rPr>
        <w:t xml:space="preserve"> the implementation of the agreed cross-departmental policy in relation to a coordinated programme of supported employment (Action 5.1) was not progressed. The need for such support was highlighted as part of the consultations on the new National Disability Strategy</w:t>
      </w:r>
      <w:r w:rsidR="002B1036">
        <w:rPr>
          <w:rFonts w:eastAsia="Calibri" w:cs="Calibri"/>
          <w:szCs w:val="22"/>
        </w:rPr>
        <w:t>, and</w:t>
      </w:r>
      <w:r w:rsidRPr="002B1036">
        <w:rPr>
          <w:rFonts w:eastAsia="Calibri" w:cs="Calibri"/>
          <w:szCs w:val="22"/>
        </w:rPr>
        <w:t xml:space="preserve"> so the NDA would encourage that an appropriate objective and actions in relation to this are included. </w:t>
      </w:r>
    </w:p>
    <w:p w14:paraId="3C45508A" w14:textId="008717FB" w:rsidR="002B1036" w:rsidRPr="002B1036" w:rsidRDefault="002773D9" w:rsidP="002B1036">
      <w:pPr>
        <w:pStyle w:val="ListParagraph"/>
        <w:numPr>
          <w:ilvl w:val="0"/>
          <w:numId w:val="35"/>
        </w:numPr>
        <w:spacing w:before="120"/>
        <w:rPr>
          <w:rFonts w:eastAsia="Calibri" w:cs="Calibri"/>
          <w:szCs w:val="22"/>
        </w:rPr>
      </w:pPr>
      <w:r>
        <w:t>T</w:t>
      </w:r>
      <w:r w:rsidR="004B4C04">
        <w:t xml:space="preserve">he Pathways to Work report identified a number of elements necessary for a more coordinated and seamless pathway into employment for persons with disabilities. </w:t>
      </w:r>
    </w:p>
    <w:p w14:paraId="0F1056ED" w14:textId="77777777" w:rsidR="002B1036" w:rsidRPr="002B1036" w:rsidRDefault="00275EAF" w:rsidP="002B1036">
      <w:pPr>
        <w:pStyle w:val="ListParagraph"/>
        <w:numPr>
          <w:ilvl w:val="0"/>
          <w:numId w:val="35"/>
        </w:numPr>
        <w:spacing w:before="120"/>
        <w:rPr>
          <w:rFonts w:eastAsia="Calibri" w:cs="Calibri"/>
          <w:szCs w:val="22"/>
        </w:rPr>
      </w:pPr>
      <w:r w:rsidRPr="002B1036">
        <w:rPr>
          <w:rFonts w:ascii="Gill Sans MT" w:hAnsi="Gill Sans MT"/>
          <w:szCs w:val="26"/>
        </w:rPr>
        <w:t>Over the lifetime of the CES, there have been several pilot projects that have specifically supported disabled young people, both in transitions and in activation. These projects have assisted many young people in their journey into employment. However, the lack of knowledge transfer from these pilots remains a significant gap in the mainstream provision of employment supports. The NDA advises to</w:t>
      </w:r>
      <w:r w:rsidRPr="008D2259">
        <w:t xml:space="preserve"> limit the role of pilot projects unless</w:t>
      </w:r>
      <w:r>
        <w:t xml:space="preserve"> and until</w:t>
      </w:r>
      <w:r w:rsidRPr="008D2259">
        <w:t xml:space="preserve"> each project has built in </w:t>
      </w:r>
      <w:r>
        <w:t>capacity for</w:t>
      </w:r>
      <w:r w:rsidRPr="008D2259">
        <w:t xml:space="preserve"> mainstreaming </w:t>
      </w:r>
      <w:r>
        <w:t xml:space="preserve">the learning in the relevant government department. </w:t>
      </w:r>
    </w:p>
    <w:p w14:paraId="7FA8F233" w14:textId="5C44B389" w:rsidR="00252BE6" w:rsidRPr="009724F8" w:rsidRDefault="00275EAF" w:rsidP="00B24FD6">
      <w:pPr>
        <w:pStyle w:val="ListParagraph"/>
        <w:numPr>
          <w:ilvl w:val="0"/>
          <w:numId w:val="35"/>
        </w:numPr>
        <w:spacing w:before="120"/>
        <w:rPr>
          <w:rFonts w:eastAsia="Calibri" w:cs="Calibri"/>
          <w:szCs w:val="22"/>
        </w:rPr>
      </w:pPr>
      <w:r>
        <w:t>Overall, the NDA advises that reliance on pilot programmes and national programmes with short-term funding leads to a lack of continuity and stability, fragmented support, and inconsistent outcomes. Sustained, long-term funding is necessary for developing robust support systems that lead to meaningful employment outcomes.</w:t>
      </w:r>
    </w:p>
    <w:p w14:paraId="4E570B0F" w14:textId="77777777" w:rsidR="00B24FD6" w:rsidRPr="00B24FD6" w:rsidRDefault="00B24FD6" w:rsidP="00B24FD6">
      <w:pPr>
        <w:pStyle w:val="Heading1"/>
        <w:rPr>
          <w:highlight w:val="yellow"/>
        </w:rPr>
      </w:pPr>
      <w:r>
        <w:rPr>
          <w:szCs w:val="26"/>
        </w:rPr>
        <w:br w:type="page"/>
      </w:r>
      <w:bookmarkStart w:id="339" w:name="_Toc55492194"/>
      <w:bookmarkStart w:id="340" w:name="_Toc182555602"/>
      <w:bookmarkStart w:id="341" w:name="_Toc182555742"/>
      <w:r w:rsidRPr="00B24FD6">
        <w:t>Strategic Priority 6: Engage employers</w:t>
      </w:r>
      <w:bookmarkEnd w:id="339"/>
      <w:bookmarkEnd w:id="340"/>
      <w:bookmarkEnd w:id="341"/>
    </w:p>
    <w:p w14:paraId="7C5024DF" w14:textId="2D7F9B0D" w:rsidR="00B24FD6" w:rsidRPr="00B24FD6" w:rsidRDefault="00B24FD6" w:rsidP="00B24FD6">
      <w:pPr>
        <w:pStyle w:val="NormalAfterList"/>
        <w:rPr>
          <w:szCs w:val="26"/>
        </w:rPr>
      </w:pPr>
      <w:r w:rsidRPr="00B24FD6">
        <w:rPr>
          <w:szCs w:val="26"/>
        </w:rPr>
        <w:t xml:space="preserve">The statement of intent for Strategic Priority 6 was that </w:t>
      </w:r>
      <w:r w:rsidR="000B09B9">
        <w:rPr>
          <w:szCs w:val="26"/>
        </w:rPr>
        <w:t>‘</w:t>
      </w:r>
      <w:r w:rsidRPr="00B24FD6">
        <w:rPr>
          <w:szCs w:val="26"/>
        </w:rPr>
        <w:t>Employers will be supported and encouraged to employ people with disabilities, to support job retention and to facilitate return to work after the onset of a disability.</w:t>
      </w:r>
      <w:r w:rsidR="000B09B9">
        <w:rPr>
          <w:szCs w:val="26"/>
        </w:rPr>
        <w:t>’</w:t>
      </w:r>
      <w:r w:rsidR="005E3D1F">
        <w:rPr>
          <w:rFonts w:ascii="Gill Sans MT" w:hAnsi="Gill Sans MT"/>
          <w:szCs w:val="26"/>
        </w:rPr>
        <w:t xml:space="preserve"> </w:t>
      </w:r>
      <w:r w:rsidR="005E3D1F">
        <w:rPr>
          <w:rFonts w:ascii="Gill Sans MT" w:hAnsi="Gill Sans MT"/>
          <w:szCs w:val="26"/>
        </w:rPr>
        <w:fldChar w:fldCharType="begin"/>
      </w:r>
      <w:r w:rsidR="005E3D1F">
        <w:rPr>
          <w:rFonts w:ascii="Gill Sans MT" w:hAnsi="Gill Sans MT"/>
          <w:szCs w:val="26"/>
        </w:rPr>
        <w:instrText xml:space="preserve"> ADDIN ZOTERO_ITEM CSL_CITATION {"citationID":"0Ro48l5h","properties":{"formattedCitation":"(1)","plainCitation":"(1)","noteIndex":0},"citationItems":[{"id":155,"uris":["http://zotero.org/users/local/kvLunvBP/items/67YBNVMH"],"itemData":{"id":155,"type":"report","abstract":"Explaining the Comprehensive Employment Strategy for People with Disabilities which aims to increase the number of people with disabilities who are employed in Ireland","language":"en","title":"Comprehensive Employment Strategy for People with Disabilities","URL":"https://www.gov.ie/pdf/?file=https://assets.gov.ie/18906/1120bc6ad254489db9571c74e8572f44.pdf#page=null","author":[{"family":"Government of Ireland","given":""}],"accessed":{"date-parts":[["2024",6,25]]},"issued":{"date-parts":[["2015"]]}}}],"schema":"https://github.com/citation-style-language/schema/raw/master/csl-citation.json"} </w:instrText>
      </w:r>
      <w:r w:rsidR="005E3D1F">
        <w:rPr>
          <w:rFonts w:ascii="Gill Sans MT" w:hAnsi="Gill Sans MT"/>
          <w:szCs w:val="26"/>
        </w:rPr>
        <w:fldChar w:fldCharType="separate"/>
      </w:r>
      <w:r w:rsidR="005E3D1F" w:rsidRPr="005E3D1F">
        <w:rPr>
          <w:rFonts w:ascii="Gill Sans MT" w:hAnsi="Gill Sans MT"/>
        </w:rPr>
        <w:t>(1)</w:t>
      </w:r>
      <w:r w:rsidR="005E3D1F">
        <w:rPr>
          <w:rFonts w:ascii="Gill Sans MT" w:hAnsi="Gill Sans MT"/>
          <w:szCs w:val="26"/>
        </w:rPr>
        <w:fldChar w:fldCharType="end"/>
      </w:r>
      <w:r w:rsidRPr="00B24FD6">
        <w:rPr>
          <w:szCs w:val="26"/>
        </w:rPr>
        <w:t xml:space="preserve"> There are </w:t>
      </w:r>
      <w:r w:rsidR="00D0257C">
        <w:rPr>
          <w:szCs w:val="26"/>
        </w:rPr>
        <w:t>six</w:t>
      </w:r>
      <w:r w:rsidRPr="00B24FD6">
        <w:rPr>
          <w:szCs w:val="26"/>
        </w:rPr>
        <w:t xml:space="preserve"> indicators relating to this strategic priority.</w:t>
      </w:r>
    </w:p>
    <w:p w14:paraId="29A38AD4" w14:textId="59D632A4" w:rsidR="00B24FD6" w:rsidRPr="006A4672" w:rsidRDefault="00B24FD6" w:rsidP="00B24FD6">
      <w:pPr>
        <w:pStyle w:val="Heading2"/>
      </w:pPr>
      <w:bookmarkStart w:id="342" w:name="_Toc182219552"/>
      <w:bookmarkStart w:id="343" w:name="_Toc182220255"/>
      <w:bookmarkStart w:id="344" w:name="_Toc182555603"/>
      <w:bookmarkStart w:id="345" w:name="_Toc182555743"/>
      <w:r w:rsidRPr="006A4672">
        <w:t>6.1 Number of persons in employment supported through the Wage Subsidy Scheme (Process)</w:t>
      </w:r>
      <w:bookmarkEnd w:id="342"/>
      <w:bookmarkEnd w:id="343"/>
      <w:bookmarkEnd w:id="344"/>
      <w:bookmarkEnd w:id="345"/>
      <w:r w:rsidRPr="006A4672">
        <w:t xml:space="preserve"> </w:t>
      </w:r>
    </w:p>
    <w:p w14:paraId="069626F1" w14:textId="28A236A3" w:rsidR="0084335E" w:rsidRPr="0084335E" w:rsidRDefault="00B24FD6" w:rsidP="0084335E">
      <w:pPr>
        <w:pStyle w:val="NormalBeforeList"/>
        <w:spacing w:after="240"/>
      </w:pPr>
      <w:r w:rsidRPr="006A4672">
        <w:t xml:space="preserve">See indicator </w:t>
      </w:r>
      <w:r w:rsidRPr="00CA4402">
        <w:t>4.</w:t>
      </w:r>
      <w:r w:rsidR="00CA4402" w:rsidRPr="00CA4402">
        <w:t>1</w:t>
      </w:r>
      <w:r w:rsidRPr="00CA4402">
        <w:t>.</w:t>
      </w:r>
    </w:p>
    <w:p w14:paraId="7DCFE6D9" w14:textId="4A40DABC" w:rsidR="00B24FD6" w:rsidRPr="006A4672" w:rsidRDefault="00B24FD6" w:rsidP="00B24FD6">
      <w:pPr>
        <w:pStyle w:val="Heading2"/>
        <w:rPr>
          <w:lang w:eastAsia="en-IE"/>
        </w:rPr>
      </w:pPr>
      <w:bookmarkStart w:id="346" w:name="_Toc182220256"/>
      <w:bookmarkStart w:id="347" w:name="_Toc182555604"/>
      <w:bookmarkStart w:id="348" w:name="_Toc182555744"/>
      <w:bookmarkStart w:id="349" w:name="_Toc182219553"/>
      <w:r w:rsidRPr="006A4672">
        <w:t>6.2</w:t>
      </w:r>
      <w:r w:rsidRPr="006A4672">
        <w:rPr>
          <w:lang w:eastAsia="en-IE"/>
        </w:rPr>
        <w:t xml:space="preserve"> Number of applications for Reasonable Accommodation Fund (Process)</w:t>
      </w:r>
      <w:bookmarkEnd w:id="346"/>
      <w:bookmarkEnd w:id="347"/>
      <w:bookmarkEnd w:id="348"/>
      <w:r w:rsidRPr="006A4672">
        <w:rPr>
          <w:lang w:eastAsia="en-IE"/>
        </w:rPr>
        <w:t xml:space="preserve"> </w:t>
      </w:r>
      <w:bookmarkEnd w:id="349"/>
    </w:p>
    <w:p w14:paraId="2BD812E3" w14:textId="6FB505EA" w:rsidR="00B24FD6" w:rsidRPr="00B24FD6" w:rsidRDefault="00B24FD6" w:rsidP="00B24FD6">
      <w:pPr>
        <w:pStyle w:val="NormalBeforeList"/>
        <w:spacing w:after="240"/>
        <w:rPr>
          <w:highlight w:val="yellow"/>
        </w:rPr>
      </w:pPr>
      <w:r w:rsidRPr="006A4672">
        <w:t xml:space="preserve">See </w:t>
      </w:r>
      <w:r w:rsidRPr="00CA4402">
        <w:t>indicator 4.</w:t>
      </w:r>
      <w:r w:rsidR="00CA4402" w:rsidRPr="00CA4402">
        <w:t>2</w:t>
      </w:r>
      <w:r w:rsidRPr="00CA4402">
        <w:t>.</w:t>
      </w:r>
    </w:p>
    <w:p w14:paraId="1B596935" w14:textId="112C9621" w:rsidR="00B24FD6" w:rsidRPr="00B24FD6" w:rsidRDefault="00B24FD6" w:rsidP="00B24FD6">
      <w:pPr>
        <w:pStyle w:val="Heading2"/>
        <w:rPr>
          <w:highlight w:val="yellow"/>
        </w:rPr>
      </w:pPr>
      <w:bookmarkStart w:id="350" w:name="_Toc182219554"/>
      <w:bookmarkStart w:id="351" w:name="_Toc182220257"/>
      <w:bookmarkStart w:id="352" w:name="_Toc182555605"/>
      <w:bookmarkStart w:id="353" w:name="_Toc182555745"/>
      <w:r w:rsidRPr="006A4672">
        <w:t>6.3 Employer engagement with</w:t>
      </w:r>
      <w:r w:rsidR="00555834">
        <w:t xml:space="preserve"> the</w:t>
      </w:r>
      <w:r w:rsidRPr="006A4672">
        <w:t xml:space="preserve"> E</w:t>
      </w:r>
      <w:r w:rsidR="00623C51">
        <w:t>mployer Disability Information</w:t>
      </w:r>
      <w:r w:rsidRPr="006A4672">
        <w:t xml:space="preserve"> service (Process)</w:t>
      </w:r>
      <w:bookmarkEnd w:id="350"/>
      <w:bookmarkEnd w:id="351"/>
      <w:bookmarkEnd w:id="352"/>
      <w:bookmarkEnd w:id="353"/>
      <w:r w:rsidRPr="006A4672">
        <w:t xml:space="preserve"> </w:t>
      </w:r>
    </w:p>
    <w:p w14:paraId="5025C875" w14:textId="119415AA" w:rsidR="00B24FD6" w:rsidRPr="00514F8A" w:rsidRDefault="00B24FD6" w:rsidP="00B24FD6">
      <w:pPr>
        <w:rPr>
          <w:color w:val="000000" w:themeColor="text1"/>
          <w:szCs w:val="26"/>
        </w:rPr>
      </w:pPr>
      <w:r w:rsidRPr="00514F8A">
        <w:rPr>
          <w:color w:val="000000" w:themeColor="text1"/>
        </w:rPr>
        <w:t xml:space="preserve">The </w:t>
      </w:r>
      <w:r w:rsidR="00623C51">
        <w:rPr>
          <w:color w:val="000000" w:themeColor="text1"/>
        </w:rPr>
        <w:t>Employer Disability Information (</w:t>
      </w:r>
      <w:r w:rsidRPr="00514F8A">
        <w:rPr>
          <w:color w:val="000000" w:themeColor="text1"/>
        </w:rPr>
        <w:t>EDI</w:t>
      </w:r>
      <w:r w:rsidR="00623C51">
        <w:rPr>
          <w:color w:val="000000" w:themeColor="text1"/>
        </w:rPr>
        <w:t>)</w:t>
      </w:r>
      <w:r w:rsidRPr="00514F8A">
        <w:rPr>
          <w:color w:val="000000" w:themeColor="text1"/>
        </w:rPr>
        <w:t xml:space="preserve"> service, which began as a pilot project in 2016, arose from </w:t>
      </w:r>
      <w:r w:rsidR="00514F8A">
        <w:rPr>
          <w:color w:val="000000" w:themeColor="text1"/>
        </w:rPr>
        <w:t xml:space="preserve">CES </w:t>
      </w:r>
      <w:r w:rsidR="00623C51">
        <w:rPr>
          <w:color w:val="000000" w:themeColor="text1"/>
        </w:rPr>
        <w:t>S</w:t>
      </w:r>
      <w:r w:rsidRPr="00514F8A">
        <w:rPr>
          <w:color w:val="000000" w:themeColor="text1"/>
        </w:rPr>
        <w:t xml:space="preserve">trategic </w:t>
      </w:r>
      <w:r w:rsidR="00623C51">
        <w:rPr>
          <w:color w:val="000000" w:themeColor="text1"/>
        </w:rPr>
        <w:t>P</w:t>
      </w:r>
      <w:r w:rsidRPr="00514F8A">
        <w:rPr>
          <w:color w:val="000000" w:themeColor="text1"/>
        </w:rPr>
        <w:t>riority</w:t>
      </w:r>
      <w:r w:rsidR="00623C51">
        <w:rPr>
          <w:color w:val="000000" w:themeColor="text1"/>
        </w:rPr>
        <w:t xml:space="preserve"> 6</w:t>
      </w:r>
      <w:r w:rsidRPr="00514F8A">
        <w:rPr>
          <w:color w:val="000000" w:themeColor="text1"/>
        </w:rPr>
        <w:t>.</w:t>
      </w:r>
      <w:r w:rsidR="00514F8A">
        <w:rPr>
          <w:color w:val="000000" w:themeColor="text1"/>
        </w:rPr>
        <w:t xml:space="preserve"> The</w:t>
      </w:r>
      <w:r w:rsidRPr="00514F8A">
        <w:rPr>
          <w:color w:val="000000" w:themeColor="text1"/>
        </w:rPr>
        <w:t xml:space="preserve"> intention was to pilot</w:t>
      </w:r>
      <w:r w:rsidR="00514F8A">
        <w:rPr>
          <w:color w:val="000000" w:themeColor="text1"/>
        </w:rPr>
        <w:t>, w</w:t>
      </w:r>
      <w:r w:rsidR="00514F8A" w:rsidRPr="00514F8A">
        <w:rPr>
          <w:color w:val="000000" w:themeColor="text1"/>
        </w:rPr>
        <w:t>ith the assistance of the NDA</w:t>
      </w:r>
      <w:r w:rsidR="00514F8A">
        <w:rPr>
          <w:color w:val="000000" w:themeColor="text1"/>
        </w:rPr>
        <w:t>,</w:t>
      </w:r>
      <w:r w:rsidRPr="00514F8A">
        <w:rPr>
          <w:color w:val="000000" w:themeColor="text1"/>
        </w:rPr>
        <w:t xml:space="preserve"> an employer helpline to provide expert guidance, authoritative information</w:t>
      </w:r>
      <w:r w:rsidR="00514F8A">
        <w:rPr>
          <w:color w:val="000000" w:themeColor="text1"/>
        </w:rPr>
        <w:t>,</w:t>
      </w:r>
      <w:r w:rsidRPr="00514F8A">
        <w:rPr>
          <w:color w:val="000000" w:themeColor="text1"/>
        </w:rPr>
        <w:t xml:space="preserve"> and peer support to employers in relation to the employment of staff with disabilities. The service was managed by a consortium of employer bodies, </w:t>
      </w:r>
      <w:r w:rsidR="00514F8A">
        <w:rPr>
          <w:color w:val="000000" w:themeColor="text1"/>
        </w:rPr>
        <w:t xml:space="preserve">with </w:t>
      </w:r>
      <w:r w:rsidR="00623C51">
        <w:rPr>
          <w:color w:val="000000" w:themeColor="text1"/>
        </w:rPr>
        <w:t xml:space="preserve">the </w:t>
      </w:r>
      <w:r w:rsidRPr="00514F8A">
        <w:rPr>
          <w:color w:val="000000" w:themeColor="text1"/>
        </w:rPr>
        <w:t xml:space="preserve">key aim of </w:t>
      </w:r>
      <w:r w:rsidR="00514F8A">
        <w:rPr>
          <w:color w:val="000000" w:themeColor="text1"/>
        </w:rPr>
        <w:t>providing</w:t>
      </w:r>
      <w:r w:rsidRPr="00514F8A">
        <w:rPr>
          <w:color w:val="000000" w:themeColor="text1"/>
        </w:rPr>
        <w:t xml:space="preserve"> peer-to-peer advice</w:t>
      </w:r>
      <w:r w:rsidR="00514F8A">
        <w:rPr>
          <w:color w:val="000000" w:themeColor="text1"/>
        </w:rPr>
        <w:t>,</w:t>
      </w:r>
      <w:r w:rsidRPr="00514F8A">
        <w:rPr>
          <w:color w:val="000000" w:themeColor="text1"/>
        </w:rPr>
        <w:t xml:space="preserve"> rather than </w:t>
      </w:r>
      <w:r w:rsidR="00AD1F80">
        <w:rPr>
          <w:color w:val="000000" w:themeColor="text1"/>
        </w:rPr>
        <w:t>this</w:t>
      </w:r>
      <w:r w:rsidRPr="00514F8A">
        <w:rPr>
          <w:color w:val="000000" w:themeColor="text1"/>
        </w:rPr>
        <w:t xml:space="preserve"> </w:t>
      </w:r>
      <w:r w:rsidR="00514F8A">
        <w:rPr>
          <w:color w:val="000000" w:themeColor="text1"/>
        </w:rPr>
        <w:t>being provided by</w:t>
      </w:r>
      <w:r w:rsidRPr="00514F8A">
        <w:rPr>
          <w:color w:val="000000" w:themeColor="text1"/>
        </w:rPr>
        <w:t xml:space="preserve"> a disability body.</w:t>
      </w:r>
      <w:r w:rsidRPr="00514F8A">
        <w:rPr>
          <w:color w:val="000000" w:themeColor="text1"/>
          <w:szCs w:val="26"/>
        </w:rPr>
        <w:t xml:space="preserve"> The service </w:t>
      </w:r>
      <w:r w:rsidR="00514F8A">
        <w:rPr>
          <w:color w:val="000000" w:themeColor="text1"/>
          <w:szCs w:val="26"/>
        </w:rPr>
        <w:t>comprised</w:t>
      </w:r>
      <w:r w:rsidRPr="00514F8A">
        <w:rPr>
          <w:color w:val="000000" w:themeColor="text1"/>
          <w:szCs w:val="26"/>
        </w:rPr>
        <w:t xml:space="preserve"> a dedicated helpline giving advice and information to employers about recruit</w:t>
      </w:r>
      <w:r w:rsidR="00514F8A">
        <w:rPr>
          <w:color w:val="000000" w:themeColor="text1"/>
          <w:szCs w:val="26"/>
        </w:rPr>
        <w:t xml:space="preserve">ment </w:t>
      </w:r>
      <w:r w:rsidRPr="00514F8A">
        <w:rPr>
          <w:color w:val="000000" w:themeColor="text1"/>
          <w:szCs w:val="26"/>
        </w:rPr>
        <w:t>and employ</w:t>
      </w:r>
      <w:r w:rsidR="00514F8A">
        <w:rPr>
          <w:color w:val="000000" w:themeColor="text1"/>
          <w:szCs w:val="26"/>
        </w:rPr>
        <w:t xml:space="preserve">ment of disabled people, </w:t>
      </w:r>
      <w:r w:rsidRPr="00514F8A">
        <w:rPr>
          <w:color w:val="000000" w:themeColor="text1"/>
          <w:szCs w:val="26"/>
        </w:rPr>
        <w:t>a web-based information resource incorporating guidance and a FAQ section,</w:t>
      </w:r>
      <w:r w:rsidRPr="00514F8A">
        <w:rPr>
          <w:rFonts w:cs="Arial"/>
          <w:color w:val="000000" w:themeColor="text1"/>
          <w:szCs w:val="26"/>
        </w:rPr>
        <w:t xml:space="preserve"> </w:t>
      </w:r>
      <w:r w:rsidRPr="00514F8A">
        <w:rPr>
          <w:color w:val="000000" w:themeColor="text1"/>
          <w:szCs w:val="26"/>
        </w:rPr>
        <w:t>an outreach information service for employers</w:t>
      </w:r>
      <w:r w:rsidR="00514F8A">
        <w:rPr>
          <w:color w:val="000000" w:themeColor="text1"/>
          <w:szCs w:val="26"/>
        </w:rPr>
        <w:t>,</w:t>
      </w:r>
      <w:r w:rsidRPr="00514F8A">
        <w:rPr>
          <w:color w:val="000000" w:themeColor="text1"/>
          <w:szCs w:val="26"/>
        </w:rPr>
        <w:t xml:space="preserve"> and an information and resource sharing service for participating organisations through the EDI employer peer network.</w:t>
      </w:r>
    </w:p>
    <w:p w14:paraId="5487FECE" w14:textId="34AB08B6" w:rsidR="00B24FD6" w:rsidRPr="00514F8A" w:rsidRDefault="00B24FD6" w:rsidP="00B24FD6">
      <w:pPr>
        <w:rPr>
          <w:color w:val="5B9BD5" w:themeColor="accent5"/>
          <w:szCs w:val="26"/>
        </w:rPr>
      </w:pPr>
      <w:r w:rsidRPr="00514F8A">
        <w:rPr>
          <w:color w:val="000000" w:themeColor="text1"/>
          <w:szCs w:val="26"/>
        </w:rPr>
        <w:t>The number of calls to the helpline and the reasons for those calls were not collected or recorded. A web audit of the service was conducted in 2018 which offers some insight. It found that users increased by 42% between 2017 and 2018, bringing the total users to 9,763 by 2018.</w:t>
      </w:r>
      <w:r w:rsidR="00B844A2">
        <w:t xml:space="preserve"> </w:t>
      </w:r>
      <w:r w:rsidR="00B844A2">
        <w:fldChar w:fldCharType="begin"/>
      </w:r>
      <w:r w:rsidR="006B1C05">
        <w:instrText xml:space="preserve"> ADDIN ZOTERO_ITEM CSL_CITATION {"citationID":"Zg5vtqoz","properties":{"formattedCitation":"(86)","plainCitation":"(86)","noteIndex":0},"citationItems":[{"id":333,"uris":["http://zotero.org/users/local/kvLunvBP/items/RT2MXJNX"],"itemData":{"id":333,"type":"manuscript","genre":"Unpublished document","title":"Employer disability information – our journey so far 2016- 2018.","author":[{"family":"Employer Disability Informat","given":""}]}}],"schema":"https://github.com/citation-style-language/schema/raw/master/csl-citation.json"} </w:instrText>
      </w:r>
      <w:r w:rsidR="00B844A2">
        <w:fldChar w:fldCharType="separate"/>
      </w:r>
      <w:r w:rsidR="006B1C05" w:rsidRPr="006B1C05">
        <w:t>(86)</w:t>
      </w:r>
      <w:r w:rsidR="00B844A2">
        <w:fldChar w:fldCharType="end"/>
      </w:r>
      <w:r w:rsidRPr="00514F8A">
        <w:rPr>
          <w:color w:val="000000" w:themeColor="text1"/>
          <w:szCs w:val="26"/>
        </w:rPr>
        <w:t xml:space="preserve"> It found that by 2018, page views </w:t>
      </w:r>
      <w:r w:rsidR="00514F8A">
        <w:rPr>
          <w:color w:val="000000" w:themeColor="text1"/>
          <w:szCs w:val="26"/>
        </w:rPr>
        <w:t>had increased by</w:t>
      </w:r>
      <w:r w:rsidRPr="00514F8A">
        <w:rPr>
          <w:color w:val="000000" w:themeColor="text1"/>
          <w:szCs w:val="26"/>
        </w:rPr>
        <w:t xml:space="preserve"> 11% </w:t>
      </w:r>
      <w:r w:rsidR="00514F8A">
        <w:rPr>
          <w:color w:val="000000" w:themeColor="text1"/>
          <w:szCs w:val="26"/>
        </w:rPr>
        <w:t>since</w:t>
      </w:r>
      <w:r w:rsidRPr="00514F8A">
        <w:rPr>
          <w:color w:val="000000" w:themeColor="text1"/>
          <w:szCs w:val="26"/>
        </w:rPr>
        <w:t xml:space="preserve"> 2017 and 42% since 2016. However, a gradual increase in bounce from 2016-2018 was recorded, meaning people were increasingly leaving the site after arriving, rather than exploring </w:t>
      </w:r>
      <w:r w:rsidR="00AD1F80">
        <w:rPr>
          <w:color w:val="000000" w:themeColor="text1"/>
          <w:szCs w:val="26"/>
        </w:rPr>
        <w:t xml:space="preserve">it </w:t>
      </w:r>
      <w:r w:rsidRPr="00514F8A">
        <w:rPr>
          <w:color w:val="000000" w:themeColor="text1"/>
          <w:szCs w:val="26"/>
        </w:rPr>
        <w:t>further. The need to further develop the website, tools</w:t>
      </w:r>
      <w:r w:rsidR="00AD1F80">
        <w:rPr>
          <w:color w:val="000000" w:themeColor="text1"/>
          <w:szCs w:val="26"/>
        </w:rPr>
        <w:t xml:space="preserve">, </w:t>
      </w:r>
      <w:r w:rsidRPr="00514F8A">
        <w:rPr>
          <w:color w:val="000000" w:themeColor="text1"/>
          <w:szCs w:val="26"/>
        </w:rPr>
        <w:t xml:space="preserve">and content was highlighted and signalled as a priority for future development, but the pilot project came to its conclusion in January 2019. </w:t>
      </w:r>
    </w:p>
    <w:p w14:paraId="0046F790" w14:textId="29A5B3D1" w:rsidR="00B24FD6" w:rsidRPr="00B24FD6" w:rsidRDefault="00343601" w:rsidP="00B24FD6">
      <w:pPr>
        <w:rPr>
          <w:color w:val="000000" w:themeColor="text1"/>
          <w:szCs w:val="26"/>
          <w:highlight w:val="yellow"/>
        </w:rPr>
      </w:pPr>
      <w:r w:rsidRPr="00343601">
        <w:rPr>
          <w:color w:val="000000" w:themeColor="text1"/>
          <w:szCs w:val="26"/>
        </w:rPr>
        <w:t>T</w:t>
      </w:r>
      <w:r w:rsidR="00B24FD6" w:rsidRPr="00343601">
        <w:rPr>
          <w:color w:val="000000" w:themeColor="text1"/>
          <w:szCs w:val="26"/>
        </w:rPr>
        <w:t xml:space="preserve">he EDI service </w:t>
      </w:r>
      <w:r w:rsidRPr="00343601">
        <w:rPr>
          <w:color w:val="000000" w:themeColor="text1"/>
          <w:szCs w:val="26"/>
        </w:rPr>
        <w:t xml:space="preserve">conducted surveys </w:t>
      </w:r>
      <w:r w:rsidR="00B24FD6" w:rsidRPr="00343601">
        <w:rPr>
          <w:color w:val="000000" w:themeColor="text1"/>
          <w:szCs w:val="26"/>
        </w:rPr>
        <w:t>in 2016 and 2018 on employers’ attitude</w:t>
      </w:r>
      <w:r w:rsidRPr="00343601">
        <w:rPr>
          <w:color w:val="000000" w:themeColor="text1"/>
          <w:szCs w:val="26"/>
        </w:rPr>
        <w:t>s</w:t>
      </w:r>
      <w:r w:rsidR="00B24FD6" w:rsidRPr="00343601">
        <w:rPr>
          <w:color w:val="000000" w:themeColor="text1"/>
          <w:szCs w:val="26"/>
        </w:rPr>
        <w:t xml:space="preserve"> to employing </w:t>
      </w:r>
      <w:r w:rsidRPr="00343601">
        <w:rPr>
          <w:color w:val="000000" w:themeColor="text1"/>
          <w:szCs w:val="26"/>
        </w:rPr>
        <w:t>disabled people</w:t>
      </w:r>
      <w:r w:rsidR="00B24FD6" w:rsidRPr="00343601">
        <w:rPr>
          <w:color w:val="000000" w:themeColor="text1"/>
          <w:szCs w:val="26"/>
        </w:rPr>
        <w:t xml:space="preserve"> and</w:t>
      </w:r>
      <w:r w:rsidRPr="00343601">
        <w:rPr>
          <w:color w:val="000000" w:themeColor="text1"/>
          <w:szCs w:val="26"/>
        </w:rPr>
        <w:t xml:space="preserve"> on</w:t>
      </w:r>
      <w:r w:rsidR="00B24FD6" w:rsidRPr="00343601">
        <w:rPr>
          <w:color w:val="000000" w:themeColor="text1"/>
          <w:szCs w:val="26"/>
        </w:rPr>
        <w:t xml:space="preserve"> the impact of the EDI service. </w:t>
      </w:r>
      <w:r w:rsidR="00445396">
        <w:rPr>
          <w:color w:val="000000" w:themeColor="text1"/>
          <w:szCs w:val="26"/>
        </w:rPr>
        <w:fldChar w:fldCharType="begin"/>
      </w:r>
      <w:r w:rsidR="00D9458B">
        <w:rPr>
          <w:color w:val="000000" w:themeColor="text1"/>
          <w:szCs w:val="26"/>
        </w:rPr>
        <w:instrText xml:space="preserve"> ADDIN ZOTERO_ITEM CSL_CITATION {"citationID":"GPywGPgI","properties":{"formattedCitation":"(75,76)","plainCitation":"(75,76)","dontUpdate":true,"noteIndex":0},"citationItems":[{"id":313,"uris":["http://zotero.org/users/local/kvLunvBP/items/ZLBWUXVV"],"itemData":{"id":313,"type":"report","title":"Survey of private sector employer’s attitude to employing people with disabilities.","author":[{"family":"Employer Disability Informat","given":""}],"issued":{"date-parts":[["2016"]]}},"label":"page"},{"id":314,"uris":["http://zotero.org/users/local/kvLunvBP/items/Q9AVCQLS"],"itemData":{"id":314,"type":"report","title":"Employers attitude to employing people with disabilities. Survey results October 2018.","author":[{"family":"Employer Disability Informat","given":""}],"issued":{"date-parts":[["2018"]]}}}],"schema":"https://github.com/citation-style-language/schema/raw/master/csl-citation.json"} </w:instrText>
      </w:r>
      <w:r w:rsidR="00445396">
        <w:rPr>
          <w:color w:val="000000" w:themeColor="text1"/>
          <w:szCs w:val="26"/>
        </w:rPr>
        <w:fldChar w:fldCharType="separate"/>
      </w:r>
      <w:r w:rsidR="00445396" w:rsidRPr="00445396">
        <w:t>(75,</w:t>
      </w:r>
      <w:r w:rsidR="00445396">
        <w:t xml:space="preserve"> </w:t>
      </w:r>
      <w:r w:rsidR="00445396" w:rsidRPr="00445396">
        <w:t>76)</w:t>
      </w:r>
      <w:r w:rsidR="00445396">
        <w:rPr>
          <w:color w:val="000000" w:themeColor="text1"/>
          <w:szCs w:val="26"/>
        </w:rPr>
        <w:fldChar w:fldCharType="end"/>
      </w:r>
      <w:r w:rsidR="00445396">
        <w:rPr>
          <w:color w:val="000000" w:themeColor="text1"/>
          <w:szCs w:val="26"/>
        </w:rPr>
        <w:t xml:space="preserve"> </w:t>
      </w:r>
      <w:r w:rsidR="00B24FD6" w:rsidRPr="00343601">
        <w:rPr>
          <w:color w:val="000000" w:themeColor="text1"/>
          <w:szCs w:val="26"/>
        </w:rPr>
        <w:t xml:space="preserve">In 2018, the survey found that </w:t>
      </w:r>
      <w:r w:rsidRPr="00343601">
        <w:rPr>
          <w:color w:val="000000" w:themeColor="text1"/>
          <w:szCs w:val="26"/>
        </w:rPr>
        <w:t>just under half (</w:t>
      </w:r>
      <w:r w:rsidR="00B24FD6" w:rsidRPr="00343601">
        <w:rPr>
          <w:color w:val="000000" w:themeColor="text1"/>
          <w:szCs w:val="26"/>
        </w:rPr>
        <w:t>48%</w:t>
      </w:r>
      <w:r w:rsidRPr="00343601">
        <w:rPr>
          <w:color w:val="000000" w:themeColor="text1"/>
          <w:szCs w:val="26"/>
        </w:rPr>
        <w:t>)</w:t>
      </w:r>
      <w:r w:rsidR="00B24FD6" w:rsidRPr="00343601">
        <w:rPr>
          <w:color w:val="000000" w:themeColor="text1"/>
          <w:szCs w:val="26"/>
        </w:rPr>
        <w:t xml:space="preserve"> of 250 respondents were aware of the service, which </w:t>
      </w:r>
      <w:r w:rsidRPr="00343601">
        <w:rPr>
          <w:color w:val="000000" w:themeColor="text1"/>
          <w:szCs w:val="26"/>
        </w:rPr>
        <w:t xml:space="preserve">represented </w:t>
      </w:r>
      <w:r w:rsidR="00B24FD6" w:rsidRPr="00343601">
        <w:rPr>
          <w:color w:val="000000" w:themeColor="text1"/>
          <w:szCs w:val="26"/>
        </w:rPr>
        <w:t xml:space="preserve">a 21% increase </w:t>
      </w:r>
      <w:r w:rsidRPr="00343601">
        <w:rPr>
          <w:color w:val="000000" w:themeColor="text1"/>
          <w:szCs w:val="26"/>
        </w:rPr>
        <w:t>from 2016</w:t>
      </w:r>
      <w:r w:rsidR="00445396">
        <w:rPr>
          <w:color w:val="000000" w:themeColor="text1"/>
          <w:szCs w:val="26"/>
        </w:rPr>
        <w:t>,</w:t>
      </w:r>
      <w:r w:rsidR="00B24FD6" w:rsidRPr="00445396">
        <w:rPr>
          <w:color w:val="000000" w:themeColor="text1"/>
          <w:szCs w:val="26"/>
        </w:rPr>
        <w:t xml:space="preserve"> a positive reflection on the progress of the pilot programme. In 2016, just over one in three (38%) respond</w:t>
      </w:r>
      <w:r w:rsidR="00445396" w:rsidRPr="00445396">
        <w:rPr>
          <w:color w:val="000000" w:themeColor="text1"/>
          <w:szCs w:val="26"/>
        </w:rPr>
        <w:t>ing</w:t>
      </w:r>
      <w:r w:rsidR="00B24FD6" w:rsidRPr="00445396">
        <w:rPr>
          <w:color w:val="000000" w:themeColor="text1"/>
          <w:szCs w:val="26"/>
        </w:rPr>
        <w:t xml:space="preserve"> enterprises had employed </w:t>
      </w:r>
      <w:r w:rsidR="00445396" w:rsidRPr="00445396">
        <w:rPr>
          <w:color w:val="000000" w:themeColor="text1"/>
          <w:szCs w:val="26"/>
        </w:rPr>
        <w:t>a disabled person</w:t>
      </w:r>
      <w:r w:rsidR="00B24FD6" w:rsidRPr="00445396">
        <w:rPr>
          <w:color w:val="000000" w:themeColor="text1"/>
          <w:szCs w:val="26"/>
        </w:rPr>
        <w:t xml:space="preserve">, while </w:t>
      </w:r>
      <w:r w:rsidR="00445396" w:rsidRPr="00445396">
        <w:rPr>
          <w:color w:val="000000" w:themeColor="text1"/>
          <w:szCs w:val="26"/>
        </w:rPr>
        <w:t>by</w:t>
      </w:r>
      <w:r w:rsidR="00B24FD6" w:rsidRPr="00445396">
        <w:rPr>
          <w:color w:val="000000" w:themeColor="text1"/>
          <w:szCs w:val="26"/>
        </w:rPr>
        <w:t xml:space="preserve"> 2018 this had increased to 52%. Surveys in both years </w:t>
      </w:r>
      <w:r w:rsidR="00445396" w:rsidRPr="00445396">
        <w:rPr>
          <w:color w:val="000000" w:themeColor="text1"/>
          <w:szCs w:val="26"/>
        </w:rPr>
        <w:t>indicated</w:t>
      </w:r>
      <w:r w:rsidR="00B24FD6" w:rsidRPr="00445396">
        <w:rPr>
          <w:color w:val="000000" w:themeColor="text1"/>
          <w:szCs w:val="26"/>
        </w:rPr>
        <w:t xml:space="preserve"> that the larger the enterprise</w:t>
      </w:r>
      <w:r w:rsidR="00445396" w:rsidRPr="00445396">
        <w:rPr>
          <w:color w:val="000000" w:themeColor="text1"/>
          <w:szCs w:val="26"/>
        </w:rPr>
        <w:t>,</w:t>
      </w:r>
      <w:r w:rsidR="00B24FD6" w:rsidRPr="00445396">
        <w:rPr>
          <w:color w:val="000000" w:themeColor="text1"/>
          <w:szCs w:val="26"/>
        </w:rPr>
        <w:t xml:space="preserve"> the greater the likelihood that they had employed someone with a disability</w:t>
      </w:r>
      <w:r w:rsidR="00445396" w:rsidRPr="00445396">
        <w:rPr>
          <w:color w:val="000000" w:themeColor="text1"/>
          <w:szCs w:val="26"/>
        </w:rPr>
        <w:t>.</w:t>
      </w:r>
    </w:p>
    <w:p w14:paraId="521F0525" w14:textId="31EE0BBA" w:rsidR="007B43D1" w:rsidRDefault="00B24FD6" w:rsidP="008A6906">
      <w:pPr>
        <w:rPr>
          <w:color w:val="000000" w:themeColor="text1"/>
          <w:szCs w:val="26"/>
          <w:lang w:val="en-US"/>
        </w:rPr>
      </w:pPr>
      <w:r w:rsidRPr="00445396">
        <w:rPr>
          <w:color w:val="000000" w:themeColor="text1"/>
          <w:szCs w:val="26"/>
        </w:rPr>
        <w:t>Since the pilot project ended in January 2019</w:t>
      </w:r>
      <w:r w:rsidR="00623C51">
        <w:rPr>
          <w:color w:val="000000" w:themeColor="text1"/>
          <w:szCs w:val="26"/>
        </w:rPr>
        <w:t>,</w:t>
      </w:r>
      <w:r w:rsidRPr="00445396">
        <w:rPr>
          <w:color w:val="000000" w:themeColor="text1"/>
          <w:szCs w:val="26"/>
        </w:rPr>
        <w:t xml:space="preserve"> there has been a gap in the provision of peer-to-peer support to employers. </w:t>
      </w:r>
      <w:r w:rsidR="00445396" w:rsidRPr="00445396">
        <w:rPr>
          <w:color w:val="000000" w:themeColor="text1"/>
          <w:szCs w:val="26"/>
        </w:rPr>
        <w:t xml:space="preserve">Other types of support for employers </w:t>
      </w:r>
      <w:r w:rsidR="00445396">
        <w:rPr>
          <w:color w:val="000000" w:themeColor="text1"/>
          <w:szCs w:val="26"/>
        </w:rPr>
        <w:t>are</w:t>
      </w:r>
      <w:r w:rsidR="00445396" w:rsidRPr="00445396">
        <w:rPr>
          <w:color w:val="000000" w:themeColor="text1"/>
          <w:szCs w:val="26"/>
        </w:rPr>
        <w:t xml:space="preserve"> now provided through Employers for Change</w:t>
      </w:r>
      <w:r w:rsidR="00623C51">
        <w:rPr>
          <w:color w:val="000000" w:themeColor="text1"/>
          <w:szCs w:val="26"/>
        </w:rPr>
        <w:t>, which is</w:t>
      </w:r>
      <w:r w:rsidR="008A6906">
        <w:rPr>
          <w:color w:val="000000" w:themeColor="text1"/>
          <w:szCs w:val="26"/>
        </w:rPr>
        <w:t xml:space="preserve"> funded by</w:t>
      </w:r>
      <w:r w:rsidR="008A6906" w:rsidRPr="008A6906">
        <w:rPr>
          <w:color w:val="000000" w:themeColor="text1"/>
          <w:szCs w:val="26"/>
        </w:rPr>
        <w:t xml:space="preserve"> DCEDIY </w:t>
      </w:r>
      <w:r w:rsidR="008A6906">
        <w:rPr>
          <w:color w:val="000000" w:themeColor="text1"/>
          <w:szCs w:val="26"/>
        </w:rPr>
        <w:t>through the</w:t>
      </w:r>
      <w:r w:rsidR="008A6906" w:rsidRPr="008A6906">
        <w:rPr>
          <w:color w:val="000000" w:themeColor="text1"/>
          <w:szCs w:val="26"/>
        </w:rPr>
        <w:t xml:space="preserve"> Open Doors Initiative (ODI)</w:t>
      </w:r>
      <w:r w:rsidR="008A6906">
        <w:rPr>
          <w:color w:val="000000" w:themeColor="text1"/>
          <w:szCs w:val="26"/>
        </w:rPr>
        <w:t xml:space="preserve">. This </w:t>
      </w:r>
      <w:r w:rsidR="008A6906" w:rsidRPr="008A6906">
        <w:rPr>
          <w:color w:val="000000" w:themeColor="text1"/>
          <w:szCs w:val="26"/>
        </w:rPr>
        <w:t>service is addressing the gap in information and support and, in doing so, works ‘to enable employers with all the information and advice needed to hire, employ, manage and retain staff with disabilities</w:t>
      </w:r>
      <w:r w:rsidR="005F2B14">
        <w:rPr>
          <w:color w:val="000000" w:themeColor="text1"/>
          <w:szCs w:val="26"/>
        </w:rPr>
        <w:t>’</w:t>
      </w:r>
      <w:r w:rsidR="008A6906" w:rsidRPr="008A6906">
        <w:rPr>
          <w:color w:val="000000" w:themeColor="text1"/>
          <w:szCs w:val="26"/>
        </w:rPr>
        <w:t xml:space="preserve">. In 2022, Employers for Change worked with 95 employers through 185 interactions. </w:t>
      </w:r>
      <w:r w:rsidR="007B43D1">
        <w:rPr>
          <w:color w:val="000000" w:themeColor="text1"/>
          <w:szCs w:val="26"/>
        </w:rPr>
        <w:t>These include</w:t>
      </w:r>
      <w:r w:rsidR="008A6906" w:rsidRPr="008A6906">
        <w:rPr>
          <w:color w:val="000000" w:themeColor="text1"/>
          <w:szCs w:val="26"/>
        </w:rPr>
        <w:t xml:space="preserve"> </w:t>
      </w:r>
      <w:r w:rsidR="008A6906" w:rsidRPr="008A6906">
        <w:rPr>
          <w:color w:val="000000" w:themeColor="text1"/>
          <w:szCs w:val="26"/>
          <w:lang w:val="en-US"/>
        </w:rPr>
        <w:t>Brown Thomas / Arnotts, Coil</w:t>
      </w:r>
      <w:r w:rsidR="007B43D1">
        <w:rPr>
          <w:color w:val="000000" w:themeColor="text1"/>
          <w:szCs w:val="26"/>
          <w:lang w:val="en-US"/>
        </w:rPr>
        <w:t>l</w:t>
      </w:r>
      <w:r w:rsidR="008A6906" w:rsidRPr="008A6906">
        <w:rPr>
          <w:color w:val="000000" w:themeColor="text1"/>
          <w:szCs w:val="26"/>
          <w:lang w:val="en-US"/>
        </w:rPr>
        <w:t>te</w:t>
      </w:r>
      <w:r w:rsidR="007B43D1">
        <w:rPr>
          <w:color w:val="000000" w:themeColor="text1"/>
          <w:szCs w:val="26"/>
          <w:lang w:val="en-US"/>
        </w:rPr>
        <w:t xml:space="preserve">, </w:t>
      </w:r>
      <w:r w:rsidR="008A6906" w:rsidRPr="008A6906">
        <w:rPr>
          <w:color w:val="000000" w:themeColor="text1"/>
          <w:szCs w:val="26"/>
          <w:lang w:val="en-US"/>
        </w:rPr>
        <w:t>Dell, EY</w:t>
      </w:r>
      <w:r w:rsidR="007B43D1">
        <w:rPr>
          <w:color w:val="000000" w:themeColor="text1"/>
          <w:szCs w:val="26"/>
          <w:lang w:val="en-US"/>
        </w:rPr>
        <w:t>,</w:t>
      </w:r>
      <w:r w:rsidR="008A6906" w:rsidRPr="008A6906">
        <w:rPr>
          <w:color w:val="000000" w:themeColor="text1"/>
          <w:szCs w:val="26"/>
          <w:lang w:val="en-US"/>
        </w:rPr>
        <w:t xml:space="preserve"> and Salesforce. In 2023, the service worked with 2000 businesses. </w:t>
      </w:r>
    </w:p>
    <w:p w14:paraId="48E5FC05" w14:textId="1B0AD6BD" w:rsidR="008A6906" w:rsidRPr="008A6906" w:rsidRDefault="00623C51" w:rsidP="008A6906">
      <w:pPr>
        <w:rPr>
          <w:color w:val="000000" w:themeColor="text1"/>
          <w:szCs w:val="26"/>
        </w:rPr>
      </w:pPr>
      <w:r>
        <w:rPr>
          <w:color w:val="000000" w:themeColor="text1"/>
          <w:szCs w:val="26"/>
          <w:lang w:val="en-US"/>
        </w:rPr>
        <w:t>Employers for Change</w:t>
      </w:r>
      <w:r w:rsidR="008A6906" w:rsidRPr="008A6906">
        <w:rPr>
          <w:color w:val="000000" w:themeColor="text1"/>
          <w:szCs w:val="26"/>
          <w:lang w:val="en-US"/>
        </w:rPr>
        <w:t xml:space="preserve"> </w:t>
      </w:r>
      <w:r w:rsidR="007B43D1">
        <w:rPr>
          <w:color w:val="000000" w:themeColor="text1"/>
          <w:szCs w:val="26"/>
          <w:lang w:val="en-US"/>
        </w:rPr>
        <w:t xml:space="preserve">has </w:t>
      </w:r>
      <w:r w:rsidR="008A6906" w:rsidRPr="008A6906">
        <w:rPr>
          <w:color w:val="000000" w:themeColor="text1"/>
          <w:szCs w:val="26"/>
          <w:lang w:val="en-US"/>
        </w:rPr>
        <w:t>also published an employer’s toolkit</w:t>
      </w:r>
      <w:r w:rsidR="008A6906" w:rsidRPr="008A6906">
        <w:rPr>
          <w:color w:val="000000" w:themeColor="text1"/>
          <w:szCs w:val="26"/>
        </w:rPr>
        <w:t xml:space="preserve"> </w:t>
      </w:r>
      <w:r w:rsidR="008A6906" w:rsidRPr="008A6906">
        <w:rPr>
          <w:color w:val="000000" w:themeColor="text1"/>
          <w:szCs w:val="26"/>
        </w:rPr>
        <w:fldChar w:fldCharType="begin"/>
      </w:r>
      <w:r w:rsidR="006B1C05">
        <w:rPr>
          <w:color w:val="000000" w:themeColor="text1"/>
          <w:szCs w:val="26"/>
        </w:rPr>
        <w:instrText xml:space="preserve"> ADDIN ZOTERO_ITEM CSL_CITATION {"citationID":"NThYvRjY","properties":{"formattedCitation":"(89)","plainCitation":"(89)","noteIndex":0},"citationItems":[{"id":311,"uris":["http://zotero.org/users/local/kvLunvBP/items/DIAVYCSL"],"itemData":{"id":311,"type":"report","title":"Employer Toolkit","URL":"https://www.employersforchange.ie/userfiles/files/EFCEmployervToolkitFinal.pdf","author":[{"family":"Employers for Change","given":""}],"issued":{"date-parts":[["2020"]]}}}],"schema":"https://github.com/citation-style-language/schema/raw/master/csl-citation.json"} </w:instrText>
      </w:r>
      <w:r w:rsidR="008A6906" w:rsidRPr="008A6906">
        <w:rPr>
          <w:color w:val="000000" w:themeColor="text1"/>
          <w:szCs w:val="26"/>
        </w:rPr>
        <w:fldChar w:fldCharType="separate"/>
      </w:r>
      <w:r w:rsidR="006B1C05" w:rsidRPr="006B1C05">
        <w:t>(89)</w:t>
      </w:r>
      <w:r w:rsidR="008A6906" w:rsidRPr="008A6906">
        <w:rPr>
          <w:color w:val="000000" w:themeColor="text1"/>
          <w:szCs w:val="26"/>
        </w:rPr>
        <w:fldChar w:fldCharType="end"/>
      </w:r>
      <w:r w:rsidR="008A6906" w:rsidRPr="008A6906">
        <w:rPr>
          <w:color w:val="000000" w:themeColor="text1"/>
          <w:szCs w:val="26"/>
          <w:lang w:val="en-US"/>
        </w:rPr>
        <w:t xml:space="preserve">, </w:t>
      </w:r>
      <w:r w:rsidR="008A6906" w:rsidRPr="008A6906">
        <w:rPr>
          <w:color w:val="000000" w:themeColor="text1"/>
          <w:szCs w:val="26"/>
        </w:rPr>
        <w:t xml:space="preserve">research findings on inclusive recruitment, </w:t>
      </w:r>
      <w:r w:rsidR="008A6906" w:rsidRPr="008A6906">
        <w:rPr>
          <w:color w:val="000000" w:themeColor="text1"/>
          <w:szCs w:val="26"/>
          <w:lang w:val="en-US"/>
        </w:rPr>
        <w:t xml:space="preserve">and </w:t>
      </w:r>
      <w:r w:rsidR="008A6906" w:rsidRPr="008A6906">
        <w:rPr>
          <w:color w:val="000000" w:themeColor="text1"/>
          <w:szCs w:val="26"/>
        </w:rPr>
        <w:t>prepared advice on six key themes. These are:</w:t>
      </w:r>
    </w:p>
    <w:p w14:paraId="3A022D86" w14:textId="2AC8289A" w:rsidR="008A6906" w:rsidRPr="008A6906" w:rsidRDefault="008A6906" w:rsidP="008A6906">
      <w:pPr>
        <w:numPr>
          <w:ilvl w:val="0"/>
          <w:numId w:val="25"/>
        </w:numPr>
        <w:rPr>
          <w:color w:val="000000" w:themeColor="text1"/>
          <w:szCs w:val="26"/>
          <w:lang w:val="en-US"/>
        </w:rPr>
      </w:pPr>
      <w:r w:rsidRPr="008A6906">
        <w:rPr>
          <w:color w:val="000000" w:themeColor="text1"/>
          <w:szCs w:val="26"/>
          <w:lang w:val="en-US"/>
        </w:rPr>
        <w:t>Reasonable Accommodation Passports</w:t>
      </w:r>
      <w:r w:rsidRPr="008A6906">
        <w:rPr>
          <w:color w:val="000000" w:themeColor="text1"/>
          <w:szCs w:val="26"/>
          <w:vertAlign w:val="superscript"/>
          <w:lang w:val="en-US"/>
        </w:rPr>
        <w:t xml:space="preserve"> </w:t>
      </w:r>
      <w:r w:rsidRPr="008A6906">
        <w:rPr>
          <w:color w:val="000000" w:themeColor="text1"/>
          <w:szCs w:val="26"/>
          <w:lang w:val="en-US"/>
        </w:rPr>
        <w:t xml:space="preserve"> </w:t>
      </w:r>
      <w:r w:rsidRPr="008A6906">
        <w:rPr>
          <w:color w:val="000000" w:themeColor="text1"/>
          <w:szCs w:val="26"/>
          <w:lang w:val="en-US"/>
        </w:rPr>
        <w:fldChar w:fldCharType="begin"/>
      </w:r>
      <w:r w:rsidR="006B1C05">
        <w:rPr>
          <w:color w:val="000000" w:themeColor="text1"/>
          <w:szCs w:val="26"/>
          <w:lang w:val="en-US"/>
        </w:rPr>
        <w:instrText xml:space="preserve"> ADDIN ZOTERO_ITEM CSL_CITATION {"citationID":"ZCaWxZb8","properties":{"formattedCitation":"(82)","plainCitation":"(82)","noteIndex":0},"citationItems":[{"id":309,"uris":["http://zotero.org/users/local/kvLunvBP/items/RFXRWDIV"],"itemData":{"id":309,"type":"report","abstract":"Equality legislation requires employers to make reasonable accommodation to enable disabled workers to carry out their work on an equal footing with others. This passport system provides a confidential live record of the barriers people face and the accommodations that have been agreed to p","language":"en","title":"Reasonable Adjustment Disability Passport | ICTU","URL":"https://www.ictu.ie/publications/reasonable-adjustment-disability-passport","author":[{"family":"ICTU and Ibec","given":""}],"accessed":{"date-parts":[["2024",10,21]]},"issued":{"date-parts":[["2019"]]}}}],"schema":"https://github.com/citation-style-language/schema/raw/master/csl-citation.json"} </w:instrText>
      </w:r>
      <w:r w:rsidRPr="008A6906">
        <w:rPr>
          <w:color w:val="000000" w:themeColor="text1"/>
          <w:szCs w:val="26"/>
          <w:lang w:val="en-US"/>
        </w:rPr>
        <w:fldChar w:fldCharType="separate"/>
      </w:r>
      <w:r w:rsidR="006B1C05" w:rsidRPr="006B1C05">
        <w:t>(82)</w:t>
      </w:r>
      <w:r w:rsidRPr="008A6906">
        <w:rPr>
          <w:color w:val="000000" w:themeColor="text1"/>
          <w:szCs w:val="26"/>
        </w:rPr>
        <w:fldChar w:fldCharType="end"/>
      </w:r>
    </w:p>
    <w:p w14:paraId="00994221" w14:textId="23A8249D" w:rsidR="008A6906" w:rsidRPr="008A6906" w:rsidRDefault="008A6906" w:rsidP="008A6906">
      <w:pPr>
        <w:numPr>
          <w:ilvl w:val="0"/>
          <w:numId w:val="25"/>
        </w:numPr>
        <w:rPr>
          <w:color w:val="000000" w:themeColor="text1"/>
          <w:szCs w:val="26"/>
          <w:lang w:val="en-US"/>
        </w:rPr>
      </w:pPr>
      <w:r w:rsidRPr="008A6906">
        <w:rPr>
          <w:color w:val="000000" w:themeColor="text1"/>
          <w:szCs w:val="26"/>
          <w:lang w:val="en-US"/>
        </w:rPr>
        <w:t xml:space="preserve">Inclusive and Accessible Communication </w:t>
      </w:r>
      <w:r w:rsidRPr="008A6906">
        <w:rPr>
          <w:color w:val="000000" w:themeColor="text1"/>
          <w:szCs w:val="26"/>
          <w:lang w:val="en-US"/>
        </w:rPr>
        <w:fldChar w:fldCharType="begin"/>
      </w:r>
      <w:r w:rsidR="006B1C05">
        <w:rPr>
          <w:color w:val="000000" w:themeColor="text1"/>
          <w:szCs w:val="26"/>
          <w:lang w:val="en-US"/>
        </w:rPr>
        <w:instrText xml:space="preserve"> ADDIN ZOTERO_ITEM CSL_CITATION {"citationID":"VpqT6DPD","properties":{"formattedCitation":"(90)","plainCitation":"(90)","noteIndex":0},"citationItems":[{"id":334,"uris":["http://zotero.org/users/local/kvLunvBP/items/DLBXWQ3Z"],"itemData":{"id":334,"type":"webpage","abstract":"Ibec’s Employment Law Solicitor Harry Wall reviews the recently published draft Code of Practice on the Nature and Extent of and Employers Obligations to Provide Reasonable Accommodation to Employees with Disabilities.","language":"en","title":"Reasonable accommodation for staff with disabilities - how far must an employer go?","title-short":"Reasonable accommodation for staff with disabilities - how far must an employer go?","URL":"https://sitecore-prd-ne-cd01.azurewebsites.net/connect-and-learn/insights/insights/2022/07/07/reasonable-accommodation-for-staff-with-disabilities-how-far-must-an-employer-go","author":[{"family":"Ibec","given":""}],"accessed":{"date-parts":[["2024",11,6]]},"issued":{"date-parts":[["2022"]]}}}],"schema":"https://github.com/citation-style-language/schema/raw/master/csl-citation.json"} </w:instrText>
      </w:r>
      <w:r w:rsidRPr="008A6906">
        <w:rPr>
          <w:color w:val="000000" w:themeColor="text1"/>
          <w:szCs w:val="26"/>
          <w:lang w:val="en-US"/>
        </w:rPr>
        <w:fldChar w:fldCharType="separate"/>
      </w:r>
      <w:r w:rsidR="006B1C05" w:rsidRPr="006B1C05">
        <w:t>(90)</w:t>
      </w:r>
      <w:r w:rsidRPr="008A6906">
        <w:rPr>
          <w:color w:val="000000" w:themeColor="text1"/>
          <w:szCs w:val="26"/>
        </w:rPr>
        <w:fldChar w:fldCharType="end"/>
      </w:r>
    </w:p>
    <w:p w14:paraId="128A944E" w14:textId="3B7E23AB" w:rsidR="008A6906" w:rsidRPr="008A6906" w:rsidRDefault="008A6906" w:rsidP="008A6906">
      <w:pPr>
        <w:numPr>
          <w:ilvl w:val="0"/>
          <w:numId w:val="25"/>
        </w:numPr>
        <w:rPr>
          <w:color w:val="000000" w:themeColor="text1"/>
          <w:szCs w:val="26"/>
          <w:lang w:val="en-US"/>
        </w:rPr>
      </w:pPr>
      <w:r w:rsidRPr="008A6906">
        <w:rPr>
          <w:color w:val="000000" w:themeColor="text1"/>
          <w:szCs w:val="26"/>
        </w:rPr>
        <w:t xml:space="preserve">How to Write an Inclusive Job Description </w:t>
      </w:r>
      <w:r w:rsidRPr="008A6906">
        <w:rPr>
          <w:color w:val="000000" w:themeColor="text1"/>
          <w:szCs w:val="26"/>
        </w:rPr>
        <w:fldChar w:fldCharType="begin"/>
      </w:r>
      <w:r w:rsidR="006B1C05">
        <w:rPr>
          <w:color w:val="000000" w:themeColor="text1"/>
          <w:szCs w:val="26"/>
        </w:rPr>
        <w:instrText xml:space="preserve"> ADDIN ZOTERO_ITEM CSL_CITATION {"citationID":"KaOWmPFN","properties":{"formattedCitation":"(91)","plainCitation":"(91)","noteIndex":0},"citationItems":[{"id":335,"uris":["http://zotero.org/users/local/kvLunvBP/items/BETWMHWP"],"itemData":{"id":335,"type":"report","title":"Creating an inclusive job spec","URL":"https://www.employersforchange.ie/userfiles/files/EFC_InclusiveJobSpec.pdf","author":[{"family":"Employers for Change","given":""}]}}],"schema":"https://github.com/citation-style-language/schema/raw/master/csl-citation.json"} </w:instrText>
      </w:r>
      <w:r w:rsidRPr="008A6906">
        <w:rPr>
          <w:color w:val="000000" w:themeColor="text1"/>
          <w:szCs w:val="26"/>
        </w:rPr>
        <w:fldChar w:fldCharType="separate"/>
      </w:r>
      <w:r w:rsidR="006B1C05" w:rsidRPr="006B1C05">
        <w:t>(91)</w:t>
      </w:r>
      <w:r w:rsidRPr="008A6906">
        <w:rPr>
          <w:color w:val="000000" w:themeColor="text1"/>
          <w:szCs w:val="26"/>
        </w:rPr>
        <w:fldChar w:fldCharType="end"/>
      </w:r>
    </w:p>
    <w:p w14:paraId="69681D2C" w14:textId="654BDB21" w:rsidR="008A6906" w:rsidRPr="008A6906" w:rsidRDefault="008A6906" w:rsidP="008A6906">
      <w:pPr>
        <w:numPr>
          <w:ilvl w:val="0"/>
          <w:numId w:val="25"/>
        </w:numPr>
        <w:rPr>
          <w:color w:val="000000" w:themeColor="text1"/>
          <w:szCs w:val="26"/>
          <w:lang w:val="en-US"/>
        </w:rPr>
      </w:pPr>
      <w:r w:rsidRPr="008A6906">
        <w:rPr>
          <w:color w:val="000000" w:themeColor="text1"/>
          <w:szCs w:val="26"/>
        </w:rPr>
        <w:t xml:space="preserve">How to Run an Accessible Online Event </w:t>
      </w:r>
      <w:r w:rsidRPr="008A6906">
        <w:rPr>
          <w:color w:val="000000" w:themeColor="text1"/>
          <w:szCs w:val="26"/>
        </w:rPr>
        <w:fldChar w:fldCharType="begin"/>
      </w:r>
      <w:r w:rsidR="006B1C05">
        <w:rPr>
          <w:color w:val="000000" w:themeColor="text1"/>
          <w:szCs w:val="26"/>
        </w:rPr>
        <w:instrText xml:space="preserve"> ADDIN ZOTERO_ITEM CSL_CITATION {"citationID":"hEEZ0eRS","properties":{"formattedCitation":"(92)","plainCitation":"(92)","noteIndex":0},"citationItems":[{"id":336,"uris":["http://zotero.org/users/local/kvLunvBP/items/GENQWB7D"],"itemData":{"id":336,"type":"report","title":"Creating accessible online events","URL":"https://www.employersforchange.ie/userfiles/files/EFC%20Accessible%20Online%20Events%20.pdf","author":[{"family":"Employers for Change","given":""}]}}],"schema":"https://github.com/citation-style-language/schema/raw/master/csl-citation.json"} </w:instrText>
      </w:r>
      <w:r w:rsidRPr="008A6906">
        <w:rPr>
          <w:color w:val="000000" w:themeColor="text1"/>
          <w:szCs w:val="26"/>
        </w:rPr>
        <w:fldChar w:fldCharType="separate"/>
      </w:r>
      <w:r w:rsidR="006B1C05" w:rsidRPr="006B1C05">
        <w:t>(92)</w:t>
      </w:r>
      <w:r w:rsidRPr="008A6906">
        <w:rPr>
          <w:color w:val="000000" w:themeColor="text1"/>
          <w:szCs w:val="26"/>
        </w:rPr>
        <w:fldChar w:fldCharType="end"/>
      </w:r>
    </w:p>
    <w:p w14:paraId="5A340619" w14:textId="2F8A2994" w:rsidR="008A6906" w:rsidRPr="008A6906" w:rsidRDefault="008A6906" w:rsidP="008A6906">
      <w:pPr>
        <w:numPr>
          <w:ilvl w:val="0"/>
          <w:numId w:val="25"/>
        </w:numPr>
        <w:rPr>
          <w:color w:val="000000" w:themeColor="text1"/>
          <w:szCs w:val="26"/>
          <w:lang w:val="en-US"/>
        </w:rPr>
      </w:pPr>
      <w:r w:rsidRPr="008A6906">
        <w:rPr>
          <w:color w:val="000000" w:themeColor="text1"/>
          <w:szCs w:val="26"/>
        </w:rPr>
        <w:t xml:space="preserve">The Guiding Principles of Disclosure </w:t>
      </w:r>
      <w:r w:rsidRPr="008A6906">
        <w:rPr>
          <w:color w:val="000000" w:themeColor="text1"/>
          <w:szCs w:val="26"/>
        </w:rPr>
        <w:fldChar w:fldCharType="begin"/>
      </w:r>
      <w:r w:rsidR="006B1C05">
        <w:rPr>
          <w:color w:val="000000" w:themeColor="text1"/>
          <w:szCs w:val="26"/>
        </w:rPr>
        <w:instrText xml:space="preserve"> ADDIN ZOTERO_ITEM CSL_CITATION {"citationID":"9KH3XBrD","properties":{"formattedCitation":"(93)","plainCitation":"(93)","noteIndex":0},"citationItems":[{"id":337,"uris":["http://zotero.org/users/local/kvLunvBP/items/YKW3EKIA"],"itemData":{"id":337,"type":"webpage","container-title":"Employers for Change","language":"en-GB","note":"publisher: Employers for Change","title":"Disclosure","URL":"https://www.employersforchange.ie/Disclosure","author":[{"family":"Employers for Change","given":""}],"accessed":{"date-parts":[["2024",11,6]]},"issued":{"date-parts":[["2021",2,5]]}}}],"schema":"https://github.com/citation-style-language/schema/raw/master/csl-citation.json"} </w:instrText>
      </w:r>
      <w:r w:rsidRPr="008A6906">
        <w:rPr>
          <w:color w:val="000000" w:themeColor="text1"/>
          <w:szCs w:val="26"/>
        </w:rPr>
        <w:fldChar w:fldCharType="separate"/>
      </w:r>
      <w:r w:rsidR="006B1C05" w:rsidRPr="006B1C05">
        <w:t>(93)</w:t>
      </w:r>
      <w:r w:rsidRPr="008A6906">
        <w:rPr>
          <w:color w:val="000000" w:themeColor="text1"/>
          <w:szCs w:val="26"/>
        </w:rPr>
        <w:fldChar w:fldCharType="end"/>
      </w:r>
    </w:p>
    <w:p w14:paraId="3D93F0CE" w14:textId="65426E97" w:rsidR="00B24FD6" w:rsidRPr="007B43D1" w:rsidRDefault="008A6906" w:rsidP="00B24FD6">
      <w:pPr>
        <w:rPr>
          <w:color w:val="000000" w:themeColor="text1"/>
          <w:szCs w:val="26"/>
        </w:rPr>
      </w:pPr>
      <w:r w:rsidRPr="008A6906">
        <w:rPr>
          <w:color w:val="000000" w:themeColor="text1"/>
          <w:szCs w:val="26"/>
        </w:rPr>
        <w:t xml:space="preserve">The NDA has advised that the sustainability of </w:t>
      </w:r>
      <w:r w:rsidR="007B43D1">
        <w:rPr>
          <w:color w:val="000000" w:themeColor="text1"/>
          <w:szCs w:val="26"/>
        </w:rPr>
        <w:t>Employers for Change</w:t>
      </w:r>
      <w:r w:rsidRPr="008A6906">
        <w:rPr>
          <w:color w:val="000000" w:themeColor="text1"/>
          <w:szCs w:val="26"/>
        </w:rPr>
        <w:t xml:space="preserve"> is examined, and that multi-annual funding is committed. </w:t>
      </w:r>
    </w:p>
    <w:p w14:paraId="74F71FF3" w14:textId="77777777" w:rsidR="00B24FD6" w:rsidRPr="00B844A2" w:rsidRDefault="00B24FD6" w:rsidP="00B24FD6">
      <w:pPr>
        <w:pStyle w:val="Heading2"/>
      </w:pPr>
      <w:bookmarkStart w:id="354" w:name="_Toc182219555"/>
      <w:bookmarkStart w:id="355" w:name="_Toc182220258"/>
      <w:bookmarkStart w:id="356" w:name="_Toc182555606"/>
      <w:bookmarkStart w:id="357" w:name="_Toc182555746"/>
      <w:r w:rsidRPr="00B844A2">
        <w:t>6.4 No. of employers in peer-to-peer networks (Process)</w:t>
      </w:r>
      <w:bookmarkEnd w:id="354"/>
      <w:bookmarkEnd w:id="355"/>
      <w:bookmarkEnd w:id="356"/>
      <w:bookmarkEnd w:id="357"/>
    </w:p>
    <w:p w14:paraId="4791A5D6" w14:textId="57BA2C48" w:rsidR="00B24FD6" w:rsidRPr="00B844A2" w:rsidRDefault="00B24FD6" w:rsidP="00B24FD6">
      <w:pPr>
        <w:rPr>
          <w:color w:val="000000" w:themeColor="text1"/>
          <w:szCs w:val="26"/>
        </w:rPr>
      </w:pPr>
      <w:r w:rsidRPr="00B844A2">
        <w:rPr>
          <w:color w:val="000000" w:themeColor="text1"/>
          <w:szCs w:val="26"/>
        </w:rPr>
        <w:t xml:space="preserve">EDI launched the Employer Peer Network in 2018 to continue sharing best practice and </w:t>
      </w:r>
      <w:r w:rsidR="000A6818">
        <w:rPr>
          <w:color w:val="000000" w:themeColor="text1"/>
          <w:szCs w:val="26"/>
        </w:rPr>
        <w:t xml:space="preserve">to </w:t>
      </w:r>
      <w:r w:rsidRPr="00B844A2">
        <w:rPr>
          <w:color w:val="000000" w:themeColor="text1"/>
          <w:szCs w:val="26"/>
        </w:rPr>
        <w:t>address common fears about disability at work, such as employee performance, high cost of supports, poor attendance, retention difficulties</w:t>
      </w:r>
      <w:r w:rsidR="000A6818">
        <w:rPr>
          <w:color w:val="000000" w:themeColor="text1"/>
          <w:szCs w:val="26"/>
        </w:rPr>
        <w:t>,</w:t>
      </w:r>
      <w:r w:rsidRPr="00B844A2">
        <w:rPr>
          <w:color w:val="000000" w:themeColor="text1"/>
          <w:szCs w:val="26"/>
        </w:rPr>
        <w:t xml:space="preserve"> and health </w:t>
      </w:r>
      <w:r w:rsidR="000A6818">
        <w:rPr>
          <w:color w:val="000000" w:themeColor="text1"/>
          <w:szCs w:val="26"/>
        </w:rPr>
        <w:t>and</w:t>
      </w:r>
      <w:r w:rsidRPr="00B844A2">
        <w:rPr>
          <w:color w:val="000000" w:themeColor="text1"/>
          <w:szCs w:val="26"/>
        </w:rPr>
        <w:t xml:space="preserve"> safety concerns. At the time of the conclusion of the pilot phase</w:t>
      </w:r>
      <w:r w:rsidR="007B7EB2" w:rsidRPr="00B844A2">
        <w:rPr>
          <w:color w:val="000000" w:themeColor="text1"/>
          <w:szCs w:val="26"/>
        </w:rPr>
        <w:t>,</w:t>
      </w:r>
      <w:r w:rsidRPr="00B844A2">
        <w:rPr>
          <w:color w:val="000000" w:themeColor="text1"/>
          <w:szCs w:val="26"/>
        </w:rPr>
        <w:t xml:space="preserve"> the online forum had 37 registered users and 80 members. </w:t>
      </w:r>
      <w:r w:rsidR="00B844A2">
        <w:rPr>
          <w:color w:val="000000" w:themeColor="text1"/>
          <w:szCs w:val="26"/>
        </w:rPr>
        <w:fldChar w:fldCharType="begin"/>
      </w:r>
      <w:r w:rsidR="006B1C05">
        <w:rPr>
          <w:color w:val="000000" w:themeColor="text1"/>
          <w:szCs w:val="26"/>
        </w:rPr>
        <w:instrText xml:space="preserve"> ADDIN ZOTERO_ITEM CSL_CITATION {"citationID":"RcNpSe6F","properties":{"formattedCitation":"(86)","plainCitation":"(86)","noteIndex":0},"citationItems":[{"id":333,"uris":["http://zotero.org/users/local/kvLunvBP/items/RT2MXJNX"],"itemData":{"id":333,"type":"manuscript","genre":"Unpublished document","title":"Employer disability information – our journey so far 2016- 2018.","author":[{"family":"Employer Disability Informat","given":""}]}}],"schema":"https://github.com/citation-style-language/schema/raw/master/csl-citation.json"} </w:instrText>
      </w:r>
      <w:r w:rsidR="00B844A2">
        <w:rPr>
          <w:color w:val="000000" w:themeColor="text1"/>
          <w:szCs w:val="26"/>
        </w:rPr>
        <w:fldChar w:fldCharType="separate"/>
      </w:r>
      <w:r w:rsidR="006B1C05" w:rsidRPr="006B1C05">
        <w:t>(86)</w:t>
      </w:r>
      <w:r w:rsidR="00B844A2">
        <w:rPr>
          <w:color w:val="000000" w:themeColor="text1"/>
          <w:szCs w:val="26"/>
        </w:rPr>
        <w:fldChar w:fldCharType="end"/>
      </w:r>
    </w:p>
    <w:p w14:paraId="634218B4" w14:textId="62886DE7" w:rsidR="00BC2563" w:rsidRPr="00CA2AD5" w:rsidRDefault="00BC2563" w:rsidP="00B24FD6">
      <w:pPr>
        <w:rPr>
          <w:color w:val="000000" w:themeColor="text1"/>
          <w:szCs w:val="26"/>
        </w:rPr>
      </w:pPr>
      <w:bookmarkStart w:id="358" w:name="_Hlk182227732"/>
      <w:r w:rsidRPr="00CA2AD5">
        <w:rPr>
          <w:color w:val="000000" w:themeColor="text1"/>
          <w:szCs w:val="26"/>
        </w:rPr>
        <w:t>When Employers for Change was established</w:t>
      </w:r>
      <w:r w:rsidR="00DB05E5">
        <w:rPr>
          <w:color w:val="000000" w:themeColor="text1"/>
          <w:szCs w:val="26"/>
        </w:rPr>
        <w:t>,</w:t>
      </w:r>
      <w:r w:rsidRPr="00CA2AD5">
        <w:rPr>
          <w:color w:val="000000" w:themeColor="text1"/>
          <w:szCs w:val="26"/>
        </w:rPr>
        <w:t xml:space="preserve"> they continued supporting </w:t>
      </w:r>
      <w:r w:rsidR="00CA4BD1">
        <w:rPr>
          <w:color w:val="000000" w:themeColor="text1"/>
          <w:szCs w:val="26"/>
        </w:rPr>
        <w:t>employers</w:t>
      </w:r>
      <w:r w:rsidR="00DB05E5">
        <w:rPr>
          <w:color w:val="000000" w:themeColor="text1"/>
          <w:szCs w:val="26"/>
        </w:rPr>
        <w:t>,</w:t>
      </w:r>
      <w:r w:rsidR="00CA4BD1">
        <w:rPr>
          <w:color w:val="000000" w:themeColor="text1"/>
          <w:szCs w:val="26"/>
        </w:rPr>
        <w:t xml:space="preserve"> with a less specific focus on </w:t>
      </w:r>
      <w:r w:rsidRPr="00CA2AD5">
        <w:rPr>
          <w:color w:val="000000" w:themeColor="text1"/>
          <w:szCs w:val="26"/>
        </w:rPr>
        <w:t xml:space="preserve">peer-to-peer engagement. They did this through specific events and through videos of employers talking about their experience on the website and </w:t>
      </w:r>
      <w:r w:rsidR="000A6818">
        <w:rPr>
          <w:color w:val="000000" w:themeColor="text1"/>
          <w:szCs w:val="26"/>
        </w:rPr>
        <w:t xml:space="preserve">by </w:t>
      </w:r>
      <w:r w:rsidRPr="00CA2AD5">
        <w:rPr>
          <w:color w:val="000000" w:themeColor="text1"/>
          <w:szCs w:val="26"/>
        </w:rPr>
        <w:t xml:space="preserve">providing employer toolkits informed by learning from employers. </w:t>
      </w:r>
    </w:p>
    <w:p w14:paraId="55E18BC3" w14:textId="5F901EA4" w:rsidR="00252BE6" w:rsidRDefault="00252BE6" w:rsidP="00252BE6">
      <w:pPr>
        <w:pStyle w:val="Heading2"/>
      </w:pPr>
      <w:bookmarkStart w:id="359" w:name="_Toc182219556"/>
      <w:bookmarkStart w:id="360" w:name="_Toc182220259"/>
      <w:bookmarkStart w:id="361" w:name="_Toc182555607"/>
      <w:bookmarkStart w:id="362" w:name="_Toc182555747"/>
      <w:bookmarkEnd w:id="358"/>
      <w:r>
        <w:t xml:space="preserve">Overview of </w:t>
      </w:r>
      <w:bookmarkEnd w:id="359"/>
      <w:bookmarkEnd w:id="360"/>
      <w:bookmarkEnd w:id="361"/>
      <w:bookmarkEnd w:id="362"/>
      <w:r w:rsidR="00147EEF">
        <w:t>Strategic Priority Six</w:t>
      </w:r>
    </w:p>
    <w:p w14:paraId="4660F7F9" w14:textId="71E7A7D2" w:rsidR="009E39F7" w:rsidRDefault="009E39F7" w:rsidP="009E39F7">
      <w:r>
        <w:t xml:space="preserve">Strategic Priority 6 focused on fostering employer engagement to create a more inclusive labour market for people with disabilities, aiming to increase the number of employers actively engaged in recruiting, retaining, and supporting employees with disabilities. Despite some promising initiatives, there is limited evidence that efforts under this priority area have made a meaningful difference to employment outcomes for disabled people. </w:t>
      </w:r>
    </w:p>
    <w:p w14:paraId="10786E78" w14:textId="727005E4" w:rsidR="00182866" w:rsidRDefault="006655AA" w:rsidP="00C8565B">
      <w:pPr>
        <w:pStyle w:val="NormalAfterList"/>
        <w:spacing w:before="0" w:after="0"/>
      </w:pPr>
      <w:r>
        <w:t>An</w:t>
      </w:r>
      <w:r>
        <w:rPr>
          <w:rFonts w:eastAsia="Arial"/>
        </w:rPr>
        <w:t xml:space="preserve"> OECD report on Ireland</w:t>
      </w:r>
      <w:r w:rsidR="00F20749">
        <w:rPr>
          <w:rFonts w:eastAsia="Arial"/>
        </w:rPr>
        <w:t xml:space="preserve"> published in 2021</w:t>
      </w:r>
      <w:r>
        <w:rPr>
          <w:rFonts w:eastAsia="Arial"/>
        </w:rPr>
        <w:t xml:space="preserve"> stated that</w:t>
      </w:r>
      <w:r w:rsidR="00182866">
        <w:rPr>
          <w:rFonts w:eastAsia="Arial"/>
        </w:rPr>
        <w:t>:</w:t>
      </w:r>
    </w:p>
    <w:p w14:paraId="2128207D" w14:textId="4944141B" w:rsidR="00182866" w:rsidRDefault="006655AA" w:rsidP="00182866">
      <w:pPr>
        <w:pStyle w:val="NormalAfterList"/>
        <w:spacing w:before="0" w:after="0"/>
        <w:ind w:left="720"/>
        <w:rPr>
          <w:rFonts w:eastAsia="Arial"/>
        </w:rPr>
      </w:pPr>
      <w:r>
        <w:t>Employer engagement and support for employers are critically important for the improvement of the labour market situation for persons with disabilities in Ireland. Effective strategies for employer engagement are critical to overcome disability-related misperceptions and discrimination and to raise awareness about available support programmes and subsidies. Yet, Ireland has an underdeveloped employer engagement structure with respect to information and supports for the employment of persons with disabilities</w:t>
      </w:r>
      <w:r w:rsidR="00C8565B">
        <w:t>.</w:t>
      </w:r>
      <w:r w:rsidR="00DB6EB2">
        <w:t xml:space="preserve"> </w:t>
      </w:r>
      <w:r w:rsidR="00DB6EB2">
        <w:fldChar w:fldCharType="begin"/>
      </w:r>
      <w:r w:rsidR="00540657">
        <w:instrText xml:space="preserve"> ADDIN ZOTERO_ITEM CSL_CITATION {"citationID":"M7akVBey","properties":{"formattedCitation":"(6)","plainCitation":"(6)","noteIndex":0},"citationItems":[{"id":293,"uris":["http://zotero.org/users/local/kvLunvBP/items/LXXBCRRX"],"itemData":{"id":293,"type":"book","abstract":"Across OECD countries, one in seven working-age adults identifies as having a disability. This report proposes policy recommendations to the Irish government to improve the participation of persons with disabilities.","event-place":"Paris","language":"en","publisher":"Organisation for Economic Co-operation and Development","publisher-place":"Paris","source":"OECD iLibrary","title":"Disability, Work and Inclusion in Ireland: Engaging and Supporting Employers","title-short":"Disability, Work and Inclusion in Ireland","URL":"https://www.oecd-ilibrary.org/employment/disability-work-and-inclusion-in-ireland_74b45baa-en","author":[{"literal":"OECD"}],"accessed":{"date-parts":[["2024",10,18]]},"issued":{"date-parts":[["2021"]]}}}],"schema":"https://github.com/citation-style-language/schema/raw/master/csl-citation.json"} </w:instrText>
      </w:r>
      <w:r w:rsidR="00DB6EB2">
        <w:fldChar w:fldCharType="separate"/>
      </w:r>
      <w:r w:rsidR="00540657" w:rsidRPr="00540657">
        <w:t>(6</w:t>
      </w:r>
      <w:r w:rsidR="00403A41">
        <w:t>, p.9</w:t>
      </w:r>
      <w:r w:rsidR="00540657" w:rsidRPr="00540657">
        <w:t>)</w:t>
      </w:r>
      <w:r w:rsidR="00DB6EB2">
        <w:fldChar w:fldCharType="end"/>
      </w:r>
      <w:r w:rsidR="00C8565B">
        <w:rPr>
          <w:rFonts w:eastAsia="Arial"/>
        </w:rPr>
        <w:t xml:space="preserve"> </w:t>
      </w:r>
    </w:p>
    <w:p w14:paraId="636CC0E8" w14:textId="77777777" w:rsidR="00182866" w:rsidRDefault="00182866" w:rsidP="00182866">
      <w:pPr>
        <w:pStyle w:val="NormalAfterList"/>
        <w:spacing w:before="0" w:after="0"/>
        <w:rPr>
          <w:rFonts w:eastAsia="Arial"/>
        </w:rPr>
      </w:pPr>
    </w:p>
    <w:p w14:paraId="62842DEF" w14:textId="0F99BD8A" w:rsidR="00565117" w:rsidRPr="00565117" w:rsidRDefault="006655AA" w:rsidP="00CA4BD1">
      <w:pPr>
        <w:pStyle w:val="NormalAfterList"/>
        <w:spacing w:before="0" w:after="0"/>
        <w:rPr>
          <w:rFonts w:eastAsia="Arial"/>
        </w:rPr>
      </w:pPr>
      <w:r>
        <w:rPr>
          <w:rFonts w:eastAsia="Arial"/>
        </w:rPr>
        <w:t>While the new Work and Access scheme and the pending Code of Practice on reasonable accommodation should provide information and support</w:t>
      </w:r>
      <w:r w:rsidR="00DB6EB2">
        <w:rPr>
          <w:rFonts w:eastAsia="Arial"/>
        </w:rPr>
        <w:t xml:space="preserve"> to employers,</w:t>
      </w:r>
      <w:r>
        <w:rPr>
          <w:rFonts w:eastAsia="Arial"/>
        </w:rPr>
        <w:t xml:space="preserve"> </w:t>
      </w:r>
      <w:r w:rsidR="00DB6EB2">
        <w:rPr>
          <w:rFonts w:eastAsia="Arial"/>
        </w:rPr>
        <w:t>t</w:t>
      </w:r>
      <w:r>
        <w:rPr>
          <w:rFonts w:eastAsia="Arial"/>
        </w:rPr>
        <w:t xml:space="preserve">he NDA </w:t>
      </w:r>
      <w:r w:rsidR="00DB6EB2">
        <w:rPr>
          <w:rFonts w:eastAsia="Arial"/>
        </w:rPr>
        <w:t>is also aware</w:t>
      </w:r>
      <w:r>
        <w:rPr>
          <w:rFonts w:eastAsia="Arial"/>
        </w:rPr>
        <w:t xml:space="preserve"> of the need for employers to access peer support. </w:t>
      </w:r>
    </w:p>
    <w:p w14:paraId="1EEAA88E" w14:textId="78F8C5D7" w:rsidR="00B574EA" w:rsidRPr="003A6A0D" w:rsidRDefault="00745ABC" w:rsidP="00CA4BD1">
      <w:pPr>
        <w:spacing w:before="240"/>
        <w:rPr>
          <w:rFonts w:eastAsiaTheme="minorHAnsi"/>
        </w:rPr>
      </w:pPr>
      <w:r>
        <w:rPr>
          <w:szCs w:val="26"/>
          <w:lang w:eastAsia="en-IE"/>
        </w:rPr>
        <w:t>With regard to public sector employment o</w:t>
      </w:r>
      <w:r w:rsidR="00B574EA">
        <w:rPr>
          <w:szCs w:val="26"/>
          <w:lang w:eastAsia="en-IE"/>
        </w:rPr>
        <w:t>ver the course of the CES</w:t>
      </w:r>
      <w:r w:rsidR="00565117">
        <w:rPr>
          <w:szCs w:val="26"/>
          <w:lang w:eastAsia="en-IE"/>
        </w:rPr>
        <w:t>,</w:t>
      </w:r>
      <w:r w:rsidR="00B574EA">
        <w:rPr>
          <w:szCs w:val="26"/>
          <w:lang w:eastAsia="en-IE"/>
        </w:rPr>
        <w:t xml:space="preserve"> the Department of Public Expenditure and Reform (DPER) has examined alternative recruitment approaches. In this regard</w:t>
      </w:r>
      <w:r w:rsidR="00EC730B">
        <w:rPr>
          <w:szCs w:val="26"/>
          <w:lang w:eastAsia="en-IE"/>
        </w:rPr>
        <w:t>,</w:t>
      </w:r>
      <w:r w:rsidR="00B574EA">
        <w:rPr>
          <w:szCs w:val="26"/>
          <w:lang w:eastAsia="en-IE"/>
        </w:rPr>
        <w:t xml:space="preserve"> DPER has supported the OWL project and has made a commitment to continue to</w:t>
      </w:r>
      <w:r w:rsidR="00B574EA" w:rsidRPr="00A867FE">
        <w:t xml:space="preserve"> promot</w:t>
      </w:r>
      <w:r w:rsidR="00B574EA">
        <w:t>e</w:t>
      </w:r>
      <w:r w:rsidR="00B574EA" w:rsidRPr="00A867FE">
        <w:t xml:space="preserve"> and enabl</w:t>
      </w:r>
      <w:r w:rsidR="00B574EA">
        <w:t>e</w:t>
      </w:r>
      <w:r w:rsidR="00B574EA" w:rsidRPr="00A867FE">
        <w:t xml:space="preserve"> opportunities for people with disabilities in civil service competitions</w:t>
      </w:r>
      <w:r w:rsidR="00B574EA">
        <w:t xml:space="preserve">. This has led to </w:t>
      </w:r>
      <w:r w:rsidR="00B574EA" w:rsidRPr="00A867FE">
        <w:t>continue</w:t>
      </w:r>
      <w:r w:rsidR="00B574EA">
        <w:t xml:space="preserve">d work </w:t>
      </w:r>
      <w:r w:rsidR="00B574EA" w:rsidRPr="00A867FE">
        <w:t xml:space="preserve">to learn about potential barriers to access </w:t>
      </w:r>
      <w:r w:rsidR="00B574EA">
        <w:t>as well as work</w:t>
      </w:r>
      <w:r w:rsidR="00B574EA" w:rsidRPr="00A867FE">
        <w:t xml:space="preserve"> to remove these barriers.</w:t>
      </w:r>
      <w:r w:rsidR="00B574EA">
        <w:t xml:space="preserve"> In addressing this commitment, DPER will ‘work with partner organisations to build capacity of the programmes to accommodate and aim at increasing the placements annually for the programmes as well as increase the number of permanent roles for programme graduates in order to meet the wider goal of increasing the rate of employment for people with disabilities’</w:t>
      </w:r>
      <w:r w:rsidR="00B574EA" w:rsidRPr="00233BC4">
        <w:rPr>
          <w:rStyle w:val="FootnoteReference"/>
        </w:rPr>
        <w:footnoteReference w:id="31"/>
      </w:r>
      <w:r w:rsidR="00B574EA">
        <w:t>.</w:t>
      </w:r>
    </w:p>
    <w:p w14:paraId="6300C1A4" w14:textId="77777777" w:rsidR="00252BE6" w:rsidRDefault="00252BE6" w:rsidP="00252BE6">
      <w:pPr>
        <w:pStyle w:val="Heading3"/>
      </w:pPr>
      <w:bookmarkStart w:id="363" w:name="_Toc182219557"/>
      <w:bookmarkStart w:id="364" w:name="_Toc182220260"/>
      <w:bookmarkStart w:id="365" w:name="_Toc182555608"/>
      <w:r>
        <w:t>Key achievements</w:t>
      </w:r>
      <w:bookmarkEnd w:id="363"/>
      <w:bookmarkEnd w:id="364"/>
      <w:bookmarkEnd w:id="365"/>
    </w:p>
    <w:p w14:paraId="4BE6F925" w14:textId="03A3B451" w:rsidR="00234F3E" w:rsidRPr="00AD331A" w:rsidRDefault="00AD331A" w:rsidP="00366EC0">
      <w:pPr>
        <w:pStyle w:val="ListParagraph"/>
        <w:numPr>
          <w:ilvl w:val="0"/>
          <w:numId w:val="38"/>
        </w:numPr>
        <w:rPr>
          <w:lang w:eastAsia="en-IE"/>
        </w:rPr>
      </w:pPr>
      <w:r>
        <w:rPr>
          <w:lang w:eastAsia="en-IE"/>
        </w:rPr>
        <w:t xml:space="preserve">The Employers for Change initiative has been a positive development in terms of the provision of </w:t>
      </w:r>
      <w:r w:rsidRPr="00AD331A">
        <w:rPr>
          <w:lang w:eastAsia="en-IE"/>
        </w:rPr>
        <w:t>advice and information to employers about recruiting and employing people with disabilities</w:t>
      </w:r>
      <w:r>
        <w:rPr>
          <w:lang w:eastAsia="en-IE"/>
        </w:rPr>
        <w:t>.</w:t>
      </w:r>
      <w:r w:rsidR="00745ABC">
        <w:rPr>
          <w:lang w:eastAsia="en-IE"/>
        </w:rPr>
        <w:t xml:space="preserve"> </w:t>
      </w:r>
    </w:p>
    <w:p w14:paraId="29B7AC4B" w14:textId="21D23029" w:rsidR="00366EC0" w:rsidRDefault="00366EC0" w:rsidP="00366EC0">
      <w:pPr>
        <w:rPr>
          <w:lang w:eastAsia="en-IE"/>
        </w:rPr>
      </w:pPr>
      <w:r w:rsidRPr="00366EC0">
        <w:rPr>
          <w:b/>
          <w:bCs/>
          <w:lang w:eastAsia="en-IE"/>
        </w:rPr>
        <w:t>Gaps to be addressed</w:t>
      </w:r>
    </w:p>
    <w:p w14:paraId="16A897C8" w14:textId="2077E005" w:rsidR="00A727BB" w:rsidRDefault="006655AA" w:rsidP="00F145DC">
      <w:pPr>
        <w:pStyle w:val="ListParagraph"/>
        <w:numPr>
          <w:ilvl w:val="0"/>
          <w:numId w:val="38"/>
        </w:numPr>
        <w:spacing w:after="0"/>
        <w:rPr>
          <w:szCs w:val="26"/>
        </w:rPr>
      </w:pPr>
      <w:r>
        <w:rPr>
          <w:szCs w:val="26"/>
        </w:rPr>
        <w:t xml:space="preserve">An agreed employer awareness campaign </w:t>
      </w:r>
      <w:r w:rsidR="00B45C18">
        <w:rPr>
          <w:szCs w:val="26"/>
        </w:rPr>
        <w:t>did not occur</w:t>
      </w:r>
      <w:r w:rsidR="0004190A">
        <w:rPr>
          <w:szCs w:val="26"/>
        </w:rPr>
        <w:t xml:space="preserve">, and the NDA advises that this could be a valuable initiative. </w:t>
      </w:r>
      <w:r w:rsidR="00745ABC">
        <w:rPr>
          <w:szCs w:val="26"/>
        </w:rPr>
        <w:t>Work to adopt October as an employer awareness month was initiated and then stalled.</w:t>
      </w:r>
    </w:p>
    <w:p w14:paraId="1E0C5221" w14:textId="59CFA49D" w:rsidR="00745ABC" w:rsidRPr="00745ABC" w:rsidRDefault="000C7ABA" w:rsidP="00F145DC">
      <w:pPr>
        <w:pStyle w:val="ListParagraph"/>
        <w:numPr>
          <w:ilvl w:val="0"/>
          <w:numId w:val="38"/>
        </w:numPr>
        <w:spacing w:after="0"/>
        <w:rPr>
          <w:szCs w:val="26"/>
        </w:rPr>
      </w:pPr>
      <w:r>
        <w:rPr>
          <w:szCs w:val="26"/>
        </w:rPr>
        <w:t xml:space="preserve">Employers for Change </w:t>
      </w:r>
      <w:r w:rsidR="00CA4BD1">
        <w:rPr>
          <w:szCs w:val="26"/>
        </w:rPr>
        <w:t xml:space="preserve">is currently providing support for employers. However, </w:t>
      </w:r>
      <w:r w:rsidR="00745ABC">
        <w:rPr>
          <w:lang w:eastAsia="en-IE"/>
        </w:rPr>
        <w:t>a</w:t>
      </w:r>
      <w:r w:rsidR="00CA4BD1">
        <w:rPr>
          <w:lang w:eastAsia="en-IE"/>
        </w:rPr>
        <w:t xml:space="preserve"> more permanent</w:t>
      </w:r>
      <w:r w:rsidR="00745ABC">
        <w:rPr>
          <w:lang w:eastAsia="en-IE"/>
        </w:rPr>
        <w:t xml:space="preserve"> employer support service is required with particular emphasis on support for small</w:t>
      </w:r>
      <w:r w:rsidR="009F7EFC">
        <w:rPr>
          <w:lang w:eastAsia="en-IE"/>
        </w:rPr>
        <w:t>-</w:t>
      </w:r>
      <w:r w:rsidR="00745ABC">
        <w:rPr>
          <w:lang w:eastAsia="en-IE"/>
        </w:rPr>
        <w:t xml:space="preserve"> to medium</w:t>
      </w:r>
      <w:r w:rsidR="009F7EFC">
        <w:rPr>
          <w:lang w:eastAsia="en-IE"/>
        </w:rPr>
        <w:t>-</w:t>
      </w:r>
      <w:r w:rsidR="00745ABC">
        <w:rPr>
          <w:lang w:eastAsia="en-IE"/>
        </w:rPr>
        <w:t>sized employers, who have requested peer</w:t>
      </w:r>
      <w:r w:rsidR="009F7EFC">
        <w:rPr>
          <w:lang w:eastAsia="en-IE"/>
        </w:rPr>
        <w:t>-</w:t>
      </w:r>
      <w:r w:rsidR="00745ABC">
        <w:rPr>
          <w:lang w:eastAsia="en-IE"/>
        </w:rPr>
        <w:t>to</w:t>
      </w:r>
      <w:r w:rsidR="009F7EFC">
        <w:rPr>
          <w:lang w:eastAsia="en-IE"/>
        </w:rPr>
        <w:t>-</w:t>
      </w:r>
      <w:r w:rsidR="00745ABC">
        <w:rPr>
          <w:lang w:eastAsia="en-IE"/>
        </w:rPr>
        <w:t xml:space="preserve">peer support and information relevant to businesses that do not necessarily have a HR department. </w:t>
      </w:r>
    </w:p>
    <w:p w14:paraId="252D1DC4" w14:textId="05C87581" w:rsidR="00B5238D" w:rsidRPr="00CA4BD1" w:rsidRDefault="00CA4BD1" w:rsidP="00CA4BD1">
      <w:pPr>
        <w:spacing w:after="0"/>
        <w:rPr>
          <w:lang w:eastAsia="en-IE"/>
        </w:rPr>
      </w:pPr>
      <w:r>
        <w:rPr>
          <w:lang w:eastAsia="en-IE"/>
        </w:rPr>
        <w:br w:type="page"/>
      </w:r>
    </w:p>
    <w:p w14:paraId="1BC4C8FB" w14:textId="75C85CCA" w:rsidR="00A07C43" w:rsidRPr="00A07C43" w:rsidRDefault="003E2496" w:rsidP="00FA5F4A">
      <w:pPr>
        <w:pStyle w:val="Heading1"/>
        <w:rPr>
          <w:lang w:eastAsia="en-IE"/>
        </w:rPr>
      </w:pPr>
      <w:bookmarkStart w:id="366" w:name="_Toc182555609"/>
      <w:bookmarkStart w:id="367" w:name="_Toc182555748"/>
      <w:r>
        <w:rPr>
          <w:lang w:eastAsia="en-IE"/>
        </w:rPr>
        <w:t>Co</w:t>
      </w:r>
      <w:r w:rsidR="00FA5F4A">
        <w:rPr>
          <w:lang w:eastAsia="en-IE"/>
        </w:rPr>
        <w:t>nclusion</w:t>
      </w:r>
      <w:bookmarkEnd w:id="366"/>
      <w:bookmarkEnd w:id="367"/>
    </w:p>
    <w:p w14:paraId="193BE4A6" w14:textId="548F589C" w:rsidR="004F4213" w:rsidRDefault="00715AB2" w:rsidP="004F4213">
      <w:r>
        <w:t>The Comprehensive Employment Strategy for People with Disabilities (CES) 2015-2024 has been the primary policy framework for addressing the barriers to employment faced by disabled people in Ireland. This report reflects on the achievements, challenges, and lessons learned over the CES’s lifetime, with particular emphasis on the six strategic priorities: building skills, providing bridges into work, making work pay, promoting job retention, offering seamless support, and supporting employers.</w:t>
      </w:r>
    </w:p>
    <w:p w14:paraId="301FE5DE" w14:textId="10301B8D" w:rsidR="004F4213" w:rsidRDefault="00715AB2" w:rsidP="00043A86">
      <w:r>
        <w:t>Despite some progress in addressing its primary aims, several gaps and challenges persist</w:t>
      </w:r>
      <w:r w:rsidR="009D46B1">
        <w:t xml:space="preserve">. </w:t>
      </w:r>
      <w:r w:rsidR="008C298C">
        <w:t>Due to data limitations, it</w:t>
      </w:r>
      <w:r w:rsidR="009D46B1">
        <w:t xml:space="preserve"> is not possible to say with certainty </w:t>
      </w:r>
      <w:r w:rsidR="00FD1BD9">
        <w:t>whether</w:t>
      </w:r>
      <w:r w:rsidR="009D46B1">
        <w:t xml:space="preserve"> the </w:t>
      </w:r>
      <w:r w:rsidR="00FD1BD9">
        <w:t xml:space="preserve">overall </w:t>
      </w:r>
      <w:r w:rsidR="009D46B1">
        <w:t xml:space="preserve">number of disabled people in work increased </w:t>
      </w:r>
      <w:r w:rsidR="008C298C">
        <w:t>over the course of the CES,</w:t>
      </w:r>
      <w:r w:rsidR="009D46B1">
        <w:t xml:space="preserve"> but it is possible to say that the disability employment gap did not close</w:t>
      </w:r>
      <w:r w:rsidR="008C298C">
        <w:t xml:space="preserve"> in any meaningful way</w:t>
      </w:r>
      <w:r w:rsidR="009D46B1">
        <w:t xml:space="preserve">. </w:t>
      </w:r>
    </w:p>
    <w:p w14:paraId="5088FA4E" w14:textId="74D368CC" w:rsidR="00715AB2" w:rsidRDefault="00715AB2" w:rsidP="00043A86">
      <w:r>
        <w:t xml:space="preserve">One of the major achievements in the decade of the CES has been the improvement in educational and training opportunities for people with disabilities. Over recent years, the proportion of disabled individuals in further and higher education </w:t>
      </w:r>
      <w:r w:rsidR="004210AC">
        <w:t>appears</w:t>
      </w:r>
      <w:r>
        <w:t xml:space="preserve"> to have increased significantly. One in five new entrants to higher education disclosed a disability in the 2022/2023 academic year. </w:t>
      </w:r>
      <w:r w:rsidR="00A53B4E">
        <w:t>Furthermore</w:t>
      </w:r>
      <w:r w:rsidR="00313DB5">
        <w:t>,</w:t>
      </w:r>
      <w:r w:rsidR="00A53B4E">
        <w:t xml:space="preserve"> the positive growth in initiatives like the Access and Inclusion Model, as well as the introduction of PATH 4 funding are very positive developments in terms of the educational inclusion of children and young people with disabilities. While these developments lay a crucial foundation for building skills and independen</w:t>
      </w:r>
      <w:r w:rsidR="009572AC">
        <w:t>ce</w:t>
      </w:r>
      <w:r w:rsidR="00A53B4E">
        <w:t xml:space="preserve">, the persistent educational attainment gap between people with and without disabilities is a continuing concern. More needs to be done to ensure that the increased access to education translates into better </w:t>
      </w:r>
      <w:r w:rsidR="00257F25">
        <w:t xml:space="preserve">educational and </w:t>
      </w:r>
      <w:r w:rsidR="00A53B4E">
        <w:t>employment outcomes, particularly by improving the provision of school-based career guidance and expanding transition supports for young people leaving the education system.</w:t>
      </w:r>
    </w:p>
    <w:p w14:paraId="02DB453A" w14:textId="6D686087" w:rsidR="00A53B4E" w:rsidRDefault="00A53B4E" w:rsidP="00043A86">
      <w:r>
        <w:t>In the area of employment supports, there have been positive developments through initiatives like the Ability Programme and its successor, WorkAbility, which aim to bridge the gap to the labour market for people with disabilities. These programmes have provided or currently provide supports to help disabled people gain qualifications, paid employment, or voluntary roles. Despite these advances, challenges remain in scaling and sustaining these programmes. The reliance on short-term initiative and pilot programmes leads to fragmentation of support and inconsistent outcomes. To create lasting impact, future strategies should prioritise long-term, stable funding for such programmes, ensuring continuity in the supports provided.</w:t>
      </w:r>
    </w:p>
    <w:p w14:paraId="5378F409" w14:textId="27012CDD" w:rsidR="00133E9C" w:rsidRDefault="00133E9C" w:rsidP="00043A86">
      <w:r>
        <w:t>While schemes such as the Wage Subsidy Scheme and Reasonable Accommodation Fund have provided necessary financial and practical supports to both employees and employers, the uptake of these has been low and remained low over the course of the CES, meaning they have not contributed to any meaningful narrowing of the disability employment gap. Data show that Ireland continues to have one of the highest disability employment gaps in the European union, underscoring the need for more comprehensive and coordinated policy measures to address this. It is hoped that, over time, recent reforms to the Wage Subsidy Scheme and the</w:t>
      </w:r>
      <w:r w:rsidR="0017519B">
        <w:t xml:space="preserve"> introduction of the</w:t>
      </w:r>
      <w:r>
        <w:t xml:space="preserve"> new Work and Access programme will go some way towards </w:t>
      </w:r>
      <w:r w:rsidR="0017519B">
        <w:t>addressing the employment disparities between people with and without disabilities.</w:t>
      </w:r>
    </w:p>
    <w:p w14:paraId="2E21139B" w14:textId="77777777" w:rsidR="00257F25" w:rsidRDefault="00A53B4E" w:rsidP="00043A86">
      <w:r>
        <w:t xml:space="preserve">The issue of making work pay has been another central focus of the CES, with efforts directed at addressing the financial disincentives that deter people from seeking employment. However, progress in this area has been slower than anticipated, and the number of people claiming a range of disability payments has increased substantially over the lifetime of the CES. </w:t>
      </w:r>
    </w:p>
    <w:p w14:paraId="010C93F5" w14:textId="116C9C3F" w:rsidR="006C617C" w:rsidRDefault="006C617C" w:rsidP="00043A86">
      <w:r>
        <w:t>An</w:t>
      </w:r>
      <w:r w:rsidR="0017519B">
        <w:t>other</w:t>
      </w:r>
      <w:r>
        <w:t xml:space="preserve"> area in which progress has been limited is in job retention and re-entry for individuals who acquire a disability while in employment. Gaps remain in relation to the provision of systematic vocational rehabilitation supports in Ireland. Evidence suggests that the longer someone with a disability is out of work, the less likely they are to return. To address this, future strategies should focus on improving return-to-work pathways and ensuring that employers have the resources and knowledge necessary to support employees with </w:t>
      </w:r>
      <w:r w:rsidR="00257F25">
        <w:t>newly acquired</w:t>
      </w:r>
      <w:r>
        <w:t xml:space="preserve"> disabilities to retain their jobs.</w:t>
      </w:r>
    </w:p>
    <w:p w14:paraId="366404DC" w14:textId="1AA179F3" w:rsidR="006C617C" w:rsidRDefault="006C617C" w:rsidP="00043A86">
      <w:r>
        <w:t>Employ</w:t>
      </w:r>
      <w:r w:rsidR="00027BE0">
        <w:t>er</w:t>
      </w:r>
      <w:r>
        <w:t xml:space="preserve"> engagement was another key pillar of the CES, with initiatives aimed at encouraging businesses to hire and retain disabled employees. Programmes such as the Employer Disability Information (EDI) Service and</w:t>
      </w:r>
      <w:r w:rsidR="0017519B">
        <w:t>, latterly,</w:t>
      </w:r>
      <w:r>
        <w:t xml:space="preserve"> Employers for Change have made important strides in this area, providing resources, support, and information to employers about disability in the workplace. However, the conclusion of the EDI pilot in 2019 left a gap in peer-to-peer support for employers, and while other employer-based initiatives have since emerged, more needs to be done to ensure that employers have access to the tools and knowledge they need to foster truly inclusive workplaces. </w:t>
      </w:r>
    </w:p>
    <w:p w14:paraId="68923463" w14:textId="18C32A34" w:rsidR="006C617C" w:rsidRDefault="006C617C" w:rsidP="00043A86">
      <w:r>
        <w:t xml:space="preserve">For any cross-government strategy, strong coordination and effective communication are key drivers of effective implementation. </w:t>
      </w:r>
      <w:r w:rsidR="00852E15">
        <w:t xml:space="preserve">Communication across the lifetime of the strategy was identified as a clear weakness by CES stakeholders. This was most clearly described by those who were involved in discussions on establishing targets for delivery of specific actions. An additional communication deficit articulated by those involved in the CES implementation group was the non-communication of the Chairperson’s </w:t>
      </w:r>
      <w:r w:rsidR="00087D1C">
        <w:t>resignation</w:t>
      </w:r>
      <w:r w:rsidR="00852E15">
        <w:t xml:space="preserve">. Other challenges such as the COVID-19 pandemic, overlap with other national strategies (e.g., the National Disability Inclusion Strategy), the handover of responsibility for the strategy from one department to a new department, and a high level of turnover of personnel involved in the strategy’s coordination and implementation were highlighted as barriers which ultimately led to a loss of momentum and a de facto disbanding of monitoring and oversight structures for the strategy. In particular, failure to agree and implement an action plan for the final years of the strategy has been seen as contributing to the CES not meeting all of its objectives. </w:t>
      </w:r>
    </w:p>
    <w:p w14:paraId="092F92F5" w14:textId="6CB51703" w:rsidR="001F3833" w:rsidRDefault="001F3833" w:rsidP="00043A86">
      <w:r>
        <w:t xml:space="preserve">A key learning is that, in hindsight, a 10-year strategy </w:t>
      </w:r>
      <w:r w:rsidR="00257F25">
        <w:t>may have been</w:t>
      </w:r>
      <w:r>
        <w:t xml:space="preserve"> too long to </w:t>
      </w:r>
      <w:r w:rsidR="00257F25">
        <w:t>sustain momentum, and</w:t>
      </w:r>
      <w:r>
        <w:t xml:space="preserve"> shorter strategies </w:t>
      </w:r>
      <w:r w:rsidR="00257F25">
        <w:t>may be more effective</w:t>
      </w:r>
      <w:r>
        <w:t xml:space="preserve">. The fact that there were other disability strategies being implemented </w:t>
      </w:r>
      <w:r w:rsidR="00D446BB">
        <w:t>in parallel</w:t>
      </w:r>
      <w:r>
        <w:t xml:space="preserve"> with the Comprehensive Employment Strategy (i.e.</w:t>
      </w:r>
      <w:r w:rsidR="00D446BB">
        <w:t>,</w:t>
      </w:r>
      <w:r>
        <w:t xml:space="preserve"> the National Disability Inclusion Strategy and the National Housing Strategy for People with Disabilities)</w:t>
      </w:r>
      <w:r w:rsidR="00257F25">
        <w:t xml:space="preserve"> may have affected the</w:t>
      </w:r>
      <w:r w:rsidR="00D446BB">
        <w:t xml:space="preserve"> level of</w:t>
      </w:r>
      <w:r w:rsidR="00257F25">
        <w:t xml:space="preserve"> focus on the CES</w:t>
      </w:r>
      <w:r>
        <w:t>. With the current development of a new National Disability Strategy, a recently launched Autism Innovation Strategy, and a National Housing Strategy for Disabled People currently being implemented</w:t>
      </w:r>
      <w:r w:rsidR="00257F25">
        <w:t>,</w:t>
      </w:r>
      <w:r>
        <w:t xml:space="preserve"> it will be important to make sure that each </w:t>
      </w:r>
      <w:r w:rsidR="00257F25">
        <w:t xml:space="preserve">is </w:t>
      </w:r>
      <w:r>
        <w:t xml:space="preserve">given adequate attention </w:t>
      </w:r>
      <w:r w:rsidR="00257F25">
        <w:t xml:space="preserve">and resourcing </w:t>
      </w:r>
      <w:r>
        <w:t xml:space="preserve">to </w:t>
      </w:r>
      <w:r w:rsidR="00257F25">
        <w:t>ensure it is</w:t>
      </w:r>
      <w:r>
        <w:t xml:space="preserve"> fully implemented</w:t>
      </w:r>
      <w:r w:rsidR="00D446BB">
        <w:t xml:space="preserve"> as intended</w:t>
      </w:r>
      <w:r>
        <w:t xml:space="preserve">. </w:t>
      </w:r>
    </w:p>
    <w:p w14:paraId="378443C8" w14:textId="64A4663E" w:rsidR="006C617C" w:rsidRDefault="00970E95" w:rsidP="00043A86">
      <w:r>
        <w:t xml:space="preserve">Article 27 of the UNCRPD recognises the right of persons with disabilities to work on an equal basis with others. </w:t>
      </w:r>
      <w:r w:rsidR="00852E15">
        <w:t xml:space="preserve">The NDA advises that the upcoming National Disability Strategy, which will extend to 2030 and include a dedicated employment pillar, offers a valuable opportunity to </w:t>
      </w:r>
      <w:r>
        <w:t>progress the realisation of rights under Article 27</w:t>
      </w:r>
      <w:r w:rsidR="00852E15">
        <w:t xml:space="preserve">. By building on the lessons learned from the CES and ensuring that future strategies are robust, well-coordinated, and adequately resourced, Ireland can make significant strides towards </w:t>
      </w:r>
      <w:r>
        <w:t>employment equality for its disabled population.</w:t>
      </w:r>
    </w:p>
    <w:p w14:paraId="0658E032" w14:textId="7CBBFC2B" w:rsidR="00313DB5" w:rsidRDefault="00313DB5">
      <w:pPr>
        <w:spacing w:after="0"/>
        <w:rPr>
          <w:szCs w:val="26"/>
        </w:rPr>
      </w:pPr>
      <w:r>
        <w:rPr>
          <w:szCs w:val="26"/>
        </w:rPr>
        <w:br w:type="page"/>
      </w:r>
    </w:p>
    <w:p w14:paraId="2BAC5DF3" w14:textId="40DFEADD" w:rsidR="00761637" w:rsidRDefault="00761637" w:rsidP="00761637">
      <w:pPr>
        <w:pStyle w:val="Heading1"/>
      </w:pPr>
      <w:bookmarkStart w:id="368" w:name="_Toc182555610"/>
      <w:bookmarkStart w:id="369" w:name="_Toc182555749"/>
      <w:r>
        <w:t>References</w:t>
      </w:r>
      <w:bookmarkEnd w:id="368"/>
      <w:bookmarkEnd w:id="369"/>
    </w:p>
    <w:p w14:paraId="59CE6BD6" w14:textId="77777777" w:rsidR="006B1C05" w:rsidRDefault="00761637" w:rsidP="006B1C05">
      <w:pPr>
        <w:pStyle w:val="Bibliography"/>
      </w:pPr>
      <w:r>
        <w:rPr>
          <w:szCs w:val="26"/>
        </w:rPr>
        <w:fldChar w:fldCharType="begin"/>
      </w:r>
      <w:r w:rsidR="000979A7">
        <w:rPr>
          <w:szCs w:val="26"/>
        </w:rPr>
        <w:instrText xml:space="preserve"> ADDIN ZOTERO_BIBL {"uncited":[],"omitted":[],"custom":[]} CSL_BIBLIOGRAPHY </w:instrText>
      </w:r>
      <w:r>
        <w:rPr>
          <w:szCs w:val="26"/>
        </w:rPr>
        <w:fldChar w:fldCharType="separate"/>
      </w:r>
      <w:r w:rsidR="006B1C05">
        <w:t>1.</w:t>
      </w:r>
      <w:r w:rsidR="006B1C05">
        <w:tab/>
        <w:t>Government of Ireland. Comprehensive Employment Strategy for People with Disabilities [Internet]. 2015 [cited 2024 Jun 25]. Available from: https://www.gov.ie/pdf/?file=https://assets.gov.ie/18906/1120bc6ad254489db9571c74e8572f44.pdf#page=null</w:t>
      </w:r>
    </w:p>
    <w:p w14:paraId="5F0BCACE" w14:textId="77777777" w:rsidR="006B1C05" w:rsidRDefault="006B1C05" w:rsidP="006B1C05">
      <w:pPr>
        <w:pStyle w:val="Bibliography"/>
      </w:pPr>
      <w:r>
        <w:t>2.</w:t>
      </w:r>
      <w:r>
        <w:tab/>
        <w:t>Comprehensive Employment Strategy Action Plan 2019 - 2021 [Internet]. 2019 Dec [cited 2024 Jul 23]. Available from: https://www.gov.ie/en/publication/59d403-comprehensive-employment-strategy-action-plan-2019-2021/?referrer=https://www.justice.ie/en/JELR/CES_Action_Plan_2019_to_2021.pdf/Files/CES_Action_Plan_2019_to_2021.pdf</w:t>
      </w:r>
    </w:p>
    <w:p w14:paraId="62702769" w14:textId="77777777" w:rsidR="006B1C05" w:rsidRDefault="006B1C05" w:rsidP="006B1C05">
      <w:pPr>
        <w:pStyle w:val="Bibliography"/>
      </w:pPr>
      <w:r>
        <w:t>3.</w:t>
      </w:r>
      <w:r>
        <w:tab/>
        <w:t>National Disability Authority. National Disability Authority. [cited 2024 Jul 23]. NDA Independent Assessment of Implementation of CES. Available from: https://nda.ie/publications/nda-independent-assessment-of-implementation-of-ces</w:t>
      </w:r>
    </w:p>
    <w:p w14:paraId="03A4DA8A" w14:textId="77777777" w:rsidR="006B1C05" w:rsidRDefault="006B1C05" w:rsidP="006B1C05">
      <w:pPr>
        <w:pStyle w:val="Bibliography"/>
      </w:pPr>
      <w:r>
        <w:t>4.</w:t>
      </w:r>
      <w:r>
        <w:tab/>
        <w:t>National Disability Authority. Indicators for Monitoring Progress under the CES 2015-2024 [Internet]. 2020 [cited 2024 Jul 23]. Available from: https://nda.ie/publications/indicators-for-monitoring-progress-under-the-ces-2015-2024</w:t>
      </w:r>
    </w:p>
    <w:p w14:paraId="6660891E" w14:textId="77777777" w:rsidR="006B1C05" w:rsidRDefault="006B1C05" w:rsidP="006B1C05">
      <w:pPr>
        <w:pStyle w:val="Bibliography"/>
      </w:pPr>
      <w:r>
        <w:t>5.</w:t>
      </w:r>
      <w:r>
        <w:tab/>
        <w:t>Workplace Relations Commission [Internet]. [cited 2024 Nov 7]. Code of Practice for Employers and Employees Right to Request Flexible Working and Right to Request Remote Working. Available from: https://www.workplacerelations.ie/en/what_you_should_know/codes_practice/code-of-practice-for-employers-and-employees-right-to-request-flexible-working-and-right-to-request-remote-working/</w:t>
      </w:r>
    </w:p>
    <w:p w14:paraId="20792B74" w14:textId="77777777" w:rsidR="006B1C05" w:rsidRDefault="006B1C05" w:rsidP="006B1C05">
      <w:pPr>
        <w:pStyle w:val="Bibliography"/>
      </w:pPr>
      <w:r>
        <w:t>6.</w:t>
      </w:r>
      <w:r>
        <w:tab/>
        <w:t>OECD. Disability, Work and Inclusion in Ireland: Engaging and Supporting Employers [Internet]. Paris: Organisation for Economic Co-operation and Development; 2021 [cited 2024 Oct 18]. Available from: https://www.oecd-ilibrary.org/employment/disability-work-and-inclusion-in-ireland_74b45baa-en</w:t>
      </w:r>
    </w:p>
    <w:p w14:paraId="6384B5AA" w14:textId="77777777" w:rsidR="006B1C05" w:rsidRDefault="006B1C05" w:rsidP="006B1C05">
      <w:pPr>
        <w:pStyle w:val="Bibliography"/>
      </w:pPr>
      <w:r>
        <w:t>7.</w:t>
      </w:r>
      <w:r>
        <w:tab/>
        <w:t>Department of Social Protection. Green Paper on Disability Reform: A Public Consultation to Reform Disability Payments in Ireland [Internet]. 2023 Sep [cited 2024 Nov 11]. Available from: https://www.gov.ie/en/consultation/3b001-green-paper-on-disability-reform-a-public-consultation-to-reform-disability-payments-in-ireland/</w:t>
      </w:r>
    </w:p>
    <w:p w14:paraId="753A2142" w14:textId="77777777" w:rsidR="006B1C05" w:rsidRDefault="006B1C05" w:rsidP="006B1C05">
      <w:pPr>
        <w:pStyle w:val="Bibliography"/>
      </w:pPr>
      <w:r>
        <w:t>8.</w:t>
      </w:r>
      <w:r>
        <w:tab/>
        <w:t>Indecon. The Cost of Disability in Ireland – Research Report [Internet]. 2021 Dec [cited 2024 Jan 10]. Available from: https://www.gov.ie/en/publication/1d84e-the-cost-of-disability-in-ireland-research-report/</w:t>
      </w:r>
    </w:p>
    <w:p w14:paraId="521ACD66" w14:textId="77777777" w:rsidR="006B1C05" w:rsidRDefault="006B1C05" w:rsidP="006B1C05">
      <w:pPr>
        <w:pStyle w:val="Bibliography"/>
      </w:pPr>
      <w:r>
        <w:t>9.</w:t>
      </w:r>
      <w:r>
        <w:tab/>
        <w:t>Kavanagh L, Sweeny L, Farahani Z, Radomska A, Bailey I. Realising the promise of national equality  policy. An evaluation of the processes of implementation of  three national equality strategies [Internet]. Centre for Effective Services; 2023. Available from: https://www.gov.ie/pdf/?file=https://assets.gov.ie/263523/64481c7e-eeb8-46a0-b09f-8c27e3864978.pdf#page=null</w:t>
      </w:r>
    </w:p>
    <w:p w14:paraId="69469599" w14:textId="77777777" w:rsidR="006B1C05" w:rsidRDefault="006B1C05" w:rsidP="006B1C05">
      <w:pPr>
        <w:pStyle w:val="Bibliography"/>
      </w:pPr>
      <w:r>
        <w:t>10.</w:t>
      </w:r>
      <w:r>
        <w:tab/>
        <w:t>National Disability Authority. NDA Independent advice on the provision of Career Guidance in schools for learners with disabilities in Ireland [Internet]. 2023. Available from: https://nda.ie/publications/nda-independent-advice-on-the-provision-of-career-guidance-in-schools-for-learners-with-disabilities-in-ireland</w:t>
      </w:r>
    </w:p>
    <w:p w14:paraId="53E5FCBA" w14:textId="77777777" w:rsidR="006B1C05" w:rsidRDefault="006B1C05" w:rsidP="006B1C05">
      <w:pPr>
        <w:pStyle w:val="Bibliography"/>
      </w:pPr>
      <w:r>
        <w:t>11.</w:t>
      </w:r>
      <w:r>
        <w:tab/>
        <w:t>National Disability Authority. Narrative Analysis of Wellbeing and Social Inclusion Consultations [Internet]. 2023 [cited 2024 Nov 6]. Available from: https://nda.ie/publications/narrative-analysis-of-wellbeing-and-social-inclusion-consultations</w:t>
      </w:r>
    </w:p>
    <w:p w14:paraId="391D45DC" w14:textId="77777777" w:rsidR="006B1C05" w:rsidRDefault="006B1C05" w:rsidP="006B1C05">
      <w:pPr>
        <w:pStyle w:val="Bibliography"/>
      </w:pPr>
      <w:r>
        <w:t>12.</w:t>
      </w:r>
      <w:r>
        <w:tab/>
        <w:t>National Disability Authority. Experiences of Support for Return to Work among people with Acquired Disabilities or Conditions [Internet]. 2021 [cited 2024 Nov 6]. Available from: https://nda.ie/publications/experiences-of-support-for-return-to-work-among-people-with-acquired-disabilities-or-conditions</w:t>
      </w:r>
    </w:p>
    <w:p w14:paraId="330DDE0B" w14:textId="77777777" w:rsidR="006B1C05" w:rsidRDefault="006B1C05" w:rsidP="006B1C05">
      <w:pPr>
        <w:pStyle w:val="Bibliography"/>
      </w:pPr>
      <w:r>
        <w:t>13.</w:t>
      </w:r>
      <w:r>
        <w:tab/>
        <w:t>United Nations Human Rights, Office of the High Commission. Human rights indicators. A guide to measurement and implementation. [Internet]. New York and Geneva; 2012. Available from: https://www.ohchr.org/Documents/Publications/Human_rights_indicators_en.pdf</w:t>
      </w:r>
    </w:p>
    <w:p w14:paraId="360C0CA9" w14:textId="77777777" w:rsidR="006B1C05" w:rsidRDefault="006B1C05" w:rsidP="006B1C05">
      <w:pPr>
        <w:pStyle w:val="Bibliography"/>
      </w:pPr>
      <w:r>
        <w:t>14.</w:t>
      </w:r>
      <w:r>
        <w:tab/>
        <w:t>OECD. Disability, Work and Inclusion: Mainstreaming in All Policies and Practices [Internet]. OECD; 2022 [cited 2023 Sep 14]. Available from: https://www.oecd-ilibrary.org/employment/disability-work-and-inclusion_1eaa5e9c-en</w:t>
      </w:r>
    </w:p>
    <w:p w14:paraId="074E7FDF" w14:textId="77777777" w:rsidR="006B1C05" w:rsidRDefault="006B1C05" w:rsidP="006B1C05">
      <w:pPr>
        <w:pStyle w:val="Bibliography"/>
      </w:pPr>
      <w:r>
        <w:t>15.</w:t>
      </w:r>
      <w:r>
        <w:tab/>
        <w:t>Eurostat. Disability statistics introduced [Internet]. 2021 [cited 2023 Sep 21]. Available from: https://ec.europa.eu/eurostat/statistics-explained/index.php?title=Disability_statistics_introduced</w:t>
      </w:r>
    </w:p>
    <w:p w14:paraId="698C44A2" w14:textId="77777777" w:rsidR="006B1C05" w:rsidRDefault="006B1C05" w:rsidP="006B1C05">
      <w:pPr>
        <w:pStyle w:val="Bibliography"/>
      </w:pPr>
      <w:r>
        <w:t>16.</w:t>
      </w:r>
      <w:r>
        <w:tab/>
        <w:t>National Disability Authority. National Disability Authority. 2024 [cited 2024 Oct 22]. Discussion paper on new disability employment targets. Available from: https://nda.ie/publications/discussion-paper-on-new-disability-employment-targets</w:t>
      </w:r>
    </w:p>
    <w:p w14:paraId="4531E4A6" w14:textId="77777777" w:rsidR="006B1C05" w:rsidRDefault="006B1C05" w:rsidP="006B1C05">
      <w:pPr>
        <w:pStyle w:val="Bibliography"/>
      </w:pPr>
      <w:r>
        <w:t>17.</w:t>
      </w:r>
      <w:r>
        <w:tab/>
        <w:t>National Disability Authority [Internet]. [cited 2023 Sep 21]. Compliance Reports | Reports On Compliance | Disability Act 2005 | The National Disability Authority. Available from: https://nda.ie/monitoring/monitoring-2-2/employment-of-persons-with-disabilities-in-the-public-sector/part-5-compliance-reports</w:t>
      </w:r>
    </w:p>
    <w:p w14:paraId="261DA06E" w14:textId="77777777" w:rsidR="006B1C05" w:rsidRDefault="006B1C05" w:rsidP="006B1C05">
      <w:pPr>
        <w:pStyle w:val="Bibliography"/>
      </w:pPr>
      <w:r>
        <w:t>18.</w:t>
      </w:r>
      <w:r>
        <w:tab/>
        <w:t>Government of Ireland. Policy on the Operation of the Access and Inclusion Model [Internet]. 2016. Available from: https://aim.gov.ie/app/uploads/2016/06/AIM-Policy.pdf</w:t>
      </w:r>
    </w:p>
    <w:p w14:paraId="59A0538E" w14:textId="77777777" w:rsidR="006B1C05" w:rsidRDefault="006B1C05" w:rsidP="006B1C05">
      <w:pPr>
        <w:pStyle w:val="Bibliography"/>
      </w:pPr>
      <w:r>
        <w:t>19.</w:t>
      </w:r>
      <w:r>
        <w:tab/>
        <w:t>Robinson D, Gowers S, Codina G, Artess J, Delgado Fuentes MA, Mycock K, et al. End of Year Three Evaluation of the Access and Inclusion Model (AIM) [Internet]. Inclusion and SEND Research Cluster: University of  Derby, Institute of Education.; 2024 Jan [cited 2024 Oct 31]. Available from: https://www.gov.ie/pdf/?file=https://assets.gov.ie/281323/204d30d4-774a-4327-a059-4f0df00fdab5.pdf#page=null</w:t>
      </w:r>
    </w:p>
    <w:p w14:paraId="76B2663E" w14:textId="77777777" w:rsidR="006B1C05" w:rsidRDefault="006B1C05" w:rsidP="006B1C05">
      <w:pPr>
        <w:pStyle w:val="Bibliography"/>
      </w:pPr>
      <w:r>
        <w:t>20.</w:t>
      </w:r>
      <w:r>
        <w:tab/>
        <w:t>Kelly E, Maître B, ESRI. Identification Of Skills Gaps Among Persons With Disabilities And Their Employment Prospects [Internet]. ESRI; 2021 Sep [cited 2023 Oct 10]. Available from: https://www.esri.ie/publications/identification-of-skills-gaps-among-persons-with-disabilities-and-their-employment</w:t>
      </w:r>
    </w:p>
    <w:p w14:paraId="35095BCC" w14:textId="77777777" w:rsidR="006B1C05" w:rsidRDefault="006B1C05" w:rsidP="006B1C05">
      <w:pPr>
        <w:pStyle w:val="Bibliography"/>
      </w:pPr>
      <w:r>
        <w:t>21.</w:t>
      </w:r>
      <w:r>
        <w:tab/>
        <w:t>Central Statistics Office. Income, Employment and Welfare Analysis of People with a Disability 2019 [Internet]. CSO; 2021 [cited 2024 Sep 16]. Available from: https://www.cso.ie/en/releasesandpublications/fp/fp-iewad/incomeemploymentandwelfareanalysisofpeoplewithadisability2019/</w:t>
      </w:r>
    </w:p>
    <w:p w14:paraId="431383F1" w14:textId="77777777" w:rsidR="006B1C05" w:rsidRDefault="006B1C05" w:rsidP="006B1C05">
      <w:pPr>
        <w:pStyle w:val="Bibliography"/>
      </w:pPr>
      <w:r>
        <w:t>22.</w:t>
      </w:r>
      <w:r>
        <w:tab/>
        <w:t>Higher Education Authority. Higher Education Authority. 2023 [cited 2024 Jun 25]. Key Facts and Figures. Available from: https://hea.ie/statistics/data-for-download-and-visualisations/key-facts-figures/</w:t>
      </w:r>
    </w:p>
    <w:p w14:paraId="5EB97E6E" w14:textId="77777777" w:rsidR="006B1C05" w:rsidRDefault="006B1C05" w:rsidP="006B1C05">
      <w:pPr>
        <w:pStyle w:val="Bibliography"/>
      </w:pPr>
      <w:r>
        <w:t>23.</w:t>
      </w:r>
      <w:r>
        <w:tab/>
        <w:t>SOLAS. This is FET: Facts and Figures 2022 [Internet]. 2023. Available from: https://www.solas.ie/f/70398/x/bf2a524405/solas_facts_report_2022.pdf</w:t>
      </w:r>
    </w:p>
    <w:p w14:paraId="0D341F8D" w14:textId="77777777" w:rsidR="006B1C05" w:rsidRDefault="006B1C05" w:rsidP="006B1C05">
      <w:pPr>
        <w:pStyle w:val="Bibliography"/>
      </w:pPr>
      <w:r>
        <w:t>24.</w:t>
      </w:r>
      <w:r>
        <w:tab/>
        <w:t>AHEAD. Students with disabilities engaged with support services in higher education in Ireland 2022/23 [Internet]. AHEAD; 2024 [cited 2024 Jul 30]. Available from: https://www.ahead.ie/userfiles/files/AHEAD_Research_Report_23_digital_supplied.pdf</w:t>
      </w:r>
    </w:p>
    <w:p w14:paraId="23AB12AE" w14:textId="77777777" w:rsidR="006B1C05" w:rsidRDefault="006B1C05" w:rsidP="006B1C05">
      <w:pPr>
        <w:pStyle w:val="Bibliography"/>
      </w:pPr>
      <w:r>
        <w:t>25.</w:t>
      </w:r>
      <w:r>
        <w:tab/>
        <w:t>Irish Universities Association. DARE HEAR Summary Report 2023 [Internet]. 2024. Available from: https://www.iua.ie/wp-content/uploads/2024/01/DARE-HEAR-Summary-Report-2023.pdf</w:t>
      </w:r>
    </w:p>
    <w:p w14:paraId="74F8685C" w14:textId="77777777" w:rsidR="006B1C05" w:rsidRDefault="006B1C05" w:rsidP="006B1C05">
      <w:pPr>
        <w:pStyle w:val="Bibliography"/>
      </w:pPr>
      <w:r>
        <w:t>26.</w:t>
      </w:r>
      <w:r>
        <w:tab/>
        <w:t>Higher Education Authority. Higher Education Authority. 2023 [cited 2024 Jun 25]. Student Disability Data (EAS Disability 2023). Available from: https://hea.ie/statistics/data-for-download-and-visualisations/students/widening-participation-for-equity-of-access/student-disability-data-2023/</w:t>
      </w:r>
    </w:p>
    <w:p w14:paraId="78C898BD" w14:textId="77777777" w:rsidR="006B1C05" w:rsidRDefault="006B1C05" w:rsidP="006B1C05">
      <w:pPr>
        <w:pStyle w:val="Bibliography"/>
      </w:pPr>
      <w:r>
        <w:t>27.</w:t>
      </w:r>
      <w:r>
        <w:tab/>
        <w:t>Higher Education Authority. Higher Education Authority. 2024 [cited 2024 Oct 18]. Programme for Access to Higher Education. Available from: https://hea.ie/policy/access-policy/path/</w:t>
      </w:r>
    </w:p>
    <w:p w14:paraId="42988CA9" w14:textId="77777777" w:rsidR="006B1C05" w:rsidRDefault="006B1C05" w:rsidP="006B1C05">
      <w:pPr>
        <w:pStyle w:val="Bibliography"/>
      </w:pPr>
      <w:r>
        <w:t>28.</w:t>
      </w:r>
      <w:r>
        <w:tab/>
        <w:t>Higher Education Authority. Higher Education Authority. 2024 [cited 2024 Oct 18]. PATH 4 Phase 2 – Course provision for students with intellectual disabilities. Available from: https://hea.ie/policy/access-policy/path-4-phase-2/</w:t>
      </w:r>
    </w:p>
    <w:p w14:paraId="71590EED" w14:textId="77777777" w:rsidR="006B1C05" w:rsidRDefault="006B1C05" w:rsidP="006B1C05">
      <w:pPr>
        <w:pStyle w:val="Bibliography"/>
      </w:pPr>
      <w:r>
        <w:t>29.</w:t>
      </w:r>
      <w:r>
        <w:tab/>
        <w:t>Department of Social Protection. Ministers Humphreys and McGrath extend ‘Catherine’s Law’ to further remove barriers facing PhD students with disabilities [Internet]. 2022 [cited 2024 Oct 18]. Available from: https://www.gov.ie/en/press-release/a9209-ministers-humphreys-and-mcgrath-extend-catherines-law-to-further-remove-barriers-facing-phd-students-with-disabilities/</w:t>
      </w:r>
    </w:p>
    <w:p w14:paraId="009E8AA5" w14:textId="77777777" w:rsidR="006B1C05" w:rsidRDefault="006B1C05" w:rsidP="006B1C05">
      <w:pPr>
        <w:pStyle w:val="Bibliography"/>
      </w:pPr>
      <w:r>
        <w:t>30.</w:t>
      </w:r>
      <w:r>
        <w:tab/>
        <w:t>SOLAS. This is FET: Learners with disabilities 2022 [Internet]. 2023. Available from: https://www.solas.ie/f/70398/x/dfa32cd975/disabilities-fet-report.pdf</w:t>
      </w:r>
    </w:p>
    <w:p w14:paraId="5D3988D2" w14:textId="77777777" w:rsidR="006B1C05" w:rsidRDefault="006B1C05" w:rsidP="006B1C05">
      <w:pPr>
        <w:pStyle w:val="Bibliography"/>
      </w:pPr>
      <w:r>
        <w:t>31.</w:t>
      </w:r>
      <w:r>
        <w:tab/>
        <w:t>SOLAS. This is FET. Learners with disabilities 2018. [Internet]. 2019. Available from: https://www.solas.ie/f/70398/x/ae0f704449/learners-with-disabilities-2018.pdf</w:t>
      </w:r>
    </w:p>
    <w:p w14:paraId="0342D8EE" w14:textId="77777777" w:rsidR="006B1C05" w:rsidRDefault="006B1C05" w:rsidP="006B1C05">
      <w:pPr>
        <w:pStyle w:val="Bibliography"/>
      </w:pPr>
      <w:r>
        <w:t>32.</w:t>
      </w:r>
      <w:r>
        <w:tab/>
        <w:t>SOLAS. Review of pathways to  participation in apprenticeship [Internet]. 2018. Available from: https://www.solas.ie/f/70398/x/fb640012f5/pathwaysapprenticeshipreviewnov18.pdf</w:t>
      </w:r>
    </w:p>
    <w:p w14:paraId="3688CBF9" w14:textId="77777777" w:rsidR="006B1C05" w:rsidRDefault="006B1C05" w:rsidP="006B1C05">
      <w:pPr>
        <w:pStyle w:val="Bibliography"/>
      </w:pPr>
      <w:r>
        <w:t>33.</w:t>
      </w:r>
      <w:r>
        <w:tab/>
        <w:t>Lynch H, Ring E, Boyle B, Moore A, O’Toole C, O’Sullivan L, et al. Evaluation of In-School and  Early Years Therapy Support  Demonstration Project [Internet]. National Council for Special Education; 2020. Available from: https://ncse.ie/wp-content/uploads/2020/11/Demo-project-evaluation-fInal-for-web-upload.pdf</w:t>
      </w:r>
    </w:p>
    <w:p w14:paraId="3905DB10" w14:textId="77777777" w:rsidR="006B1C05" w:rsidRDefault="006B1C05" w:rsidP="006B1C05">
      <w:pPr>
        <w:pStyle w:val="Bibliography"/>
      </w:pPr>
      <w:r>
        <w:t>34.</w:t>
      </w:r>
      <w:r>
        <w:tab/>
        <w:t xml:space="preserve">Government of Ireland. Preparing Young Children for Primary School. A Resource for Parents, Early Learning and Care Settings and Schools. 2020. </w:t>
      </w:r>
    </w:p>
    <w:p w14:paraId="30B1C9DB" w14:textId="77777777" w:rsidR="006B1C05" w:rsidRDefault="006B1C05" w:rsidP="006B1C05">
      <w:pPr>
        <w:pStyle w:val="Bibliography"/>
      </w:pPr>
      <w:r>
        <w:t>35.</w:t>
      </w:r>
      <w:r>
        <w:tab/>
        <w:t>Guidelines on Starting School – National Council for Special Education – Working to deliver a better special education service [Internet]. [cited 2024 Jun 26]. Available from: https://ncse.ie/guidelines-on-starting-school</w:t>
      </w:r>
    </w:p>
    <w:p w14:paraId="2F99B69E" w14:textId="77777777" w:rsidR="006B1C05" w:rsidRDefault="006B1C05" w:rsidP="006B1C05">
      <w:pPr>
        <w:pStyle w:val="Bibliography"/>
      </w:pPr>
      <w:r>
        <w:t>36.</w:t>
      </w:r>
      <w:r>
        <w:tab/>
        <w:t>National Council for Special Education. Starting Primary School. Guidelines for parents and guardians of children with special educational needs. [Internet]. 2023. Available from: https://ncse.ie/wp-content/uploads/2024/03/Starting_Primary_School.pdf</w:t>
      </w:r>
    </w:p>
    <w:p w14:paraId="36FF9FFE" w14:textId="77777777" w:rsidR="006B1C05" w:rsidRDefault="006B1C05" w:rsidP="006B1C05">
      <w:pPr>
        <w:pStyle w:val="Bibliography"/>
      </w:pPr>
      <w:r>
        <w:t>37.</w:t>
      </w:r>
      <w:r>
        <w:tab/>
        <w:t xml:space="preserve">National Educational Psyschology Service, Health Services Executive. Supporting Children with Autism  Spectrum Disorder (ASD)/Social  Communication Difficulties Transition from Primary to Post Primary School. An information and support pack  for parents and teachers. 2015. </w:t>
      </w:r>
    </w:p>
    <w:p w14:paraId="07A9AFE3" w14:textId="77777777" w:rsidR="006B1C05" w:rsidRDefault="006B1C05" w:rsidP="006B1C05">
      <w:pPr>
        <w:pStyle w:val="Bibliography"/>
      </w:pPr>
      <w:r>
        <w:t>38.</w:t>
      </w:r>
      <w:r>
        <w:tab/>
        <w:t xml:space="preserve">National Council for Special Education. Moving from Primary to  Post-Primary School. Guidelines for parents and guardians of students  with special educational needs. 2023. </w:t>
      </w:r>
    </w:p>
    <w:p w14:paraId="13CD5E6D" w14:textId="77777777" w:rsidR="006B1C05" w:rsidRDefault="006B1C05" w:rsidP="006B1C05">
      <w:pPr>
        <w:pStyle w:val="Bibliography"/>
      </w:pPr>
      <w:r>
        <w:t>39.</w:t>
      </w:r>
      <w:r>
        <w:tab/>
        <w:t>National Council for Special Education. Changing Schools. Moving between special and mainstream settings. Guidelines for Parents/Guardians of Students  with Special Educational Need. [Internet]. 2016. Available from: https://ncse.ie/wp-content/uploads/2016/01/2-NCSE-2016-Changing-Schools-2-final-web-27.01.16.pdf</w:t>
      </w:r>
    </w:p>
    <w:p w14:paraId="48AC2F99" w14:textId="77777777" w:rsidR="006B1C05" w:rsidRDefault="006B1C05" w:rsidP="006B1C05">
      <w:pPr>
        <w:pStyle w:val="Bibliography"/>
      </w:pPr>
      <w:r>
        <w:t>40.</w:t>
      </w:r>
      <w:r>
        <w:tab/>
        <w:t>UK Department of Health. Pathways to Getting a Life: transition planning for full lives [Internet]. 2011. Available from: https://www.ndti.org.uk/assets/files/Pathways-o-GAL.pdf</w:t>
      </w:r>
    </w:p>
    <w:p w14:paraId="10AADCAC" w14:textId="77777777" w:rsidR="006B1C05" w:rsidRDefault="006B1C05" w:rsidP="006B1C05">
      <w:pPr>
        <w:pStyle w:val="Bibliography"/>
      </w:pPr>
      <w:r>
        <w:t>41.</w:t>
      </w:r>
      <w:r>
        <w:tab/>
        <w:t>Competitive Employment: Has It Become the “First Choice” Yet? - Paul Wehman, W. Grant Revell, Valerie Brooke, 2003 [Internet]. [cited 2024 Nov 6]. Available from: https://journals.sagepub.com/doi/10.1177/10442073030140030601</w:t>
      </w:r>
    </w:p>
    <w:p w14:paraId="05E06F08" w14:textId="77777777" w:rsidR="006B1C05" w:rsidRDefault="006B1C05" w:rsidP="006B1C05">
      <w:pPr>
        <w:pStyle w:val="Bibliography"/>
      </w:pPr>
      <w:r>
        <w:t>42.</w:t>
      </w:r>
      <w:r>
        <w:tab/>
        <w:t>Indecon. Indecon Review of Career Guidance [Internet]. 2019 [cited 2024 Jul 30]. Available from: https://www.gov.ie/en/publication/01ce11-indecon-review-of-career-guidance/</w:t>
      </w:r>
    </w:p>
    <w:p w14:paraId="0E103065" w14:textId="77777777" w:rsidR="006B1C05" w:rsidRDefault="006B1C05" w:rsidP="006B1C05">
      <w:pPr>
        <w:pStyle w:val="Bibliography"/>
      </w:pPr>
      <w:r>
        <w:t>43.</w:t>
      </w:r>
      <w:r>
        <w:tab/>
        <w:t>Government of Ireland. National Strategic Framework for Lifelong Guidance [Internet]. 2023. Available from: https://www.gov.ie/pdf/?file=https://assets.gov.ie/279193/8b0c3c0a-380f-4c82-9a7e-35af3432a318.pdf#page=null</w:t>
      </w:r>
    </w:p>
    <w:p w14:paraId="1E1D45CB" w14:textId="77777777" w:rsidR="006B1C05" w:rsidRDefault="006B1C05" w:rsidP="006B1C05">
      <w:pPr>
        <w:pStyle w:val="Bibliography"/>
      </w:pPr>
      <w:r>
        <w:t>44.</w:t>
      </w:r>
      <w:r>
        <w:tab/>
        <w:t>Government of Ireland. National Strategic Framework for Lifelong Guidance: Strategic Action Plan (2024-2030) [Internet]. 2023. Available from: https://www.gov.ie/pdf/?file=https://assets.gov.ie/279196/ac7dfa38-00fb-4dcf-8285-0f187b76469c.pdf#page=null</w:t>
      </w:r>
    </w:p>
    <w:p w14:paraId="640B51F0" w14:textId="77777777" w:rsidR="006B1C05" w:rsidRDefault="006B1C05" w:rsidP="006B1C05">
      <w:pPr>
        <w:pStyle w:val="Bibliography"/>
      </w:pPr>
      <w:r>
        <w:t>45.</w:t>
      </w:r>
      <w:r>
        <w:tab/>
        <w:t>National Council for Special Education. Leaving School? Information on some post-school options for rehabilitative training and adult day services. [Internet]. 2018. Available from: https://ncse.ie/wp-content/uploads/2018/04/NCSE-Post-School-Options.pdf</w:t>
      </w:r>
    </w:p>
    <w:p w14:paraId="2153522F" w14:textId="77777777" w:rsidR="006B1C05" w:rsidRDefault="006B1C05" w:rsidP="006B1C05">
      <w:pPr>
        <w:pStyle w:val="Bibliography"/>
      </w:pPr>
      <w:r>
        <w:t>46.</w:t>
      </w:r>
      <w:r>
        <w:tab/>
        <w:t>Department of Education. Ministers Foley and Madigan announce pilot project to support young school leavers with disabilities [Internet]. 2022 [cited 2024 Jul 30]. Available from: https://www.gov.ie/en/press-release/58fb9-ministers-foley-and-madigan-announce-pilot-project-to-support-young-school-leavers-with-disabilities/</w:t>
      </w:r>
    </w:p>
    <w:p w14:paraId="1484A16E" w14:textId="77777777" w:rsidR="006B1C05" w:rsidRDefault="006B1C05" w:rsidP="006B1C05">
      <w:pPr>
        <w:pStyle w:val="Bibliography"/>
      </w:pPr>
      <w:r>
        <w:t>47.</w:t>
      </w:r>
      <w:r>
        <w:tab/>
        <w:t>Transition stories: Voices of school leavers with intellectual disabilities - Scanlon - 2021 - British Journal of Learning Disabilities - Wiley Online Library [Internet]. [cited 2024 Nov 6]. Available from: https://onlinelibrary.wiley.com/doi/full/10.1111/bld.12433</w:t>
      </w:r>
    </w:p>
    <w:p w14:paraId="3F31AFF5" w14:textId="77777777" w:rsidR="006B1C05" w:rsidRDefault="006B1C05" w:rsidP="006B1C05">
      <w:pPr>
        <w:pStyle w:val="Bibliography"/>
      </w:pPr>
      <w:r>
        <w:t>48.</w:t>
      </w:r>
      <w:r>
        <w:tab/>
        <w:t>Department of Health. Minister for Disabilities announces the HSE deferral of its day service placement for school leavers with disabilities [Internet]. 2021 [cited 2024 Jul 30]. Available from: https://www.gov.ie/en/press-release/b47f4-minister-for-disabilities-announces-the-hse-deferral-of-its-day-service-placement-for-school-leavers-with-disabilities/</w:t>
      </w:r>
    </w:p>
    <w:p w14:paraId="70383047" w14:textId="77777777" w:rsidR="006B1C05" w:rsidRDefault="006B1C05" w:rsidP="006B1C05">
      <w:pPr>
        <w:pStyle w:val="Bibliography"/>
      </w:pPr>
      <w:r>
        <w:t>49.</w:t>
      </w:r>
      <w:r>
        <w:tab/>
        <w:t>Department of Children, Equality, Disabiity, Integration and Youth. Minister Rabbitte announces extension to deferral process for school leavers entering a disability day service [Internet]. 2024 [cited 2024 Jul 30]. Available from: https://www.gov.ie/en/press-release/cc427-minister-rabbitte-announces-extension-to-deferral-process-for-school-leavers-entering-a-disability-day-service/</w:t>
      </w:r>
    </w:p>
    <w:p w14:paraId="36A111AC" w14:textId="77777777" w:rsidR="006B1C05" w:rsidRDefault="006B1C05" w:rsidP="006B1C05">
      <w:pPr>
        <w:pStyle w:val="Bibliography"/>
      </w:pPr>
      <w:r>
        <w:t>50.</w:t>
      </w:r>
      <w:r>
        <w:tab/>
        <w:t>Doyle A. Spending Review. An Assessment of the Disability Allowance Scheme Trends and Characteristics [Internet]. 2023. Available from: https://www.gov.ie/pdf/?file=https://assets.gov.ie/271075/fbfe982e-a189-434f-a130-e4c97e51df6f.pdf#page=null</w:t>
      </w:r>
    </w:p>
    <w:p w14:paraId="5C2FD351" w14:textId="77777777" w:rsidR="006B1C05" w:rsidRDefault="006B1C05" w:rsidP="006B1C05">
      <w:pPr>
        <w:pStyle w:val="Bibliography"/>
      </w:pPr>
      <w:r>
        <w:t>51.</w:t>
      </w:r>
      <w:r>
        <w:tab/>
        <w:t>Department of Social Protection. Department of Social Protection Annual Report 2022 [Internet]. 2023. Available from: https://www.gov.ie/pdf/?file=https://assets.gov.ie/266156/f20b1997-df82-4916-bea5-2badf9e982a0.pdf#page=null</w:t>
      </w:r>
    </w:p>
    <w:p w14:paraId="31CAB07B" w14:textId="77777777" w:rsidR="006B1C05" w:rsidRDefault="006B1C05" w:rsidP="006B1C05">
      <w:pPr>
        <w:pStyle w:val="Bibliography"/>
      </w:pPr>
      <w:r>
        <w:t>52.</w:t>
      </w:r>
      <w:r>
        <w:tab/>
        <w:t>Department of Social Protection. Department of Social Protection Annual Report 2023 [Internet]. 2024. Available from: https://www.gov.ie/en/publication/3758a-annual-report-2023/</w:t>
      </w:r>
    </w:p>
    <w:p w14:paraId="47E1214B" w14:textId="77777777" w:rsidR="006B1C05" w:rsidRDefault="006B1C05" w:rsidP="006B1C05">
      <w:pPr>
        <w:pStyle w:val="Bibliography"/>
      </w:pPr>
      <w:r>
        <w:t>53.</w:t>
      </w:r>
      <w:r>
        <w:tab/>
        <w:t>Department of Social Protection. Operational Guidelines: Back to Education Allowance [Internet]. 2019 [cited 2024 Jul 23]. Available from: https://www.gov.ie/en/publication/5afe0f-operational-guidelines-back-to-education-allowance/</w:t>
      </w:r>
    </w:p>
    <w:p w14:paraId="22C72672" w14:textId="77777777" w:rsidR="006B1C05" w:rsidRDefault="006B1C05" w:rsidP="006B1C05">
      <w:pPr>
        <w:pStyle w:val="Bibliography"/>
      </w:pPr>
      <w:r>
        <w:t>54.</w:t>
      </w:r>
      <w:r>
        <w:tab/>
        <w:t>Department of Justice and Equality. Mid-Term Review of the National Disability  Inclusion Strategy 2017-2021 [Internet]. 2020. Available from: https://merrionstreet.ie/en/news-room/midterm_review_-_national_disability_inclusion_strategy.pdf</w:t>
      </w:r>
    </w:p>
    <w:p w14:paraId="4D1AA1FB" w14:textId="77777777" w:rsidR="006B1C05" w:rsidRDefault="006B1C05" w:rsidP="006B1C05">
      <w:pPr>
        <w:pStyle w:val="Bibliography"/>
      </w:pPr>
      <w:r>
        <w:t>55.</w:t>
      </w:r>
      <w:r>
        <w:tab/>
        <w:t>Labour Market Advisory Council. Pathways to Work 2021-2025: Mid-Term Review and Second Annual  Progress Report [Internet]. 2024. Available from: https://www.gov.ie/pdf/?file=https://assets.gov.ie/294542/3c995d20-b0c9-4ba6-a15e-aa96c6da9652.pdf#page=null</w:t>
      </w:r>
    </w:p>
    <w:p w14:paraId="11C4E75D" w14:textId="77777777" w:rsidR="006B1C05" w:rsidRDefault="006B1C05" w:rsidP="006B1C05">
      <w:pPr>
        <w:pStyle w:val="Bibliography"/>
      </w:pPr>
      <w:r>
        <w:t>56.</w:t>
      </w:r>
      <w:r>
        <w:tab/>
        <w:t>Employment and Youth Engagement Charter [Internet]. 2024 [cited 2024 Oct 21]. Available from: https://www.gov.ie/en/publication/cb239-the-employment-and-youth-engagement-charter/</w:t>
      </w:r>
    </w:p>
    <w:p w14:paraId="49EC91B5" w14:textId="77777777" w:rsidR="006B1C05" w:rsidRDefault="006B1C05" w:rsidP="006B1C05">
      <w:pPr>
        <w:pStyle w:val="Bibliography"/>
      </w:pPr>
      <w:r>
        <w:t>57.</w:t>
      </w:r>
      <w:r>
        <w:tab/>
        <w:t>AHEAD. The WAM Programme Statistics 2023 [Internet]. 2024. Available from: https://www.ahead.ie/userfiles/files/shop/free/TheWAMProgrammeStatistics_2023.pdf</w:t>
      </w:r>
    </w:p>
    <w:p w14:paraId="139EAC11" w14:textId="77777777" w:rsidR="006B1C05" w:rsidRDefault="006B1C05" w:rsidP="006B1C05">
      <w:pPr>
        <w:pStyle w:val="Bibliography"/>
      </w:pPr>
      <w:r>
        <w:t>58.</w:t>
      </w:r>
      <w:r>
        <w:tab/>
        <w:t>AHEAD. AHEAD. AHEAD; [cited 2024 Sep 16]. Pathway to permanent Civil Service employment for graduates with disabilities. Available from: https://ahead.ie/journal/pathway-to-permanent-civil-service-employment-for-graduates-with-disabilities</w:t>
      </w:r>
    </w:p>
    <w:p w14:paraId="493BBD73" w14:textId="77777777" w:rsidR="006B1C05" w:rsidRDefault="006B1C05" w:rsidP="006B1C05">
      <w:pPr>
        <w:pStyle w:val="Bibliography"/>
      </w:pPr>
      <w:r>
        <w:t>59.</w:t>
      </w:r>
      <w:r>
        <w:tab/>
        <w:t>AHEAD. Students with disabilities engaged with student support services in higher education in Ireland 2021/2022 [Internet]. AHEAD; 2023 [cited 2024 Jun 25]. Available from: https://www.ahead.ie/userfiles/files/AHEAD_Research_Report_22_Interactive.pdf</w:t>
      </w:r>
    </w:p>
    <w:p w14:paraId="13DFC43D" w14:textId="77777777" w:rsidR="006B1C05" w:rsidRDefault="006B1C05" w:rsidP="006B1C05">
      <w:pPr>
        <w:pStyle w:val="Bibliography"/>
      </w:pPr>
      <w:r>
        <w:t>60.</w:t>
      </w:r>
      <w:r>
        <w:tab/>
        <w:t>Department of Further and Higher Education, Research, Innovation and Science. Action Plan for Apprenticeship 2021-2015 [Internet]. 2021. Available from: https://www.gov.ie/pdf/?file=https://assets.gov.ie/132640/00c012f4-531c-4578-b8bb-179db4351939.pdf#page=null</w:t>
      </w:r>
    </w:p>
    <w:p w14:paraId="0A781B60" w14:textId="77777777" w:rsidR="006B1C05" w:rsidRDefault="006B1C05" w:rsidP="006B1C05">
      <w:pPr>
        <w:pStyle w:val="Bibliography"/>
      </w:pPr>
      <w:r>
        <w:t>61.</w:t>
      </w:r>
      <w:r>
        <w:tab/>
        <w:t>National Apprenticeship Office. Generation Apprenticeship. 2024 [cited 2024 Jul 26]. New Access and Inclusion Bursary. Available from: https://apprenticeship.ie/news-events/news/access-and-inclusion-bursary</w:t>
      </w:r>
    </w:p>
    <w:p w14:paraId="3CBEE2BB" w14:textId="77777777" w:rsidR="006B1C05" w:rsidRDefault="006B1C05" w:rsidP="006B1C05">
      <w:pPr>
        <w:pStyle w:val="Bibliography"/>
      </w:pPr>
      <w:r>
        <w:t>62.</w:t>
      </w:r>
      <w:r>
        <w:tab/>
        <w:t>National Apprenticeship Office. Findings from the 2023 national survey of apprenticeship employers [Internet]. 2023; Available from: https://content.apprenticeship.ie/f/83224/x/a1f830e934/employersurveyreport2023_final.pdf</w:t>
      </w:r>
    </w:p>
    <w:p w14:paraId="020CE3E6" w14:textId="77777777" w:rsidR="006B1C05" w:rsidRDefault="006B1C05" w:rsidP="006B1C05">
      <w:pPr>
        <w:pStyle w:val="Bibliography"/>
      </w:pPr>
      <w:r>
        <w:t>63.</w:t>
      </w:r>
      <w:r>
        <w:tab/>
        <w:t xml:space="preserve">Indecon. Evaluation of EmployAbility (Supported Employment) Service. Submitted to Department of Social Protection; 2016. </w:t>
      </w:r>
    </w:p>
    <w:p w14:paraId="438F985D" w14:textId="77777777" w:rsidR="006B1C05" w:rsidRDefault="006B1C05" w:rsidP="006B1C05">
      <w:pPr>
        <w:pStyle w:val="Bibliography"/>
      </w:pPr>
      <w:r>
        <w:t>64.</w:t>
      </w:r>
      <w:r>
        <w:tab/>
        <w:t>Mental Health Reform. Steps into Work: Integrating Employment and Mental Health Supports Project Final report [Internet]. 2018. Available from: https://mentalhealthreform.ie/wp-content/uploads/2018/09/Steps-Into-Work-IEMHS-Final.pdf</w:t>
      </w:r>
    </w:p>
    <w:p w14:paraId="76D50F43" w14:textId="77777777" w:rsidR="006B1C05" w:rsidRDefault="006B1C05" w:rsidP="006B1C05">
      <w:pPr>
        <w:pStyle w:val="Bibliography"/>
      </w:pPr>
      <w:r>
        <w:t>65.</w:t>
      </w:r>
      <w:r>
        <w:tab/>
        <w:t>Boland L, Kennedy M, Lynch LJ, Bonham-Corcoran M, Quinn S. Exploring the non-vocational outcomes of the individual placement and support (IPS) employment model. Ir J Occup Ther [Internet]. 2024 Jan 1 [cited 2024 Oct 15];52(1):29–35. Available from: https://doi.org/10.1108/IJOT-09-2023-0021</w:t>
      </w:r>
    </w:p>
    <w:p w14:paraId="66B76843" w14:textId="77777777" w:rsidR="006B1C05" w:rsidRDefault="006B1C05" w:rsidP="006B1C05">
      <w:pPr>
        <w:pStyle w:val="Bibliography"/>
      </w:pPr>
      <w:r>
        <w:t>66.</w:t>
      </w:r>
      <w:r>
        <w:tab/>
        <w:t>Beyer S, Robinson C. A Review of the Research Literature on Supported Employment: A Report for the cross-Government learning disability employment strategy team - Google Search [Internet]. 2009 [cited 2024 Oct 21]. Available from: https://www.base-uk.org/sites/default/files/%5Buser-raw%5D/11-06/research_literature_review.pdf</w:t>
      </w:r>
    </w:p>
    <w:p w14:paraId="2527B3F9" w14:textId="77777777" w:rsidR="006B1C05" w:rsidRDefault="006B1C05" w:rsidP="006B1C05">
      <w:pPr>
        <w:pStyle w:val="Bibliography"/>
      </w:pPr>
      <w:r>
        <w:t>67.</w:t>
      </w:r>
      <w:r>
        <w:tab/>
        <w:t>Carroll E, McCoy S. Personal Assistance Services in Ireland: A Capability Approach to Understanding the Lived Experience of Disabled People. Disabilities [Internet]. 2022 Dec [cited 2024 Oct 21];2(4):694–714. Available from: https://www.mdpi.com/2673-7272/2/4/49</w:t>
      </w:r>
    </w:p>
    <w:p w14:paraId="7F3024EE" w14:textId="77777777" w:rsidR="006B1C05" w:rsidRDefault="006B1C05" w:rsidP="006B1C05">
      <w:pPr>
        <w:pStyle w:val="Bibliography"/>
      </w:pPr>
      <w:r>
        <w:t>68.</w:t>
      </w:r>
      <w:r>
        <w:tab/>
        <w:t>Department of Social Protection. Statistical Information On Social Welfare Services. Annual Report 2022 [Internet]. 2023. Available from: https://www.gov.ie/pdf/?file=https://assets.gov.ie/262944/3bdd325b-db94-4daf-90c3-b6c00682a7d9.pdf#page=null</w:t>
      </w:r>
    </w:p>
    <w:p w14:paraId="7505B79E" w14:textId="77777777" w:rsidR="006B1C05" w:rsidRDefault="006B1C05" w:rsidP="006B1C05">
      <w:pPr>
        <w:pStyle w:val="Bibliography"/>
      </w:pPr>
      <w:r>
        <w:t>69.</w:t>
      </w:r>
      <w:r>
        <w:tab/>
        <w:t>Minister for Social Proection, Heather Humphreys H of the. Disability Allowance – Wednesday, 24 Mar 2021 – Parliamentary Questions (33rd Dáil) – Houses of the Oireachtas [Internet]. 2021 [cited 2024 Aug 1]. Available from: https://www.oireachtas.ie/en/debates/question/2021-03-24/975</w:t>
      </w:r>
    </w:p>
    <w:p w14:paraId="77621DA8" w14:textId="77777777" w:rsidR="006B1C05" w:rsidRDefault="006B1C05" w:rsidP="006B1C05">
      <w:pPr>
        <w:pStyle w:val="Bibliography"/>
      </w:pPr>
      <w:r>
        <w:t>70.</w:t>
      </w:r>
      <w:r>
        <w:tab/>
        <w:t>Department of Social Protection. Minister Humphreys announces increased earnings disregards for Disability Allowance and Blind Pension [Internet]. 2022 [cited 2024 Aug 1]. Available from: https://www.gov.ie/en/press-release/95a3d-minister-humphreys-announces-increased-earnings-disregards-for-disability-allowance-and-blind-pension/</w:t>
      </w:r>
    </w:p>
    <w:p w14:paraId="0A18C094" w14:textId="77777777" w:rsidR="006B1C05" w:rsidRDefault="006B1C05" w:rsidP="006B1C05">
      <w:pPr>
        <w:pStyle w:val="Bibliography"/>
      </w:pPr>
      <w:r>
        <w:t>71.</w:t>
      </w:r>
      <w:r>
        <w:tab/>
        <w:t xml:space="preserve">Judge C, Rossi É, Hardiman S, Oman C. Department of Social Protection Report on Disability Allowance Survey 2015. Department of Social Protection; 2016. </w:t>
      </w:r>
    </w:p>
    <w:p w14:paraId="72A09BB2" w14:textId="77777777" w:rsidR="006B1C05" w:rsidRDefault="006B1C05" w:rsidP="006B1C05">
      <w:pPr>
        <w:pStyle w:val="Bibliography"/>
      </w:pPr>
      <w:r>
        <w:t>72.</w:t>
      </w:r>
      <w:r>
        <w:tab/>
        <w:t>National Disability Authority. Final Review of Progress on Indicators of the National Disability Inclusion Strategy [Internet]. 2023. Available from: https://nda.ie/publications/mid-term-review-of-progress-under-the-national-disability-inclusion-strategy-indicators</w:t>
      </w:r>
    </w:p>
    <w:p w14:paraId="1681E2C5" w14:textId="77777777" w:rsidR="006B1C05" w:rsidRDefault="006B1C05" w:rsidP="006B1C05">
      <w:pPr>
        <w:pStyle w:val="Bibliography"/>
      </w:pPr>
      <w:r>
        <w:t>73.</w:t>
      </w:r>
      <w:r>
        <w:tab/>
        <w:t>Department of Social Protection. Statistical Information on Social Welfare Services. Annual Report 2020 [Internet]. 2021. Available from: https://www.gov.ie/pdf/?file=https://assets.gov.ie/152643/d6371436-0518-471e-9674-a2b6a92739a2.pdf#page=null</w:t>
      </w:r>
    </w:p>
    <w:p w14:paraId="0FE550A6" w14:textId="77777777" w:rsidR="006B1C05" w:rsidRDefault="006B1C05" w:rsidP="006B1C05">
      <w:pPr>
        <w:pStyle w:val="Bibliography"/>
      </w:pPr>
      <w:r>
        <w:t>74.</w:t>
      </w:r>
      <w:r>
        <w:tab/>
        <w:t>Department of Social Protection. Statistical Information on Social Welfare Services. Annual Report 2021 [Internet]. 2022. Available from: https://www.gov.ie/pdf/?file=https://assets.gov.ie/232416/d474f67e-f392-4b48-99a6-bce9b0cf41a0.pdf#page=null</w:t>
      </w:r>
    </w:p>
    <w:p w14:paraId="6B53A2CE" w14:textId="77777777" w:rsidR="006B1C05" w:rsidRDefault="006B1C05" w:rsidP="006B1C05">
      <w:pPr>
        <w:pStyle w:val="Bibliography"/>
      </w:pPr>
      <w:r>
        <w:t>75.</w:t>
      </w:r>
      <w:r>
        <w:tab/>
        <w:t>Department of Social Protection. Make Work Pay Report [Internet]. 2017 [cited 2023 Oct 25]. Available from: https://www.gov.ie/en/publication/0fb542-make-work-pay-report/</w:t>
      </w:r>
    </w:p>
    <w:p w14:paraId="0299A303" w14:textId="77777777" w:rsidR="006B1C05" w:rsidRDefault="006B1C05" w:rsidP="006B1C05">
      <w:pPr>
        <w:pStyle w:val="Bibliography"/>
      </w:pPr>
      <w:r>
        <w:t>76.</w:t>
      </w:r>
      <w:r>
        <w:tab/>
        <w:t>Minister for Employment Affairs and Social Protection, Regina Doherty H of the. Wage Subsidy Scheme – Tuesday, 19 Feb 2019 – Parliamentary Questions (32nd Dáil) – Houses of the Oireachtas [Internet]. 2019 [cited 2024 Jul 26]. Available from: https://www.oireachtas.ie/en/debates/question/2019-02-19/613</w:t>
      </w:r>
    </w:p>
    <w:p w14:paraId="5B0F6C66" w14:textId="77777777" w:rsidR="006B1C05" w:rsidRDefault="006B1C05" w:rsidP="006B1C05">
      <w:pPr>
        <w:pStyle w:val="Bibliography"/>
      </w:pPr>
      <w:r>
        <w:t>77.</w:t>
      </w:r>
      <w:r>
        <w:tab/>
        <w:t>National Disability Authority. Reasonable Accommodations: Obstacles and Opportunities to the Employment of Persons with a Disability [Internet]. 2019. Available from: https://nda.ie/publications/reasonable-accommodations-obstacles-and-opportunities-to-the-employment-of-persons-with-a-disability</w:t>
      </w:r>
    </w:p>
    <w:p w14:paraId="79BE7BBE" w14:textId="77777777" w:rsidR="006B1C05" w:rsidRDefault="006B1C05" w:rsidP="006B1C05">
      <w:pPr>
        <w:pStyle w:val="Bibliography"/>
      </w:pPr>
      <w:r>
        <w:t>78.</w:t>
      </w:r>
      <w:r>
        <w:tab/>
        <w:t>Department of Social Protection. Minister Humphreys launches public consultation on the review of the Wage Subsidy Scheme [Internet]. 2023 [cited 2024 Aug 1]. Available from: https://www.gov.ie/en/press-release/4ab31-minister-humphreys-launches-public-consultation-on-the-review-of-the-wage-subsidy-scheme/</w:t>
      </w:r>
    </w:p>
    <w:p w14:paraId="1B9E0E14" w14:textId="77777777" w:rsidR="006B1C05" w:rsidRDefault="006B1C05" w:rsidP="006B1C05">
      <w:pPr>
        <w:pStyle w:val="Bibliography"/>
      </w:pPr>
      <w:r>
        <w:t>79.</w:t>
      </w:r>
      <w:r>
        <w:tab/>
        <w:t>Department of Social Protection. Report on the Review of the Wage Subsidy Scheme [Internet]. 2024 Aug [cited 2024 Oct 21]. Available from: https://www.gov.ie/pdf/?file=https://assets.gov.ie/303553/feca4247-56dc-41cc-8e9f-26c89d69f8ed.pdf#page=null</w:t>
      </w:r>
    </w:p>
    <w:p w14:paraId="198ED808" w14:textId="77777777" w:rsidR="006B1C05" w:rsidRDefault="006B1C05" w:rsidP="006B1C05">
      <w:pPr>
        <w:pStyle w:val="Bibliography"/>
      </w:pPr>
      <w:r>
        <w:t>80.</w:t>
      </w:r>
      <w:r>
        <w:tab/>
        <w:t>Department of Social Protection. Review of the Reasonable Accommodation Fund and Disability Awareness Support Scheme [Internet]. 2023. Available from: https://www.gov.ie/pdf/?file=https://assets.gov.ie/268690/738f9cd4-ee53-4afc-a8a0-1042fe5ae249.pdf#page=null</w:t>
      </w:r>
    </w:p>
    <w:p w14:paraId="18025851" w14:textId="77777777" w:rsidR="006B1C05" w:rsidRDefault="006B1C05" w:rsidP="006B1C05">
      <w:pPr>
        <w:pStyle w:val="Bibliography"/>
      </w:pPr>
      <w:r>
        <w:t>81.</w:t>
      </w:r>
      <w:r>
        <w:tab/>
        <w:t>Department of Social Protection. Work and Access [Internet]. 2024 [cited 2024 Aug 1]. Available from: https://www.gov.ie/en/service/47db8-work-and-access-supports/?referrer=https://www.gov.ie/en/service/62fd96-reasonable-accommodation-fund/</w:t>
      </w:r>
    </w:p>
    <w:p w14:paraId="2D02D1C0" w14:textId="77777777" w:rsidR="006B1C05" w:rsidRDefault="006B1C05" w:rsidP="006B1C05">
      <w:pPr>
        <w:pStyle w:val="Bibliography"/>
      </w:pPr>
      <w:r>
        <w:t>82.</w:t>
      </w:r>
      <w:r>
        <w:tab/>
        <w:t>ICTU and Ibec. Reasonable Adjustment Disability Passport | ICTU [Internet]. 2019 [cited 2024 Oct 21]. Available from: https://www.ictu.ie/publications/reasonable-adjustment-disability-passport</w:t>
      </w:r>
    </w:p>
    <w:p w14:paraId="603580AC" w14:textId="77777777" w:rsidR="006B1C05" w:rsidRDefault="006B1C05" w:rsidP="006B1C05">
      <w:pPr>
        <w:pStyle w:val="Bibliography"/>
      </w:pPr>
      <w:r>
        <w:t>83.</w:t>
      </w:r>
      <w:r>
        <w:tab/>
        <w:t xml:space="preserve">de Geus CJC, Huysmans MA, van Rijssen HJ, Anema JR. Return to work factors and vocational rehabilitation interventions for long-term, partially disabled workers: a modified Delphi study among vocational rehabilitation professionals. BMC Public Health. 2022 May 2;22(1):875. </w:t>
      </w:r>
    </w:p>
    <w:p w14:paraId="7F964316" w14:textId="77777777" w:rsidR="006B1C05" w:rsidRDefault="006B1C05" w:rsidP="006B1C05">
      <w:pPr>
        <w:pStyle w:val="Bibliography"/>
      </w:pPr>
      <w:r>
        <w:t>84.</w:t>
      </w:r>
      <w:r>
        <w:tab/>
        <w:t>National Disability Authority. NDA Policy Advice on Vocational Rehabilitation Provision in Ireland [Internet]. 2021. Available from: https://nda.ie/uploads/publications/nda-policy-advice-on-vocational-rehabilitation-provision-in-ireland1.pdf</w:t>
      </w:r>
    </w:p>
    <w:p w14:paraId="4298A5D1" w14:textId="77777777" w:rsidR="006B1C05" w:rsidRDefault="006B1C05" w:rsidP="006B1C05">
      <w:pPr>
        <w:pStyle w:val="Bibliography"/>
      </w:pPr>
      <w:r>
        <w:t>85.</w:t>
      </w:r>
      <w:r>
        <w:tab/>
        <w:t>Department of Social Protection. Pathways to Work Strategy 2021 - 2025 [Internet]. 2021 [cited 2024 Nov 6]. Available from: https://www.gov.ie/en/publication/1feaf-pathways-to-work-2021/</w:t>
      </w:r>
    </w:p>
    <w:p w14:paraId="751E2275" w14:textId="77777777" w:rsidR="006B1C05" w:rsidRDefault="006B1C05" w:rsidP="006B1C05">
      <w:pPr>
        <w:pStyle w:val="Bibliography"/>
      </w:pPr>
      <w:r>
        <w:t>86.</w:t>
      </w:r>
      <w:r>
        <w:tab/>
        <w:t xml:space="preserve">Employer Disability Informat. Employer disability information – our journey so far 2016- 2018. </w:t>
      </w:r>
    </w:p>
    <w:p w14:paraId="201CD30C" w14:textId="77777777" w:rsidR="006B1C05" w:rsidRDefault="006B1C05" w:rsidP="006B1C05">
      <w:pPr>
        <w:pStyle w:val="Bibliography"/>
      </w:pPr>
      <w:r>
        <w:t>87.</w:t>
      </w:r>
      <w:r>
        <w:tab/>
        <w:t xml:space="preserve">Employer Disability Informat. Survey of private sector employer’s attitude to employing people with disabilities. 2016. </w:t>
      </w:r>
    </w:p>
    <w:p w14:paraId="0CD9469C" w14:textId="77777777" w:rsidR="006B1C05" w:rsidRDefault="006B1C05" w:rsidP="006B1C05">
      <w:pPr>
        <w:pStyle w:val="Bibliography"/>
      </w:pPr>
      <w:r>
        <w:t>88.</w:t>
      </w:r>
      <w:r>
        <w:tab/>
        <w:t xml:space="preserve">Employer Disability Informat. Employers attitude to employing people with disabilities. Survey results October 2018. 2018. </w:t>
      </w:r>
    </w:p>
    <w:p w14:paraId="06767A95" w14:textId="77777777" w:rsidR="006B1C05" w:rsidRDefault="006B1C05" w:rsidP="006B1C05">
      <w:pPr>
        <w:pStyle w:val="Bibliography"/>
      </w:pPr>
      <w:r>
        <w:t>89.</w:t>
      </w:r>
      <w:r>
        <w:tab/>
        <w:t>Employers for Change. Employer Toolkit [Internet]. 2020. Available from: https://www.employersforchange.ie/userfiles/files/EFCEmployervToolkitFinal.pdf</w:t>
      </w:r>
    </w:p>
    <w:p w14:paraId="0A496A8B" w14:textId="77777777" w:rsidR="006B1C05" w:rsidRDefault="006B1C05" w:rsidP="006B1C05">
      <w:pPr>
        <w:pStyle w:val="Bibliography"/>
      </w:pPr>
      <w:r>
        <w:t>90.</w:t>
      </w:r>
      <w:r>
        <w:tab/>
        <w:t>Ibec. Reasonable accommodation for staff with disabilities - how far must an employer go? [Internet]. 2022 [cited 2024 Nov 6]. Available from: https://sitecore-prd-ne-cd01.azurewebsites.net/connect-and-learn/insights/insights/2022/07/07/reasonable-accommodation-for-staff-with-disabilities-how-far-must-an-employer-go</w:t>
      </w:r>
    </w:p>
    <w:p w14:paraId="3D8903C1" w14:textId="77777777" w:rsidR="006B1C05" w:rsidRDefault="006B1C05" w:rsidP="006B1C05">
      <w:pPr>
        <w:pStyle w:val="Bibliography"/>
      </w:pPr>
      <w:r>
        <w:t>91.</w:t>
      </w:r>
      <w:r>
        <w:tab/>
        <w:t>Employers for Change. Creating an inclusive job spec [Internet]. Available from: https://www.employersforchange.ie/userfiles/files/EFC_InclusiveJobSpec.pdf</w:t>
      </w:r>
    </w:p>
    <w:p w14:paraId="4C61D1DD" w14:textId="77777777" w:rsidR="006B1C05" w:rsidRDefault="006B1C05" w:rsidP="006B1C05">
      <w:pPr>
        <w:pStyle w:val="Bibliography"/>
      </w:pPr>
      <w:r>
        <w:t>92.</w:t>
      </w:r>
      <w:r>
        <w:tab/>
        <w:t>Employers for Change. Creating accessible online events [Internet]. Available from: https://www.employersforchange.ie/userfiles/files/EFC%20Accessible%20Online%20Events%20.pdf</w:t>
      </w:r>
    </w:p>
    <w:p w14:paraId="5FBCE173" w14:textId="77777777" w:rsidR="006B1C05" w:rsidRDefault="006B1C05" w:rsidP="006B1C05">
      <w:pPr>
        <w:pStyle w:val="Bibliography"/>
      </w:pPr>
      <w:r>
        <w:t>93.</w:t>
      </w:r>
      <w:r>
        <w:tab/>
        <w:t>Employers for Change. Employers for Change. Employers for Change; 2021 [cited 2024 Nov 6]. Disclosure. Available from: https://www.employersforchange.ie/Disclosure</w:t>
      </w:r>
    </w:p>
    <w:p w14:paraId="27D8B9C6" w14:textId="7FA35B49" w:rsidR="00761637" w:rsidRDefault="00761637" w:rsidP="00A124E4">
      <w:pPr>
        <w:spacing w:after="0"/>
        <w:rPr>
          <w:szCs w:val="26"/>
        </w:rPr>
      </w:pPr>
      <w:r>
        <w:rPr>
          <w:szCs w:val="26"/>
        </w:rPr>
        <w:fldChar w:fldCharType="end"/>
      </w:r>
    </w:p>
    <w:p w14:paraId="33354D10" w14:textId="77777777" w:rsidR="00CF68BE" w:rsidRDefault="00CF68BE" w:rsidP="00A124E4">
      <w:pPr>
        <w:spacing w:after="0"/>
        <w:rPr>
          <w:szCs w:val="26"/>
        </w:rPr>
        <w:sectPr w:rsidR="00CF68BE" w:rsidSect="00406458">
          <w:pgSz w:w="12240" w:h="15840"/>
          <w:pgMar w:top="1440" w:right="1800" w:bottom="1440" w:left="1800" w:header="708" w:footer="708" w:gutter="0"/>
          <w:cols w:space="708"/>
          <w:docGrid w:linePitch="360"/>
        </w:sectPr>
      </w:pPr>
    </w:p>
    <w:p w14:paraId="3F08E6B5" w14:textId="23125D34" w:rsidR="006F7CD1" w:rsidRDefault="006F7CD1" w:rsidP="006F7CD1">
      <w:pPr>
        <w:pStyle w:val="Heading1"/>
      </w:pPr>
      <w:bookmarkStart w:id="370" w:name="_Toc182555611"/>
      <w:bookmarkStart w:id="371" w:name="_Toc182555750"/>
      <w:r>
        <w:t>Appendix 1: Amendments to original indicator set for midterm report</w:t>
      </w:r>
      <w:bookmarkEnd w:id="370"/>
      <w:bookmarkEnd w:id="371"/>
    </w:p>
    <w:tbl>
      <w:tblPr>
        <w:tblStyle w:val="TableGrid"/>
        <w:tblW w:w="13036" w:type="dxa"/>
        <w:tblLook w:val="04A0" w:firstRow="1" w:lastRow="0" w:firstColumn="1" w:lastColumn="0" w:noHBand="0" w:noVBand="1"/>
        <w:tblCaption w:val="Amendmenets to original Indicator set"/>
        <w:tblDescription w:val="Table displays a list of strategic prioritys, the core indicator for progress on each priority, whether the indicator was amended or not and the reason for the change."/>
      </w:tblPr>
      <w:tblGrid>
        <w:gridCol w:w="2122"/>
        <w:gridCol w:w="4536"/>
        <w:gridCol w:w="3543"/>
        <w:gridCol w:w="2835"/>
      </w:tblGrid>
      <w:tr w:rsidR="00F658D2" w:rsidRPr="00E44373" w14:paraId="322D0BBA" w14:textId="77777777" w:rsidTr="00B42243">
        <w:trPr>
          <w:tblHeader/>
        </w:trPr>
        <w:tc>
          <w:tcPr>
            <w:tcW w:w="2122" w:type="dxa"/>
            <w:shd w:val="clear" w:color="auto" w:fill="auto"/>
          </w:tcPr>
          <w:p w14:paraId="47154C40" w14:textId="322D0DDB" w:rsidR="00F658D2" w:rsidRPr="00372D71" w:rsidRDefault="00F658D2" w:rsidP="00433BBA">
            <w:pPr>
              <w:rPr>
                <w:b/>
                <w:sz w:val="22"/>
                <w:szCs w:val="22"/>
              </w:rPr>
            </w:pPr>
            <w:r w:rsidRPr="00372D71">
              <w:rPr>
                <w:b/>
                <w:sz w:val="22"/>
                <w:szCs w:val="22"/>
              </w:rPr>
              <w:t xml:space="preserve">Strategic </w:t>
            </w:r>
            <w:r w:rsidR="00C3227F">
              <w:rPr>
                <w:b/>
                <w:sz w:val="22"/>
                <w:szCs w:val="22"/>
              </w:rPr>
              <w:t>p</w:t>
            </w:r>
            <w:r w:rsidRPr="00372D71">
              <w:rPr>
                <w:b/>
                <w:sz w:val="22"/>
                <w:szCs w:val="22"/>
              </w:rPr>
              <w:t>riority</w:t>
            </w:r>
          </w:p>
        </w:tc>
        <w:tc>
          <w:tcPr>
            <w:tcW w:w="4536" w:type="dxa"/>
            <w:shd w:val="clear" w:color="auto" w:fill="auto"/>
          </w:tcPr>
          <w:p w14:paraId="171B09A5" w14:textId="7613E63D" w:rsidR="00F658D2" w:rsidRPr="00372D71" w:rsidRDefault="00F658D2" w:rsidP="00433BBA">
            <w:pPr>
              <w:rPr>
                <w:b/>
                <w:sz w:val="22"/>
                <w:szCs w:val="22"/>
              </w:rPr>
            </w:pPr>
            <w:r w:rsidRPr="00372D71">
              <w:rPr>
                <w:b/>
                <w:sz w:val="22"/>
                <w:szCs w:val="22"/>
              </w:rPr>
              <w:t xml:space="preserve">Core </w:t>
            </w:r>
            <w:r w:rsidR="00C3227F">
              <w:rPr>
                <w:b/>
                <w:sz w:val="22"/>
                <w:szCs w:val="22"/>
              </w:rPr>
              <w:t>i</w:t>
            </w:r>
            <w:r w:rsidRPr="00372D71">
              <w:rPr>
                <w:b/>
                <w:sz w:val="22"/>
                <w:szCs w:val="22"/>
              </w:rPr>
              <w:t>ndicator of progress</w:t>
            </w:r>
          </w:p>
        </w:tc>
        <w:tc>
          <w:tcPr>
            <w:tcW w:w="3543" w:type="dxa"/>
          </w:tcPr>
          <w:p w14:paraId="034DC2FB" w14:textId="77777777" w:rsidR="00F658D2" w:rsidRPr="00372D71" w:rsidRDefault="00F658D2" w:rsidP="00433BBA">
            <w:pPr>
              <w:rPr>
                <w:b/>
                <w:sz w:val="22"/>
                <w:szCs w:val="22"/>
              </w:rPr>
            </w:pPr>
            <w:r w:rsidRPr="00372D71">
              <w:rPr>
                <w:b/>
                <w:sz w:val="22"/>
                <w:szCs w:val="22"/>
              </w:rPr>
              <w:t>Amended?</w:t>
            </w:r>
          </w:p>
        </w:tc>
        <w:tc>
          <w:tcPr>
            <w:tcW w:w="2835" w:type="dxa"/>
          </w:tcPr>
          <w:p w14:paraId="593DC7F6" w14:textId="77777777" w:rsidR="00F658D2" w:rsidRPr="00372D71" w:rsidRDefault="00F658D2" w:rsidP="00433BBA">
            <w:pPr>
              <w:rPr>
                <w:b/>
                <w:sz w:val="22"/>
                <w:szCs w:val="22"/>
              </w:rPr>
            </w:pPr>
            <w:r w:rsidRPr="00372D71">
              <w:rPr>
                <w:b/>
                <w:sz w:val="22"/>
                <w:szCs w:val="22"/>
              </w:rPr>
              <w:t>Reason for change</w:t>
            </w:r>
          </w:p>
        </w:tc>
      </w:tr>
      <w:tr w:rsidR="00F658D2" w:rsidRPr="00E44373" w14:paraId="66A708D2" w14:textId="77777777" w:rsidTr="00B42243">
        <w:tc>
          <w:tcPr>
            <w:tcW w:w="2122" w:type="dxa"/>
            <w:shd w:val="clear" w:color="auto" w:fill="auto"/>
          </w:tcPr>
          <w:p w14:paraId="5F3823A3" w14:textId="0B6F2287" w:rsidR="00F658D2" w:rsidRPr="00A6203B" w:rsidRDefault="00F658D2" w:rsidP="00F658D2">
            <w:pPr>
              <w:rPr>
                <w:sz w:val="22"/>
                <w:szCs w:val="22"/>
              </w:rPr>
            </w:pPr>
            <w:r w:rsidRPr="00A6203B">
              <w:rPr>
                <w:sz w:val="22"/>
                <w:szCs w:val="22"/>
              </w:rPr>
              <w:t>SP1: Building skills, capacity and independence</w:t>
            </w:r>
          </w:p>
        </w:tc>
        <w:tc>
          <w:tcPr>
            <w:tcW w:w="4536" w:type="dxa"/>
            <w:shd w:val="clear" w:color="auto" w:fill="auto"/>
          </w:tcPr>
          <w:p w14:paraId="07BC125D" w14:textId="418C5D93" w:rsidR="00F658D2" w:rsidRPr="00372D71" w:rsidRDefault="00F658D2" w:rsidP="00F658D2">
            <w:pPr>
              <w:rPr>
                <w:sz w:val="22"/>
                <w:szCs w:val="22"/>
              </w:rPr>
            </w:pPr>
            <w:r w:rsidRPr="00372D71">
              <w:rPr>
                <w:sz w:val="22"/>
                <w:szCs w:val="22"/>
              </w:rPr>
              <w:t>Number of children receiving targeted pre-school support (levels 4-7 of the AIMS model)</w:t>
            </w:r>
          </w:p>
        </w:tc>
        <w:tc>
          <w:tcPr>
            <w:tcW w:w="3543" w:type="dxa"/>
          </w:tcPr>
          <w:p w14:paraId="55192DB6" w14:textId="0AA1FCF1" w:rsidR="00F658D2" w:rsidRPr="00372D71" w:rsidRDefault="00F658D2" w:rsidP="00F658D2">
            <w:pPr>
              <w:rPr>
                <w:sz w:val="22"/>
                <w:szCs w:val="22"/>
              </w:rPr>
            </w:pPr>
            <w:r>
              <w:rPr>
                <w:sz w:val="22"/>
                <w:szCs w:val="22"/>
              </w:rPr>
              <w:t>No.</w:t>
            </w:r>
          </w:p>
        </w:tc>
        <w:tc>
          <w:tcPr>
            <w:tcW w:w="2835" w:type="dxa"/>
          </w:tcPr>
          <w:p w14:paraId="41FB743C" w14:textId="77777777" w:rsidR="00F658D2" w:rsidRPr="00372D71" w:rsidRDefault="00F658D2" w:rsidP="00F658D2">
            <w:pPr>
              <w:rPr>
                <w:sz w:val="22"/>
                <w:szCs w:val="22"/>
              </w:rPr>
            </w:pPr>
          </w:p>
        </w:tc>
      </w:tr>
      <w:tr w:rsidR="00F658D2" w:rsidRPr="00E44373" w14:paraId="31496379" w14:textId="77777777" w:rsidTr="00B42243">
        <w:tc>
          <w:tcPr>
            <w:tcW w:w="2122" w:type="dxa"/>
            <w:shd w:val="clear" w:color="auto" w:fill="auto"/>
          </w:tcPr>
          <w:p w14:paraId="0527A382" w14:textId="77777777" w:rsidR="00F658D2" w:rsidRPr="00372D71" w:rsidRDefault="00F658D2" w:rsidP="00F658D2">
            <w:pPr>
              <w:rPr>
                <w:sz w:val="22"/>
                <w:szCs w:val="22"/>
              </w:rPr>
            </w:pPr>
            <w:r w:rsidRPr="00A6203B">
              <w:rPr>
                <w:sz w:val="22"/>
                <w:szCs w:val="22"/>
              </w:rPr>
              <w:t>SP1: Building skills, capacity and independence</w:t>
            </w:r>
          </w:p>
        </w:tc>
        <w:tc>
          <w:tcPr>
            <w:tcW w:w="4536" w:type="dxa"/>
            <w:shd w:val="clear" w:color="auto" w:fill="auto"/>
          </w:tcPr>
          <w:p w14:paraId="5CB869E6" w14:textId="77777777" w:rsidR="00F658D2" w:rsidRPr="00372D71" w:rsidRDefault="00F658D2" w:rsidP="00F658D2">
            <w:pPr>
              <w:rPr>
                <w:sz w:val="22"/>
                <w:szCs w:val="22"/>
              </w:rPr>
            </w:pPr>
            <w:r w:rsidRPr="00372D71">
              <w:rPr>
                <w:sz w:val="22"/>
                <w:szCs w:val="22"/>
              </w:rPr>
              <w:t>Proportion of people with disabilities achieving each educational attainment level (primary, secondary, tertiary, FET) by disability type.</w:t>
            </w:r>
          </w:p>
        </w:tc>
        <w:tc>
          <w:tcPr>
            <w:tcW w:w="3543" w:type="dxa"/>
          </w:tcPr>
          <w:p w14:paraId="29C374D2" w14:textId="77777777" w:rsidR="00F658D2" w:rsidRPr="00372D71" w:rsidRDefault="00F658D2" w:rsidP="00F658D2">
            <w:pPr>
              <w:rPr>
                <w:sz w:val="22"/>
                <w:szCs w:val="22"/>
              </w:rPr>
            </w:pPr>
            <w:r w:rsidRPr="00372D71">
              <w:rPr>
                <w:sz w:val="22"/>
                <w:szCs w:val="22"/>
              </w:rPr>
              <w:t>N</w:t>
            </w:r>
            <w:r>
              <w:rPr>
                <w:sz w:val="22"/>
                <w:szCs w:val="22"/>
              </w:rPr>
              <w:t>o.</w:t>
            </w:r>
          </w:p>
        </w:tc>
        <w:tc>
          <w:tcPr>
            <w:tcW w:w="2835" w:type="dxa"/>
          </w:tcPr>
          <w:p w14:paraId="4A657514" w14:textId="77777777" w:rsidR="00F658D2" w:rsidRPr="00372D71" w:rsidRDefault="00F658D2" w:rsidP="00F658D2">
            <w:pPr>
              <w:rPr>
                <w:sz w:val="22"/>
                <w:szCs w:val="22"/>
              </w:rPr>
            </w:pPr>
          </w:p>
        </w:tc>
      </w:tr>
      <w:tr w:rsidR="00F658D2" w:rsidRPr="00E44373" w14:paraId="4FB8DF4E" w14:textId="77777777" w:rsidTr="00B42243">
        <w:tc>
          <w:tcPr>
            <w:tcW w:w="2122" w:type="dxa"/>
            <w:shd w:val="clear" w:color="auto" w:fill="auto"/>
          </w:tcPr>
          <w:p w14:paraId="6779DF50" w14:textId="77777777" w:rsidR="00F658D2" w:rsidRPr="00372D71" w:rsidRDefault="00F658D2" w:rsidP="00F658D2">
            <w:pPr>
              <w:rPr>
                <w:sz w:val="22"/>
                <w:szCs w:val="22"/>
              </w:rPr>
            </w:pPr>
            <w:r w:rsidRPr="00A6203B">
              <w:rPr>
                <w:sz w:val="22"/>
                <w:szCs w:val="22"/>
              </w:rPr>
              <w:t>SP1: Building skills, capacity and independence</w:t>
            </w:r>
          </w:p>
        </w:tc>
        <w:tc>
          <w:tcPr>
            <w:tcW w:w="4536" w:type="dxa"/>
            <w:shd w:val="clear" w:color="auto" w:fill="auto"/>
          </w:tcPr>
          <w:p w14:paraId="4978EF68" w14:textId="77777777" w:rsidR="00F658D2" w:rsidRPr="00372D71" w:rsidRDefault="00F658D2" w:rsidP="00F658D2">
            <w:pPr>
              <w:rPr>
                <w:sz w:val="22"/>
                <w:szCs w:val="22"/>
              </w:rPr>
            </w:pPr>
            <w:r w:rsidRPr="00372D71">
              <w:rPr>
                <w:sz w:val="22"/>
                <w:szCs w:val="22"/>
              </w:rPr>
              <w:t>The ratio of people without a disability to people with a disability aged 15-65 in further education and training by disability type</w:t>
            </w:r>
          </w:p>
        </w:tc>
        <w:tc>
          <w:tcPr>
            <w:tcW w:w="3543" w:type="dxa"/>
          </w:tcPr>
          <w:p w14:paraId="3F853F79" w14:textId="77777777" w:rsidR="00F658D2" w:rsidRPr="00372D71" w:rsidRDefault="00F658D2" w:rsidP="00F658D2">
            <w:pPr>
              <w:spacing w:after="0"/>
              <w:rPr>
                <w:sz w:val="22"/>
                <w:szCs w:val="22"/>
              </w:rPr>
            </w:pPr>
            <w:r>
              <w:rPr>
                <w:sz w:val="22"/>
                <w:szCs w:val="22"/>
              </w:rPr>
              <w:t>Yes. Deleted.</w:t>
            </w:r>
          </w:p>
        </w:tc>
        <w:tc>
          <w:tcPr>
            <w:tcW w:w="2835" w:type="dxa"/>
          </w:tcPr>
          <w:p w14:paraId="75E0E4DD" w14:textId="77777777" w:rsidR="00F658D2" w:rsidRPr="00372D71" w:rsidRDefault="00F658D2" w:rsidP="00F658D2">
            <w:pPr>
              <w:spacing w:after="0"/>
              <w:rPr>
                <w:sz w:val="22"/>
                <w:szCs w:val="22"/>
              </w:rPr>
            </w:pPr>
            <w:r>
              <w:rPr>
                <w:sz w:val="22"/>
                <w:szCs w:val="22"/>
              </w:rPr>
              <w:t>The following indicator shows all people (of any age) accessing further education and training who have a disability.</w:t>
            </w:r>
          </w:p>
        </w:tc>
      </w:tr>
      <w:tr w:rsidR="00F658D2" w:rsidRPr="00E44373" w14:paraId="2F6EA659" w14:textId="77777777" w:rsidTr="00B42243">
        <w:tc>
          <w:tcPr>
            <w:tcW w:w="2122" w:type="dxa"/>
            <w:shd w:val="clear" w:color="auto" w:fill="auto"/>
          </w:tcPr>
          <w:p w14:paraId="025B9845" w14:textId="77777777" w:rsidR="00F658D2" w:rsidRPr="00372D71" w:rsidRDefault="00F658D2" w:rsidP="00F658D2">
            <w:pPr>
              <w:rPr>
                <w:sz w:val="22"/>
                <w:szCs w:val="22"/>
              </w:rPr>
            </w:pPr>
            <w:r w:rsidRPr="00A6203B">
              <w:rPr>
                <w:sz w:val="22"/>
                <w:szCs w:val="22"/>
              </w:rPr>
              <w:t>SP1: Building skills, capacity and independence</w:t>
            </w:r>
          </w:p>
        </w:tc>
        <w:tc>
          <w:tcPr>
            <w:tcW w:w="4536" w:type="dxa"/>
            <w:shd w:val="clear" w:color="auto" w:fill="auto"/>
          </w:tcPr>
          <w:p w14:paraId="0EED35E2" w14:textId="77777777" w:rsidR="00F658D2" w:rsidRPr="00372D71" w:rsidRDefault="00F658D2" w:rsidP="00F658D2">
            <w:pPr>
              <w:rPr>
                <w:sz w:val="22"/>
                <w:szCs w:val="22"/>
              </w:rPr>
            </w:pPr>
            <w:r w:rsidRPr="00372D71">
              <w:rPr>
                <w:sz w:val="22"/>
                <w:szCs w:val="22"/>
              </w:rPr>
              <w:t>Proportion of all people accessing higher education, further education and training who have a disability.</w:t>
            </w:r>
          </w:p>
        </w:tc>
        <w:tc>
          <w:tcPr>
            <w:tcW w:w="3543" w:type="dxa"/>
          </w:tcPr>
          <w:p w14:paraId="3D38D607" w14:textId="77777777" w:rsidR="00F658D2" w:rsidRPr="00372D71" w:rsidRDefault="00F658D2" w:rsidP="00F658D2">
            <w:pPr>
              <w:spacing w:after="0"/>
              <w:rPr>
                <w:sz w:val="22"/>
                <w:szCs w:val="22"/>
              </w:rPr>
            </w:pPr>
            <w:r w:rsidRPr="00372D71">
              <w:rPr>
                <w:sz w:val="22"/>
                <w:szCs w:val="22"/>
              </w:rPr>
              <w:t>N</w:t>
            </w:r>
            <w:r>
              <w:rPr>
                <w:sz w:val="22"/>
                <w:szCs w:val="22"/>
              </w:rPr>
              <w:t>o.</w:t>
            </w:r>
          </w:p>
        </w:tc>
        <w:tc>
          <w:tcPr>
            <w:tcW w:w="2835" w:type="dxa"/>
          </w:tcPr>
          <w:p w14:paraId="48779A7E" w14:textId="77777777" w:rsidR="00F658D2" w:rsidRPr="00372D71" w:rsidRDefault="00F658D2" w:rsidP="00F658D2">
            <w:pPr>
              <w:spacing w:after="0"/>
              <w:rPr>
                <w:sz w:val="22"/>
                <w:szCs w:val="22"/>
              </w:rPr>
            </w:pPr>
          </w:p>
        </w:tc>
      </w:tr>
      <w:tr w:rsidR="00F658D2" w:rsidRPr="00E44373" w14:paraId="7D48A193" w14:textId="77777777" w:rsidTr="00B42243">
        <w:tc>
          <w:tcPr>
            <w:tcW w:w="2122" w:type="dxa"/>
            <w:shd w:val="clear" w:color="auto" w:fill="auto"/>
          </w:tcPr>
          <w:p w14:paraId="42F05E40" w14:textId="77777777" w:rsidR="00F658D2" w:rsidRPr="00372D71" w:rsidRDefault="00F658D2" w:rsidP="00F658D2">
            <w:pPr>
              <w:rPr>
                <w:sz w:val="22"/>
                <w:szCs w:val="22"/>
              </w:rPr>
            </w:pPr>
            <w:r w:rsidRPr="00A6203B">
              <w:rPr>
                <w:sz w:val="22"/>
                <w:szCs w:val="22"/>
              </w:rPr>
              <w:t>SP1: Building skills, capacity and independence</w:t>
            </w:r>
          </w:p>
        </w:tc>
        <w:tc>
          <w:tcPr>
            <w:tcW w:w="4536" w:type="dxa"/>
            <w:shd w:val="clear" w:color="auto" w:fill="auto"/>
          </w:tcPr>
          <w:p w14:paraId="1A5CA6C0" w14:textId="77777777" w:rsidR="00F658D2" w:rsidRPr="00372D71" w:rsidRDefault="00F658D2" w:rsidP="00F658D2">
            <w:pPr>
              <w:rPr>
                <w:sz w:val="22"/>
                <w:szCs w:val="22"/>
              </w:rPr>
            </w:pPr>
            <w:r w:rsidRPr="00372D71">
              <w:rPr>
                <w:sz w:val="22"/>
                <w:szCs w:val="22"/>
              </w:rPr>
              <w:t>Improved transition planning for children and young people with disabilities</w:t>
            </w:r>
          </w:p>
        </w:tc>
        <w:tc>
          <w:tcPr>
            <w:tcW w:w="3543" w:type="dxa"/>
          </w:tcPr>
          <w:p w14:paraId="6F75E3FF" w14:textId="77777777" w:rsidR="00F658D2" w:rsidRPr="00372D71" w:rsidRDefault="00F658D2" w:rsidP="00F658D2">
            <w:pPr>
              <w:rPr>
                <w:sz w:val="22"/>
                <w:szCs w:val="22"/>
              </w:rPr>
            </w:pPr>
            <w:r>
              <w:rPr>
                <w:sz w:val="22"/>
                <w:szCs w:val="22"/>
              </w:rPr>
              <w:t>Yes – the two indicators below on guidance counselling and deferral of school leavers have been subsumed into this indicator.</w:t>
            </w:r>
          </w:p>
        </w:tc>
        <w:tc>
          <w:tcPr>
            <w:tcW w:w="2835" w:type="dxa"/>
          </w:tcPr>
          <w:p w14:paraId="18B89C15" w14:textId="77777777" w:rsidR="00F658D2" w:rsidRPr="00372D71" w:rsidRDefault="00F658D2" w:rsidP="00F658D2">
            <w:pPr>
              <w:rPr>
                <w:sz w:val="22"/>
                <w:szCs w:val="22"/>
              </w:rPr>
            </w:pPr>
          </w:p>
        </w:tc>
      </w:tr>
      <w:tr w:rsidR="00F658D2" w:rsidRPr="00E44373" w14:paraId="40389C17" w14:textId="77777777" w:rsidTr="00B42243">
        <w:tc>
          <w:tcPr>
            <w:tcW w:w="2122" w:type="dxa"/>
            <w:shd w:val="clear" w:color="auto" w:fill="auto"/>
          </w:tcPr>
          <w:p w14:paraId="3F23E151" w14:textId="77777777" w:rsidR="00F658D2" w:rsidRPr="00372D71" w:rsidRDefault="00F658D2" w:rsidP="00F658D2">
            <w:pPr>
              <w:rPr>
                <w:sz w:val="22"/>
                <w:szCs w:val="22"/>
              </w:rPr>
            </w:pPr>
            <w:r w:rsidRPr="00A6203B">
              <w:rPr>
                <w:sz w:val="22"/>
                <w:szCs w:val="22"/>
              </w:rPr>
              <w:t>SP1: Building skills, capacity and independence</w:t>
            </w:r>
          </w:p>
        </w:tc>
        <w:tc>
          <w:tcPr>
            <w:tcW w:w="4536" w:type="dxa"/>
            <w:shd w:val="clear" w:color="auto" w:fill="auto"/>
          </w:tcPr>
          <w:p w14:paraId="5E87B937" w14:textId="77777777" w:rsidR="00F658D2" w:rsidRPr="00372D71" w:rsidRDefault="00F658D2" w:rsidP="00F658D2">
            <w:pPr>
              <w:rPr>
                <w:sz w:val="22"/>
                <w:szCs w:val="22"/>
              </w:rPr>
            </w:pPr>
            <w:r w:rsidRPr="00372D71">
              <w:rPr>
                <w:sz w:val="22"/>
                <w:szCs w:val="22"/>
              </w:rPr>
              <w:t>Expansion of guidance counselling to special schools and special classes within mainstream schools</w:t>
            </w:r>
          </w:p>
        </w:tc>
        <w:tc>
          <w:tcPr>
            <w:tcW w:w="3543" w:type="dxa"/>
          </w:tcPr>
          <w:p w14:paraId="17D95630" w14:textId="77777777" w:rsidR="00F658D2" w:rsidRPr="00372D71" w:rsidRDefault="00F658D2" w:rsidP="00F658D2">
            <w:pPr>
              <w:spacing w:after="0"/>
              <w:rPr>
                <w:sz w:val="22"/>
                <w:szCs w:val="22"/>
              </w:rPr>
            </w:pPr>
            <w:r>
              <w:rPr>
                <w:sz w:val="22"/>
                <w:szCs w:val="22"/>
              </w:rPr>
              <w:t>Yes – moved under overarching indicator above “</w:t>
            </w:r>
            <w:r w:rsidRPr="00A96261">
              <w:rPr>
                <w:sz w:val="22"/>
                <w:szCs w:val="22"/>
              </w:rPr>
              <w:t>Improved transition planning for children and young people with disabilities</w:t>
            </w:r>
            <w:r>
              <w:rPr>
                <w:sz w:val="22"/>
                <w:szCs w:val="22"/>
              </w:rPr>
              <w:t>”.</w:t>
            </w:r>
          </w:p>
        </w:tc>
        <w:tc>
          <w:tcPr>
            <w:tcW w:w="2835" w:type="dxa"/>
          </w:tcPr>
          <w:p w14:paraId="07CC35CD" w14:textId="77777777" w:rsidR="00F658D2" w:rsidRPr="00372D71" w:rsidRDefault="00F658D2" w:rsidP="00F658D2">
            <w:pPr>
              <w:spacing w:after="0"/>
              <w:rPr>
                <w:sz w:val="22"/>
                <w:szCs w:val="22"/>
              </w:rPr>
            </w:pPr>
          </w:p>
        </w:tc>
      </w:tr>
      <w:tr w:rsidR="00F658D2" w:rsidRPr="00E44373" w14:paraId="0F2297E5" w14:textId="77777777" w:rsidTr="00B42243">
        <w:tc>
          <w:tcPr>
            <w:tcW w:w="2122" w:type="dxa"/>
            <w:shd w:val="clear" w:color="auto" w:fill="auto"/>
          </w:tcPr>
          <w:p w14:paraId="56C8F50C" w14:textId="77777777" w:rsidR="00F658D2" w:rsidRPr="00372D71" w:rsidRDefault="00F658D2" w:rsidP="00F658D2">
            <w:pPr>
              <w:rPr>
                <w:sz w:val="22"/>
                <w:szCs w:val="22"/>
              </w:rPr>
            </w:pPr>
            <w:r w:rsidRPr="00372D71">
              <w:rPr>
                <w:sz w:val="22"/>
                <w:szCs w:val="22"/>
              </w:rPr>
              <w:t xml:space="preserve">SP1: Building </w:t>
            </w:r>
            <w:r>
              <w:rPr>
                <w:sz w:val="22"/>
                <w:szCs w:val="22"/>
              </w:rPr>
              <w:t>s</w:t>
            </w:r>
            <w:r w:rsidRPr="00372D71">
              <w:rPr>
                <w:sz w:val="22"/>
                <w:szCs w:val="22"/>
              </w:rPr>
              <w:t xml:space="preserve">kills, </w:t>
            </w:r>
            <w:r>
              <w:rPr>
                <w:sz w:val="22"/>
                <w:szCs w:val="22"/>
              </w:rPr>
              <w:t>capacity and i</w:t>
            </w:r>
            <w:r w:rsidRPr="00372D71">
              <w:rPr>
                <w:sz w:val="22"/>
                <w:szCs w:val="22"/>
              </w:rPr>
              <w:t>ndependence</w:t>
            </w:r>
          </w:p>
        </w:tc>
        <w:tc>
          <w:tcPr>
            <w:tcW w:w="4536" w:type="dxa"/>
            <w:shd w:val="clear" w:color="auto" w:fill="auto"/>
          </w:tcPr>
          <w:p w14:paraId="766DAD44" w14:textId="77777777" w:rsidR="00F658D2" w:rsidRPr="00372D71" w:rsidRDefault="00F658D2" w:rsidP="00F658D2">
            <w:pPr>
              <w:rPr>
                <w:sz w:val="22"/>
                <w:szCs w:val="22"/>
              </w:rPr>
            </w:pPr>
            <w:r w:rsidRPr="00372D71">
              <w:rPr>
                <w:sz w:val="22"/>
                <w:szCs w:val="22"/>
              </w:rPr>
              <w:t>No. of deferrals of adult day services to take up further education and training</w:t>
            </w:r>
          </w:p>
        </w:tc>
        <w:tc>
          <w:tcPr>
            <w:tcW w:w="3543" w:type="dxa"/>
          </w:tcPr>
          <w:p w14:paraId="689CF6B9" w14:textId="77777777" w:rsidR="00F658D2" w:rsidRPr="00372D71" w:rsidRDefault="00F658D2" w:rsidP="00F658D2">
            <w:pPr>
              <w:spacing w:after="0"/>
              <w:rPr>
                <w:sz w:val="22"/>
                <w:szCs w:val="22"/>
              </w:rPr>
            </w:pPr>
            <w:r>
              <w:rPr>
                <w:sz w:val="22"/>
                <w:szCs w:val="22"/>
              </w:rPr>
              <w:t>Yes – moved under overarching indicator above “</w:t>
            </w:r>
            <w:r w:rsidRPr="00A96261">
              <w:rPr>
                <w:sz w:val="22"/>
                <w:szCs w:val="22"/>
              </w:rPr>
              <w:t>Improved transition planning for children and young people with disabilities</w:t>
            </w:r>
            <w:r>
              <w:rPr>
                <w:sz w:val="22"/>
                <w:szCs w:val="22"/>
              </w:rPr>
              <w:t>”.</w:t>
            </w:r>
          </w:p>
        </w:tc>
        <w:tc>
          <w:tcPr>
            <w:tcW w:w="2835" w:type="dxa"/>
          </w:tcPr>
          <w:p w14:paraId="68B1FC22" w14:textId="77777777" w:rsidR="00F658D2" w:rsidRPr="00372D71" w:rsidRDefault="00F658D2" w:rsidP="00F658D2">
            <w:pPr>
              <w:spacing w:after="0"/>
              <w:rPr>
                <w:sz w:val="22"/>
                <w:szCs w:val="22"/>
              </w:rPr>
            </w:pPr>
          </w:p>
        </w:tc>
      </w:tr>
      <w:tr w:rsidR="00F658D2" w:rsidRPr="00E44373" w14:paraId="6C486946" w14:textId="77777777" w:rsidTr="00B42243">
        <w:tc>
          <w:tcPr>
            <w:tcW w:w="2122" w:type="dxa"/>
            <w:shd w:val="clear" w:color="auto" w:fill="auto"/>
          </w:tcPr>
          <w:p w14:paraId="3D29E31D" w14:textId="77777777" w:rsidR="00F658D2" w:rsidRPr="00372D71" w:rsidRDefault="00F658D2" w:rsidP="00F658D2">
            <w:pPr>
              <w:rPr>
                <w:sz w:val="22"/>
                <w:szCs w:val="22"/>
              </w:rPr>
            </w:pPr>
            <w:r w:rsidRPr="009F34C6">
              <w:rPr>
                <w:sz w:val="22"/>
                <w:szCs w:val="22"/>
              </w:rPr>
              <w:t>SP1: Building skills, capacity and independence</w:t>
            </w:r>
          </w:p>
        </w:tc>
        <w:tc>
          <w:tcPr>
            <w:tcW w:w="4536" w:type="dxa"/>
            <w:shd w:val="clear" w:color="auto" w:fill="auto"/>
          </w:tcPr>
          <w:p w14:paraId="0AFAAED9" w14:textId="77777777" w:rsidR="00F658D2" w:rsidRPr="00372D71" w:rsidRDefault="00F658D2" w:rsidP="00F658D2">
            <w:pPr>
              <w:rPr>
                <w:sz w:val="22"/>
                <w:szCs w:val="22"/>
              </w:rPr>
            </w:pPr>
            <w:r w:rsidRPr="00372D71">
              <w:rPr>
                <w:sz w:val="22"/>
                <w:szCs w:val="22"/>
              </w:rPr>
              <w:t>Destination of persons existing Rehabilitative Training – i.e. to work, further education and training, or other</w:t>
            </w:r>
          </w:p>
        </w:tc>
        <w:tc>
          <w:tcPr>
            <w:tcW w:w="3543" w:type="dxa"/>
          </w:tcPr>
          <w:p w14:paraId="4E12701B" w14:textId="77777777" w:rsidR="00F658D2" w:rsidRPr="00372D71" w:rsidRDefault="00F658D2" w:rsidP="00F658D2">
            <w:pPr>
              <w:spacing w:after="0"/>
              <w:rPr>
                <w:sz w:val="22"/>
                <w:szCs w:val="22"/>
              </w:rPr>
            </w:pPr>
            <w:r w:rsidRPr="00372D71">
              <w:rPr>
                <w:sz w:val="22"/>
                <w:szCs w:val="22"/>
              </w:rPr>
              <w:t>N</w:t>
            </w:r>
            <w:r>
              <w:rPr>
                <w:sz w:val="22"/>
                <w:szCs w:val="22"/>
              </w:rPr>
              <w:t>o.</w:t>
            </w:r>
          </w:p>
        </w:tc>
        <w:tc>
          <w:tcPr>
            <w:tcW w:w="2835" w:type="dxa"/>
          </w:tcPr>
          <w:p w14:paraId="34639B45" w14:textId="77777777" w:rsidR="00F658D2" w:rsidRPr="00372D71" w:rsidRDefault="00F658D2" w:rsidP="00F658D2">
            <w:pPr>
              <w:spacing w:after="0"/>
              <w:rPr>
                <w:sz w:val="22"/>
                <w:szCs w:val="22"/>
              </w:rPr>
            </w:pPr>
          </w:p>
        </w:tc>
      </w:tr>
      <w:tr w:rsidR="00F658D2" w:rsidRPr="00E44373" w14:paraId="4975D11E" w14:textId="77777777" w:rsidTr="00B42243">
        <w:tc>
          <w:tcPr>
            <w:tcW w:w="2122" w:type="dxa"/>
            <w:shd w:val="clear" w:color="auto" w:fill="auto"/>
          </w:tcPr>
          <w:p w14:paraId="30FBA003" w14:textId="77777777" w:rsidR="00F658D2" w:rsidRPr="00372D71" w:rsidRDefault="00F658D2" w:rsidP="00F658D2">
            <w:pPr>
              <w:rPr>
                <w:sz w:val="22"/>
                <w:szCs w:val="22"/>
              </w:rPr>
            </w:pPr>
            <w:r w:rsidRPr="009F34C6">
              <w:rPr>
                <w:sz w:val="22"/>
                <w:szCs w:val="22"/>
              </w:rPr>
              <w:t>SP1: Building skills, capacity and independence</w:t>
            </w:r>
          </w:p>
        </w:tc>
        <w:tc>
          <w:tcPr>
            <w:tcW w:w="4536" w:type="dxa"/>
            <w:shd w:val="clear" w:color="auto" w:fill="auto"/>
          </w:tcPr>
          <w:p w14:paraId="4036570D" w14:textId="77777777" w:rsidR="00F658D2" w:rsidRPr="00372D71" w:rsidRDefault="00F658D2" w:rsidP="00F658D2">
            <w:pPr>
              <w:rPr>
                <w:sz w:val="22"/>
                <w:szCs w:val="22"/>
              </w:rPr>
            </w:pPr>
            <w:r w:rsidRPr="00372D71">
              <w:rPr>
                <w:sz w:val="22"/>
                <w:szCs w:val="22"/>
              </w:rPr>
              <w:t>Number of people with a disability on disability payments/benefits e.g. Disability Allowance, Illness payment/ Invalidity pension, by age and by disability type</w:t>
            </w:r>
          </w:p>
        </w:tc>
        <w:tc>
          <w:tcPr>
            <w:tcW w:w="3543" w:type="dxa"/>
          </w:tcPr>
          <w:p w14:paraId="7FB65DE4" w14:textId="77777777" w:rsidR="00F658D2" w:rsidRPr="00372D71" w:rsidRDefault="00F658D2" w:rsidP="00F658D2">
            <w:pPr>
              <w:spacing w:after="0"/>
              <w:rPr>
                <w:sz w:val="22"/>
                <w:szCs w:val="22"/>
              </w:rPr>
            </w:pPr>
            <w:r w:rsidRPr="00372D71">
              <w:rPr>
                <w:sz w:val="22"/>
                <w:szCs w:val="22"/>
              </w:rPr>
              <w:t>Yes – to “Proportion of Disability Allowance recipients aged 16-19</w:t>
            </w:r>
            <w:r>
              <w:rPr>
                <w:sz w:val="22"/>
                <w:szCs w:val="22"/>
              </w:rPr>
              <w:t xml:space="preserve"> years</w:t>
            </w:r>
            <w:r w:rsidRPr="00372D71">
              <w:rPr>
                <w:sz w:val="22"/>
                <w:szCs w:val="22"/>
              </w:rPr>
              <w:t>”</w:t>
            </w:r>
          </w:p>
        </w:tc>
        <w:tc>
          <w:tcPr>
            <w:tcW w:w="2835" w:type="dxa"/>
          </w:tcPr>
          <w:p w14:paraId="123D01AC" w14:textId="77777777" w:rsidR="00F658D2" w:rsidRPr="00372D71" w:rsidRDefault="00F658D2" w:rsidP="00F658D2">
            <w:pPr>
              <w:spacing w:after="0"/>
              <w:rPr>
                <w:sz w:val="22"/>
                <w:szCs w:val="22"/>
              </w:rPr>
            </w:pPr>
            <w:r w:rsidRPr="00372D71">
              <w:rPr>
                <w:sz w:val="22"/>
                <w:szCs w:val="22"/>
              </w:rPr>
              <w:t xml:space="preserve">Under this </w:t>
            </w:r>
            <w:r>
              <w:rPr>
                <w:sz w:val="22"/>
                <w:szCs w:val="22"/>
              </w:rPr>
              <w:t>strategic p</w:t>
            </w:r>
            <w:r w:rsidRPr="00372D71">
              <w:rPr>
                <w:sz w:val="22"/>
                <w:szCs w:val="22"/>
              </w:rPr>
              <w:t>riority</w:t>
            </w:r>
            <w:r>
              <w:rPr>
                <w:sz w:val="22"/>
                <w:szCs w:val="22"/>
              </w:rPr>
              <w:t xml:space="preserve"> (SP)</w:t>
            </w:r>
            <w:r w:rsidRPr="00372D71">
              <w:rPr>
                <w:sz w:val="22"/>
                <w:szCs w:val="22"/>
              </w:rPr>
              <w:t xml:space="preserve">, the rationale for this indicator originally was that as expectations are raised and supports provided for other activities, the nos. of people opting for </w:t>
            </w:r>
            <w:r>
              <w:rPr>
                <w:sz w:val="22"/>
                <w:szCs w:val="22"/>
              </w:rPr>
              <w:t>Disability Allowance</w:t>
            </w:r>
            <w:r w:rsidRPr="00372D71">
              <w:rPr>
                <w:sz w:val="22"/>
                <w:szCs w:val="22"/>
              </w:rPr>
              <w:t xml:space="preserve"> at age 16 should decrease. Hence, this indicator now focusses on the younger cohort taking up </w:t>
            </w:r>
            <w:r>
              <w:rPr>
                <w:sz w:val="22"/>
                <w:szCs w:val="22"/>
              </w:rPr>
              <w:t>Disability Allowance</w:t>
            </w:r>
            <w:r w:rsidRPr="00372D71">
              <w:rPr>
                <w:sz w:val="22"/>
                <w:szCs w:val="22"/>
              </w:rPr>
              <w:t>.</w:t>
            </w:r>
          </w:p>
        </w:tc>
      </w:tr>
      <w:tr w:rsidR="00F658D2" w:rsidRPr="00E44373" w14:paraId="6B5C3C0B" w14:textId="77777777" w:rsidTr="00B42243">
        <w:tc>
          <w:tcPr>
            <w:tcW w:w="2122" w:type="dxa"/>
            <w:shd w:val="clear" w:color="auto" w:fill="auto"/>
          </w:tcPr>
          <w:p w14:paraId="47E43720"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1923AE8E" w14:textId="77777777" w:rsidR="00F658D2" w:rsidRPr="00372D71" w:rsidRDefault="00F658D2" w:rsidP="00F658D2">
            <w:pPr>
              <w:rPr>
                <w:sz w:val="22"/>
                <w:szCs w:val="22"/>
              </w:rPr>
            </w:pPr>
            <w:r w:rsidRPr="00372D71">
              <w:rPr>
                <w:sz w:val="22"/>
                <w:szCs w:val="22"/>
              </w:rPr>
              <w:t>Nos. of persons with disabilities in work situations not compatible with New Directions/ UNCRPD continue to decrease</w:t>
            </w:r>
          </w:p>
        </w:tc>
        <w:tc>
          <w:tcPr>
            <w:tcW w:w="3543" w:type="dxa"/>
          </w:tcPr>
          <w:p w14:paraId="08EC2E98" w14:textId="77777777" w:rsidR="00F658D2" w:rsidRPr="00372D71" w:rsidRDefault="00F658D2" w:rsidP="00F658D2">
            <w:pPr>
              <w:rPr>
                <w:sz w:val="22"/>
                <w:szCs w:val="22"/>
              </w:rPr>
            </w:pPr>
            <w:r w:rsidRPr="00372D71">
              <w:rPr>
                <w:sz w:val="22"/>
                <w:szCs w:val="22"/>
              </w:rPr>
              <w:t>Yes – “Nos. of persons with disabilities in sheltered work”</w:t>
            </w:r>
            <w:r>
              <w:rPr>
                <w:sz w:val="22"/>
                <w:szCs w:val="22"/>
              </w:rPr>
              <w:t>.</w:t>
            </w:r>
          </w:p>
        </w:tc>
        <w:tc>
          <w:tcPr>
            <w:tcW w:w="2835" w:type="dxa"/>
          </w:tcPr>
          <w:p w14:paraId="67C428C0" w14:textId="77777777" w:rsidR="00F658D2" w:rsidRPr="00372D71" w:rsidRDefault="00F658D2" w:rsidP="00F658D2">
            <w:pPr>
              <w:rPr>
                <w:sz w:val="22"/>
                <w:szCs w:val="22"/>
              </w:rPr>
            </w:pPr>
            <w:r w:rsidRPr="00372D71">
              <w:rPr>
                <w:sz w:val="22"/>
                <w:szCs w:val="22"/>
              </w:rPr>
              <w:t>Changed to reflect what the data will illustrate.</w:t>
            </w:r>
          </w:p>
        </w:tc>
      </w:tr>
      <w:tr w:rsidR="00F658D2" w:rsidRPr="00E44373" w14:paraId="370BE15A" w14:textId="77777777" w:rsidTr="00B42243">
        <w:tc>
          <w:tcPr>
            <w:tcW w:w="2122" w:type="dxa"/>
            <w:shd w:val="clear" w:color="auto" w:fill="auto"/>
          </w:tcPr>
          <w:p w14:paraId="4C785A39"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402A09A9" w14:textId="77777777" w:rsidR="00F658D2" w:rsidRPr="00372D71" w:rsidRDefault="00F658D2" w:rsidP="00F658D2">
            <w:pPr>
              <w:rPr>
                <w:sz w:val="22"/>
                <w:szCs w:val="22"/>
              </w:rPr>
            </w:pPr>
            <w:r w:rsidRPr="00372D71">
              <w:rPr>
                <w:sz w:val="22"/>
                <w:szCs w:val="22"/>
              </w:rPr>
              <w:t>Nos. of persons with disabilities in:</w:t>
            </w:r>
          </w:p>
          <w:p w14:paraId="27C160C7" w14:textId="77777777" w:rsidR="00F658D2" w:rsidRPr="00372D71" w:rsidRDefault="00F658D2" w:rsidP="00FD0C3F">
            <w:pPr>
              <w:numPr>
                <w:ilvl w:val="0"/>
                <w:numId w:val="18"/>
              </w:numPr>
              <w:spacing w:after="200" w:line="276" w:lineRule="auto"/>
              <w:contextualSpacing/>
              <w:rPr>
                <w:rFonts w:eastAsiaTheme="minorHAnsi" w:cstheme="minorBidi"/>
                <w:sz w:val="22"/>
                <w:szCs w:val="22"/>
              </w:rPr>
            </w:pPr>
            <w:r w:rsidRPr="00372D71">
              <w:rPr>
                <w:rFonts w:eastAsiaTheme="minorHAnsi" w:cstheme="minorBidi"/>
                <w:sz w:val="22"/>
                <w:szCs w:val="22"/>
              </w:rPr>
              <w:t>Work-placements</w:t>
            </w:r>
          </w:p>
          <w:p w14:paraId="40AA779A" w14:textId="77777777" w:rsidR="00F658D2" w:rsidRPr="00372D71" w:rsidRDefault="00F658D2" w:rsidP="00FD0C3F">
            <w:pPr>
              <w:numPr>
                <w:ilvl w:val="0"/>
                <w:numId w:val="18"/>
              </w:numPr>
              <w:spacing w:after="200" w:line="276" w:lineRule="auto"/>
              <w:contextualSpacing/>
              <w:rPr>
                <w:rFonts w:eastAsiaTheme="minorHAnsi" w:cstheme="minorBidi"/>
                <w:sz w:val="22"/>
                <w:szCs w:val="22"/>
              </w:rPr>
            </w:pPr>
            <w:r w:rsidRPr="00372D71">
              <w:rPr>
                <w:rFonts w:eastAsiaTheme="minorHAnsi" w:cstheme="minorBidi"/>
                <w:sz w:val="22"/>
                <w:szCs w:val="22"/>
              </w:rPr>
              <w:t>Internships</w:t>
            </w:r>
          </w:p>
          <w:p w14:paraId="66BB2975" w14:textId="77777777" w:rsidR="00F658D2" w:rsidRPr="00372D71" w:rsidRDefault="00F658D2" w:rsidP="00FD0C3F">
            <w:pPr>
              <w:numPr>
                <w:ilvl w:val="0"/>
                <w:numId w:val="18"/>
              </w:numPr>
              <w:spacing w:after="200" w:line="276" w:lineRule="auto"/>
              <w:contextualSpacing/>
              <w:rPr>
                <w:rFonts w:eastAsiaTheme="minorHAnsi" w:cstheme="minorBidi"/>
                <w:sz w:val="22"/>
                <w:szCs w:val="22"/>
              </w:rPr>
            </w:pPr>
            <w:r w:rsidRPr="00372D71">
              <w:rPr>
                <w:rFonts w:eastAsiaTheme="minorHAnsi" w:cstheme="minorBidi"/>
                <w:sz w:val="22"/>
                <w:szCs w:val="22"/>
              </w:rPr>
              <w:t>Apprenticeships</w:t>
            </w:r>
          </w:p>
        </w:tc>
        <w:tc>
          <w:tcPr>
            <w:tcW w:w="3543" w:type="dxa"/>
          </w:tcPr>
          <w:p w14:paraId="35325787" w14:textId="77777777" w:rsidR="00F658D2" w:rsidRPr="00372D71" w:rsidRDefault="00F658D2" w:rsidP="00F658D2">
            <w:pPr>
              <w:rPr>
                <w:sz w:val="22"/>
                <w:szCs w:val="22"/>
              </w:rPr>
            </w:pPr>
            <w:r>
              <w:rPr>
                <w:sz w:val="22"/>
                <w:szCs w:val="22"/>
              </w:rPr>
              <w:t>Yes. Work learning programmes added.</w:t>
            </w:r>
          </w:p>
        </w:tc>
        <w:tc>
          <w:tcPr>
            <w:tcW w:w="2835" w:type="dxa"/>
          </w:tcPr>
          <w:p w14:paraId="6754B0B4" w14:textId="77777777" w:rsidR="00F658D2" w:rsidRPr="00372D71" w:rsidRDefault="00F658D2" w:rsidP="00F658D2">
            <w:pPr>
              <w:rPr>
                <w:sz w:val="22"/>
                <w:szCs w:val="22"/>
              </w:rPr>
            </w:pPr>
            <w:r>
              <w:rPr>
                <w:sz w:val="22"/>
                <w:szCs w:val="22"/>
              </w:rPr>
              <w:t>Changed to include ‘work learning programmes’.</w:t>
            </w:r>
          </w:p>
        </w:tc>
      </w:tr>
      <w:tr w:rsidR="00F658D2" w:rsidRPr="00E44373" w14:paraId="544E1717" w14:textId="77777777" w:rsidTr="00B42243">
        <w:tc>
          <w:tcPr>
            <w:tcW w:w="2122" w:type="dxa"/>
            <w:shd w:val="clear" w:color="auto" w:fill="auto"/>
          </w:tcPr>
          <w:p w14:paraId="5DD10C1D" w14:textId="77777777" w:rsidR="00F658D2" w:rsidRPr="00260414" w:rsidRDefault="00F658D2" w:rsidP="00F658D2">
            <w:pPr>
              <w:rPr>
                <w:sz w:val="22"/>
                <w:szCs w:val="22"/>
              </w:rPr>
            </w:pPr>
            <w:r w:rsidRPr="00260414">
              <w:rPr>
                <w:sz w:val="22"/>
                <w:szCs w:val="22"/>
              </w:rPr>
              <w:t>SP2: Provide bridges and supports into work</w:t>
            </w:r>
          </w:p>
        </w:tc>
        <w:tc>
          <w:tcPr>
            <w:tcW w:w="4536" w:type="dxa"/>
            <w:shd w:val="clear" w:color="auto" w:fill="auto"/>
          </w:tcPr>
          <w:p w14:paraId="37CAAD3F" w14:textId="77777777" w:rsidR="00F658D2" w:rsidRPr="00BF2A6C" w:rsidRDefault="00F658D2" w:rsidP="00F658D2">
            <w:pPr>
              <w:rPr>
                <w:sz w:val="22"/>
                <w:szCs w:val="22"/>
              </w:rPr>
            </w:pPr>
            <w:r w:rsidRPr="00BF2A6C">
              <w:rPr>
                <w:sz w:val="22"/>
                <w:szCs w:val="22"/>
              </w:rPr>
              <w:t>No. of persons with disabilities in receipt of case management services through Intreo and broader public employment service</w:t>
            </w:r>
          </w:p>
        </w:tc>
        <w:tc>
          <w:tcPr>
            <w:tcW w:w="3543" w:type="dxa"/>
          </w:tcPr>
          <w:p w14:paraId="75651543" w14:textId="77777777" w:rsidR="00F658D2" w:rsidRPr="00BF2A6C" w:rsidRDefault="00F658D2" w:rsidP="00F658D2">
            <w:pPr>
              <w:rPr>
                <w:sz w:val="22"/>
                <w:szCs w:val="22"/>
              </w:rPr>
            </w:pPr>
            <w:r w:rsidRPr="00BF2A6C">
              <w:rPr>
                <w:sz w:val="22"/>
                <w:szCs w:val="22"/>
              </w:rPr>
              <w:t>Awaiting data. Will hopefully also include data on outcomes of Intreo engagement.</w:t>
            </w:r>
          </w:p>
        </w:tc>
        <w:tc>
          <w:tcPr>
            <w:tcW w:w="2835" w:type="dxa"/>
          </w:tcPr>
          <w:p w14:paraId="41EDA134" w14:textId="77777777" w:rsidR="00F658D2" w:rsidRPr="00372D71" w:rsidRDefault="00F658D2" w:rsidP="00F658D2">
            <w:pPr>
              <w:rPr>
                <w:sz w:val="22"/>
                <w:szCs w:val="22"/>
              </w:rPr>
            </w:pPr>
          </w:p>
        </w:tc>
      </w:tr>
      <w:tr w:rsidR="00F658D2" w:rsidRPr="00E44373" w14:paraId="09D7666A" w14:textId="77777777" w:rsidTr="00B42243">
        <w:tc>
          <w:tcPr>
            <w:tcW w:w="2122" w:type="dxa"/>
            <w:shd w:val="clear" w:color="auto" w:fill="auto"/>
          </w:tcPr>
          <w:p w14:paraId="52D8A6F8"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5C8A5B39" w14:textId="77777777" w:rsidR="00F658D2" w:rsidRPr="00372D71" w:rsidRDefault="00F658D2" w:rsidP="00F658D2">
            <w:pPr>
              <w:rPr>
                <w:sz w:val="22"/>
                <w:szCs w:val="22"/>
              </w:rPr>
            </w:pPr>
            <w:r w:rsidRPr="00372D71">
              <w:rPr>
                <w:sz w:val="22"/>
                <w:szCs w:val="22"/>
              </w:rPr>
              <w:t>Percentage of persons with disabilities able to access public transport services for journey to work vs non-disabled counterparts</w:t>
            </w:r>
          </w:p>
        </w:tc>
        <w:tc>
          <w:tcPr>
            <w:tcW w:w="3543" w:type="dxa"/>
          </w:tcPr>
          <w:p w14:paraId="42DA7F76" w14:textId="77777777" w:rsidR="00F658D2" w:rsidRPr="00372D71" w:rsidRDefault="00F658D2" w:rsidP="00F658D2">
            <w:pPr>
              <w:rPr>
                <w:sz w:val="22"/>
                <w:szCs w:val="22"/>
              </w:rPr>
            </w:pPr>
            <w:r>
              <w:rPr>
                <w:sz w:val="22"/>
                <w:szCs w:val="22"/>
              </w:rPr>
              <w:t>Yes. Slightly rephrased to “</w:t>
            </w:r>
            <w:r w:rsidRPr="00A07EDB">
              <w:rPr>
                <w:sz w:val="22"/>
                <w:szCs w:val="22"/>
              </w:rPr>
              <w:t xml:space="preserve">Percentage of persons with disabilities </w:t>
            </w:r>
            <w:r w:rsidRPr="00B87D69">
              <w:rPr>
                <w:i/>
                <w:sz w:val="22"/>
                <w:szCs w:val="22"/>
              </w:rPr>
              <w:t>using</w:t>
            </w:r>
            <w:r w:rsidRPr="00A07EDB">
              <w:rPr>
                <w:sz w:val="22"/>
                <w:szCs w:val="22"/>
              </w:rPr>
              <w:t xml:space="preserve"> public transport services for journey to work vs non-disabled counterparts</w:t>
            </w:r>
            <w:r>
              <w:rPr>
                <w:sz w:val="22"/>
                <w:szCs w:val="22"/>
              </w:rPr>
              <w:t>.”</w:t>
            </w:r>
          </w:p>
        </w:tc>
        <w:tc>
          <w:tcPr>
            <w:tcW w:w="2835" w:type="dxa"/>
          </w:tcPr>
          <w:p w14:paraId="53589EF8" w14:textId="77777777" w:rsidR="00F658D2" w:rsidRPr="00372D71" w:rsidRDefault="00F658D2" w:rsidP="00F658D2">
            <w:pPr>
              <w:rPr>
                <w:sz w:val="22"/>
                <w:szCs w:val="22"/>
              </w:rPr>
            </w:pPr>
          </w:p>
        </w:tc>
      </w:tr>
      <w:tr w:rsidR="00F658D2" w:rsidRPr="00E44373" w14:paraId="6C064393" w14:textId="77777777" w:rsidTr="00B42243">
        <w:tc>
          <w:tcPr>
            <w:tcW w:w="2122" w:type="dxa"/>
            <w:shd w:val="clear" w:color="auto" w:fill="auto"/>
          </w:tcPr>
          <w:p w14:paraId="2780AD94"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0E8FBBAB" w14:textId="77777777" w:rsidR="00F658D2" w:rsidRPr="00372D71" w:rsidRDefault="00F658D2" w:rsidP="00F658D2">
            <w:pPr>
              <w:rPr>
                <w:sz w:val="22"/>
                <w:szCs w:val="22"/>
                <w:lang w:val="x-none"/>
              </w:rPr>
            </w:pPr>
            <w:r w:rsidRPr="00372D71">
              <w:rPr>
                <w:sz w:val="22"/>
                <w:szCs w:val="22"/>
                <w:lang w:val="x-none"/>
              </w:rPr>
              <w:t xml:space="preserve">Compared to the general population the % of people with disabilities age 15-65 in: </w:t>
            </w:r>
          </w:p>
          <w:p w14:paraId="3B1F4BBD" w14:textId="77777777" w:rsidR="00F658D2" w:rsidRPr="00372D71" w:rsidRDefault="00F658D2" w:rsidP="00FD0C3F">
            <w:pPr>
              <w:numPr>
                <w:ilvl w:val="0"/>
                <w:numId w:val="20"/>
              </w:numPr>
              <w:spacing w:after="200"/>
              <w:rPr>
                <w:sz w:val="22"/>
                <w:szCs w:val="22"/>
                <w:lang w:val="x-none"/>
              </w:rPr>
            </w:pPr>
            <w:r w:rsidRPr="00372D71">
              <w:rPr>
                <w:sz w:val="22"/>
                <w:szCs w:val="22"/>
                <w:lang w:val="x-none"/>
              </w:rPr>
              <w:t>Employment</w:t>
            </w:r>
          </w:p>
          <w:p w14:paraId="3AA9697A" w14:textId="77777777" w:rsidR="00F658D2" w:rsidRPr="00372D71" w:rsidRDefault="00F658D2" w:rsidP="00FD0C3F">
            <w:pPr>
              <w:numPr>
                <w:ilvl w:val="0"/>
                <w:numId w:val="20"/>
              </w:numPr>
              <w:spacing w:after="200"/>
              <w:rPr>
                <w:sz w:val="22"/>
                <w:szCs w:val="22"/>
                <w:lang w:val="x-none"/>
              </w:rPr>
            </w:pPr>
            <w:r w:rsidRPr="00372D71">
              <w:rPr>
                <w:sz w:val="22"/>
                <w:szCs w:val="22"/>
                <w:lang w:val="x-none"/>
              </w:rPr>
              <w:t>Unemployment</w:t>
            </w:r>
          </w:p>
          <w:p w14:paraId="104042AB" w14:textId="77777777" w:rsidR="00F658D2" w:rsidRPr="00372D71" w:rsidRDefault="00F658D2" w:rsidP="00FD0C3F">
            <w:pPr>
              <w:numPr>
                <w:ilvl w:val="0"/>
                <w:numId w:val="19"/>
              </w:numPr>
              <w:spacing w:after="0"/>
              <w:contextualSpacing/>
              <w:rPr>
                <w:sz w:val="22"/>
                <w:szCs w:val="22"/>
              </w:rPr>
            </w:pPr>
            <w:r w:rsidRPr="00372D71">
              <w:rPr>
                <w:rFonts w:eastAsiaTheme="minorHAnsi" w:cstheme="minorBidi"/>
                <w:sz w:val="22"/>
                <w:szCs w:val="22"/>
              </w:rPr>
              <w:t>Not active</w:t>
            </w:r>
          </w:p>
          <w:p w14:paraId="0C4A4954" w14:textId="77777777" w:rsidR="00F658D2" w:rsidRPr="00372D71" w:rsidRDefault="00F658D2" w:rsidP="00FD0C3F">
            <w:pPr>
              <w:numPr>
                <w:ilvl w:val="0"/>
                <w:numId w:val="19"/>
              </w:numPr>
              <w:spacing w:after="0"/>
              <w:contextualSpacing/>
              <w:rPr>
                <w:sz w:val="22"/>
                <w:szCs w:val="22"/>
              </w:rPr>
            </w:pPr>
            <w:r w:rsidRPr="00372D71">
              <w:rPr>
                <w:sz w:val="22"/>
                <w:szCs w:val="22"/>
              </w:rPr>
              <w:t xml:space="preserve">Education and training </w:t>
            </w:r>
          </w:p>
          <w:p w14:paraId="18EBDFA1" w14:textId="77777777" w:rsidR="00F658D2" w:rsidRPr="00372D71" w:rsidRDefault="00F658D2" w:rsidP="00F658D2">
            <w:pPr>
              <w:spacing w:after="0"/>
              <w:rPr>
                <w:sz w:val="22"/>
                <w:szCs w:val="22"/>
              </w:rPr>
            </w:pPr>
            <w:r w:rsidRPr="00372D71">
              <w:rPr>
                <w:sz w:val="22"/>
                <w:szCs w:val="22"/>
              </w:rPr>
              <w:t>by disability type</w:t>
            </w:r>
          </w:p>
        </w:tc>
        <w:tc>
          <w:tcPr>
            <w:tcW w:w="3543" w:type="dxa"/>
          </w:tcPr>
          <w:p w14:paraId="2BEEDB3D" w14:textId="77777777" w:rsidR="00F658D2" w:rsidRPr="00372D71" w:rsidRDefault="00F658D2" w:rsidP="00F658D2">
            <w:pPr>
              <w:spacing w:after="0"/>
              <w:rPr>
                <w:sz w:val="22"/>
                <w:szCs w:val="22"/>
              </w:rPr>
            </w:pPr>
            <w:r w:rsidRPr="00372D71">
              <w:rPr>
                <w:sz w:val="22"/>
                <w:szCs w:val="22"/>
              </w:rPr>
              <w:t>Yes. Removed from this</w:t>
            </w:r>
            <w:r>
              <w:rPr>
                <w:sz w:val="22"/>
                <w:szCs w:val="22"/>
              </w:rPr>
              <w:t xml:space="preserve"> SP</w:t>
            </w:r>
            <w:r w:rsidRPr="00372D71">
              <w:rPr>
                <w:sz w:val="22"/>
                <w:szCs w:val="22"/>
              </w:rPr>
              <w:t>. Retained in SP6.</w:t>
            </w:r>
          </w:p>
        </w:tc>
        <w:tc>
          <w:tcPr>
            <w:tcW w:w="2835" w:type="dxa"/>
          </w:tcPr>
          <w:p w14:paraId="055D6C09" w14:textId="77777777" w:rsidR="00F658D2" w:rsidRPr="00372D71" w:rsidRDefault="00F658D2" w:rsidP="00F658D2">
            <w:pPr>
              <w:spacing w:after="0"/>
              <w:rPr>
                <w:sz w:val="22"/>
                <w:szCs w:val="22"/>
              </w:rPr>
            </w:pPr>
            <w:r w:rsidRPr="00372D71">
              <w:rPr>
                <w:sz w:val="22"/>
                <w:szCs w:val="22"/>
              </w:rPr>
              <w:t>To avoid repetition.</w:t>
            </w:r>
          </w:p>
        </w:tc>
      </w:tr>
      <w:tr w:rsidR="00F658D2" w:rsidRPr="00E44373" w14:paraId="6D27D97C" w14:textId="77777777" w:rsidTr="00B42243">
        <w:tc>
          <w:tcPr>
            <w:tcW w:w="2122" w:type="dxa"/>
            <w:shd w:val="clear" w:color="auto" w:fill="auto"/>
          </w:tcPr>
          <w:p w14:paraId="475B41FB"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12FF2376" w14:textId="77777777" w:rsidR="00F658D2" w:rsidRPr="00372D71" w:rsidRDefault="00F658D2" w:rsidP="00F658D2">
            <w:pPr>
              <w:spacing w:after="0"/>
              <w:rPr>
                <w:sz w:val="22"/>
                <w:szCs w:val="22"/>
              </w:rPr>
            </w:pPr>
            <w:r w:rsidRPr="00372D71">
              <w:rPr>
                <w:sz w:val="22"/>
                <w:szCs w:val="22"/>
              </w:rPr>
              <w:t>Percentage of people with a disability employed in the public sector</w:t>
            </w:r>
          </w:p>
        </w:tc>
        <w:tc>
          <w:tcPr>
            <w:tcW w:w="3543" w:type="dxa"/>
          </w:tcPr>
          <w:p w14:paraId="61002135" w14:textId="77777777" w:rsidR="00F658D2" w:rsidRPr="00372D71" w:rsidRDefault="00F658D2" w:rsidP="00F658D2">
            <w:pPr>
              <w:spacing w:after="0"/>
              <w:rPr>
                <w:sz w:val="22"/>
                <w:szCs w:val="22"/>
              </w:rPr>
            </w:pPr>
            <w:r w:rsidRPr="00372D71">
              <w:rPr>
                <w:sz w:val="22"/>
                <w:szCs w:val="22"/>
              </w:rPr>
              <w:t>Yes. Removed from this</w:t>
            </w:r>
            <w:r>
              <w:rPr>
                <w:sz w:val="22"/>
                <w:szCs w:val="22"/>
              </w:rPr>
              <w:t xml:space="preserve"> SP</w:t>
            </w:r>
            <w:r w:rsidRPr="00372D71">
              <w:rPr>
                <w:sz w:val="22"/>
                <w:szCs w:val="22"/>
              </w:rPr>
              <w:t>. Retained in SP6.</w:t>
            </w:r>
          </w:p>
        </w:tc>
        <w:tc>
          <w:tcPr>
            <w:tcW w:w="2835" w:type="dxa"/>
          </w:tcPr>
          <w:p w14:paraId="5D06E90F" w14:textId="77777777" w:rsidR="00F658D2" w:rsidRPr="00372D71" w:rsidRDefault="00F658D2" w:rsidP="00F658D2">
            <w:pPr>
              <w:spacing w:after="0"/>
              <w:rPr>
                <w:sz w:val="22"/>
                <w:szCs w:val="22"/>
              </w:rPr>
            </w:pPr>
            <w:r w:rsidRPr="00372D71">
              <w:rPr>
                <w:sz w:val="22"/>
                <w:szCs w:val="22"/>
              </w:rPr>
              <w:t>To avoid repetition.</w:t>
            </w:r>
          </w:p>
        </w:tc>
      </w:tr>
      <w:tr w:rsidR="00F658D2" w:rsidRPr="00E44373" w14:paraId="677EA6C1" w14:textId="77777777" w:rsidTr="00B42243">
        <w:tc>
          <w:tcPr>
            <w:tcW w:w="2122" w:type="dxa"/>
            <w:shd w:val="clear" w:color="auto" w:fill="auto"/>
          </w:tcPr>
          <w:p w14:paraId="2CCF5F9C"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2A93BD5D" w14:textId="77777777" w:rsidR="00F658D2" w:rsidRPr="00372D71" w:rsidRDefault="00F658D2" w:rsidP="00F658D2">
            <w:pPr>
              <w:rPr>
                <w:sz w:val="22"/>
                <w:szCs w:val="22"/>
              </w:rPr>
            </w:pPr>
            <w:r w:rsidRPr="00372D71">
              <w:rPr>
                <w:sz w:val="22"/>
                <w:szCs w:val="22"/>
              </w:rPr>
              <w:t>Nos. of persons with disabilities who are self-employed</w:t>
            </w:r>
          </w:p>
        </w:tc>
        <w:tc>
          <w:tcPr>
            <w:tcW w:w="3543" w:type="dxa"/>
          </w:tcPr>
          <w:p w14:paraId="00D45C86" w14:textId="77777777" w:rsidR="00F658D2" w:rsidRPr="00372D71" w:rsidRDefault="00F658D2" w:rsidP="00F658D2">
            <w:pPr>
              <w:rPr>
                <w:sz w:val="22"/>
                <w:szCs w:val="22"/>
              </w:rPr>
            </w:pPr>
            <w:r w:rsidRPr="00372D71">
              <w:rPr>
                <w:sz w:val="22"/>
                <w:szCs w:val="22"/>
              </w:rPr>
              <w:t>Yes. Removed from this</w:t>
            </w:r>
            <w:r>
              <w:rPr>
                <w:sz w:val="22"/>
                <w:szCs w:val="22"/>
              </w:rPr>
              <w:t xml:space="preserve"> SP</w:t>
            </w:r>
            <w:r w:rsidRPr="00372D71">
              <w:rPr>
                <w:sz w:val="22"/>
                <w:szCs w:val="22"/>
              </w:rPr>
              <w:t>. Retained in SP6.</w:t>
            </w:r>
          </w:p>
        </w:tc>
        <w:tc>
          <w:tcPr>
            <w:tcW w:w="2835" w:type="dxa"/>
          </w:tcPr>
          <w:p w14:paraId="6DEE3BF2" w14:textId="77777777" w:rsidR="00F658D2" w:rsidRPr="00372D71" w:rsidRDefault="00F658D2" w:rsidP="00F658D2">
            <w:pPr>
              <w:rPr>
                <w:sz w:val="22"/>
                <w:szCs w:val="22"/>
              </w:rPr>
            </w:pPr>
            <w:r w:rsidRPr="00372D71">
              <w:rPr>
                <w:sz w:val="22"/>
                <w:szCs w:val="22"/>
              </w:rPr>
              <w:t>To avoid repetition.</w:t>
            </w:r>
          </w:p>
        </w:tc>
      </w:tr>
      <w:tr w:rsidR="00F658D2" w:rsidRPr="00E44373" w14:paraId="6A260B40" w14:textId="77777777" w:rsidTr="00B42243">
        <w:tc>
          <w:tcPr>
            <w:tcW w:w="2122" w:type="dxa"/>
            <w:shd w:val="clear" w:color="auto" w:fill="auto"/>
          </w:tcPr>
          <w:p w14:paraId="00D01874"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4A46C18D" w14:textId="77777777" w:rsidR="00F658D2" w:rsidRPr="00372D71" w:rsidRDefault="00F658D2" w:rsidP="00F658D2">
            <w:pPr>
              <w:rPr>
                <w:sz w:val="22"/>
                <w:szCs w:val="22"/>
              </w:rPr>
            </w:pPr>
            <w:r w:rsidRPr="00372D71">
              <w:rPr>
                <w:sz w:val="22"/>
                <w:szCs w:val="22"/>
              </w:rPr>
              <w:t>Nos. of persons with disabilities accessing Enterprise Ireland supports (e.g. LEOs, entrepreneurship programme etc.)</w:t>
            </w:r>
          </w:p>
        </w:tc>
        <w:tc>
          <w:tcPr>
            <w:tcW w:w="3543" w:type="dxa"/>
          </w:tcPr>
          <w:p w14:paraId="177C2CE5" w14:textId="6343D14E" w:rsidR="00F658D2" w:rsidRPr="00372D71" w:rsidRDefault="00F658D2" w:rsidP="00F658D2">
            <w:pPr>
              <w:rPr>
                <w:sz w:val="22"/>
                <w:szCs w:val="22"/>
              </w:rPr>
            </w:pPr>
            <w:r>
              <w:rPr>
                <w:sz w:val="22"/>
                <w:szCs w:val="22"/>
              </w:rPr>
              <w:t>No.</w:t>
            </w:r>
          </w:p>
        </w:tc>
        <w:tc>
          <w:tcPr>
            <w:tcW w:w="2835" w:type="dxa"/>
          </w:tcPr>
          <w:p w14:paraId="11D31700" w14:textId="77777777" w:rsidR="00F658D2" w:rsidRPr="00372D71" w:rsidRDefault="00F658D2" w:rsidP="00F658D2">
            <w:pPr>
              <w:rPr>
                <w:sz w:val="22"/>
                <w:szCs w:val="22"/>
              </w:rPr>
            </w:pPr>
          </w:p>
        </w:tc>
      </w:tr>
      <w:tr w:rsidR="00F658D2" w:rsidRPr="00E44373" w14:paraId="3CFA96D8" w14:textId="77777777" w:rsidTr="00B42243">
        <w:tc>
          <w:tcPr>
            <w:tcW w:w="2122" w:type="dxa"/>
            <w:shd w:val="clear" w:color="auto" w:fill="auto"/>
          </w:tcPr>
          <w:p w14:paraId="508A958D" w14:textId="77777777" w:rsidR="00F658D2" w:rsidRPr="00372D71" w:rsidRDefault="00F658D2" w:rsidP="00F658D2">
            <w:pPr>
              <w:rPr>
                <w:sz w:val="22"/>
                <w:szCs w:val="22"/>
              </w:rPr>
            </w:pPr>
            <w:r w:rsidRPr="00372D71">
              <w:rPr>
                <w:sz w:val="22"/>
                <w:szCs w:val="22"/>
              </w:rPr>
              <w:t>SP2: Provide bridges and supports into work</w:t>
            </w:r>
          </w:p>
        </w:tc>
        <w:tc>
          <w:tcPr>
            <w:tcW w:w="4536" w:type="dxa"/>
            <w:shd w:val="clear" w:color="auto" w:fill="auto"/>
          </w:tcPr>
          <w:p w14:paraId="6F98335D" w14:textId="77777777" w:rsidR="00F658D2" w:rsidRPr="00372D71" w:rsidRDefault="00F658D2" w:rsidP="00F658D2">
            <w:pPr>
              <w:rPr>
                <w:sz w:val="22"/>
                <w:szCs w:val="22"/>
              </w:rPr>
            </w:pPr>
            <w:r w:rsidRPr="00372D71">
              <w:rPr>
                <w:sz w:val="22"/>
                <w:szCs w:val="22"/>
              </w:rPr>
              <w:t>Nos. of persons with disabilities increasing their level of participation in the work-force – e.g. increasing part-time hours etc.</w:t>
            </w:r>
          </w:p>
        </w:tc>
        <w:tc>
          <w:tcPr>
            <w:tcW w:w="3543" w:type="dxa"/>
          </w:tcPr>
          <w:p w14:paraId="3CF75B44" w14:textId="77777777" w:rsidR="00F658D2" w:rsidRPr="00372D71" w:rsidRDefault="00F658D2" w:rsidP="00F658D2">
            <w:pPr>
              <w:rPr>
                <w:sz w:val="22"/>
                <w:szCs w:val="22"/>
              </w:rPr>
            </w:pPr>
            <w:r>
              <w:rPr>
                <w:sz w:val="22"/>
                <w:szCs w:val="22"/>
              </w:rPr>
              <w:t xml:space="preserve">Yes. Deleted. </w:t>
            </w:r>
          </w:p>
        </w:tc>
        <w:tc>
          <w:tcPr>
            <w:tcW w:w="2835" w:type="dxa"/>
          </w:tcPr>
          <w:p w14:paraId="78750981" w14:textId="77777777" w:rsidR="00F658D2" w:rsidRPr="00372D71" w:rsidRDefault="00F658D2" w:rsidP="00F658D2">
            <w:pPr>
              <w:rPr>
                <w:sz w:val="22"/>
                <w:szCs w:val="22"/>
              </w:rPr>
            </w:pPr>
            <w:r w:rsidRPr="00806FAD">
              <w:rPr>
                <w:sz w:val="22"/>
                <w:szCs w:val="22"/>
              </w:rPr>
              <w:t>At present there does not appear to be a national dataset available which could illustrate the original intention of this indicator.</w:t>
            </w:r>
            <w:r>
              <w:rPr>
                <w:sz w:val="22"/>
                <w:szCs w:val="22"/>
              </w:rPr>
              <w:t xml:space="preserve"> </w:t>
            </w:r>
          </w:p>
        </w:tc>
      </w:tr>
      <w:tr w:rsidR="00F658D2" w:rsidRPr="00E44373" w14:paraId="1671896C" w14:textId="77777777" w:rsidTr="00B42243">
        <w:tc>
          <w:tcPr>
            <w:tcW w:w="2122" w:type="dxa"/>
            <w:shd w:val="clear" w:color="auto" w:fill="auto"/>
          </w:tcPr>
          <w:p w14:paraId="7479B568" w14:textId="77777777" w:rsidR="00F658D2" w:rsidRPr="00372D71" w:rsidRDefault="00F658D2" w:rsidP="00F658D2">
            <w:pPr>
              <w:rPr>
                <w:sz w:val="22"/>
                <w:szCs w:val="22"/>
              </w:rPr>
            </w:pPr>
            <w:r w:rsidRPr="00372D71">
              <w:rPr>
                <w:sz w:val="22"/>
                <w:szCs w:val="22"/>
              </w:rPr>
              <w:t xml:space="preserve">SP3: Make </w:t>
            </w:r>
            <w:r>
              <w:rPr>
                <w:sz w:val="22"/>
                <w:szCs w:val="22"/>
              </w:rPr>
              <w:t>w</w:t>
            </w:r>
            <w:r w:rsidRPr="00372D71">
              <w:rPr>
                <w:sz w:val="22"/>
                <w:szCs w:val="22"/>
              </w:rPr>
              <w:t xml:space="preserve">ork </w:t>
            </w:r>
            <w:r>
              <w:rPr>
                <w:sz w:val="22"/>
                <w:szCs w:val="22"/>
              </w:rPr>
              <w:t>p</w:t>
            </w:r>
            <w:r w:rsidRPr="00372D71">
              <w:rPr>
                <w:sz w:val="22"/>
                <w:szCs w:val="22"/>
              </w:rPr>
              <w:t>ay</w:t>
            </w:r>
          </w:p>
        </w:tc>
        <w:tc>
          <w:tcPr>
            <w:tcW w:w="4536" w:type="dxa"/>
            <w:shd w:val="clear" w:color="auto" w:fill="auto"/>
          </w:tcPr>
          <w:p w14:paraId="7C3147EB" w14:textId="77777777" w:rsidR="00F658D2" w:rsidRPr="00372D71" w:rsidRDefault="00F658D2" w:rsidP="00F658D2">
            <w:pPr>
              <w:rPr>
                <w:sz w:val="22"/>
                <w:szCs w:val="22"/>
              </w:rPr>
            </w:pPr>
            <w:r w:rsidRPr="00372D71">
              <w:rPr>
                <w:sz w:val="22"/>
                <w:szCs w:val="22"/>
              </w:rPr>
              <w:t>Nos. of people accessing DEASP ready reckoner on roll-out</w:t>
            </w:r>
          </w:p>
        </w:tc>
        <w:tc>
          <w:tcPr>
            <w:tcW w:w="3543" w:type="dxa"/>
          </w:tcPr>
          <w:p w14:paraId="09A10D5E" w14:textId="560E0032" w:rsidR="00F658D2" w:rsidRPr="00372D71" w:rsidRDefault="00F658D2" w:rsidP="00F658D2">
            <w:pPr>
              <w:rPr>
                <w:sz w:val="22"/>
                <w:szCs w:val="22"/>
              </w:rPr>
            </w:pPr>
            <w:r>
              <w:rPr>
                <w:sz w:val="22"/>
                <w:szCs w:val="22"/>
              </w:rPr>
              <w:t>No.</w:t>
            </w:r>
          </w:p>
        </w:tc>
        <w:tc>
          <w:tcPr>
            <w:tcW w:w="2835" w:type="dxa"/>
          </w:tcPr>
          <w:p w14:paraId="028A8088" w14:textId="77777777" w:rsidR="00F658D2" w:rsidRPr="00372D71" w:rsidRDefault="00F658D2" w:rsidP="00F658D2">
            <w:pPr>
              <w:rPr>
                <w:sz w:val="22"/>
                <w:szCs w:val="22"/>
              </w:rPr>
            </w:pPr>
          </w:p>
        </w:tc>
      </w:tr>
      <w:tr w:rsidR="00F658D2" w:rsidRPr="00E44373" w14:paraId="50DAF3CB" w14:textId="77777777" w:rsidTr="00B42243">
        <w:tc>
          <w:tcPr>
            <w:tcW w:w="2122" w:type="dxa"/>
            <w:shd w:val="clear" w:color="auto" w:fill="auto"/>
          </w:tcPr>
          <w:p w14:paraId="1CB1A791" w14:textId="77777777" w:rsidR="00F658D2" w:rsidRPr="00372D71" w:rsidRDefault="00F658D2" w:rsidP="00F658D2">
            <w:pPr>
              <w:rPr>
                <w:sz w:val="22"/>
                <w:szCs w:val="22"/>
              </w:rPr>
            </w:pPr>
            <w:r w:rsidRPr="00372D71">
              <w:rPr>
                <w:sz w:val="22"/>
                <w:szCs w:val="22"/>
              </w:rPr>
              <w:t xml:space="preserve">SP3: Make </w:t>
            </w:r>
            <w:r>
              <w:rPr>
                <w:sz w:val="22"/>
                <w:szCs w:val="22"/>
              </w:rPr>
              <w:t>w</w:t>
            </w:r>
            <w:r w:rsidRPr="00372D71">
              <w:rPr>
                <w:sz w:val="22"/>
                <w:szCs w:val="22"/>
              </w:rPr>
              <w:t xml:space="preserve">ork </w:t>
            </w:r>
            <w:r>
              <w:rPr>
                <w:sz w:val="22"/>
                <w:szCs w:val="22"/>
              </w:rPr>
              <w:t>p</w:t>
            </w:r>
            <w:r w:rsidRPr="00372D71">
              <w:rPr>
                <w:sz w:val="22"/>
                <w:szCs w:val="22"/>
              </w:rPr>
              <w:t>ay</w:t>
            </w:r>
          </w:p>
        </w:tc>
        <w:tc>
          <w:tcPr>
            <w:tcW w:w="4536" w:type="dxa"/>
            <w:shd w:val="clear" w:color="auto" w:fill="auto"/>
          </w:tcPr>
          <w:p w14:paraId="66761A0C" w14:textId="77777777" w:rsidR="00F658D2" w:rsidRPr="005A7595" w:rsidRDefault="00F658D2" w:rsidP="00F658D2">
            <w:pPr>
              <w:rPr>
                <w:sz w:val="22"/>
                <w:szCs w:val="22"/>
              </w:rPr>
            </w:pPr>
            <w:r w:rsidRPr="005A7595">
              <w:rPr>
                <w:sz w:val="22"/>
                <w:szCs w:val="22"/>
              </w:rPr>
              <w:t>Number of people with a disability on disability payments/benefits e.g. Disability Allowance, Invalidity pension, by disability type</w:t>
            </w:r>
          </w:p>
        </w:tc>
        <w:tc>
          <w:tcPr>
            <w:tcW w:w="3543" w:type="dxa"/>
          </w:tcPr>
          <w:p w14:paraId="5BD23D49" w14:textId="77777777" w:rsidR="00F658D2" w:rsidRPr="005A7595" w:rsidRDefault="00F658D2" w:rsidP="00F658D2">
            <w:pPr>
              <w:spacing w:after="0"/>
              <w:rPr>
                <w:sz w:val="22"/>
                <w:szCs w:val="22"/>
              </w:rPr>
            </w:pPr>
            <w:r w:rsidRPr="005A7595">
              <w:rPr>
                <w:sz w:val="22"/>
                <w:szCs w:val="22"/>
              </w:rPr>
              <w:t>Yes. “</w:t>
            </w:r>
            <w:r w:rsidRPr="006825D6">
              <w:rPr>
                <w:sz w:val="22"/>
                <w:szCs w:val="22"/>
              </w:rPr>
              <w:t>Number of people with a disability on disability payments/benefits”.</w:t>
            </w:r>
          </w:p>
        </w:tc>
        <w:tc>
          <w:tcPr>
            <w:tcW w:w="2835" w:type="dxa"/>
          </w:tcPr>
          <w:p w14:paraId="2B860E2F" w14:textId="77777777" w:rsidR="00F658D2" w:rsidRPr="00372D71" w:rsidRDefault="00F658D2" w:rsidP="00F658D2">
            <w:pPr>
              <w:spacing w:after="0"/>
              <w:rPr>
                <w:sz w:val="22"/>
                <w:szCs w:val="22"/>
              </w:rPr>
            </w:pPr>
            <w:r>
              <w:rPr>
                <w:sz w:val="22"/>
                <w:szCs w:val="22"/>
              </w:rPr>
              <w:t>Disability type not available.</w:t>
            </w:r>
          </w:p>
        </w:tc>
      </w:tr>
      <w:tr w:rsidR="00F658D2" w:rsidRPr="00E44373" w14:paraId="3C4013E0" w14:textId="77777777" w:rsidTr="00B42243">
        <w:tc>
          <w:tcPr>
            <w:tcW w:w="2122" w:type="dxa"/>
            <w:shd w:val="clear" w:color="auto" w:fill="auto"/>
          </w:tcPr>
          <w:p w14:paraId="7AC7A0F6" w14:textId="77777777" w:rsidR="00F658D2" w:rsidRPr="00372D71" w:rsidRDefault="00F658D2" w:rsidP="00F658D2">
            <w:pPr>
              <w:rPr>
                <w:sz w:val="22"/>
                <w:szCs w:val="22"/>
              </w:rPr>
            </w:pPr>
            <w:r w:rsidRPr="00372D71">
              <w:rPr>
                <w:sz w:val="22"/>
                <w:szCs w:val="22"/>
              </w:rPr>
              <w:t xml:space="preserve">SP3: Make </w:t>
            </w:r>
            <w:r>
              <w:rPr>
                <w:sz w:val="22"/>
                <w:szCs w:val="22"/>
              </w:rPr>
              <w:t>w</w:t>
            </w:r>
            <w:r w:rsidRPr="00372D71">
              <w:rPr>
                <w:sz w:val="22"/>
                <w:szCs w:val="22"/>
              </w:rPr>
              <w:t xml:space="preserve">ork </w:t>
            </w:r>
            <w:r>
              <w:rPr>
                <w:sz w:val="22"/>
                <w:szCs w:val="22"/>
              </w:rPr>
              <w:t>p</w:t>
            </w:r>
            <w:r w:rsidRPr="00372D71">
              <w:rPr>
                <w:sz w:val="22"/>
                <w:szCs w:val="22"/>
              </w:rPr>
              <w:t>ay</w:t>
            </w:r>
          </w:p>
        </w:tc>
        <w:tc>
          <w:tcPr>
            <w:tcW w:w="4536" w:type="dxa"/>
            <w:shd w:val="clear" w:color="auto" w:fill="auto"/>
          </w:tcPr>
          <w:p w14:paraId="577704FC" w14:textId="77777777" w:rsidR="00F658D2" w:rsidRPr="00372D71" w:rsidRDefault="00F658D2" w:rsidP="00F658D2">
            <w:pPr>
              <w:rPr>
                <w:sz w:val="22"/>
                <w:szCs w:val="22"/>
              </w:rPr>
            </w:pPr>
            <w:r w:rsidRPr="00372D71">
              <w:rPr>
                <w:sz w:val="22"/>
                <w:szCs w:val="22"/>
              </w:rPr>
              <w:t xml:space="preserve">Expenditure and Nos. of persons for whom wage subsidy scheme is paid, reasonable accommodation fund, back to education allowance, EmployAbility Service, any complementary support service </w:t>
            </w:r>
          </w:p>
          <w:p w14:paraId="0C072F10" w14:textId="77777777" w:rsidR="00F658D2" w:rsidRPr="00372D71" w:rsidRDefault="00F658D2" w:rsidP="00F658D2">
            <w:pPr>
              <w:rPr>
                <w:sz w:val="22"/>
                <w:szCs w:val="22"/>
              </w:rPr>
            </w:pPr>
          </w:p>
        </w:tc>
        <w:tc>
          <w:tcPr>
            <w:tcW w:w="3543" w:type="dxa"/>
          </w:tcPr>
          <w:p w14:paraId="0AA5216D" w14:textId="77777777" w:rsidR="00F658D2" w:rsidRPr="00372D71" w:rsidRDefault="00F658D2" w:rsidP="00F658D2">
            <w:pPr>
              <w:rPr>
                <w:sz w:val="22"/>
                <w:szCs w:val="22"/>
              </w:rPr>
            </w:pPr>
            <w:r w:rsidRPr="00372D71">
              <w:rPr>
                <w:sz w:val="22"/>
                <w:szCs w:val="22"/>
              </w:rPr>
              <w:t>Yes. There have been a number of changes to this indicator. Each scheme now has it</w:t>
            </w:r>
            <w:r>
              <w:rPr>
                <w:sz w:val="22"/>
                <w:szCs w:val="22"/>
              </w:rPr>
              <w:t>s</w:t>
            </w:r>
            <w:r w:rsidRPr="00372D71">
              <w:rPr>
                <w:sz w:val="22"/>
                <w:szCs w:val="22"/>
              </w:rPr>
              <w:t xml:space="preserve"> own</w:t>
            </w:r>
            <w:r>
              <w:rPr>
                <w:sz w:val="22"/>
                <w:szCs w:val="22"/>
              </w:rPr>
              <w:t xml:space="preserve"> </w:t>
            </w:r>
            <w:r w:rsidRPr="00372D71">
              <w:rPr>
                <w:sz w:val="22"/>
                <w:szCs w:val="22"/>
              </w:rPr>
              <w:t xml:space="preserve">specific indicator, and all have been removed from this SP, but moved to/retained in other SPs. </w:t>
            </w:r>
          </w:p>
          <w:p w14:paraId="7C00174E" w14:textId="77777777" w:rsidR="00F658D2" w:rsidRPr="00372D71" w:rsidRDefault="00F658D2" w:rsidP="00F658D2">
            <w:pPr>
              <w:rPr>
                <w:sz w:val="22"/>
                <w:szCs w:val="22"/>
              </w:rPr>
            </w:pPr>
            <w:r w:rsidRPr="00403E16">
              <w:rPr>
                <w:sz w:val="22"/>
                <w:szCs w:val="22"/>
              </w:rPr>
              <w:t>Wage subsidy scheme now</w:t>
            </w:r>
            <w:r w:rsidRPr="00C95E5F">
              <w:rPr>
                <w:b/>
                <w:sz w:val="22"/>
                <w:szCs w:val="22"/>
              </w:rPr>
              <w:t xml:space="preserve"> </w:t>
            </w:r>
            <w:r w:rsidRPr="00372D71">
              <w:rPr>
                <w:sz w:val="22"/>
                <w:szCs w:val="22"/>
              </w:rPr>
              <w:t>“Number of persons in employment supported through the Wage Subsidy Scheme</w:t>
            </w:r>
            <w:r>
              <w:rPr>
                <w:sz w:val="22"/>
                <w:szCs w:val="22"/>
              </w:rPr>
              <w:t xml:space="preserve">”. In </w:t>
            </w:r>
            <w:r w:rsidRPr="00372D71">
              <w:rPr>
                <w:sz w:val="22"/>
                <w:szCs w:val="22"/>
              </w:rPr>
              <w:t>SP4 and SP6</w:t>
            </w:r>
            <w:r>
              <w:rPr>
                <w:sz w:val="22"/>
                <w:szCs w:val="22"/>
              </w:rPr>
              <w:t>.</w:t>
            </w:r>
          </w:p>
          <w:p w14:paraId="2A8AFAD5" w14:textId="77777777" w:rsidR="00F658D2" w:rsidRPr="00372D71" w:rsidRDefault="00F658D2" w:rsidP="00F658D2">
            <w:pPr>
              <w:rPr>
                <w:sz w:val="22"/>
                <w:szCs w:val="22"/>
              </w:rPr>
            </w:pPr>
            <w:r w:rsidRPr="00372D71">
              <w:rPr>
                <w:sz w:val="22"/>
                <w:szCs w:val="22"/>
              </w:rPr>
              <w:t>Reasonable accommodation fund</w:t>
            </w:r>
            <w:r>
              <w:rPr>
                <w:sz w:val="22"/>
                <w:szCs w:val="22"/>
              </w:rPr>
              <w:t xml:space="preserve"> now</w:t>
            </w:r>
            <w:r w:rsidRPr="00372D71">
              <w:rPr>
                <w:sz w:val="22"/>
                <w:szCs w:val="22"/>
              </w:rPr>
              <w:t xml:space="preserve"> “Number of applications for Reasonable Accommodation Fund”</w:t>
            </w:r>
            <w:r>
              <w:rPr>
                <w:sz w:val="22"/>
                <w:szCs w:val="22"/>
              </w:rPr>
              <w:t>.</w:t>
            </w:r>
            <w:r w:rsidRPr="00372D71">
              <w:rPr>
                <w:sz w:val="22"/>
                <w:szCs w:val="22"/>
              </w:rPr>
              <w:t xml:space="preserve"> </w:t>
            </w:r>
            <w:r>
              <w:rPr>
                <w:sz w:val="22"/>
                <w:szCs w:val="22"/>
              </w:rPr>
              <w:t xml:space="preserve">In </w:t>
            </w:r>
            <w:r w:rsidRPr="00372D71">
              <w:rPr>
                <w:sz w:val="22"/>
                <w:szCs w:val="22"/>
              </w:rPr>
              <w:t>SP4 and SP6</w:t>
            </w:r>
            <w:r>
              <w:rPr>
                <w:sz w:val="22"/>
                <w:szCs w:val="22"/>
              </w:rPr>
              <w:t>.</w:t>
            </w:r>
          </w:p>
          <w:p w14:paraId="30C57BA5" w14:textId="77777777" w:rsidR="00F658D2" w:rsidRPr="00372D71" w:rsidRDefault="00F658D2" w:rsidP="00F658D2">
            <w:pPr>
              <w:rPr>
                <w:sz w:val="22"/>
                <w:szCs w:val="22"/>
              </w:rPr>
            </w:pPr>
            <w:r w:rsidRPr="00372D71">
              <w:rPr>
                <w:sz w:val="22"/>
                <w:szCs w:val="22"/>
              </w:rPr>
              <w:t xml:space="preserve">EmployAbility service: “Proportion of EmployAbility participants exiting into employment”. Moved to </w:t>
            </w:r>
            <w:r>
              <w:rPr>
                <w:sz w:val="22"/>
                <w:szCs w:val="22"/>
              </w:rPr>
              <w:t>SP</w:t>
            </w:r>
            <w:r w:rsidRPr="00372D71">
              <w:rPr>
                <w:sz w:val="22"/>
                <w:szCs w:val="22"/>
              </w:rPr>
              <w:t>2.</w:t>
            </w:r>
          </w:p>
          <w:p w14:paraId="2325409C" w14:textId="77777777" w:rsidR="00F658D2" w:rsidRPr="00372D71" w:rsidRDefault="00F658D2" w:rsidP="00F658D2">
            <w:pPr>
              <w:rPr>
                <w:sz w:val="22"/>
                <w:szCs w:val="22"/>
              </w:rPr>
            </w:pPr>
            <w:r w:rsidRPr="00372D71">
              <w:rPr>
                <w:sz w:val="22"/>
                <w:szCs w:val="22"/>
              </w:rPr>
              <w:t>Back to Education Allowance</w:t>
            </w:r>
            <w:r>
              <w:rPr>
                <w:sz w:val="22"/>
                <w:szCs w:val="22"/>
              </w:rPr>
              <w:t>: “</w:t>
            </w:r>
            <w:r w:rsidRPr="00666CFD">
              <w:rPr>
                <w:sz w:val="22"/>
                <w:szCs w:val="22"/>
              </w:rPr>
              <w:t>Numbers of Back to Education Allowance recipients with disabilities</w:t>
            </w:r>
            <w:r>
              <w:rPr>
                <w:sz w:val="22"/>
                <w:szCs w:val="22"/>
              </w:rPr>
              <w:t>”. M</w:t>
            </w:r>
            <w:r w:rsidRPr="00372D71">
              <w:rPr>
                <w:sz w:val="22"/>
                <w:szCs w:val="22"/>
              </w:rPr>
              <w:t>oved to SP1.</w:t>
            </w:r>
          </w:p>
        </w:tc>
        <w:tc>
          <w:tcPr>
            <w:tcW w:w="2835" w:type="dxa"/>
          </w:tcPr>
          <w:p w14:paraId="672C6814" w14:textId="77777777" w:rsidR="00F658D2" w:rsidRPr="00135CA2" w:rsidRDefault="00F658D2" w:rsidP="00F658D2">
            <w:pPr>
              <w:rPr>
                <w:sz w:val="22"/>
                <w:szCs w:val="22"/>
              </w:rPr>
            </w:pPr>
            <w:r w:rsidRPr="00135CA2">
              <w:rPr>
                <w:sz w:val="22"/>
                <w:szCs w:val="22"/>
              </w:rPr>
              <w:t xml:space="preserve">Indicators were moved to/retained in the most relevant </w:t>
            </w:r>
            <w:r>
              <w:rPr>
                <w:sz w:val="22"/>
                <w:szCs w:val="22"/>
              </w:rPr>
              <w:t>SPs</w:t>
            </w:r>
            <w:r w:rsidRPr="00135CA2">
              <w:rPr>
                <w:sz w:val="22"/>
                <w:szCs w:val="22"/>
              </w:rPr>
              <w:t>.</w:t>
            </w:r>
          </w:p>
          <w:p w14:paraId="2DA1A514" w14:textId="77777777" w:rsidR="00F658D2" w:rsidRPr="00135CA2" w:rsidRDefault="00F658D2" w:rsidP="00F658D2">
            <w:pPr>
              <w:rPr>
                <w:sz w:val="22"/>
                <w:szCs w:val="22"/>
              </w:rPr>
            </w:pPr>
            <w:r w:rsidRPr="00135CA2">
              <w:rPr>
                <w:sz w:val="22"/>
                <w:szCs w:val="22"/>
              </w:rPr>
              <w:t xml:space="preserve">The focus of the indicators is </w:t>
            </w:r>
            <w:r>
              <w:rPr>
                <w:sz w:val="22"/>
                <w:szCs w:val="22"/>
              </w:rPr>
              <w:t>on</w:t>
            </w:r>
            <w:r w:rsidRPr="00135CA2">
              <w:rPr>
                <w:sz w:val="22"/>
                <w:szCs w:val="22"/>
              </w:rPr>
              <w:t xml:space="preserve"> persons with disabilities benefitting from the scheme, rather than the input of expenditure.</w:t>
            </w:r>
          </w:p>
          <w:p w14:paraId="2D46B3A1" w14:textId="77777777" w:rsidR="00F658D2" w:rsidRPr="00135CA2" w:rsidRDefault="00F658D2" w:rsidP="00F658D2">
            <w:pPr>
              <w:rPr>
                <w:sz w:val="22"/>
                <w:szCs w:val="22"/>
              </w:rPr>
            </w:pPr>
            <w:r w:rsidRPr="00135CA2">
              <w:rPr>
                <w:sz w:val="22"/>
                <w:szCs w:val="22"/>
              </w:rPr>
              <w:t>Indicator names were rephrased to reflect changes.</w:t>
            </w:r>
          </w:p>
          <w:p w14:paraId="0C65E648" w14:textId="77777777" w:rsidR="00F658D2" w:rsidRPr="00372D71" w:rsidRDefault="00F658D2" w:rsidP="00F658D2">
            <w:pPr>
              <w:rPr>
                <w:sz w:val="22"/>
                <w:szCs w:val="22"/>
              </w:rPr>
            </w:pPr>
          </w:p>
        </w:tc>
      </w:tr>
      <w:tr w:rsidR="00F658D2" w:rsidRPr="00E44373" w14:paraId="1C6AE6E9" w14:textId="77777777" w:rsidTr="00B42243">
        <w:tc>
          <w:tcPr>
            <w:tcW w:w="2122" w:type="dxa"/>
            <w:shd w:val="clear" w:color="auto" w:fill="auto"/>
          </w:tcPr>
          <w:p w14:paraId="0147494D" w14:textId="77777777" w:rsidR="00F658D2" w:rsidRPr="00372D71" w:rsidRDefault="00F658D2" w:rsidP="00F658D2">
            <w:pPr>
              <w:rPr>
                <w:sz w:val="22"/>
                <w:szCs w:val="22"/>
              </w:rPr>
            </w:pPr>
            <w:r w:rsidRPr="00372D71">
              <w:rPr>
                <w:sz w:val="22"/>
                <w:szCs w:val="22"/>
              </w:rPr>
              <w:t>SP4: Promote job retention and re-entry to work</w:t>
            </w:r>
          </w:p>
        </w:tc>
        <w:tc>
          <w:tcPr>
            <w:tcW w:w="4536" w:type="dxa"/>
            <w:shd w:val="clear" w:color="auto" w:fill="auto"/>
          </w:tcPr>
          <w:p w14:paraId="26D3C90B" w14:textId="77777777" w:rsidR="00F658D2" w:rsidRPr="00372D71" w:rsidRDefault="00F658D2" w:rsidP="00F658D2">
            <w:pPr>
              <w:rPr>
                <w:sz w:val="22"/>
                <w:szCs w:val="22"/>
              </w:rPr>
            </w:pPr>
            <w:r w:rsidRPr="00372D71">
              <w:rPr>
                <w:sz w:val="22"/>
                <w:szCs w:val="22"/>
              </w:rPr>
              <w:t xml:space="preserve">Expenditure and Nos. of persons for whom wage subsidy scheme is paid, reasonable accommodation fund, back to education allowance, EmployAbility Service, any complementary support service </w:t>
            </w:r>
          </w:p>
        </w:tc>
        <w:tc>
          <w:tcPr>
            <w:tcW w:w="3543" w:type="dxa"/>
          </w:tcPr>
          <w:p w14:paraId="25D47C12" w14:textId="77777777" w:rsidR="00F658D2" w:rsidRPr="00372D71" w:rsidRDefault="00F658D2" w:rsidP="00F658D2">
            <w:pPr>
              <w:rPr>
                <w:sz w:val="22"/>
                <w:szCs w:val="22"/>
              </w:rPr>
            </w:pPr>
            <w:r w:rsidRPr="00403E16">
              <w:rPr>
                <w:sz w:val="22"/>
                <w:szCs w:val="22"/>
              </w:rPr>
              <w:t>Wage subsidy scheme now</w:t>
            </w:r>
            <w:r w:rsidRPr="00C95E5F">
              <w:rPr>
                <w:b/>
                <w:sz w:val="22"/>
                <w:szCs w:val="22"/>
              </w:rPr>
              <w:t xml:space="preserve"> </w:t>
            </w:r>
            <w:r w:rsidRPr="00372D71">
              <w:rPr>
                <w:sz w:val="22"/>
                <w:szCs w:val="22"/>
              </w:rPr>
              <w:t>“Number of persons in employment supported through the Wage Subsidy Scheme</w:t>
            </w:r>
            <w:r>
              <w:rPr>
                <w:sz w:val="22"/>
                <w:szCs w:val="22"/>
              </w:rPr>
              <w:t xml:space="preserve">”. In </w:t>
            </w:r>
            <w:r w:rsidRPr="00372D71">
              <w:rPr>
                <w:sz w:val="22"/>
                <w:szCs w:val="22"/>
              </w:rPr>
              <w:t>SP4 and SP6</w:t>
            </w:r>
            <w:r>
              <w:rPr>
                <w:sz w:val="22"/>
                <w:szCs w:val="22"/>
              </w:rPr>
              <w:t>.</w:t>
            </w:r>
          </w:p>
          <w:p w14:paraId="63A8920B" w14:textId="77777777" w:rsidR="00F658D2" w:rsidRPr="00372D71" w:rsidRDefault="00F658D2" w:rsidP="00F658D2">
            <w:pPr>
              <w:rPr>
                <w:sz w:val="22"/>
                <w:szCs w:val="22"/>
              </w:rPr>
            </w:pPr>
            <w:r w:rsidRPr="00372D71">
              <w:rPr>
                <w:sz w:val="22"/>
                <w:szCs w:val="22"/>
              </w:rPr>
              <w:t>Reasonable accommodation fund</w:t>
            </w:r>
            <w:r>
              <w:rPr>
                <w:sz w:val="22"/>
                <w:szCs w:val="22"/>
              </w:rPr>
              <w:t xml:space="preserve"> now</w:t>
            </w:r>
            <w:r w:rsidRPr="00372D71">
              <w:rPr>
                <w:sz w:val="22"/>
                <w:szCs w:val="22"/>
              </w:rPr>
              <w:t xml:space="preserve"> “Number of applications for Reasonable Accommodation Fund”</w:t>
            </w:r>
            <w:r>
              <w:rPr>
                <w:sz w:val="22"/>
                <w:szCs w:val="22"/>
              </w:rPr>
              <w:t>.</w:t>
            </w:r>
            <w:r w:rsidRPr="00372D71">
              <w:rPr>
                <w:sz w:val="22"/>
                <w:szCs w:val="22"/>
              </w:rPr>
              <w:t xml:space="preserve"> </w:t>
            </w:r>
            <w:r>
              <w:rPr>
                <w:sz w:val="22"/>
                <w:szCs w:val="22"/>
              </w:rPr>
              <w:t xml:space="preserve">In </w:t>
            </w:r>
            <w:r w:rsidRPr="00372D71">
              <w:rPr>
                <w:sz w:val="22"/>
                <w:szCs w:val="22"/>
              </w:rPr>
              <w:t>SP4 and SP6</w:t>
            </w:r>
            <w:r>
              <w:rPr>
                <w:sz w:val="22"/>
                <w:szCs w:val="22"/>
              </w:rPr>
              <w:t>.</w:t>
            </w:r>
          </w:p>
          <w:p w14:paraId="54F7ADD6" w14:textId="77777777" w:rsidR="00F658D2" w:rsidRPr="00372D71" w:rsidRDefault="00F658D2" w:rsidP="00F658D2">
            <w:pPr>
              <w:rPr>
                <w:sz w:val="22"/>
                <w:szCs w:val="22"/>
              </w:rPr>
            </w:pPr>
            <w:r w:rsidRPr="00372D71">
              <w:rPr>
                <w:sz w:val="22"/>
                <w:szCs w:val="22"/>
              </w:rPr>
              <w:t xml:space="preserve">EmployAbility service: “Proportion of EmployAbility participants exiting into employment”. Moved to </w:t>
            </w:r>
            <w:r>
              <w:rPr>
                <w:sz w:val="22"/>
                <w:szCs w:val="22"/>
              </w:rPr>
              <w:t>SP</w:t>
            </w:r>
            <w:r w:rsidRPr="00372D71">
              <w:rPr>
                <w:sz w:val="22"/>
                <w:szCs w:val="22"/>
              </w:rPr>
              <w:t>2.</w:t>
            </w:r>
          </w:p>
          <w:p w14:paraId="3CD4DA3C" w14:textId="77777777" w:rsidR="00F658D2" w:rsidRPr="00372D71" w:rsidRDefault="00F658D2" w:rsidP="00F658D2">
            <w:pPr>
              <w:rPr>
                <w:sz w:val="22"/>
                <w:szCs w:val="22"/>
              </w:rPr>
            </w:pPr>
            <w:r w:rsidRPr="00372D71">
              <w:rPr>
                <w:sz w:val="22"/>
                <w:szCs w:val="22"/>
              </w:rPr>
              <w:t>Back to Education Allowance</w:t>
            </w:r>
            <w:r>
              <w:rPr>
                <w:sz w:val="22"/>
                <w:szCs w:val="22"/>
              </w:rPr>
              <w:t>: “</w:t>
            </w:r>
            <w:r w:rsidRPr="00666CFD">
              <w:rPr>
                <w:sz w:val="22"/>
                <w:szCs w:val="22"/>
              </w:rPr>
              <w:t>Numbers of Back to Education Allowance recipients with disabilities</w:t>
            </w:r>
            <w:r>
              <w:rPr>
                <w:sz w:val="22"/>
                <w:szCs w:val="22"/>
              </w:rPr>
              <w:t>”. M</w:t>
            </w:r>
            <w:r w:rsidRPr="00372D71">
              <w:rPr>
                <w:sz w:val="22"/>
                <w:szCs w:val="22"/>
              </w:rPr>
              <w:t>oved to SP1.</w:t>
            </w:r>
          </w:p>
        </w:tc>
        <w:tc>
          <w:tcPr>
            <w:tcW w:w="2835" w:type="dxa"/>
          </w:tcPr>
          <w:p w14:paraId="4CC5146D" w14:textId="77777777" w:rsidR="00F658D2" w:rsidRPr="00135CA2" w:rsidRDefault="00F658D2" w:rsidP="00F658D2">
            <w:pPr>
              <w:rPr>
                <w:sz w:val="22"/>
                <w:szCs w:val="22"/>
              </w:rPr>
            </w:pPr>
            <w:r w:rsidRPr="00135CA2">
              <w:rPr>
                <w:sz w:val="22"/>
                <w:szCs w:val="22"/>
              </w:rPr>
              <w:t xml:space="preserve">Indicators were moved to/retained in the most relevant </w:t>
            </w:r>
            <w:r>
              <w:rPr>
                <w:sz w:val="22"/>
                <w:szCs w:val="22"/>
              </w:rPr>
              <w:t>SPs</w:t>
            </w:r>
            <w:r w:rsidRPr="00135CA2">
              <w:rPr>
                <w:sz w:val="22"/>
                <w:szCs w:val="22"/>
              </w:rPr>
              <w:t>.</w:t>
            </w:r>
          </w:p>
          <w:p w14:paraId="3FAD7144" w14:textId="77777777" w:rsidR="00F658D2" w:rsidRPr="00135CA2" w:rsidRDefault="00F658D2" w:rsidP="00F658D2">
            <w:pPr>
              <w:rPr>
                <w:sz w:val="22"/>
                <w:szCs w:val="22"/>
              </w:rPr>
            </w:pPr>
            <w:r w:rsidRPr="00135CA2">
              <w:rPr>
                <w:sz w:val="22"/>
                <w:szCs w:val="22"/>
              </w:rPr>
              <w:t xml:space="preserve">The focus of the indicators is </w:t>
            </w:r>
            <w:r>
              <w:rPr>
                <w:sz w:val="22"/>
                <w:szCs w:val="22"/>
              </w:rPr>
              <w:t>on</w:t>
            </w:r>
            <w:r w:rsidRPr="00135CA2">
              <w:rPr>
                <w:sz w:val="22"/>
                <w:szCs w:val="22"/>
              </w:rPr>
              <w:t xml:space="preserve"> persons with disabilities benefitting from the scheme, rather than the input of expenditure.</w:t>
            </w:r>
          </w:p>
          <w:p w14:paraId="7BDF051B" w14:textId="77777777" w:rsidR="00F658D2" w:rsidRPr="00135CA2" w:rsidRDefault="00F658D2" w:rsidP="00F658D2">
            <w:pPr>
              <w:rPr>
                <w:sz w:val="22"/>
                <w:szCs w:val="22"/>
              </w:rPr>
            </w:pPr>
            <w:r w:rsidRPr="00135CA2">
              <w:rPr>
                <w:sz w:val="22"/>
                <w:szCs w:val="22"/>
              </w:rPr>
              <w:t>Indicator names were rephrased to reflect changes.</w:t>
            </w:r>
          </w:p>
          <w:p w14:paraId="35D3E0FC" w14:textId="77777777" w:rsidR="00F658D2" w:rsidRPr="00372D71" w:rsidRDefault="00F658D2" w:rsidP="00F658D2">
            <w:pPr>
              <w:rPr>
                <w:sz w:val="22"/>
                <w:szCs w:val="22"/>
              </w:rPr>
            </w:pPr>
          </w:p>
        </w:tc>
      </w:tr>
      <w:tr w:rsidR="00F658D2" w:rsidRPr="00E44373" w14:paraId="42F0D5BA" w14:textId="77777777" w:rsidTr="00B42243">
        <w:tc>
          <w:tcPr>
            <w:tcW w:w="2122" w:type="dxa"/>
            <w:shd w:val="clear" w:color="auto" w:fill="auto"/>
          </w:tcPr>
          <w:p w14:paraId="4C29376F" w14:textId="77777777" w:rsidR="00F658D2" w:rsidRPr="00372D71" w:rsidRDefault="00F658D2" w:rsidP="00F658D2">
            <w:pPr>
              <w:rPr>
                <w:sz w:val="22"/>
                <w:szCs w:val="22"/>
              </w:rPr>
            </w:pPr>
            <w:r w:rsidRPr="00372D71">
              <w:rPr>
                <w:sz w:val="22"/>
                <w:szCs w:val="22"/>
              </w:rPr>
              <w:t>SP4: Promote job retention and re-entry to work</w:t>
            </w:r>
          </w:p>
        </w:tc>
        <w:tc>
          <w:tcPr>
            <w:tcW w:w="4536" w:type="dxa"/>
            <w:shd w:val="clear" w:color="auto" w:fill="auto"/>
          </w:tcPr>
          <w:p w14:paraId="64407F67" w14:textId="77777777" w:rsidR="00F658D2" w:rsidRPr="00CA5866" w:rsidRDefault="00F658D2" w:rsidP="00F658D2">
            <w:pPr>
              <w:rPr>
                <w:sz w:val="22"/>
                <w:szCs w:val="22"/>
              </w:rPr>
            </w:pPr>
            <w:r w:rsidRPr="00CA5866">
              <w:rPr>
                <w:sz w:val="22"/>
                <w:szCs w:val="22"/>
              </w:rPr>
              <w:t>Number of people with a disability on disability payments/benefits e.g. Disability Allowance, invalidity pension, by disability type if possible</w:t>
            </w:r>
          </w:p>
        </w:tc>
        <w:tc>
          <w:tcPr>
            <w:tcW w:w="3543" w:type="dxa"/>
          </w:tcPr>
          <w:p w14:paraId="196489B5" w14:textId="77777777" w:rsidR="00F658D2" w:rsidRPr="00260414" w:rsidRDefault="00F658D2" w:rsidP="00F658D2">
            <w:pPr>
              <w:spacing w:after="0"/>
              <w:rPr>
                <w:i/>
                <w:sz w:val="22"/>
                <w:szCs w:val="22"/>
              </w:rPr>
            </w:pPr>
            <w:r>
              <w:rPr>
                <w:sz w:val="22"/>
                <w:szCs w:val="22"/>
              </w:rPr>
              <w:t>Yes</w:t>
            </w:r>
            <w:r w:rsidRPr="00CA5866">
              <w:rPr>
                <w:sz w:val="22"/>
                <w:szCs w:val="22"/>
              </w:rPr>
              <w:t xml:space="preserve">: </w:t>
            </w:r>
            <w:r>
              <w:rPr>
                <w:sz w:val="22"/>
                <w:szCs w:val="22"/>
              </w:rPr>
              <w:t>“</w:t>
            </w:r>
            <w:r w:rsidRPr="00CA5866">
              <w:rPr>
                <w:sz w:val="22"/>
                <w:szCs w:val="22"/>
              </w:rPr>
              <w:t xml:space="preserve">Number of people exiting disability payments/benefits </w:t>
            </w:r>
            <w:r>
              <w:rPr>
                <w:sz w:val="22"/>
                <w:szCs w:val="22"/>
              </w:rPr>
              <w:t>into employment.”</w:t>
            </w:r>
          </w:p>
        </w:tc>
        <w:tc>
          <w:tcPr>
            <w:tcW w:w="2835" w:type="dxa"/>
          </w:tcPr>
          <w:p w14:paraId="41039ED3" w14:textId="77777777" w:rsidR="00F658D2" w:rsidRPr="00372D71" w:rsidRDefault="00F658D2" w:rsidP="00F658D2">
            <w:pPr>
              <w:spacing w:after="0"/>
              <w:rPr>
                <w:sz w:val="22"/>
                <w:szCs w:val="22"/>
              </w:rPr>
            </w:pPr>
            <w:r>
              <w:rPr>
                <w:sz w:val="22"/>
                <w:szCs w:val="22"/>
              </w:rPr>
              <w:t>Rephrased to reflect more specific data on those exiting out of disability payments. Availability of data TBC.</w:t>
            </w:r>
          </w:p>
        </w:tc>
      </w:tr>
      <w:tr w:rsidR="00F658D2" w:rsidRPr="00E44373" w14:paraId="36F878CC" w14:textId="77777777" w:rsidTr="00B42243">
        <w:tc>
          <w:tcPr>
            <w:tcW w:w="2122" w:type="dxa"/>
            <w:shd w:val="clear" w:color="auto" w:fill="auto"/>
          </w:tcPr>
          <w:p w14:paraId="2C440894" w14:textId="77777777" w:rsidR="00F658D2" w:rsidRPr="00372D71" w:rsidRDefault="00F658D2" w:rsidP="00F658D2">
            <w:pPr>
              <w:rPr>
                <w:sz w:val="22"/>
                <w:szCs w:val="22"/>
              </w:rPr>
            </w:pPr>
            <w:r w:rsidRPr="00372D71">
              <w:rPr>
                <w:sz w:val="22"/>
                <w:szCs w:val="22"/>
              </w:rPr>
              <w:t>SP4: Promote job retention and re-entry to work</w:t>
            </w:r>
          </w:p>
        </w:tc>
        <w:tc>
          <w:tcPr>
            <w:tcW w:w="4536" w:type="dxa"/>
            <w:shd w:val="clear" w:color="auto" w:fill="auto"/>
          </w:tcPr>
          <w:p w14:paraId="4909DE98" w14:textId="77777777" w:rsidR="00F658D2" w:rsidRPr="00372D71" w:rsidRDefault="00F658D2" w:rsidP="00F658D2">
            <w:pPr>
              <w:rPr>
                <w:sz w:val="22"/>
                <w:szCs w:val="22"/>
                <w:lang w:val="x-none"/>
              </w:rPr>
            </w:pPr>
            <w:r w:rsidRPr="00372D71">
              <w:rPr>
                <w:sz w:val="22"/>
                <w:szCs w:val="22"/>
                <w:lang w:val="x-none"/>
              </w:rPr>
              <w:t xml:space="preserve">Compared to the general population the % of people with disabilities age 15-65 in: </w:t>
            </w:r>
          </w:p>
          <w:p w14:paraId="1AAD5C57" w14:textId="77777777" w:rsidR="00F658D2" w:rsidRPr="00372D71" w:rsidRDefault="00F658D2" w:rsidP="00FD0C3F">
            <w:pPr>
              <w:numPr>
                <w:ilvl w:val="0"/>
                <w:numId w:val="20"/>
              </w:numPr>
              <w:spacing w:after="200"/>
              <w:rPr>
                <w:sz w:val="22"/>
                <w:szCs w:val="22"/>
                <w:lang w:val="x-none"/>
              </w:rPr>
            </w:pPr>
            <w:r w:rsidRPr="00372D71">
              <w:rPr>
                <w:sz w:val="22"/>
                <w:szCs w:val="22"/>
                <w:lang w:val="x-none"/>
              </w:rPr>
              <w:t>Employment</w:t>
            </w:r>
          </w:p>
          <w:p w14:paraId="07BC3765" w14:textId="77777777" w:rsidR="00F658D2" w:rsidRPr="00372D71" w:rsidRDefault="00F658D2" w:rsidP="00FD0C3F">
            <w:pPr>
              <w:numPr>
                <w:ilvl w:val="0"/>
                <w:numId w:val="20"/>
              </w:numPr>
              <w:spacing w:after="200"/>
              <w:rPr>
                <w:sz w:val="22"/>
                <w:szCs w:val="22"/>
                <w:lang w:val="x-none"/>
              </w:rPr>
            </w:pPr>
            <w:r w:rsidRPr="00372D71">
              <w:rPr>
                <w:sz w:val="22"/>
                <w:szCs w:val="22"/>
                <w:lang w:val="x-none"/>
              </w:rPr>
              <w:t>Unemployment</w:t>
            </w:r>
          </w:p>
          <w:p w14:paraId="5AA5E399" w14:textId="77777777" w:rsidR="00F658D2" w:rsidRPr="00372D71" w:rsidRDefault="00F658D2" w:rsidP="00FD0C3F">
            <w:pPr>
              <w:numPr>
                <w:ilvl w:val="0"/>
                <w:numId w:val="19"/>
              </w:numPr>
              <w:spacing w:after="0"/>
              <w:contextualSpacing/>
              <w:rPr>
                <w:sz w:val="22"/>
                <w:szCs w:val="22"/>
              </w:rPr>
            </w:pPr>
            <w:r w:rsidRPr="00372D71">
              <w:rPr>
                <w:rFonts w:eastAsiaTheme="minorHAnsi" w:cstheme="minorBidi"/>
                <w:sz w:val="22"/>
                <w:szCs w:val="22"/>
              </w:rPr>
              <w:t>Not active</w:t>
            </w:r>
          </w:p>
          <w:p w14:paraId="2919507B" w14:textId="77777777" w:rsidR="00F658D2" w:rsidRPr="00372D71" w:rsidRDefault="00F658D2" w:rsidP="00FD0C3F">
            <w:pPr>
              <w:numPr>
                <w:ilvl w:val="0"/>
                <w:numId w:val="19"/>
              </w:numPr>
              <w:spacing w:after="0"/>
              <w:contextualSpacing/>
              <w:rPr>
                <w:sz w:val="22"/>
                <w:szCs w:val="22"/>
              </w:rPr>
            </w:pPr>
            <w:r w:rsidRPr="00372D71">
              <w:rPr>
                <w:sz w:val="22"/>
                <w:szCs w:val="22"/>
              </w:rPr>
              <w:t xml:space="preserve">Education and training </w:t>
            </w:r>
          </w:p>
          <w:p w14:paraId="4B3147BD" w14:textId="77777777" w:rsidR="00F658D2" w:rsidRPr="00372D71" w:rsidRDefault="00F658D2" w:rsidP="00F658D2">
            <w:pPr>
              <w:spacing w:after="0"/>
              <w:rPr>
                <w:sz w:val="22"/>
                <w:szCs w:val="22"/>
              </w:rPr>
            </w:pPr>
            <w:r w:rsidRPr="00372D71">
              <w:rPr>
                <w:sz w:val="22"/>
                <w:szCs w:val="22"/>
              </w:rPr>
              <w:t>by disability type</w:t>
            </w:r>
          </w:p>
        </w:tc>
        <w:tc>
          <w:tcPr>
            <w:tcW w:w="3543" w:type="dxa"/>
          </w:tcPr>
          <w:p w14:paraId="3C99FB52" w14:textId="77777777" w:rsidR="00F658D2" w:rsidRPr="00372D71" w:rsidRDefault="00F658D2" w:rsidP="00F658D2">
            <w:pPr>
              <w:spacing w:after="0"/>
              <w:rPr>
                <w:sz w:val="22"/>
                <w:szCs w:val="22"/>
              </w:rPr>
            </w:pPr>
            <w:r w:rsidRPr="00372D71">
              <w:rPr>
                <w:sz w:val="22"/>
                <w:szCs w:val="22"/>
              </w:rPr>
              <w:t>Yes: “Percentage of persons with disabilities age 20-64 unemployed after having lost or given up previous job”.</w:t>
            </w:r>
          </w:p>
        </w:tc>
        <w:tc>
          <w:tcPr>
            <w:tcW w:w="2835" w:type="dxa"/>
          </w:tcPr>
          <w:p w14:paraId="7A4B5493" w14:textId="77777777" w:rsidR="00F658D2" w:rsidRPr="00372D71" w:rsidRDefault="00F658D2" w:rsidP="00F658D2">
            <w:pPr>
              <w:spacing w:after="0"/>
              <w:rPr>
                <w:sz w:val="22"/>
                <w:szCs w:val="22"/>
              </w:rPr>
            </w:pPr>
            <w:r w:rsidRPr="00372D71">
              <w:rPr>
                <w:sz w:val="22"/>
                <w:szCs w:val="22"/>
              </w:rPr>
              <w:t>This original indicator is still ret</w:t>
            </w:r>
            <w:r>
              <w:rPr>
                <w:sz w:val="22"/>
                <w:szCs w:val="22"/>
              </w:rPr>
              <w:t>ained in SP</w:t>
            </w:r>
            <w:r w:rsidRPr="00372D71">
              <w:rPr>
                <w:sz w:val="22"/>
                <w:szCs w:val="22"/>
              </w:rPr>
              <w:t xml:space="preserve">6 but removed from here as it is not possible to examine the profiles of those with acquired disabilities using census data. Instead, this indicator is used to examine cohorts of people where </w:t>
            </w:r>
            <w:r>
              <w:rPr>
                <w:sz w:val="22"/>
                <w:szCs w:val="22"/>
              </w:rPr>
              <w:t xml:space="preserve">employment </w:t>
            </w:r>
            <w:r w:rsidRPr="00372D71">
              <w:rPr>
                <w:sz w:val="22"/>
                <w:szCs w:val="22"/>
              </w:rPr>
              <w:t>retention and re-entry is of relevance.</w:t>
            </w:r>
          </w:p>
        </w:tc>
      </w:tr>
      <w:tr w:rsidR="00F658D2" w:rsidRPr="00E44373" w14:paraId="669E41C3" w14:textId="77777777" w:rsidTr="00B42243">
        <w:tc>
          <w:tcPr>
            <w:tcW w:w="2122" w:type="dxa"/>
            <w:shd w:val="clear" w:color="auto" w:fill="auto"/>
          </w:tcPr>
          <w:p w14:paraId="753F0B70" w14:textId="77777777" w:rsidR="00F658D2" w:rsidRPr="00372D71" w:rsidRDefault="00F658D2" w:rsidP="00F658D2">
            <w:pPr>
              <w:rPr>
                <w:sz w:val="22"/>
                <w:szCs w:val="22"/>
              </w:rPr>
            </w:pPr>
            <w:r w:rsidRPr="00372D71">
              <w:rPr>
                <w:sz w:val="22"/>
                <w:szCs w:val="22"/>
              </w:rPr>
              <w:t>SP4: Promote job retention and re-entry to work</w:t>
            </w:r>
          </w:p>
        </w:tc>
        <w:tc>
          <w:tcPr>
            <w:tcW w:w="4536" w:type="dxa"/>
            <w:shd w:val="clear" w:color="auto" w:fill="auto"/>
          </w:tcPr>
          <w:p w14:paraId="0EA6C605" w14:textId="77777777" w:rsidR="00F658D2" w:rsidRPr="00372D71" w:rsidRDefault="00F658D2" w:rsidP="00F658D2">
            <w:pPr>
              <w:spacing w:after="0"/>
              <w:rPr>
                <w:sz w:val="22"/>
                <w:szCs w:val="22"/>
              </w:rPr>
            </w:pPr>
            <w:r w:rsidRPr="00372D71">
              <w:rPr>
                <w:sz w:val="22"/>
                <w:szCs w:val="22"/>
              </w:rPr>
              <w:t>Percentage of people with a disability employed in the public sector</w:t>
            </w:r>
          </w:p>
        </w:tc>
        <w:tc>
          <w:tcPr>
            <w:tcW w:w="3543" w:type="dxa"/>
          </w:tcPr>
          <w:p w14:paraId="2F076AE2" w14:textId="77777777" w:rsidR="00F658D2" w:rsidRPr="00372D71" w:rsidRDefault="00F658D2" w:rsidP="00F658D2">
            <w:pPr>
              <w:spacing w:after="0"/>
              <w:rPr>
                <w:sz w:val="22"/>
                <w:szCs w:val="22"/>
              </w:rPr>
            </w:pPr>
            <w:r>
              <w:rPr>
                <w:sz w:val="22"/>
                <w:szCs w:val="22"/>
              </w:rPr>
              <w:t>Yes. Removed from this SP but retained in SP6.</w:t>
            </w:r>
          </w:p>
        </w:tc>
        <w:tc>
          <w:tcPr>
            <w:tcW w:w="2835" w:type="dxa"/>
          </w:tcPr>
          <w:p w14:paraId="4A9C3B5D" w14:textId="77777777" w:rsidR="00F658D2" w:rsidRPr="00372D71" w:rsidRDefault="00F658D2" w:rsidP="00F658D2">
            <w:pPr>
              <w:spacing w:after="0"/>
              <w:rPr>
                <w:sz w:val="22"/>
                <w:szCs w:val="22"/>
              </w:rPr>
            </w:pPr>
            <w:r w:rsidRPr="00372D71">
              <w:rPr>
                <w:sz w:val="22"/>
                <w:szCs w:val="22"/>
              </w:rPr>
              <w:t>This original indicator is ret</w:t>
            </w:r>
            <w:r>
              <w:rPr>
                <w:sz w:val="22"/>
                <w:szCs w:val="22"/>
              </w:rPr>
              <w:t>ained in SP</w:t>
            </w:r>
            <w:r w:rsidRPr="00372D71">
              <w:rPr>
                <w:sz w:val="22"/>
                <w:szCs w:val="22"/>
              </w:rPr>
              <w:t xml:space="preserve">6 but removed from here as it is not possible to disaggregate data relevant to those with acquired disabilities. </w:t>
            </w:r>
          </w:p>
        </w:tc>
      </w:tr>
      <w:tr w:rsidR="00F658D2" w:rsidRPr="00E44373" w14:paraId="2CE7C3B8" w14:textId="77777777" w:rsidTr="00B42243">
        <w:tc>
          <w:tcPr>
            <w:tcW w:w="2122" w:type="dxa"/>
            <w:shd w:val="clear" w:color="auto" w:fill="auto"/>
          </w:tcPr>
          <w:p w14:paraId="604DD404" w14:textId="77777777" w:rsidR="00F658D2" w:rsidRPr="00372D71" w:rsidRDefault="00F658D2" w:rsidP="00F658D2">
            <w:pPr>
              <w:rPr>
                <w:sz w:val="22"/>
                <w:szCs w:val="22"/>
              </w:rPr>
            </w:pPr>
            <w:r w:rsidRPr="00372D71">
              <w:rPr>
                <w:sz w:val="22"/>
                <w:szCs w:val="22"/>
              </w:rPr>
              <w:t>SP4: Promote job retention and re-entry to work</w:t>
            </w:r>
          </w:p>
        </w:tc>
        <w:tc>
          <w:tcPr>
            <w:tcW w:w="4536" w:type="dxa"/>
            <w:shd w:val="clear" w:color="auto" w:fill="auto"/>
          </w:tcPr>
          <w:p w14:paraId="24CB9929" w14:textId="77777777" w:rsidR="00F658D2" w:rsidRPr="00372D71" w:rsidRDefault="00F658D2" w:rsidP="00F658D2">
            <w:pPr>
              <w:spacing w:after="0"/>
              <w:rPr>
                <w:sz w:val="22"/>
                <w:szCs w:val="22"/>
              </w:rPr>
            </w:pPr>
            <w:r w:rsidRPr="00372D71">
              <w:rPr>
                <w:sz w:val="22"/>
                <w:szCs w:val="22"/>
              </w:rPr>
              <w:t>Nos. of calls from employers regarding retention of employees with acquired disabilities</w:t>
            </w:r>
          </w:p>
        </w:tc>
        <w:tc>
          <w:tcPr>
            <w:tcW w:w="3543" w:type="dxa"/>
          </w:tcPr>
          <w:p w14:paraId="31BF8F77" w14:textId="77777777" w:rsidR="00F658D2" w:rsidRPr="00372D71" w:rsidRDefault="00F658D2" w:rsidP="00F658D2">
            <w:pPr>
              <w:spacing w:after="0"/>
              <w:rPr>
                <w:sz w:val="22"/>
                <w:szCs w:val="22"/>
              </w:rPr>
            </w:pPr>
            <w:r>
              <w:rPr>
                <w:sz w:val="22"/>
                <w:szCs w:val="22"/>
              </w:rPr>
              <w:t>Yes. “Queries received by the Employer Disability Information Service on retention of employees with acquired disabilities”.</w:t>
            </w:r>
          </w:p>
        </w:tc>
        <w:tc>
          <w:tcPr>
            <w:tcW w:w="2835" w:type="dxa"/>
          </w:tcPr>
          <w:p w14:paraId="1CEF8C58" w14:textId="77777777" w:rsidR="00F658D2" w:rsidRPr="00372D71" w:rsidRDefault="00F658D2" w:rsidP="00F658D2">
            <w:pPr>
              <w:spacing w:after="0"/>
              <w:rPr>
                <w:sz w:val="22"/>
                <w:szCs w:val="22"/>
              </w:rPr>
            </w:pPr>
            <w:r>
              <w:rPr>
                <w:sz w:val="22"/>
                <w:szCs w:val="22"/>
              </w:rPr>
              <w:t>There was no available information on calls. Rephrased to reflect available data.</w:t>
            </w:r>
          </w:p>
        </w:tc>
      </w:tr>
      <w:tr w:rsidR="00F658D2" w:rsidRPr="00E44373" w14:paraId="50C0CF36" w14:textId="77777777" w:rsidTr="00B42243">
        <w:tc>
          <w:tcPr>
            <w:tcW w:w="2122" w:type="dxa"/>
            <w:shd w:val="clear" w:color="auto" w:fill="auto"/>
          </w:tcPr>
          <w:p w14:paraId="524C22B7" w14:textId="77777777" w:rsidR="00F658D2" w:rsidRPr="00372D71" w:rsidRDefault="00F658D2" w:rsidP="00F658D2">
            <w:pPr>
              <w:rPr>
                <w:sz w:val="22"/>
                <w:szCs w:val="22"/>
              </w:rPr>
            </w:pPr>
            <w:r w:rsidRPr="00372D71">
              <w:rPr>
                <w:sz w:val="22"/>
                <w:szCs w:val="22"/>
              </w:rPr>
              <w:t>SP5: Provide coordinated and seamless support</w:t>
            </w:r>
          </w:p>
        </w:tc>
        <w:tc>
          <w:tcPr>
            <w:tcW w:w="4536" w:type="dxa"/>
            <w:shd w:val="clear" w:color="auto" w:fill="auto"/>
          </w:tcPr>
          <w:p w14:paraId="4DDC9B26" w14:textId="77777777" w:rsidR="00F658D2" w:rsidRPr="00372D71" w:rsidRDefault="00F658D2" w:rsidP="00F658D2">
            <w:pPr>
              <w:rPr>
                <w:sz w:val="22"/>
                <w:szCs w:val="22"/>
              </w:rPr>
            </w:pPr>
            <w:r w:rsidRPr="00372D71">
              <w:rPr>
                <w:sz w:val="22"/>
                <w:szCs w:val="22"/>
              </w:rPr>
              <w:t>Evaluation of Ability programmes to provide innovative pre-activation approaches for persons with disabilities</w:t>
            </w:r>
          </w:p>
        </w:tc>
        <w:tc>
          <w:tcPr>
            <w:tcW w:w="3543" w:type="dxa"/>
          </w:tcPr>
          <w:p w14:paraId="2338E463" w14:textId="77777777" w:rsidR="00F658D2" w:rsidRPr="00372D71" w:rsidRDefault="00F658D2" w:rsidP="00F658D2">
            <w:pPr>
              <w:rPr>
                <w:sz w:val="22"/>
                <w:szCs w:val="22"/>
              </w:rPr>
            </w:pPr>
            <w:r>
              <w:rPr>
                <w:sz w:val="22"/>
                <w:szCs w:val="22"/>
              </w:rPr>
              <w:t>No.</w:t>
            </w:r>
          </w:p>
        </w:tc>
        <w:tc>
          <w:tcPr>
            <w:tcW w:w="2835" w:type="dxa"/>
          </w:tcPr>
          <w:p w14:paraId="589E6CCD" w14:textId="77777777" w:rsidR="00F658D2" w:rsidRPr="00372D71" w:rsidRDefault="00F658D2" w:rsidP="00F658D2">
            <w:pPr>
              <w:rPr>
                <w:sz w:val="22"/>
                <w:szCs w:val="22"/>
              </w:rPr>
            </w:pPr>
          </w:p>
        </w:tc>
      </w:tr>
      <w:tr w:rsidR="00F658D2" w:rsidRPr="00E44373" w14:paraId="2688D805" w14:textId="77777777" w:rsidTr="00B42243">
        <w:tc>
          <w:tcPr>
            <w:tcW w:w="2122" w:type="dxa"/>
            <w:shd w:val="clear" w:color="auto" w:fill="auto"/>
          </w:tcPr>
          <w:p w14:paraId="0FDA2330" w14:textId="77777777" w:rsidR="00F658D2" w:rsidRPr="00372D71" w:rsidRDefault="00F658D2" w:rsidP="00F658D2">
            <w:pPr>
              <w:rPr>
                <w:sz w:val="22"/>
                <w:szCs w:val="22"/>
              </w:rPr>
            </w:pPr>
            <w:r w:rsidRPr="00372D71">
              <w:rPr>
                <w:sz w:val="22"/>
                <w:szCs w:val="22"/>
              </w:rPr>
              <w:t>SP5: Provide coordinated and seamless support</w:t>
            </w:r>
          </w:p>
        </w:tc>
        <w:tc>
          <w:tcPr>
            <w:tcW w:w="4536" w:type="dxa"/>
            <w:shd w:val="clear" w:color="auto" w:fill="auto"/>
          </w:tcPr>
          <w:p w14:paraId="3E849060" w14:textId="77777777" w:rsidR="00F658D2" w:rsidRPr="00372D71" w:rsidRDefault="00F658D2" w:rsidP="00F658D2">
            <w:pPr>
              <w:rPr>
                <w:sz w:val="22"/>
                <w:szCs w:val="22"/>
              </w:rPr>
            </w:pPr>
            <w:r w:rsidRPr="00372D71">
              <w:rPr>
                <w:sz w:val="22"/>
                <w:szCs w:val="22"/>
              </w:rPr>
              <w:t>Evaluation of pilot phase to provide complementary support services to persons with disabilities (5.1 implementation plan)</w:t>
            </w:r>
          </w:p>
        </w:tc>
        <w:tc>
          <w:tcPr>
            <w:tcW w:w="3543" w:type="dxa"/>
          </w:tcPr>
          <w:p w14:paraId="7EA38598" w14:textId="43C9FD73" w:rsidR="00F658D2" w:rsidRPr="00372D71" w:rsidRDefault="00F658D2" w:rsidP="00F658D2">
            <w:pPr>
              <w:rPr>
                <w:sz w:val="22"/>
                <w:szCs w:val="22"/>
              </w:rPr>
            </w:pPr>
            <w:r>
              <w:rPr>
                <w:sz w:val="22"/>
                <w:szCs w:val="22"/>
              </w:rPr>
              <w:t>No.</w:t>
            </w:r>
          </w:p>
        </w:tc>
        <w:tc>
          <w:tcPr>
            <w:tcW w:w="2835" w:type="dxa"/>
          </w:tcPr>
          <w:p w14:paraId="62490670" w14:textId="77777777" w:rsidR="00F658D2" w:rsidRPr="00372D71" w:rsidRDefault="00F658D2" w:rsidP="00F658D2">
            <w:pPr>
              <w:rPr>
                <w:sz w:val="22"/>
                <w:szCs w:val="22"/>
              </w:rPr>
            </w:pPr>
          </w:p>
        </w:tc>
      </w:tr>
      <w:tr w:rsidR="00F658D2" w:rsidRPr="00E44373" w14:paraId="3C22B285" w14:textId="77777777" w:rsidTr="00B42243">
        <w:tc>
          <w:tcPr>
            <w:tcW w:w="2122" w:type="dxa"/>
            <w:shd w:val="clear" w:color="auto" w:fill="auto"/>
          </w:tcPr>
          <w:p w14:paraId="6AD40FC8" w14:textId="77777777" w:rsidR="00F658D2" w:rsidRPr="00372D71" w:rsidRDefault="00F658D2" w:rsidP="00F658D2">
            <w:pPr>
              <w:rPr>
                <w:sz w:val="22"/>
                <w:szCs w:val="22"/>
              </w:rPr>
            </w:pPr>
            <w:r w:rsidRPr="00372D71">
              <w:rPr>
                <w:sz w:val="22"/>
                <w:szCs w:val="22"/>
              </w:rPr>
              <w:t>SP5: Provide coordinated and seamless support</w:t>
            </w:r>
          </w:p>
        </w:tc>
        <w:tc>
          <w:tcPr>
            <w:tcW w:w="4536" w:type="dxa"/>
            <w:shd w:val="clear" w:color="auto" w:fill="auto"/>
          </w:tcPr>
          <w:p w14:paraId="646E4EEF" w14:textId="77777777" w:rsidR="00F658D2" w:rsidRPr="00372D71" w:rsidRDefault="00F658D2" w:rsidP="00F658D2">
            <w:pPr>
              <w:rPr>
                <w:sz w:val="22"/>
                <w:szCs w:val="22"/>
              </w:rPr>
            </w:pPr>
            <w:r w:rsidRPr="00372D71">
              <w:rPr>
                <w:sz w:val="22"/>
                <w:szCs w:val="22"/>
              </w:rPr>
              <w:t>Nos. of persons with mental health difficulties benefiting from IPS model of supported employment</w:t>
            </w:r>
          </w:p>
        </w:tc>
        <w:tc>
          <w:tcPr>
            <w:tcW w:w="3543" w:type="dxa"/>
          </w:tcPr>
          <w:p w14:paraId="76D71A96" w14:textId="77777777" w:rsidR="00F658D2" w:rsidRPr="00372D71" w:rsidRDefault="00F658D2" w:rsidP="00F658D2">
            <w:pPr>
              <w:rPr>
                <w:sz w:val="22"/>
                <w:szCs w:val="22"/>
              </w:rPr>
            </w:pPr>
            <w:r>
              <w:rPr>
                <w:sz w:val="22"/>
                <w:szCs w:val="22"/>
              </w:rPr>
              <w:t>Yes.</w:t>
            </w:r>
          </w:p>
        </w:tc>
        <w:tc>
          <w:tcPr>
            <w:tcW w:w="2835" w:type="dxa"/>
          </w:tcPr>
          <w:p w14:paraId="3523DEAF" w14:textId="77777777" w:rsidR="00F658D2" w:rsidRPr="00372D71" w:rsidRDefault="00F658D2" w:rsidP="00F658D2">
            <w:pPr>
              <w:rPr>
                <w:sz w:val="22"/>
                <w:szCs w:val="22"/>
              </w:rPr>
            </w:pPr>
            <w:r>
              <w:rPr>
                <w:sz w:val="22"/>
                <w:szCs w:val="22"/>
              </w:rPr>
              <w:t>Also relevant to SP2 so has been duplicated.</w:t>
            </w:r>
          </w:p>
        </w:tc>
      </w:tr>
      <w:tr w:rsidR="00F658D2" w:rsidRPr="00E44373" w14:paraId="74F768BE" w14:textId="77777777" w:rsidTr="00B42243">
        <w:tc>
          <w:tcPr>
            <w:tcW w:w="2122" w:type="dxa"/>
            <w:shd w:val="clear" w:color="auto" w:fill="auto"/>
          </w:tcPr>
          <w:p w14:paraId="1A277515" w14:textId="77777777" w:rsidR="00F658D2" w:rsidRPr="00372D71" w:rsidRDefault="00F658D2" w:rsidP="00F658D2">
            <w:pPr>
              <w:rPr>
                <w:sz w:val="22"/>
                <w:szCs w:val="22"/>
              </w:rPr>
            </w:pPr>
            <w:r w:rsidRPr="00372D71">
              <w:rPr>
                <w:sz w:val="22"/>
                <w:szCs w:val="22"/>
              </w:rPr>
              <w:t>SP5: Provide coordinated and seamless support</w:t>
            </w:r>
          </w:p>
        </w:tc>
        <w:tc>
          <w:tcPr>
            <w:tcW w:w="4536" w:type="dxa"/>
            <w:shd w:val="clear" w:color="auto" w:fill="auto"/>
          </w:tcPr>
          <w:p w14:paraId="76C35528" w14:textId="77777777" w:rsidR="00F658D2" w:rsidRPr="00372D71" w:rsidRDefault="00F658D2" w:rsidP="00F658D2">
            <w:pPr>
              <w:rPr>
                <w:sz w:val="22"/>
                <w:szCs w:val="22"/>
              </w:rPr>
            </w:pPr>
            <w:r w:rsidRPr="00372D71">
              <w:rPr>
                <w:sz w:val="22"/>
                <w:szCs w:val="22"/>
              </w:rPr>
              <w:t>Development of protocols and MoUs for cross-departmental cooperation, at national and local level</w:t>
            </w:r>
          </w:p>
        </w:tc>
        <w:tc>
          <w:tcPr>
            <w:tcW w:w="3543" w:type="dxa"/>
          </w:tcPr>
          <w:p w14:paraId="3EA6D804" w14:textId="7ABE975A" w:rsidR="00F658D2" w:rsidRPr="00372D71" w:rsidRDefault="00F658D2" w:rsidP="00F658D2">
            <w:pPr>
              <w:rPr>
                <w:sz w:val="22"/>
                <w:szCs w:val="22"/>
              </w:rPr>
            </w:pPr>
            <w:r>
              <w:rPr>
                <w:sz w:val="22"/>
                <w:szCs w:val="22"/>
              </w:rPr>
              <w:t>No.</w:t>
            </w:r>
          </w:p>
        </w:tc>
        <w:tc>
          <w:tcPr>
            <w:tcW w:w="2835" w:type="dxa"/>
          </w:tcPr>
          <w:p w14:paraId="21B9EE4B" w14:textId="77777777" w:rsidR="00F658D2" w:rsidRPr="00372D71" w:rsidRDefault="00F658D2" w:rsidP="00F658D2">
            <w:pPr>
              <w:rPr>
                <w:sz w:val="22"/>
                <w:szCs w:val="22"/>
              </w:rPr>
            </w:pPr>
          </w:p>
        </w:tc>
      </w:tr>
      <w:tr w:rsidR="00F658D2" w:rsidRPr="00E44373" w14:paraId="29FDE7D1" w14:textId="77777777" w:rsidTr="00B42243">
        <w:tc>
          <w:tcPr>
            <w:tcW w:w="2122" w:type="dxa"/>
            <w:shd w:val="clear" w:color="auto" w:fill="auto"/>
          </w:tcPr>
          <w:p w14:paraId="527A3563"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355EF440" w14:textId="77777777" w:rsidR="00F658D2" w:rsidRPr="00372D71" w:rsidRDefault="00F658D2" w:rsidP="00F658D2">
            <w:pPr>
              <w:rPr>
                <w:sz w:val="22"/>
                <w:szCs w:val="22"/>
              </w:rPr>
            </w:pPr>
            <w:r w:rsidRPr="00372D71">
              <w:rPr>
                <w:sz w:val="22"/>
                <w:szCs w:val="22"/>
              </w:rPr>
              <w:t xml:space="preserve">Nos. of people accessing wage subsidy scheme, reasonable accommodation fund, back to education allowance, EmployAbility Service, any complementary support service </w:t>
            </w:r>
          </w:p>
          <w:p w14:paraId="16CD1A90" w14:textId="77777777" w:rsidR="00F658D2" w:rsidRPr="00372D71" w:rsidRDefault="00F658D2" w:rsidP="00F658D2">
            <w:pPr>
              <w:rPr>
                <w:sz w:val="22"/>
                <w:szCs w:val="22"/>
              </w:rPr>
            </w:pPr>
          </w:p>
        </w:tc>
        <w:tc>
          <w:tcPr>
            <w:tcW w:w="3543" w:type="dxa"/>
          </w:tcPr>
          <w:p w14:paraId="5580BB96" w14:textId="77777777" w:rsidR="00F658D2" w:rsidRPr="00372D71" w:rsidRDefault="00F658D2" w:rsidP="00F658D2">
            <w:pPr>
              <w:rPr>
                <w:sz w:val="22"/>
                <w:szCs w:val="22"/>
              </w:rPr>
            </w:pPr>
            <w:r w:rsidRPr="00403E16">
              <w:rPr>
                <w:sz w:val="22"/>
                <w:szCs w:val="22"/>
              </w:rPr>
              <w:t>Wage subsidy scheme now</w:t>
            </w:r>
            <w:r w:rsidRPr="00C95E5F">
              <w:rPr>
                <w:b/>
                <w:sz w:val="22"/>
                <w:szCs w:val="22"/>
              </w:rPr>
              <w:t xml:space="preserve"> </w:t>
            </w:r>
            <w:r w:rsidRPr="00372D71">
              <w:rPr>
                <w:sz w:val="22"/>
                <w:szCs w:val="22"/>
              </w:rPr>
              <w:t>“Number of persons in employment supported through the Wage Subsidy Scheme</w:t>
            </w:r>
            <w:r>
              <w:rPr>
                <w:sz w:val="22"/>
                <w:szCs w:val="22"/>
              </w:rPr>
              <w:t xml:space="preserve">”. In </w:t>
            </w:r>
            <w:r w:rsidRPr="00372D71">
              <w:rPr>
                <w:sz w:val="22"/>
                <w:szCs w:val="22"/>
              </w:rPr>
              <w:t>SP4 and SP6</w:t>
            </w:r>
            <w:r>
              <w:rPr>
                <w:sz w:val="22"/>
                <w:szCs w:val="22"/>
              </w:rPr>
              <w:t>.</w:t>
            </w:r>
          </w:p>
          <w:p w14:paraId="46A948F3" w14:textId="77777777" w:rsidR="00F658D2" w:rsidRPr="00372D71" w:rsidRDefault="00F658D2" w:rsidP="00F658D2">
            <w:pPr>
              <w:rPr>
                <w:sz w:val="22"/>
                <w:szCs w:val="22"/>
              </w:rPr>
            </w:pPr>
            <w:r w:rsidRPr="00372D71">
              <w:rPr>
                <w:sz w:val="22"/>
                <w:szCs w:val="22"/>
              </w:rPr>
              <w:t>Reasonable accommodation fund</w:t>
            </w:r>
            <w:r>
              <w:rPr>
                <w:sz w:val="22"/>
                <w:szCs w:val="22"/>
              </w:rPr>
              <w:t xml:space="preserve"> now</w:t>
            </w:r>
            <w:r w:rsidRPr="00372D71">
              <w:rPr>
                <w:sz w:val="22"/>
                <w:szCs w:val="22"/>
              </w:rPr>
              <w:t xml:space="preserve"> “Number of applications for Reasonable Accommodation Fund”</w:t>
            </w:r>
            <w:r>
              <w:rPr>
                <w:sz w:val="22"/>
                <w:szCs w:val="22"/>
              </w:rPr>
              <w:t>.</w:t>
            </w:r>
            <w:r w:rsidRPr="00372D71">
              <w:rPr>
                <w:sz w:val="22"/>
                <w:szCs w:val="22"/>
              </w:rPr>
              <w:t xml:space="preserve"> </w:t>
            </w:r>
            <w:r>
              <w:rPr>
                <w:sz w:val="22"/>
                <w:szCs w:val="22"/>
              </w:rPr>
              <w:t xml:space="preserve">In </w:t>
            </w:r>
            <w:r w:rsidRPr="00372D71">
              <w:rPr>
                <w:sz w:val="22"/>
                <w:szCs w:val="22"/>
              </w:rPr>
              <w:t>SP4 and SP6</w:t>
            </w:r>
            <w:r>
              <w:rPr>
                <w:sz w:val="22"/>
                <w:szCs w:val="22"/>
              </w:rPr>
              <w:t>.</w:t>
            </w:r>
          </w:p>
          <w:p w14:paraId="67607BD9" w14:textId="77777777" w:rsidR="00F658D2" w:rsidRPr="00372D71" w:rsidRDefault="00F658D2" w:rsidP="00F658D2">
            <w:pPr>
              <w:rPr>
                <w:sz w:val="22"/>
                <w:szCs w:val="22"/>
              </w:rPr>
            </w:pPr>
            <w:r w:rsidRPr="00372D71">
              <w:rPr>
                <w:sz w:val="22"/>
                <w:szCs w:val="22"/>
              </w:rPr>
              <w:t xml:space="preserve">EmployAbility service: “Proportion of EmployAbility participants exiting into employment”. Moved to </w:t>
            </w:r>
            <w:r>
              <w:rPr>
                <w:sz w:val="22"/>
                <w:szCs w:val="22"/>
              </w:rPr>
              <w:t>SP</w:t>
            </w:r>
            <w:r w:rsidRPr="00372D71">
              <w:rPr>
                <w:sz w:val="22"/>
                <w:szCs w:val="22"/>
              </w:rPr>
              <w:t>2.</w:t>
            </w:r>
          </w:p>
          <w:p w14:paraId="7B7C3169" w14:textId="77777777" w:rsidR="00F658D2" w:rsidRPr="00372D71" w:rsidRDefault="00F658D2" w:rsidP="00F658D2">
            <w:pPr>
              <w:rPr>
                <w:sz w:val="22"/>
                <w:szCs w:val="22"/>
              </w:rPr>
            </w:pPr>
            <w:r w:rsidRPr="00372D71">
              <w:rPr>
                <w:sz w:val="22"/>
                <w:szCs w:val="22"/>
              </w:rPr>
              <w:t>Back to Education Allowance</w:t>
            </w:r>
            <w:r>
              <w:rPr>
                <w:sz w:val="22"/>
                <w:szCs w:val="22"/>
              </w:rPr>
              <w:t>: “</w:t>
            </w:r>
            <w:r w:rsidRPr="00666CFD">
              <w:rPr>
                <w:sz w:val="22"/>
                <w:szCs w:val="22"/>
              </w:rPr>
              <w:t>Numbers of Back to Education Allowance recipients with disabilities</w:t>
            </w:r>
            <w:r>
              <w:rPr>
                <w:sz w:val="22"/>
                <w:szCs w:val="22"/>
              </w:rPr>
              <w:t>”. M</w:t>
            </w:r>
            <w:r w:rsidRPr="00372D71">
              <w:rPr>
                <w:sz w:val="22"/>
                <w:szCs w:val="22"/>
              </w:rPr>
              <w:t>oved to SP1.</w:t>
            </w:r>
          </w:p>
        </w:tc>
        <w:tc>
          <w:tcPr>
            <w:tcW w:w="2835" w:type="dxa"/>
          </w:tcPr>
          <w:p w14:paraId="66807377" w14:textId="77777777" w:rsidR="00F658D2" w:rsidRPr="00135CA2" w:rsidRDefault="00F658D2" w:rsidP="00F658D2">
            <w:pPr>
              <w:rPr>
                <w:sz w:val="22"/>
                <w:szCs w:val="22"/>
              </w:rPr>
            </w:pPr>
            <w:r w:rsidRPr="00135CA2">
              <w:rPr>
                <w:sz w:val="22"/>
                <w:szCs w:val="22"/>
              </w:rPr>
              <w:t xml:space="preserve">Indicators were moved to/retained in the most relevant </w:t>
            </w:r>
            <w:r>
              <w:rPr>
                <w:sz w:val="22"/>
                <w:szCs w:val="22"/>
              </w:rPr>
              <w:t>SPs</w:t>
            </w:r>
            <w:r w:rsidRPr="00135CA2">
              <w:rPr>
                <w:sz w:val="22"/>
                <w:szCs w:val="22"/>
              </w:rPr>
              <w:t>.</w:t>
            </w:r>
          </w:p>
          <w:p w14:paraId="68DA92D7" w14:textId="77777777" w:rsidR="00F658D2" w:rsidRPr="00135CA2" w:rsidRDefault="00F658D2" w:rsidP="00F658D2">
            <w:pPr>
              <w:rPr>
                <w:sz w:val="22"/>
                <w:szCs w:val="22"/>
              </w:rPr>
            </w:pPr>
            <w:r w:rsidRPr="00135CA2">
              <w:rPr>
                <w:sz w:val="22"/>
                <w:szCs w:val="22"/>
              </w:rPr>
              <w:t xml:space="preserve">The focus of the indicators is </w:t>
            </w:r>
            <w:r>
              <w:rPr>
                <w:sz w:val="22"/>
                <w:szCs w:val="22"/>
              </w:rPr>
              <w:t>on</w:t>
            </w:r>
            <w:r w:rsidRPr="00135CA2">
              <w:rPr>
                <w:sz w:val="22"/>
                <w:szCs w:val="22"/>
              </w:rPr>
              <w:t xml:space="preserve"> persons with disabilities benefitting from the scheme, rather than the input of expenditure.</w:t>
            </w:r>
          </w:p>
          <w:p w14:paraId="2440308D" w14:textId="77777777" w:rsidR="00F658D2" w:rsidRPr="00135CA2" w:rsidRDefault="00F658D2" w:rsidP="00F658D2">
            <w:pPr>
              <w:rPr>
                <w:sz w:val="22"/>
                <w:szCs w:val="22"/>
              </w:rPr>
            </w:pPr>
            <w:r w:rsidRPr="00135CA2">
              <w:rPr>
                <w:sz w:val="22"/>
                <w:szCs w:val="22"/>
              </w:rPr>
              <w:t>Indicator names were rephrased to reflect changes.</w:t>
            </w:r>
          </w:p>
          <w:p w14:paraId="4D936105" w14:textId="77777777" w:rsidR="00F658D2" w:rsidRPr="00372D71" w:rsidRDefault="00F658D2" w:rsidP="00F658D2">
            <w:pPr>
              <w:rPr>
                <w:sz w:val="22"/>
                <w:szCs w:val="22"/>
              </w:rPr>
            </w:pPr>
          </w:p>
        </w:tc>
      </w:tr>
      <w:tr w:rsidR="00F658D2" w:rsidRPr="00E44373" w14:paraId="78A8E81C" w14:textId="77777777" w:rsidTr="00B42243">
        <w:tc>
          <w:tcPr>
            <w:tcW w:w="2122" w:type="dxa"/>
            <w:shd w:val="clear" w:color="auto" w:fill="auto"/>
          </w:tcPr>
          <w:p w14:paraId="0CB2FF17"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49F0D7BE" w14:textId="77777777" w:rsidR="00F658D2" w:rsidRPr="00372D71" w:rsidRDefault="00F658D2" w:rsidP="00F658D2">
            <w:pPr>
              <w:rPr>
                <w:sz w:val="22"/>
                <w:szCs w:val="22"/>
              </w:rPr>
            </w:pPr>
            <w:r w:rsidRPr="00372D71">
              <w:rPr>
                <w:sz w:val="22"/>
                <w:szCs w:val="22"/>
              </w:rPr>
              <w:t>Nos. of calls to EDI, disaggregated by call type</w:t>
            </w:r>
          </w:p>
        </w:tc>
        <w:tc>
          <w:tcPr>
            <w:tcW w:w="3543" w:type="dxa"/>
          </w:tcPr>
          <w:p w14:paraId="37916B51" w14:textId="77777777" w:rsidR="00F658D2" w:rsidRPr="00372D71" w:rsidRDefault="00F658D2" w:rsidP="00F658D2">
            <w:pPr>
              <w:rPr>
                <w:sz w:val="22"/>
                <w:szCs w:val="22"/>
              </w:rPr>
            </w:pPr>
            <w:r>
              <w:rPr>
                <w:sz w:val="22"/>
                <w:szCs w:val="22"/>
              </w:rPr>
              <w:t>Yes: “Employer engagement with EDI service”.</w:t>
            </w:r>
          </w:p>
        </w:tc>
        <w:tc>
          <w:tcPr>
            <w:tcW w:w="2835" w:type="dxa"/>
          </w:tcPr>
          <w:p w14:paraId="60CECD5A" w14:textId="77777777" w:rsidR="00F658D2" w:rsidRPr="00372D71" w:rsidRDefault="00F658D2" w:rsidP="00F658D2">
            <w:pPr>
              <w:rPr>
                <w:sz w:val="22"/>
                <w:szCs w:val="22"/>
              </w:rPr>
            </w:pPr>
            <w:r>
              <w:rPr>
                <w:sz w:val="22"/>
                <w:szCs w:val="22"/>
              </w:rPr>
              <w:t>There was no available information on calls. Rephrased to reflect available data.</w:t>
            </w:r>
          </w:p>
        </w:tc>
      </w:tr>
      <w:tr w:rsidR="00F658D2" w:rsidRPr="00E44373" w14:paraId="2F3B56D9" w14:textId="77777777" w:rsidTr="00B42243">
        <w:tc>
          <w:tcPr>
            <w:tcW w:w="2122" w:type="dxa"/>
            <w:shd w:val="clear" w:color="auto" w:fill="auto"/>
          </w:tcPr>
          <w:p w14:paraId="02DD6207"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020650BB" w14:textId="77777777" w:rsidR="00F658D2" w:rsidRPr="00372D71" w:rsidRDefault="00F658D2" w:rsidP="00F658D2">
            <w:pPr>
              <w:rPr>
                <w:sz w:val="22"/>
                <w:szCs w:val="22"/>
              </w:rPr>
            </w:pPr>
            <w:r w:rsidRPr="00372D71">
              <w:rPr>
                <w:sz w:val="22"/>
                <w:szCs w:val="22"/>
              </w:rPr>
              <w:t>No. of employers in peer-to-peer networks</w:t>
            </w:r>
          </w:p>
        </w:tc>
        <w:tc>
          <w:tcPr>
            <w:tcW w:w="3543" w:type="dxa"/>
          </w:tcPr>
          <w:p w14:paraId="4753D387" w14:textId="7F7FFCD8" w:rsidR="00F658D2" w:rsidRPr="00372D71" w:rsidRDefault="00F658D2" w:rsidP="00F658D2">
            <w:pPr>
              <w:rPr>
                <w:sz w:val="22"/>
                <w:szCs w:val="22"/>
              </w:rPr>
            </w:pPr>
            <w:r>
              <w:rPr>
                <w:sz w:val="22"/>
                <w:szCs w:val="22"/>
              </w:rPr>
              <w:t>No.</w:t>
            </w:r>
          </w:p>
        </w:tc>
        <w:tc>
          <w:tcPr>
            <w:tcW w:w="2835" w:type="dxa"/>
          </w:tcPr>
          <w:p w14:paraId="75E6B85A" w14:textId="77777777" w:rsidR="00F658D2" w:rsidRPr="00372D71" w:rsidRDefault="00F658D2" w:rsidP="00F658D2">
            <w:pPr>
              <w:rPr>
                <w:sz w:val="22"/>
                <w:szCs w:val="22"/>
              </w:rPr>
            </w:pPr>
          </w:p>
        </w:tc>
      </w:tr>
      <w:tr w:rsidR="00F658D2" w:rsidRPr="00E44373" w14:paraId="7F38058C" w14:textId="77777777" w:rsidTr="00B42243">
        <w:tc>
          <w:tcPr>
            <w:tcW w:w="2122" w:type="dxa"/>
            <w:shd w:val="clear" w:color="auto" w:fill="auto"/>
          </w:tcPr>
          <w:p w14:paraId="127F89F1"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41DBA47D" w14:textId="77777777" w:rsidR="00F658D2" w:rsidRPr="00372D71" w:rsidRDefault="00F658D2" w:rsidP="00F658D2">
            <w:pPr>
              <w:rPr>
                <w:sz w:val="22"/>
                <w:szCs w:val="22"/>
                <w:lang w:val="x-none"/>
              </w:rPr>
            </w:pPr>
            <w:r w:rsidRPr="00372D71">
              <w:rPr>
                <w:sz w:val="22"/>
                <w:szCs w:val="22"/>
                <w:lang w:val="x-none"/>
              </w:rPr>
              <w:t xml:space="preserve">Compared to the general population the % of people with disabilities age 15-65 in: </w:t>
            </w:r>
          </w:p>
          <w:p w14:paraId="22422342" w14:textId="77777777" w:rsidR="00F658D2" w:rsidRPr="00372D71" w:rsidRDefault="00F658D2" w:rsidP="00FD0C3F">
            <w:pPr>
              <w:numPr>
                <w:ilvl w:val="0"/>
                <w:numId w:val="20"/>
              </w:numPr>
              <w:spacing w:after="200"/>
              <w:rPr>
                <w:sz w:val="22"/>
                <w:szCs w:val="22"/>
                <w:lang w:val="x-none"/>
              </w:rPr>
            </w:pPr>
            <w:r w:rsidRPr="00372D71">
              <w:rPr>
                <w:sz w:val="22"/>
                <w:szCs w:val="22"/>
                <w:lang w:val="x-none"/>
              </w:rPr>
              <w:t>Employment</w:t>
            </w:r>
          </w:p>
          <w:p w14:paraId="5E4F5844" w14:textId="77777777" w:rsidR="00F658D2" w:rsidRPr="00372D71" w:rsidRDefault="00F658D2" w:rsidP="00FD0C3F">
            <w:pPr>
              <w:numPr>
                <w:ilvl w:val="0"/>
                <w:numId w:val="20"/>
              </w:numPr>
              <w:spacing w:after="200"/>
              <w:rPr>
                <w:sz w:val="22"/>
                <w:szCs w:val="22"/>
                <w:lang w:val="x-none"/>
              </w:rPr>
            </w:pPr>
            <w:r w:rsidRPr="00372D71">
              <w:rPr>
                <w:sz w:val="22"/>
                <w:szCs w:val="22"/>
                <w:lang w:val="x-none"/>
              </w:rPr>
              <w:t>Unemployment</w:t>
            </w:r>
          </w:p>
          <w:p w14:paraId="24FA18DF" w14:textId="77777777" w:rsidR="00F658D2" w:rsidRPr="00372D71" w:rsidRDefault="00F658D2" w:rsidP="00FD0C3F">
            <w:pPr>
              <w:numPr>
                <w:ilvl w:val="0"/>
                <w:numId w:val="19"/>
              </w:numPr>
              <w:spacing w:after="0"/>
              <w:contextualSpacing/>
              <w:rPr>
                <w:sz w:val="22"/>
                <w:szCs w:val="22"/>
              </w:rPr>
            </w:pPr>
            <w:r w:rsidRPr="00372D71">
              <w:rPr>
                <w:rFonts w:eastAsiaTheme="minorHAnsi" w:cstheme="minorBidi"/>
                <w:sz w:val="22"/>
                <w:szCs w:val="22"/>
              </w:rPr>
              <w:t>Not active</w:t>
            </w:r>
          </w:p>
          <w:p w14:paraId="2998F9A1" w14:textId="77777777" w:rsidR="00F658D2" w:rsidRPr="00372D71" w:rsidRDefault="00F658D2" w:rsidP="00FD0C3F">
            <w:pPr>
              <w:numPr>
                <w:ilvl w:val="0"/>
                <w:numId w:val="19"/>
              </w:numPr>
              <w:spacing w:after="0"/>
              <w:contextualSpacing/>
              <w:rPr>
                <w:sz w:val="22"/>
                <w:szCs w:val="22"/>
              </w:rPr>
            </w:pPr>
            <w:r w:rsidRPr="00372D71">
              <w:rPr>
                <w:sz w:val="22"/>
                <w:szCs w:val="22"/>
              </w:rPr>
              <w:t xml:space="preserve">Education and training </w:t>
            </w:r>
          </w:p>
          <w:p w14:paraId="6CAD6E6D" w14:textId="77777777" w:rsidR="00F658D2" w:rsidRPr="00372D71" w:rsidRDefault="00F658D2" w:rsidP="00F658D2">
            <w:pPr>
              <w:spacing w:after="0"/>
              <w:rPr>
                <w:sz w:val="22"/>
                <w:szCs w:val="22"/>
              </w:rPr>
            </w:pPr>
            <w:r w:rsidRPr="00372D71">
              <w:rPr>
                <w:sz w:val="22"/>
                <w:szCs w:val="22"/>
              </w:rPr>
              <w:t>by disability type</w:t>
            </w:r>
          </w:p>
        </w:tc>
        <w:tc>
          <w:tcPr>
            <w:tcW w:w="3543" w:type="dxa"/>
          </w:tcPr>
          <w:p w14:paraId="54723CBD" w14:textId="77777777" w:rsidR="00F658D2" w:rsidRPr="00372D71" w:rsidRDefault="00F658D2" w:rsidP="00F658D2">
            <w:pPr>
              <w:spacing w:after="0"/>
              <w:rPr>
                <w:sz w:val="22"/>
                <w:szCs w:val="22"/>
              </w:rPr>
            </w:pPr>
            <w:r w:rsidRPr="00372D71">
              <w:rPr>
                <w:sz w:val="22"/>
                <w:szCs w:val="22"/>
              </w:rPr>
              <w:t>Yes: “</w:t>
            </w:r>
            <w:r w:rsidRPr="005B22FD">
              <w:rPr>
                <w:sz w:val="22"/>
                <w:szCs w:val="22"/>
              </w:rPr>
              <w:t>Principal economic status of persons with and without disabilities age 20-6</w:t>
            </w:r>
            <w:r>
              <w:rPr>
                <w:sz w:val="22"/>
                <w:szCs w:val="22"/>
              </w:rPr>
              <w:t>4</w:t>
            </w:r>
            <w:r w:rsidRPr="00372D71">
              <w:rPr>
                <w:sz w:val="22"/>
                <w:szCs w:val="22"/>
              </w:rPr>
              <w:t>”.</w:t>
            </w:r>
          </w:p>
        </w:tc>
        <w:tc>
          <w:tcPr>
            <w:tcW w:w="2835" w:type="dxa"/>
          </w:tcPr>
          <w:p w14:paraId="3D91034A" w14:textId="77777777" w:rsidR="00F658D2" w:rsidRPr="00372D71" w:rsidRDefault="00F658D2" w:rsidP="00F658D2">
            <w:pPr>
              <w:spacing w:after="0"/>
              <w:rPr>
                <w:sz w:val="22"/>
                <w:szCs w:val="22"/>
              </w:rPr>
            </w:pPr>
            <w:r>
              <w:rPr>
                <w:sz w:val="22"/>
                <w:szCs w:val="22"/>
              </w:rPr>
              <w:t>R</w:t>
            </w:r>
            <w:r w:rsidRPr="00372D71">
              <w:rPr>
                <w:sz w:val="22"/>
                <w:szCs w:val="22"/>
              </w:rPr>
              <w:t>ephrase and change of age to 20-64 to represent the working age population.</w:t>
            </w:r>
          </w:p>
        </w:tc>
      </w:tr>
      <w:tr w:rsidR="00F658D2" w:rsidRPr="00E44373" w14:paraId="525BB330" w14:textId="77777777" w:rsidTr="00B42243">
        <w:tc>
          <w:tcPr>
            <w:tcW w:w="2122" w:type="dxa"/>
            <w:shd w:val="clear" w:color="auto" w:fill="auto"/>
          </w:tcPr>
          <w:p w14:paraId="2339B9A2"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7893335F" w14:textId="77777777" w:rsidR="00F658D2" w:rsidRPr="00372D71" w:rsidRDefault="00F658D2" w:rsidP="00F658D2">
            <w:pPr>
              <w:spacing w:after="0"/>
              <w:rPr>
                <w:sz w:val="22"/>
                <w:szCs w:val="22"/>
              </w:rPr>
            </w:pPr>
            <w:r w:rsidRPr="00372D71">
              <w:rPr>
                <w:sz w:val="22"/>
                <w:szCs w:val="22"/>
              </w:rPr>
              <w:t>Percentage of people with a disability employed in the public sector</w:t>
            </w:r>
          </w:p>
        </w:tc>
        <w:tc>
          <w:tcPr>
            <w:tcW w:w="3543" w:type="dxa"/>
          </w:tcPr>
          <w:p w14:paraId="4226B434" w14:textId="77777777" w:rsidR="00F658D2" w:rsidRPr="00372D71" w:rsidRDefault="00F658D2" w:rsidP="00F658D2">
            <w:pPr>
              <w:spacing w:after="0"/>
              <w:rPr>
                <w:sz w:val="22"/>
                <w:szCs w:val="22"/>
              </w:rPr>
            </w:pPr>
            <w:r>
              <w:rPr>
                <w:sz w:val="22"/>
                <w:szCs w:val="22"/>
              </w:rPr>
              <w:t>No.</w:t>
            </w:r>
          </w:p>
        </w:tc>
        <w:tc>
          <w:tcPr>
            <w:tcW w:w="2835" w:type="dxa"/>
          </w:tcPr>
          <w:p w14:paraId="61DC0FEC" w14:textId="77777777" w:rsidR="00F658D2" w:rsidRPr="00372D71" w:rsidRDefault="00F658D2" w:rsidP="00F658D2">
            <w:pPr>
              <w:spacing w:after="0"/>
              <w:rPr>
                <w:sz w:val="22"/>
                <w:szCs w:val="22"/>
              </w:rPr>
            </w:pPr>
          </w:p>
        </w:tc>
      </w:tr>
      <w:tr w:rsidR="00F658D2" w:rsidRPr="00E44373" w14:paraId="3656E156" w14:textId="77777777" w:rsidTr="00B42243">
        <w:tc>
          <w:tcPr>
            <w:tcW w:w="2122" w:type="dxa"/>
            <w:shd w:val="clear" w:color="auto" w:fill="auto"/>
          </w:tcPr>
          <w:p w14:paraId="22F62C34"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590A92B8" w14:textId="77777777" w:rsidR="00F658D2" w:rsidRPr="00372D71" w:rsidRDefault="00F658D2" w:rsidP="00F658D2">
            <w:pPr>
              <w:rPr>
                <w:sz w:val="22"/>
                <w:szCs w:val="22"/>
              </w:rPr>
            </w:pPr>
            <w:r w:rsidRPr="00372D71">
              <w:rPr>
                <w:sz w:val="22"/>
                <w:szCs w:val="22"/>
              </w:rPr>
              <w:t>Nos. of persons with disabilities who are self-employed</w:t>
            </w:r>
          </w:p>
        </w:tc>
        <w:tc>
          <w:tcPr>
            <w:tcW w:w="3543" w:type="dxa"/>
          </w:tcPr>
          <w:p w14:paraId="05AB6FCB" w14:textId="77777777" w:rsidR="00F658D2" w:rsidRPr="00372D71" w:rsidRDefault="00F658D2" w:rsidP="00F658D2">
            <w:pPr>
              <w:rPr>
                <w:sz w:val="22"/>
                <w:szCs w:val="22"/>
              </w:rPr>
            </w:pPr>
            <w:r>
              <w:rPr>
                <w:sz w:val="22"/>
                <w:szCs w:val="22"/>
              </w:rPr>
              <w:t>Yes: “</w:t>
            </w:r>
            <w:r w:rsidRPr="006825D6">
              <w:rPr>
                <w:sz w:val="22"/>
                <w:szCs w:val="22"/>
              </w:rPr>
              <w:t>Percentage of persons with and without a disability who are self-employed</w:t>
            </w:r>
            <w:r>
              <w:rPr>
                <w:sz w:val="22"/>
                <w:szCs w:val="22"/>
              </w:rPr>
              <w:t>.”</w:t>
            </w:r>
          </w:p>
        </w:tc>
        <w:tc>
          <w:tcPr>
            <w:tcW w:w="2835" w:type="dxa"/>
          </w:tcPr>
          <w:p w14:paraId="1CEC7526" w14:textId="77777777" w:rsidR="00F658D2" w:rsidRPr="00372D71" w:rsidRDefault="00F658D2" w:rsidP="00F658D2">
            <w:pPr>
              <w:rPr>
                <w:sz w:val="22"/>
                <w:szCs w:val="22"/>
              </w:rPr>
            </w:pPr>
            <w:r>
              <w:rPr>
                <w:sz w:val="22"/>
                <w:szCs w:val="22"/>
              </w:rPr>
              <w:t>Rephrased to take into account proportion instead of numbers.</w:t>
            </w:r>
          </w:p>
        </w:tc>
      </w:tr>
      <w:tr w:rsidR="00F658D2" w:rsidRPr="00E44373" w14:paraId="1F848594" w14:textId="77777777" w:rsidTr="00B42243">
        <w:tc>
          <w:tcPr>
            <w:tcW w:w="2122" w:type="dxa"/>
            <w:shd w:val="clear" w:color="auto" w:fill="auto"/>
          </w:tcPr>
          <w:p w14:paraId="3E0F725D" w14:textId="77777777" w:rsidR="00F658D2" w:rsidRPr="00372D71" w:rsidRDefault="00F658D2" w:rsidP="00F658D2">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71A3369E" w14:textId="77777777" w:rsidR="00F658D2" w:rsidRPr="00372D71" w:rsidRDefault="00F658D2" w:rsidP="00F658D2">
            <w:pPr>
              <w:rPr>
                <w:sz w:val="22"/>
                <w:szCs w:val="22"/>
              </w:rPr>
            </w:pPr>
            <w:r w:rsidRPr="00372D71">
              <w:rPr>
                <w:sz w:val="22"/>
                <w:szCs w:val="22"/>
              </w:rPr>
              <w:t>Nos. of persons with disabilities accessing Enterprise Ireland supports (e.g. LEOs, entrepreneurship programme etc.)</w:t>
            </w:r>
          </w:p>
        </w:tc>
        <w:tc>
          <w:tcPr>
            <w:tcW w:w="3543" w:type="dxa"/>
          </w:tcPr>
          <w:p w14:paraId="1D734DA0" w14:textId="77777777" w:rsidR="00F658D2" w:rsidRPr="00372D71" w:rsidRDefault="00F658D2" w:rsidP="00F658D2">
            <w:pPr>
              <w:rPr>
                <w:sz w:val="22"/>
                <w:szCs w:val="22"/>
              </w:rPr>
            </w:pPr>
            <w:r>
              <w:rPr>
                <w:sz w:val="22"/>
                <w:szCs w:val="22"/>
              </w:rPr>
              <w:t>Yes. Deleted.</w:t>
            </w:r>
          </w:p>
        </w:tc>
        <w:tc>
          <w:tcPr>
            <w:tcW w:w="2835" w:type="dxa"/>
          </w:tcPr>
          <w:p w14:paraId="6B75C146" w14:textId="77777777" w:rsidR="00F658D2" w:rsidRPr="00372D71" w:rsidRDefault="00F658D2" w:rsidP="00F658D2">
            <w:pPr>
              <w:rPr>
                <w:sz w:val="22"/>
                <w:szCs w:val="22"/>
              </w:rPr>
            </w:pPr>
            <w:r>
              <w:rPr>
                <w:sz w:val="22"/>
                <w:szCs w:val="22"/>
              </w:rPr>
              <w:t xml:space="preserve">Data on persons with disabilities is not collected by EI. This indicator may be reinstated if this changes. </w:t>
            </w:r>
          </w:p>
        </w:tc>
      </w:tr>
    </w:tbl>
    <w:p w14:paraId="70622303" w14:textId="77777777" w:rsidR="00F658D2" w:rsidRPr="00F658D2" w:rsidRDefault="00F658D2" w:rsidP="00085A89"/>
    <w:p w14:paraId="173DCC42" w14:textId="7F7C4E67" w:rsidR="009E5358" w:rsidRPr="009E5358" w:rsidRDefault="009E5358" w:rsidP="00F658D2">
      <w:pPr>
        <w:pStyle w:val="Heading1"/>
        <w:tabs>
          <w:tab w:val="left" w:pos="1692"/>
        </w:tabs>
        <w:jc w:val="both"/>
      </w:pPr>
      <w:bookmarkStart w:id="372" w:name="_Toc182555612"/>
      <w:bookmarkStart w:id="373" w:name="_Toc182555751"/>
      <w:r>
        <w:t>Appendix 2: New indicators added to original set</w:t>
      </w:r>
      <w:bookmarkEnd w:id="372"/>
      <w:bookmarkEnd w:id="373"/>
    </w:p>
    <w:tbl>
      <w:tblPr>
        <w:tblStyle w:val="TableGrid"/>
        <w:tblpPr w:leftFromText="180" w:rightFromText="180" w:vertAnchor="text" w:horzAnchor="margin" w:tblpY="225"/>
        <w:tblW w:w="13178" w:type="dxa"/>
        <w:tblLook w:val="04A0" w:firstRow="1" w:lastRow="0" w:firstColumn="1" w:lastColumn="0" w:noHBand="0" w:noVBand="1"/>
        <w:tblCaption w:val="New Indicators added to set"/>
        <w:tblDescription w:val="Tabel displays New indictators added to the set and the reason for inclusion"/>
      </w:tblPr>
      <w:tblGrid>
        <w:gridCol w:w="2122"/>
        <w:gridCol w:w="3685"/>
        <w:gridCol w:w="7371"/>
      </w:tblGrid>
      <w:tr w:rsidR="009E5358" w:rsidRPr="00E44373" w14:paraId="66D7D0C1" w14:textId="77777777" w:rsidTr="00085A89">
        <w:trPr>
          <w:tblHeader/>
        </w:trPr>
        <w:tc>
          <w:tcPr>
            <w:tcW w:w="2122" w:type="dxa"/>
            <w:shd w:val="clear" w:color="auto" w:fill="auto"/>
          </w:tcPr>
          <w:p w14:paraId="38D1C0B7" w14:textId="6A21FABD" w:rsidR="009E5358" w:rsidRPr="00E44373" w:rsidRDefault="009E5358" w:rsidP="00433BBA">
            <w:pPr>
              <w:rPr>
                <w:sz w:val="22"/>
                <w:szCs w:val="22"/>
              </w:rPr>
            </w:pPr>
            <w:r w:rsidRPr="00372D71">
              <w:rPr>
                <w:b/>
                <w:sz w:val="22"/>
                <w:szCs w:val="22"/>
              </w:rPr>
              <w:t xml:space="preserve">Strategic </w:t>
            </w:r>
            <w:r w:rsidR="00C3227F">
              <w:rPr>
                <w:b/>
                <w:sz w:val="22"/>
                <w:szCs w:val="22"/>
              </w:rPr>
              <w:t>p</w:t>
            </w:r>
            <w:r w:rsidRPr="00372D71">
              <w:rPr>
                <w:b/>
                <w:sz w:val="22"/>
                <w:szCs w:val="22"/>
              </w:rPr>
              <w:t>riority</w:t>
            </w:r>
          </w:p>
        </w:tc>
        <w:tc>
          <w:tcPr>
            <w:tcW w:w="3685" w:type="dxa"/>
            <w:shd w:val="clear" w:color="auto" w:fill="auto"/>
          </w:tcPr>
          <w:p w14:paraId="61DB03EC" w14:textId="319E6EE7" w:rsidR="009E5358" w:rsidRDefault="009E5358" w:rsidP="00433BBA">
            <w:pPr>
              <w:rPr>
                <w:sz w:val="22"/>
                <w:szCs w:val="22"/>
              </w:rPr>
            </w:pPr>
            <w:r>
              <w:rPr>
                <w:b/>
                <w:sz w:val="22"/>
                <w:szCs w:val="22"/>
              </w:rPr>
              <w:t xml:space="preserve">New </w:t>
            </w:r>
            <w:r w:rsidR="00C3227F">
              <w:rPr>
                <w:b/>
                <w:sz w:val="22"/>
                <w:szCs w:val="22"/>
              </w:rPr>
              <w:t>i</w:t>
            </w:r>
            <w:r w:rsidRPr="00372D71">
              <w:rPr>
                <w:b/>
                <w:sz w:val="22"/>
                <w:szCs w:val="22"/>
              </w:rPr>
              <w:t xml:space="preserve">ndicator of </w:t>
            </w:r>
            <w:r w:rsidR="00C3227F">
              <w:rPr>
                <w:b/>
                <w:sz w:val="22"/>
                <w:szCs w:val="22"/>
              </w:rPr>
              <w:t>p</w:t>
            </w:r>
            <w:r w:rsidRPr="00372D71">
              <w:rPr>
                <w:b/>
                <w:sz w:val="22"/>
                <w:szCs w:val="22"/>
              </w:rPr>
              <w:t>rogress</w:t>
            </w:r>
          </w:p>
        </w:tc>
        <w:tc>
          <w:tcPr>
            <w:tcW w:w="7371" w:type="dxa"/>
          </w:tcPr>
          <w:p w14:paraId="2A324D9A" w14:textId="75FE163C" w:rsidR="009E5358" w:rsidRPr="00951478" w:rsidRDefault="009E5358" w:rsidP="00433BBA">
            <w:pPr>
              <w:spacing w:after="0"/>
              <w:rPr>
                <w:b/>
                <w:sz w:val="22"/>
                <w:szCs w:val="22"/>
              </w:rPr>
            </w:pPr>
            <w:r w:rsidRPr="00951478">
              <w:rPr>
                <w:b/>
                <w:sz w:val="22"/>
                <w:szCs w:val="22"/>
              </w:rPr>
              <w:t xml:space="preserve">Reason for </w:t>
            </w:r>
            <w:r w:rsidR="00C3227F">
              <w:rPr>
                <w:b/>
                <w:sz w:val="22"/>
                <w:szCs w:val="22"/>
              </w:rPr>
              <w:t>i</w:t>
            </w:r>
            <w:r w:rsidRPr="00951478">
              <w:rPr>
                <w:b/>
                <w:sz w:val="22"/>
                <w:szCs w:val="22"/>
              </w:rPr>
              <w:t>nclusion</w:t>
            </w:r>
          </w:p>
        </w:tc>
      </w:tr>
      <w:tr w:rsidR="009E5358" w:rsidRPr="00E44373" w14:paraId="6D5B4CD9" w14:textId="77777777" w:rsidTr="00085A89">
        <w:tc>
          <w:tcPr>
            <w:tcW w:w="2122" w:type="dxa"/>
            <w:shd w:val="clear" w:color="auto" w:fill="auto"/>
          </w:tcPr>
          <w:p w14:paraId="007064B8" w14:textId="77777777" w:rsidR="009E5358" w:rsidRPr="00E44373" w:rsidRDefault="009E5358" w:rsidP="00433BBA">
            <w:pPr>
              <w:rPr>
                <w:sz w:val="22"/>
                <w:szCs w:val="22"/>
              </w:rPr>
            </w:pPr>
            <w:r w:rsidRPr="00372D71">
              <w:rPr>
                <w:sz w:val="22"/>
                <w:szCs w:val="22"/>
              </w:rPr>
              <w:t xml:space="preserve">SP1: Building </w:t>
            </w:r>
            <w:r>
              <w:rPr>
                <w:sz w:val="22"/>
                <w:szCs w:val="22"/>
              </w:rPr>
              <w:t>s</w:t>
            </w:r>
            <w:r w:rsidRPr="00372D71">
              <w:rPr>
                <w:sz w:val="22"/>
                <w:szCs w:val="22"/>
              </w:rPr>
              <w:t xml:space="preserve">kills, </w:t>
            </w:r>
            <w:r>
              <w:rPr>
                <w:sz w:val="22"/>
                <w:szCs w:val="22"/>
              </w:rPr>
              <w:t>c</w:t>
            </w:r>
            <w:r w:rsidRPr="00372D71">
              <w:rPr>
                <w:sz w:val="22"/>
                <w:szCs w:val="22"/>
              </w:rPr>
              <w:t xml:space="preserve">apacity and </w:t>
            </w:r>
            <w:r>
              <w:rPr>
                <w:sz w:val="22"/>
                <w:szCs w:val="22"/>
              </w:rPr>
              <w:t>i</w:t>
            </w:r>
            <w:r w:rsidRPr="00372D71">
              <w:rPr>
                <w:sz w:val="22"/>
                <w:szCs w:val="22"/>
              </w:rPr>
              <w:t>ndependence</w:t>
            </w:r>
          </w:p>
        </w:tc>
        <w:tc>
          <w:tcPr>
            <w:tcW w:w="3685" w:type="dxa"/>
            <w:shd w:val="clear" w:color="auto" w:fill="auto"/>
          </w:tcPr>
          <w:p w14:paraId="72D489D5" w14:textId="77777777" w:rsidR="009E5358" w:rsidRPr="00951478" w:rsidRDefault="009E5358" w:rsidP="00433BBA">
            <w:pPr>
              <w:rPr>
                <w:sz w:val="22"/>
                <w:szCs w:val="22"/>
              </w:rPr>
            </w:pPr>
            <w:r w:rsidRPr="00951478">
              <w:rPr>
                <w:sz w:val="22"/>
                <w:szCs w:val="22"/>
              </w:rPr>
              <w:t>The proportion of persons with disabilities who are early school leavers compared to persons without disabilities</w:t>
            </w:r>
          </w:p>
        </w:tc>
        <w:tc>
          <w:tcPr>
            <w:tcW w:w="7371" w:type="dxa"/>
          </w:tcPr>
          <w:p w14:paraId="5EB8A9EA" w14:textId="77777777" w:rsidR="009E5358" w:rsidRPr="00951478" w:rsidRDefault="009E5358" w:rsidP="00433BBA">
            <w:pPr>
              <w:spacing w:after="0"/>
              <w:rPr>
                <w:sz w:val="22"/>
                <w:szCs w:val="22"/>
              </w:rPr>
            </w:pPr>
            <w:r w:rsidRPr="00951478">
              <w:rPr>
                <w:sz w:val="22"/>
                <w:szCs w:val="22"/>
              </w:rPr>
              <w:t>Persons with disabilities traditionally have higher than average early school leaving rates. This indicator offers another way to consider the inclusion of persons with disabilities in education.</w:t>
            </w:r>
            <w:r>
              <w:rPr>
                <w:sz w:val="22"/>
                <w:szCs w:val="22"/>
              </w:rPr>
              <w:t xml:space="preserve"> Data source is the census, meaning we can track change from 2011 and 2016, to 2021 and 2026.</w:t>
            </w:r>
          </w:p>
        </w:tc>
      </w:tr>
      <w:tr w:rsidR="009E5358" w:rsidRPr="00E44373" w14:paraId="380BFAE1" w14:textId="77777777" w:rsidTr="00085A89">
        <w:tc>
          <w:tcPr>
            <w:tcW w:w="2122" w:type="dxa"/>
            <w:shd w:val="clear" w:color="auto" w:fill="auto"/>
          </w:tcPr>
          <w:p w14:paraId="62A00EAD" w14:textId="77777777" w:rsidR="009E5358" w:rsidRPr="00E44373" w:rsidRDefault="009E5358" w:rsidP="00433BBA">
            <w:pPr>
              <w:rPr>
                <w:sz w:val="22"/>
                <w:szCs w:val="22"/>
              </w:rPr>
            </w:pPr>
            <w:r w:rsidRPr="00372D71">
              <w:rPr>
                <w:sz w:val="22"/>
                <w:szCs w:val="22"/>
              </w:rPr>
              <w:t>SP2: Provide bridges and supports into work</w:t>
            </w:r>
          </w:p>
        </w:tc>
        <w:tc>
          <w:tcPr>
            <w:tcW w:w="3685" w:type="dxa"/>
            <w:shd w:val="clear" w:color="auto" w:fill="auto"/>
          </w:tcPr>
          <w:p w14:paraId="315FE7C7" w14:textId="77777777" w:rsidR="009E5358" w:rsidRPr="00951478" w:rsidRDefault="009E5358" w:rsidP="00433BBA">
            <w:pPr>
              <w:rPr>
                <w:sz w:val="22"/>
                <w:szCs w:val="22"/>
              </w:rPr>
            </w:pPr>
            <w:r w:rsidRPr="00951478">
              <w:rPr>
                <w:sz w:val="22"/>
                <w:szCs w:val="22"/>
              </w:rPr>
              <w:t>Proportion of young persons with a disability who are NEET compared to young persons without a disability</w:t>
            </w:r>
          </w:p>
        </w:tc>
        <w:tc>
          <w:tcPr>
            <w:tcW w:w="7371" w:type="dxa"/>
          </w:tcPr>
          <w:p w14:paraId="474B8A78" w14:textId="77777777" w:rsidR="009E5358" w:rsidRPr="00951478" w:rsidRDefault="009E5358" w:rsidP="00433BBA">
            <w:pPr>
              <w:spacing w:after="0"/>
              <w:rPr>
                <w:sz w:val="22"/>
                <w:szCs w:val="22"/>
              </w:rPr>
            </w:pPr>
            <w:r>
              <w:rPr>
                <w:sz w:val="22"/>
                <w:szCs w:val="22"/>
              </w:rPr>
              <w:t>This is a useful indicator as t</w:t>
            </w:r>
            <w:r w:rsidRPr="00951478">
              <w:rPr>
                <w:sz w:val="22"/>
                <w:szCs w:val="22"/>
              </w:rPr>
              <w:t>ime spent NEET can increase the likelihood of unemployment, low wages, or low quality of work later on in life</w:t>
            </w:r>
            <w:r>
              <w:rPr>
                <w:sz w:val="22"/>
                <w:szCs w:val="22"/>
              </w:rPr>
              <w:t>. Proportion of young people who are NEET highlights an important gap in education, training and employment and supports into same. Data source is the census, meaning we can track change from 2011 and 2016, to 2021 and 2026.</w:t>
            </w:r>
          </w:p>
        </w:tc>
      </w:tr>
    </w:tbl>
    <w:p w14:paraId="7536BE7F" w14:textId="5222AC6E" w:rsidR="009E5358" w:rsidRPr="009E5358" w:rsidRDefault="009E5358" w:rsidP="009E5358">
      <w:pPr>
        <w:tabs>
          <w:tab w:val="left" w:pos="1692"/>
        </w:tabs>
        <w:sectPr w:rsidR="009E5358" w:rsidRPr="009E5358" w:rsidSect="00CF68BE">
          <w:pgSz w:w="15840" w:h="12240" w:orient="landscape"/>
          <w:pgMar w:top="1800" w:right="1440" w:bottom="1800" w:left="1440" w:header="708" w:footer="708" w:gutter="0"/>
          <w:cols w:space="708"/>
          <w:docGrid w:linePitch="360"/>
        </w:sectPr>
      </w:pPr>
    </w:p>
    <w:p w14:paraId="68C7E675" w14:textId="611EFC74" w:rsidR="006F7CD1" w:rsidRDefault="006F7CD1" w:rsidP="00085A89">
      <w:pPr>
        <w:pStyle w:val="Heading1"/>
        <w:tabs>
          <w:tab w:val="left" w:pos="10536"/>
        </w:tabs>
      </w:pPr>
      <w:bookmarkStart w:id="374" w:name="_Toc182555613"/>
      <w:bookmarkStart w:id="375" w:name="_Toc182555752"/>
      <w:r>
        <w:t xml:space="preserve">Appendix </w:t>
      </w:r>
      <w:r w:rsidR="009E5358">
        <w:t>3</w:t>
      </w:r>
      <w:r>
        <w:t>: Amendments to midterm indicator set for final report</w:t>
      </w:r>
      <w:bookmarkEnd w:id="374"/>
      <w:bookmarkEnd w:id="375"/>
    </w:p>
    <w:tbl>
      <w:tblPr>
        <w:tblStyle w:val="TableGrid"/>
        <w:tblW w:w="13178" w:type="dxa"/>
        <w:tblLook w:val="04A0" w:firstRow="1" w:lastRow="0" w:firstColumn="1" w:lastColumn="0" w:noHBand="0" w:noVBand="1"/>
        <w:tblCaption w:val="Amendmenets to original Indicator set"/>
        <w:tblDescription w:val="Table displays a list of strategic prioritys, the core indicator for progress on each priority, whether the indicator was amended or not and the reason for the change."/>
      </w:tblPr>
      <w:tblGrid>
        <w:gridCol w:w="2122"/>
        <w:gridCol w:w="4536"/>
        <w:gridCol w:w="3685"/>
        <w:gridCol w:w="2835"/>
      </w:tblGrid>
      <w:tr w:rsidR="00CF68BE" w:rsidRPr="00E44373" w14:paraId="77A78C25" w14:textId="77777777" w:rsidTr="00B42243">
        <w:trPr>
          <w:tblHeader/>
        </w:trPr>
        <w:tc>
          <w:tcPr>
            <w:tcW w:w="2122" w:type="dxa"/>
            <w:shd w:val="clear" w:color="auto" w:fill="auto"/>
          </w:tcPr>
          <w:p w14:paraId="2DB61C10" w14:textId="421D7198" w:rsidR="00CF68BE" w:rsidRPr="00372D71" w:rsidRDefault="00CF68BE" w:rsidP="00433BBA">
            <w:pPr>
              <w:rPr>
                <w:b/>
                <w:sz w:val="22"/>
                <w:szCs w:val="22"/>
              </w:rPr>
            </w:pPr>
            <w:r w:rsidRPr="00372D71">
              <w:rPr>
                <w:b/>
                <w:sz w:val="22"/>
                <w:szCs w:val="22"/>
              </w:rPr>
              <w:t xml:space="preserve">Strategic </w:t>
            </w:r>
            <w:r w:rsidR="00C3227F">
              <w:rPr>
                <w:b/>
                <w:sz w:val="22"/>
                <w:szCs w:val="22"/>
              </w:rPr>
              <w:t>p</w:t>
            </w:r>
            <w:r w:rsidRPr="00372D71">
              <w:rPr>
                <w:b/>
                <w:sz w:val="22"/>
                <w:szCs w:val="22"/>
              </w:rPr>
              <w:t>riority</w:t>
            </w:r>
          </w:p>
        </w:tc>
        <w:tc>
          <w:tcPr>
            <w:tcW w:w="4536" w:type="dxa"/>
            <w:shd w:val="clear" w:color="auto" w:fill="auto"/>
          </w:tcPr>
          <w:p w14:paraId="3E5F4D75" w14:textId="523FC615" w:rsidR="00CF68BE" w:rsidRPr="00372D71" w:rsidRDefault="00CF68BE" w:rsidP="00433BBA">
            <w:pPr>
              <w:rPr>
                <w:b/>
                <w:sz w:val="22"/>
                <w:szCs w:val="22"/>
              </w:rPr>
            </w:pPr>
            <w:r w:rsidRPr="00372D71">
              <w:rPr>
                <w:b/>
                <w:sz w:val="22"/>
                <w:szCs w:val="22"/>
              </w:rPr>
              <w:t xml:space="preserve">Core </w:t>
            </w:r>
            <w:r w:rsidR="0034055B">
              <w:rPr>
                <w:b/>
                <w:sz w:val="22"/>
                <w:szCs w:val="22"/>
              </w:rPr>
              <w:t>i</w:t>
            </w:r>
            <w:r w:rsidRPr="00372D71">
              <w:rPr>
                <w:b/>
                <w:sz w:val="22"/>
                <w:szCs w:val="22"/>
              </w:rPr>
              <w:t>ndicator of progress</w:t>
            </w:r>
            <w:r w:rsidR="0034055B">
              <w:rPr>
                <w:b/>
                <w:sz w:val="22"/>
                <w:szCs w:val="22"/>
              </w:rPr>
              <w:t xml:space="preserve"> at midterm review</w:t>
            </w:r>
          </w:p>
        </w:tc>
        <w:tc>
          <w:tcPr>
            <w:tcW w:w="3685" w:type="dxa"/>
          </w:tcPr>
          <w:p w14:paraId="692B4B75" w14:textId="6A14448E" w:rsidR="00CF68BE" w:rsidRPr="00372D71" w:rsidRDefault="00CF68BE" w:rsidP="00433BBA">
            <w:pPr>
              <w:rPr>
                <w:b/>
                <w:sz w:val="22"/>
                <w:szCs w:val="22"/>
              </w:rPr>
            </w:pPr>
            <w:r w:rsidRPr="00372D71">
              <w:rPr>
                <w:b/>
                <w:sz w:val="22"/>
                <w:szCs w:val="22"/>
              </w:rPr>
              <w:t>Amended</w:t>
            </w:r>
            <w:r w:rsidR="0034055B">
              <w:rPr>
                <w:b/>
                <w:sz w:val="22"/>
                <w:szCs w:val="22"/>
              </w:rPr>
              <w:t xml:space="preserve"> since midterm report</w:t>
            </w:r>
            <w:r w:rsidRPr="00372D71">
              <w:rPr>
                <w:b/>
                <w:sz w:val="22"/>
                <w:szCs w:val="22"/>
              </w:rPr>
              <w:t>?</w:t>
            </w:r>
          </w:p>
        </w:tc>
        <w:tc>
          <w:tcPr>
            <w:tcW w:w="2835" w:type="dxa"/>
          </w:tcPr>
          <w:p w14:paraId="3CFAAC0F" w14:textId="77777777" w:rsidR="00CF68BE" w:rsidRPr="00372D71" w:rsidRDefault="00CF68BE" w:rsidP="00433BBA">
            <w:pPr>
              <w:rPr>
                <w:b/>
                <w:sz w:val="22"/>
                <w:szCs w:val="22"/>
              </w:rPr>
            </w:pPr>
            <w:r w:rsidRPr="00372D71">
              <w:rPr>
                <w:b/>
                <w:sz w:val="22"/>
                <w:szCs w:val="22"/>
              </w:rPr>
              <w:t>Reason for change</w:t>
            </w:r>
          </w:p>
        </w:tc>
      </w:tr>
      <w:tr w:rsidR="00B4745F" w:rsidRPr="00E44373" w14:paraId="4023C26B" w14:textId="77777777" w:rsidTr="00B42243">
        <w:tc>
          <w:tcPr>
            <w:tcW w:w="2122" w:type="dxa"/>
            <w:shd w:val="clear" w:color="auto" w:fill="auto"/>
          </w:tcPr>
          <w:p w14:paraId="267B6189" w14:textId="27BAF6C2" w:rsidR="00B4745F" w:rsidRPr="00A6203B" w:rsidRDefault="00B4745F" w:rsidP="00B4745F">
            <w:pPr>
              <w:rPr>
                <w:sz w:val="22"/>
                <w:szCs w:val="22"/>
              </w:rPr>
            </w:pPr>
            <w:r w:rsidRPr="00A6203B">
              <w:rPr>
                <w:sz w:val="22"/>
                <w:szCs w:val="22"/>
              </w:rPr>
              <w:t>SP1: Building skills, capacity and independence</w:t>
            </w:r>
          </w:p>
        </w:tc>
        <w:tc>
          <w:tcPr>
            <w:tcW w:w="4536" w:type="dxa"/>
            <w:shd w:val="clear" w:color="auto" w:fill="auto"/>
          </w:tcPr>
          <w:p w14:paraId="66599DC8" w14:textId="4A993C27" w:rsidR="00B4745F" w:rsidRPr="00372D71" w:rsidRDefault="00B4745F" w:rsidP="00B4745F">
            <w:pPr>
              <w:rPr>
                <w:sz w:val="22"/>
                <w:szCs w:val="22"/>
              </w:rPr>
            </w:pPr>
            <w:r w:rsidRPr="00372D71">
              <w:rPr>
                <w:sz w:val="22"/>
                <w:szCs w:val="22"/>
              </w:rPr>
              <w:t>Number of children receiving targeted pre-school support (levels 4-7 of the AIMS model)</w:t>
            </w:r>
          </w:p>
        </w:tc>
        <w:tc>
          <w:tcPr>
            <w:tcW w:w="3685" w:type="dxa"/>
          </w:tcPr>
          <w:p w14:paraId="1706F9C5" w14:textId="73A58F8A" w:rsidR="00B4745F" w:rsidRDefault="00B4745F" w:rsidP="00B4745F">
            <w:pPr>
              <w:rPr>
                <w:sz w:val="22"/>
                <w:szCs w:val="22"/>
              </w:rPr>
            </w:pPr>
            <w:r>
              <w:rPr>
                <w:sz w:val="22"/>
                <w:szCs w:val="22"/>
              </w:rPr>
              <w:t>No,</w:t>
            </w:r>
          </w:p>
        </w:tc>
        <w:tc>
          <w:tcPr>
            <w:tcW w:w="2835" w:type="dxa"/>
          </w:tcPr>
          <w:p w14:paraId="01A8B491" w14:textId="77777777" w:rsidR="00B4745F" w:rsidRDefault="00B4745F" w:rsidP="00B4745F">
            <w:pPr>
              <w:rPr>
                <w:sz w:val="22"/>
                <w:szCs w:val="22"/>
              </w:rPr>
            </w:pPr>
          </w:p>
        </w:tc>
      </w:tr>
      <w:tr w:rsidR="00B4745F" w:rsidRPr="00E44373" w14:paraId="64FA09D1" w14:textId="77777777" w:rsidTr="00B42243">
        <w:tc>
          <w:tcPr>
            <w:tcW w:w="2122" w:type="dxa"/>
            <w:shd w:val="clear" w:color="auto" w:fill="auto"/>
          </w:tcPr>
          <w:p w14:paraId="71B85954" w14:textId="77777777" w:rsidR="00B4745F" w:rsidRPr="00372D71" w:rsidRDefault="00B4745F" w:rsidP="00B4745F">
            <w:pPr>
              <w:rPr>
                <w:sz w:val="22"/>
                <w:szCs w:val="22"/>
              </w:rPr>
            </w:pPr>
            <w:r w:rsidRPr="00A6203B">
              <w:rPr>
                <w:sz w:val="22"/>
                <w:szCs w:val="22"/>
              </w:rPr>
              <w:t>SP1: Building skills, capacity and independence</w:t>
            </w:r>
          </w:p>
        </w:tc>
        <w:tc>
          <w:tcPr>
            <w:tcW w:w="4536" w:type="dxa"/>
            <w:shd w:val="clear" w:color="auto" w:fill="auto"/>
          </w:tcPr>
          <w:p w14:paraId="4847EF50" w14:textId="77777777" w:rsidR="00B4745F" w:rsidRPr="00372D71" w:rsidRDefault="00B4745F" w:rsidP="00B4745F">
            <w:pPr>
              <w:rPr>
                <w:sz w:val="22"/>
                <w:szCs w:val="22"/>
              </w:rPr>
            </w:pPr>
            <w:r w:rsidRPr="00372D71">
              <w:rPr>
                <w:sz w:val="22"/>
                <w:szCs w:val="22"/>
              </w:rPr>
              <w:t>Proportion of people with disabilities achieving each educational attainment level (primary, secondary, tertiary, FET) by disability type.</w:t>
            </w:r>
          </w:p>
        </w:tc>
        <w:tc>
          <w:tcPr>
            <w:tcW w:w="3685" w:type="dxa"/>
          </w:tcPr>
          <w:p w14:paraId="0AB4BD63" w14:textId="436959B4" w:rsidR="00B4745F" w:rsidRPr="00372D71" w:rsidRDefault="00B4745F" w:rsidP="00B4745F">
            <w:pPr>
              <w:rPr>
                <w:sz w:val="22"/>
                <w:szCs w:val="22"/>
              </w:rPr>
            </w:pPr>
            <w:r>
              <w:rPr>
                <w:sz w:val="22"/>
                <w:szCs w:val="22"/>
              </w:rPr>
              <w:t>Yes. “</w:t>
            </w:r>
            <w:r w:rsidRPr="00372D71">
              <w:rPr>
                <w:sz w:val="22"/>
                <w:szCs w:val="22"/>
              </w:rPr>
              <w:t>Proportion of people with disabilities achieving each educational attainment level</w:t>
            </w:r>
            <w:r>
              <w:rPr>
                <w:sz w:val="22"/>
                <w:szCs w:val="22"/>
              </w:rPr>
              <w:t>”</w:t>
            </w:r>
            <w:r w:rsidRPr="00372D71">
              <w:rPr>
                <w:sz w:val="22"/>
                <w:szCs w:val="22"/>
              </w:rPr>
              <w:t xml:space="preserve"> </w:t>
            </w:r>
          </w:p>
        </w:tc>
        <w:tc>
          <w:tcPr>
            <w:tcW w:w="2835" w:type="dxa"/>
          </w:tcPr>
          <w:p w14:paraId="52D232F7" w14:textId="1EF06C4B" w:rsidR="00B4745F" w:rsidRPr="00372D71" w:rsidRDefault="00B4745F" w:rsidP="00B4745F">
            <w:pPr>
              <w:rPr>
                <w:sz w:val="22"/>
                <w:szCs w:val="22"/>
              </w:rPr>
            </w:pPr>
            <w:r>
              <w:rPr>
                <w:sz w:val="22"/>
                <w:szCs w:val="22"/>
              </w:rPr>
              <w:t>Trend data by disability type not available</w:t>
            </w:r>
            <w:r w:rsidR="00260795">
              <w:rPr>
                <w:sz w:val="22"/>
                <w:szCs w:val="22"/>
              </w:rPr>
              <w:t>.</w:t>
            </w:r>
          </w:p>
        </w:tc>
      </w:tr>
      <w:tr w:rsidR="00B4745F" w:rsidRPr="00E44373" w14:paraId="111469E8" w14:textId="77777777" w:rsidTr="00B42243">
        <w:tc>
          <w:tcPr>
            <w:tcW w:w="2122" w:type="dxa"/>
            <w:shd w:val="clear" w:color="auto" w:fill="auto"/>
          </w:tcPr>
          <w:p w14:paraId="61ACEA23" w14:textId="77777777" w:rsidR="00B4745F" w:rsidRPr="00372D71" w:rsidRDefault="00B4745F" w:rsidP="00B4745F">
            <w:pPr>
              <w:rPr>
                <w:sz w:val="22"/>
                <w:szCs w:val="22"/>
              </w:rPr>
            </w:pPr>
            <w:r w:rsidRPr="00A6203B">
              <w:rPr>
                <w:sz w:val="22"/>
                <w:szCs w:val="22"/>
              </w:rPr>
              <w:t>SP1: Building skills, capacity and independence</w:t>
            </w:r>
          </w:p>
        </w:tc>
        <w:tc>
          <w:tcPr>
            <w:tcW w:w="4536" w:type="dxa"/>
            <w:shd w:val="clear" w:color="auto" w:fill="auto"/>
          </w:tcPr>
          <w:p w14:paraId="419F1E13" w14:textId="77777777" w:rsidR="00B4745F" w:rsidRPr="00372D71" w:rsidRDefault="00B4745F" w:rsidP="00B4745F">
            <w:pPr>
              <w:rPr>
                <w:sz w:val="22"/>
                <w:szCs w:val="22"/>
              </w:rPr>
            </w:pPr>
            <w:r w:rsidRPr="00372D71">
              <w:rPr>
                <w:sz w:val="22"/>
                <w:szCs w:val="22"/>
              </w:rPr>
              <w:t>Proportion of all people accessing higher education, further education and training who have a disability.</w:t>
            </w:r>
          </w:p>
        </w:tc>
        <w:tc>
          <w:tcPr>
            <w:tcW w:w="3685" w:type="dxa"/>
          </w:tcPr>
          <w:p w14:paraId="1051A52F" w14:textId="77777777" w:rsidR="00B4745F" w:rsidRPr="00372D71" w:rsidRDefault="00B4745F" w:rsidP="00B4745F">
            <w:pPr>
              <w:spacing w:after="0"/>
              <w:rPr>
                <w:sz w:val="22"/>
                <w:szCs w:val="22"/>
              </w:rPr>
            </w:pPr>
            <w:r w:rsidRPr="00372D71">
              <w:rPr>
                <w:sz w:val="22"/>
                <w:szCs w:val="22"/>
              </w:rPr>
              <w:t>N</w:t>
            </w:r>
            <w:r>
              <w:rPr>
                <w:sz w:val="22"/>
                <w:szCs w:val="22"/>
              </w:rPr>
              <w:t>o.</w:t>
            </w:r>
          </w:p>
        </w:tc>
        <w:tc>
          <w:tcPr>
            <w:tcW w:w="2835" w:type="dxa"/>
          </w:tcPr>
          <w:p w14:paraId="273AAD3B" w14:textId="77777777" w:rsidR="00B4745F" w:rsidRPr="00372D71" w:rsidRDefault="00B4745F" w:rsidP="00B4745F">
            <w:pPr>
              <w:spacing w:after="0"/>
              <w:rPr>
                <w:sz w:val="22"/>
                <w:szCs w:val="22"/>
              </w:rPr>
            </w:pPr>
          </w:p>
        </w:tc>
      </w:tr>
      <w:tr w:rsidR="00B4745F" w:rsidRPr="00E44373" w14:paraId="57EE783A" w14:textId="77777777" w:rsidTr="00B42243">
        <w:tc>
          <w:tcPr>
            <w:tcW w:w="2122" w:type="dxa"/>
            <w:shd w:val="clear" w:color="auto" w:fill="auto"/>
          </w:tcPr>
          <w:p w14:paraId="572FA8F8" w14:textId="77777777" w:rsidR="00B4745F" w:rsidRPr="00372D71" w:rsidRDefault="00B4745F" w:rsidP="00B4745F">
            <w:pPr>
              <w:rPr>
                <w:sz w:val="22"/>
                <w:szCs w:val="22"/>
              </w:rPr>
            </w:pPr>
            <w:r w:rsidRPr="00A6203B">
              <w:rPr>
                <w:sz w:val="22"/>
                <w:szCs w:val="22"/>
              </w:rPr>
              <w:t>SP1: Building skills, capacity and independence</w:t>
            </w:r>
          </w:p>
        </w:tc>
        <w:tc>
          <w:tcPr>
            <w:tcW w:w="4536" w:type="dxa"/>
            <w:shd w:val="clear" w:color="auto" w:fill="auto"/>
          </w:tcPr>
          <w:p w14:paraId="5A721B11" w14:textId="77777777" w:rsidR="00B4745F" w:rsidRPr="00372D71" w:rsidRDefault="00B4745F" w:rsidP="00B4745F">
            <w:pPr>
              <w:rPr>
                <w:sz w:val="22"/>
                <w:szCs w:val="22"/>
              </w:rPr>
            </w:pPr>
            <w:r w:rsidRPr="00372D71">
              <w:rPr>
                <w:sz w:val="22"/>
                <w:szCs w:val="22"/>
              </w:rPr>
              <w:t>Improved transition planning for children and young people with disabilities</w:t>
            </w:r>
          </w:p>
        </w:tc>
        <w:tc>
          <w:tcPr>
            <w:tcW w:w="3685" w:type="dxa"/>
          </w:tcPr>
          <w:p w14:paraId="6685475F" w14:textId="57F6FF87" w:rsidR="00B4745F" w:rsidRPr="00372D71" w:rsidRDefault="00B4745F" w:rsidP="00B4745F">
            <w:pPr>
              <w:rPr>
                <w:sz w:val="22"/>
                <w:szCs w:val="22"/>
              </w:rPr>
            </w:pPr>
            <w:r>
              <w:rPr>
                <w:sz w:val="22"/>
                <w:szCs w:val="22"/>
              </w:rPr>
              <w:t>No.</w:t>
            </w:r>
          </w:p>
        </w:tc>
        <w:tc>
          <w:tcPr>
            <w:tcW w:w="2835" w:type="dxa"/>
          </w:tcPr>
          <w:p w14:paraId="220FEC71" w14:textId="77777777" w:rsidR="00B4745F" w:rsidRPr="00372D71" w:rsidRDefault="00B4745F" w:rsidP="00B4745F">
            <w:pPr>
              <w:rPr>
                <w:sz w:val="22"/>
                <w:szCs w:val="22"/>
              </w:rPr>
            </w:pPr>
          </w:p>
        </w:tc>
      </w:tr>
      <w:tr w:rsidR="00B4745F" w:rsidRPr="00E44373" w14:paraId="00758DBE" w14:textId="77777777" w:rsidTr="00B42243">
        <w:tc>
          <w:tcPr>
            <w:tcW w:w="2122" w:type="dxa"/>
            <w:shd w:val="clear" w:color="auto" w:fill="auto"/>
          </w:tcPr>
          <w:p w14:paraId="20CC1623" w14:textId="77777777" w:rsidR="00B4745F" w:rsidRPr="00372D71" w:rsidRDefault="00B4745F" w:rsidP="00B4745F">
            <w:pPr>
              <w:rPr>
                <w:sz w:val="22"/>
                <w:szCs w:val="22"/>
              </w:rPr>
            </w:pPr>
            <w:r w:rsidRPr="009F34C6">
              <w:rPr>
                <w:sz w:val="22"/>
                <w:szCs w:val="22"/>
              </w:rPr>
              <w:t>SP1: Building skills, capacity and independence</w:t>
            </w:r>
          </w:p>
        </w:tc>
        <w:tc>
          <w:tcPr>
            <w:tcW w:w="4536" w:type="dxa"/>
            <w:shd w:val="clear" w:color="auto" w:fill="auto"/>
          </w:tcPr>
          <w:p w14:paraId="5079EDA4" w14:textId="6BD55172" w:rsidR="00B4745F" w:rsidRPr="00372D71" w:rsidRDefault="00B4745F" w:rsidP="00B4745F">
            <w:pPr>
              <w:rPr>
                <w:sz w:val="22"/>
                <w:szCs w:val="22"/>
              </w:rPr>
            </w:pPr>
            <w:r w:rsidRPr="00372D71">
              <w:rPr>
                <w:sz w:val="22"/>
                <w:szCs w:val="22"/>
              </w:rPr>
              <w:t xml:space="preserve">Destination of persons existing Rehabilitative Training </w:t>
            </w:r>
          </w:p>
        </w:tc>
        <w:tc>
          <w:tcPr>
            <w:tcW w:w="3685" w:type="dxa"/>
          </w:tcPr>
          <w:p w14:paraId="709E9DDE" w14:textId="77777777" w:rsidR="00B4745F" w:rsidRPr="00372D71" w:rsidRDefault="00B4745F" w:rsidP="00B4745F">
            <w:pPr>
              <w:spacing w:after="0"/>
              <w:rPr>
                <w:sz w:val="22"/>
                <w:szCs w:val="22"/>
              </w:rPr>
            </w:pPr>
            <w:r w:rsidRPr="00372D71">
              <w:rPr>
                <w:sz w:val="22"/>
                <w:szCs w:val="22"/>
              </w:rPr>
              <w:t>N</w:t>
            </w:r>
            <w:r>
              <w:rPr>
                <w:sz w:val="22"/>
                <w:szCs w:val="22"/>
              </w:rPr>
              <w:t>o.</w:t>
            </w:r>
          </w:p>
        </w:tc>
        <w:tc>
          <w:tcPr>
            <w:tcW w:w="2835" w:type="dxa"/>
          </w:tcPr>
          <w:p w14:paraId="101B4011" w14:textId="77777777" w:rsidR="00B4745F" w:rsidRPr="00372D71" w:rsidRDefault="00B4745F" w:rsidP="00B4745F">
            <w:pPr>
              <w:spacing w:after="0"/>
              <w:rPr>
                <w:sz w:val="22"/>
                <w:szCs w:val="22"/>
              </w:rPr>
            </w:pPr>
          </w:p>
        </w:tc>
      </w:tr>
      <w:tr w:rsidR="00B4745F" w:rsidRPr="00E44373" w14:paraId="5195122A" w14:textId="77777777" w:rsidTr="00B42243">
        <w:tc>
          <w:tcPr>
            <w:tcW w:w="2122" w:type="dxa"/>
            <w:shd w:val="clear" w:color="auto" w:fill="auto"/>
          </w:tcPr>
          <w:p w14:paraId="38CB6307" w14:textId="77777777" w:rsidR="00B4745F" w:rsidRPr="00372D71" w:rsidRDefault="00B4745F" w:rsidP="00B4745F">
            <w:pPr>
              <w:rPr>
                <w:sz w:val="22"/>
                <w:szCs w:val="22"/>
              </w:rPr>
            </w:pPr>
            <w:r w:rsidRPr="009F34C6">
              <w:rPr>
                <w:sz w:val="22"/>
                <w:szCs w:val="22"/>
              </w:rPr>
              <w:t>SP1: Building skills, capacity and independence</w:t>
            </w:r>
          </w:p>
        </w:tc>
        <w:tc>
          <w:tcPr>
            <w:tcW w:w="4536" w:type="dxa"/>
            <w:shd w:val="clear" w:color="auto" w:fill="auto"/>
          </w:tcPr>
          <w:p w14:paraId="6DA2D570" w14:textId="5061F835" w:rsidR="00B4745F" w:rsidRPr="0082248A" w:rsidRDefault="0082248A" w:rsidP="00B4745F">
            <w:pPr>
              <w:rPr>
                <w:sz w:val="22"/>
                <w:szCs w:val="22"/>
              </w:rPr>
            </w:pPr>
            <w:r w:rsidRPr="0082248A">
              <w:rPr>
                <w:iCs/>
                <w:sz w:val="22"/>
                <w:szCs w:val="22"/>
              </w:rPr>
              <w:t>Proportion of Disability Allowance recipients aged 16-19</w:t>
            </w:r>
          </w:p>
        </w:tc>
        <w:tc>
          <w:tcPr>
            <w:tcW w:w="3685" w:type="dxa"/>
          </w:tcPr>
          <w:p w14:paraId="1AE32373" w14:textId="6A2A3410" w:rsidR="00B4745F" w:rsidRPr="00372D71" w:rsidRDefault="00B4745F" w:rsidP="00B4745F">
            <w:pPr>
              <w:spacing w:after="0"/>
              <w:rPr>
                <w:sz w:val="22"/>
                <w:szCs w:val="22"/>
              </w:rPr>
            </w:pPr>
            <w:r>
              <w:rPr>
                <w:sz w:val="22"/>
                <w:szCs w:val="22"/>
              </w:rPr>
              <w:t>No.</w:t>
            </w:r>
          </w:p>
        </w:tc>
        <w:tc>
          <w:tcPr>
            <w:tcW w:w="2835" w:type="dxa"/>
          </w:tcPr>
          <w:p w14:paraId="16D3ACB3" w14:textId="4823009A" w:rsidR="00B4745F" w:rsidRPr="00372D71" w:rsidRDefault="00B4745F" w:rsidP="00B4745F">
            <w:pPr>
              <w:spacing w:after="0"/>
              <w:rPr>
                <w:sz w:val="22"/>
                <w:szCs w:val="22"/>
              </w:rPr>
            </w:pPr>
          </w:p>
        </w:tc>
      </w:tr>
      <w:tr w:rsidR="00FD5C59" w:rsidRPr="00E44373" w14:paraId="2CF08037" w14:textId="77777777" w:rsidTr="00B42243">
        <w:tc>
          <w:tcPr>
            <w:tcW w:w="2122" w:type="dxa"/>
            <w:shd w:val="clear" w:color="auto" w:fill="auto"/>
          </w:tcPr>
          <w:p w14:paraId="3876AFA0" w14:textId="7D4CBC76" w:rsidR="00FD5C59" w:rsidRPr="009F34C6" w:rsidRDefault="00FD5C59" w:rsidP="00B4745F">
            <w:pPr>
              <w:rPr>
                <w:sz w:val="22"/>
                <w:szCs w:val="22"/>
              </w:rPr>
            </w:pPr>
            <w:r>
              <w:rPr>
                <w:sz w:val="22"/>
                <w:szCs w:val="22"/>
              </w:rPr>
              <w:t>SP1: Building skills, capacity and independence</w:t>
            </w:r>
          </w:p>
        </w:tc>
        <w:tc>
          <w:tcPr>
            <w:tcW w:w="4536" w:type="dxa"/>
            <w:shd w:val="clear" w:color="auto" w:fill="auto"/>
          </w:tcPr>
          <w:p w14:paraId="3C3C4CF7" w14:textId="7F9B39D6" w:rsidR="00FD5C59" w:rsidRPr="0082248A" w:rsidRDefault="00FD5C59" w:rsidP="00B4745F">
            <w:pPr>
              <w:rPr>
                <w:iCs/>
                <w:sz w:val="22"/>
                <w:szCs w:val="22"/>
              </w:rPr>
            </w:pPr>
            <w:r>
              <w:rPr>
                <w:iCs/>
                <w:sz w:val="22"/>
                <w:szCs w:val="22"/>
              </w:rPr>
              <w:t>Numbers of Back to Education Allowance recipients with disabilities.</w:t>
            </w:r>
          </w:p>
        </w:tc>
        <w:tc>
          <w:tcPr>
            <w:tcW w:w="3685" w:type="dxa"/>
          </w:tcPr>
          <w:p w14:paraId="70617047" w14:textId="0EA8D9CE" w:rsidR="00FD5C59" w:rsidRDefault="00FD5C59" w:rsidP="00B4745F">
            <w:pPr>
              <w:spacing w:after="0"/>
              <w:rPr>
                <w:sz w:val="22"/>
                <w:szCs w:val="22"/>
              </w:rPr>
            </w:pPr>
            <w:r>
              <w:rPr>
                <w:sz w:val="22"/>
                <w:szCs w:val="22"/>
              </w:rPr>
              <w:t>No.</w:t>
            </w:r>
          </w:p>
        </w:tc>
        <w:tc>
          <w:tcPr>
            <w:tcW w:w="2835" w:type="dxa"/>
          </w:tcPr>
          <w:p w14:paraId="651D37BF" w14:textId="77777777" w:rsidR="00FD5C59" w:rsidRPr="00372D71" w:rsidRDefault="00FD5C59" w:rsidP="00B4745F">
            <w:pPr>
              <w:spacing w:after="0"/>
              <w:rPr>
                <w:sz w:val="22"/>
                <w:szCs w:val="22"/>
              </w:rPr>
            </w:pPr>
          </w:p>
        </w:tc>
      </w:tr>
      <w:tr w:rsidR="00FD5C59" w:rsidRPr="00E44373" w14:paraId="105B7E35" w14:textId="77777777" w:rsidTr="00B42243">
        <w:tc>
          <w:tcPr>
            <w:tcW w:w="2122" w:type="dxa"/>
            <w:shd w:val="clear" w:color="auto" w:fill="auto"/>
          </w:tcPr>
          <w:p w14:paraId="161FB8CE" w14:textId="6267C616" w:rsidR="00FD5C59" w:rsidRPr="009F34C6" w:rsidRDefault="00FD5C59" w:rsidP="00B4745F">
            <w:pPr>
              <w:rPr>
                <w:sz w:val="22"/>
                <w:szCs w:val="22"/>
              </w:rPr>
            </w:pPr>
            <w:r>
              <w:rPr>
                <w:sz w:val="22"/>
                <w:szCs w:val="22"/>
              </w:rPr>
              <w:t>SP1: Building skills, capacity and independence</w:t>
            </w:r>
          </w:p>
        </w:tc>
        <w:tc>
          <w:tcPr>
            <w:tcW w:w="4536" w:type="dxa"/>
            <w:shd w:val="clear" w:color="auto" w:fill="auto"/>
          </w:tcPr>
          <w:p w14:paraId="5A017BB2" w14:textId="24083665" w:rsidR="00FD5C59" w:rsidRPr="0082248A" w:rsidRDefault="00FD5C59" w:rsidP="00B4745F">
            <w:pPr>
              <w:rPr>
                <w:iCs/>
                <w:sz w:val="22"/>
                <w:szCs w:val="22"/>
              </w:rPr>
            </w:pPr>
            <w:r w:rsidRPr="00FD5C59">
              <w:rPr>
                <w:iCs/>
                <w:sz w:val="22"/>
                <w:szCs w:val="22"/>
              </w:rPr>
              <w:t>The proportion of persons with disabilities who are early school leavers compared to persons without disabilities</w:t>
            </w:r>
          </w:p>
        </w:tc>
        <w:tc>
          <w:tcPr>
            <w:tcW w:w="3685" w:type="dxa"/>
          </w:tcPr>
          <w:p w14:paraId="05F332BC" w14:textId="31FBD7EB" w:rsidR="00FD5C59" w:rsidRDefault="00260795" w:rsidP="00B4745F">
            <w:pPr>
              <w:spacing w:after="0"/>
              <w:rPr>
                <w:sz w:val="22"/>
                <w:szCs w:val="22"/>
              </w:rPr>
            </w:pPr>
            <w:r>
              <w:rPr>
                <w:sz w:val="22"/>
                <w:szCs w:val="22"/>
              </w:rPr>
              <w:t>No. The indicator has been retained although it has not been possible to provide updated information on trends.</w:t>
            </w:r>
          </w:p>
        </w:tc>
        <w:tc>
          <w:tcPr>
            <w:tcW w:w="2835" w:type="dxa"/>
          </w:tcPr>
          <w:p w14:paraId="5DEE0C52" w14:textId="77777777" w:rsidR="00FD5C59" w:rsidRPr="00372D71" w:rsidRDefault="00FD5C59" w:rsidP="00B4745F">
            <w:pPr>
              <w:spacing w:after="0"/>
              <w:rPr>
                <w:sz w:val="22"/>
                <w:szCs w:val="22"/>
              </w:rPr>
            </w:pPr>
          </w:p>
        </w:tc>
      </w:tr>
      <w:tr w:rsidR="00B4745F" w:rsidRPr="00E44373" w14:paraId="6250A1E0" w14:textId="77777777" w:rsidTr="00B42243">
        <w:tc>
          <w:tcPr>
            <w:tcW w:w="2122" w:type="dxa"/>
            <w:shd w:val="clear" w:color="auto" w:fill="auto"/>
          </w:tcPr>
          <w:p w14:paraId="5EE6A581" w14:textId="77777777" w:rsidR="00B4745F" w:rsidRPr="00372D71" w:rsidRDefault="00B4745F" w:rsidP="00B4745F">
            <w:pPr>
              <w:rPr>
                <w:sz w:val="22"/>
                <w:szCs w:val="22"/>
              </w:rPr>
            </w:pPr>
            <w:r w:rsidRPr="00372D71">
              <w:rPr>
                <w:sz w:val="22"/>
                <w:szCs w:val="22"/>
              </w:rPr>
              <w:t>SP2: Provide bridges and supports into work</w:t>
            </w:r>
          </w:p>
        </w:tc>
        <w:tc>
          <w:tcPr>
            <w:tcW w:w="4536" w:type="dxa"/>
            <w:shd w:val="clear" w:color="auto" w:fill="auto"/>
          </w:tcPr>
          <w:p w14:paraId="5168344F" w14:textId="38E33E6E" w:rsidR="00B4745F" w:rsidRPr="00372D71" w:rsidRDefault="00B4745F" w:rsidP="00B4745F">
            <w:pPr>
              <w:rPr>
                <w:sz w:val="22"/>
                <w:szCs w:val="22"/>
              </w:rPr>
            </w:pPr>
            <w:r>
              <w:rPr>
                <w:sz w:val="22"/>
                <w:szCs w:val="22"/>
              </w:rPr>
              <w:t>Number</w:t>
            </w:r>
            <w:r w:rsidRPr="00372D71">
              <w:rPr>
                <w:sz w:val="22"/>
                <w:szCs w:val="22"/>
              </w:rPr>
              <w:t xml:space="preserve"> of persons with disabilities in sheltered work</w:t>
            </w:r>
          </w:p>
        </w:tc>
        <w:tc>
          <w:tcPr>
            <w:tcW w:w="3685" w:type="dxa"/>
          </w:tcPr>
          <w:p w14:paraId="25AB8A80" w14:textId="263F45DE" w:rsidR="00B4745F" w:rsidRPr="00372D71" w:rsidRDefault="00B4745F" w:rsidP="00B4745F">
            <w:pPr>
              <w:rPr>
                <w:sz w:val="22"/>
                <w:szCs w:val="22"/>
              </w:rPr>
            </w:pPr>
            <w:r w:rsidRPr="00372D71">
              <w:rPr>
                <w:sz w:val="22"/>
                <w:szCs w:val="22"/>
              </w:rPr>
              <w:t>Yes</w:t>
            </w:r>
            <w:r>
              <w:rPr>
                <w:sz w:val="22"/>
                <w:szCs w:val="22"/>
              </w:rPr>
              <w:t xml:space="preserve">. </w:t>
            </w:r>
            <w:r w:rsidR="00260795">
              <w:rPr>
                <w:sz w:val="22"/>
                <w:szCs w:val="22"/>
              </w:rPr>
              <w:t>Removed.</w:t>
            </w:r>
          </w:p>
        </w:tc>
        <w:tc>
          <w:tcPr>
            <w:tcW w:w="2835" w:type="dxa"/>
          </w:tcPr>
          <w:p w14:paraId="40ED1522" w14:textId="19FA528E" w:rsidR="00B4745F" w:rsidRPr="00372D71" w:rsidRDefault="00FD5C59" w:rsidP="00B4745F">
            <w:pPr>
              <w:rPr>
                <w:sz w:val="22"/>
                <w:szCs w:val="22"/>
              </w:rPr>
            </w:pPr>
            <w:r>
              <w:rPr>
                <w:sz w:val="22"/>
                <w:szCs w:val="22"/>
              </w:rPr>
              <w:t xml:space="preserve">Ireland has shifted away from </w:t>
            </w:r>
            <w:bookmarkStart w:id="376" w:name="_Hlk181888815"/>
            <w:r>
              <w:rPr>
                <w:sz w:val="22"/>
                <w:szCs w:val="22"/>
              </w:rPr>
              <w:t xml:space="preserve">segregated employment in sheltered workshops towards employment models more in line with the UNCRPD. </w:t>
            </w:r>
            <w:bookmarkEnd w:id="376"/>
          </w:p>
        </w:tc>
      </w:tr>
      <w:tr w:rsidR="00B4745F" w:rsidRPr="00E44373" w14:paraId="5DA15257" w14:textId="77777777" w:rsidTr="00B42243">
        <w:tc>
          <w:tcPr>
            <w:tcW w:w="2122" w:type="dxa"/>
            <w:shd w:val="clear" w:color="auto" w:fill="auto"/>
          </w:tcPr>
          <w:p w14:paraId="4A5EF720" w14:textId="77777777" w:rsidR="00B4745F" w:rsidRPr="00372D71" w:rsidRDefault="00B4745F" w:rsidP="00B4745F">
            <w:pPr>
              <w:rPr>
                <w:sz w:val="22"/>
                <w:szCs w:val="22"/>
              </w:rPr>
            </w:pPr>
            <w:r w:rsidRPr="00372D71">
              <w:rPr>
                <w:sz w:val="22"/>
                <w:szCs w:val="22"/>
              </w:rPr>
              <w:t>SP2: Provide bridges and supports into work</w:t>
            </w:r>
          </w:p>
        </w:tc>
        <w:tc>
          <w:tcPr>
            <w:tcW w:w="4536" w:type="dxa"/>
            <w:shd w:val="clear" w:color="auto" w:fill="auto"/>
          </w:tcPr>
          <w:p w14:paraId="383B5DEB" w14:textId="4302BB10" w:rsidR="00B4745F" w:rsidRPr="00372D71" w:rsidRDefault="00B4745F" w:rsidP="00B4745F">
            <w:pPr>
              <w:rPr>
                <w:sz w:val="22"/>
                <w:szCs w:val="22"/>
              </w:rPr>
            </w:pPr>
            <w:r w:rsidRPr="00372D71">
              <w:rPr>
                <w:sz w:val="22"/>
                <w:szCs w:val="22"/>
              </w:rPr>
              <w:t>N</w:t>
            </w:r>
            <w:r w:rsidR="00FD5C59">
              <w:rPr>
                <w:sz w:val="22"/>
                <w:szCs w:val="22"/>
              </w:rPr>
              <w:t xml:space="preserve">umbers </w:t>
            </w:r>
            <w:r w:rsidRPr="00372D71">
              <w:rPr>
                <w:sz w:val="22"/>
                <w:szCs w:val="22"/>
              </w:rPr>
              <w:t>of persons with disabilities in:</w:t>
            </w:r>
          </w:p>
          <w:p w14:paraId="588ECB4C" w14:textId="77777777" w:rsidR="00B4745F" w:rsidRPr="00372D71" w:rsidRDefault="00B4745F" w:rsidP="00FD0C3F">
            <w:pPr>
              <w:numPr>
                <w:ilvl w:val="0"/>
                <w:numId w:val="18"/>
              </w:numPr>
              <w:spacing w:after="200" w:line="276" w:lineRule="auto"/>
              <w:contextualSpacing/>
              <w:rPr>
                <w:rFonts w:eastAsiaTheme="minorHAnsi" w:cstheme="minorBidi"/>
                <w:sz w:val="22"/>
                <w:szCs w:val="22"/>
              </w:rPr>
            </w:pPr>
            <w:r w:rsidRPr="00372D71">
              <w:rPr>
                <w:rFonts w:eastAsiaTheme="minorHAnsi" w:cstheme="minorBidi"/>
                <w:sz w:val="22"/>
                <w:szCs w:val="22"/>
              </w:rPr>
              <w:t>Work-placements</w:t>
            </w:r>
          </w:p>
          <w:p w14:paraId="791A1506" w14:textId="77777777" w:rsidR="00B4745F" w:rsidRDefault="00B4745F" w:rsidP="00FD0C3F">
            <w:pPr>
              <w:numPr>
                <w:ilvl w:val="0"/>
                <w:numId w:val="18"/>
              </w:numPr>
              <w:spacing w:after="200" w:line="276" w:lineRule="auto"/>
              <w:contextualSpacing/>
              <w:rPr>
                <w:rFonts w:eastAsiaTheme="minorHAnsi" w:cstheme="minorBidi"/>
                <w:sz w:val="22"/>
                <w:szCs w:val="22"/>
              </w:rPr>
            </w:pPr>
            <w:r w:rsidRPr="00372D71">
              <w:rPr>
                <w:rFonts w:eastAsiaTheme="minorHAnsi" w:cstheme="minorBidi"/>
                <w:sz w:val="22"/>
                <w:szCs w:val="22"/>
              </w:rPr>
              <w:t>Internships</w:t>
            </w:r>
          </w:p>
          <w:p w14:paraId="75BA9E1C" w14:textId="48C1FB62" w:rsidR="00FD5C59" w:rsidRPr="00372D71" w:rsidRDefault="00FD5C59" w:rsidP="00FD0C3F">
            <w:pPr>
              <w:numPr>
                <w:ilvl w:val="0"/>
                <w:numId w:val="18"/>
              </w:numPr>
              <w:spacing w:after="200" w:line="276" w:lineRule="auto"/>
              <w:contextualSpacing/>
              <w:rPr>
                <w:rFonts w:eastAsiaTheme="minorHAnsi" w:cstheme="minorBidi"/>
                <w:sz w:val="22"/>
                <w:szCs w:val="22"/>
              </w:rPr>
            </w:pPr>
            <w:r>
              <w:rPr>
                <w:rFonts w:eastAsiaTheme="minorHAnsi" w:cstheme="minorBidi"/>
                <w:sz w:val="22"/>
                <w:szCs w:val="22"/>
              </w:rPr>
              <w:t>Work learning programmes</w:t>
            </w:r>
          </w:p>
          <w:p w14:paraId="78A56F07" w14:textId="77777777" w:rsidR="00B4745F" w:rsidRPr="00372D71" w:rsidRDefault="00B4745F" w:rsidP="00FD0C3F">
            <w:pPr>
              <w:numPr>
                <w:ilvl w:val="0"/>
                <w:numId w:val="18"/>
              </w:numPr>
              <w:spacing w:after="200" w:line="276" w:lineRule="auto"/>
              <w:contextualSpacing/>
              <w:rPr>
                <w:rFonts w:eastAsiaTheme="minorHAnsi" w:cstheme="minorBidi"/>
                <w:sz w:val="22"/>
                <w:szCs w:val="22"/>
              </w:rPr>
            </w:pPr>
            <w:r w:rsidRPr="00372D71">
              <w:rPr>
                <w:rFonts w:eastAsiaTheme="minorHAnsi" w:cstheme="minorBidi"/>
                <w:sz w:val="22"/>
                <w:szCs w:val="22"/>
              </w:rPr>
              <w:t>Apprenticeships</w:t>
            </w:r>
          </w:p>
        </w:tc>
        <w:tc>
          <w:tcPr>
            <w:tcW w:w="3685" w:type="dxa"/>
          </w:tcPr>
          <w:p w14:paraId="7DA15673" w14:textId="432BCE3E" w:rsidR="00B4745F" w:rsidRPr="00372D71" w:rsidRDefault="00B4745F" w:rsidP="00B4745F">
            <w:pPr>
              <w:rPr>
                <w:sz w:val="22"/>
                <w:szCs w:val="22"/>
              </w:rPr>
            </w:pPr>
            <w:r>
              <w:rPr>
                <w:sz w:val="22"/>
                <w:szCs w:val="22"/>
              </w:rPr>
              <w:t>No.</w:t>
            </w:r>
          </w:p>
        </w:tc>
        <w:tc>
          <w:tcPr>
            <w:tcW w:w="2835" w:type="dxa"/>
          </w:tcPr>
          <w:p w14:paraId="317E842C" w14:textId="6E8D7E92" w:rsidR="00B4745F" w:rsidRPr="00372D71" w:rsidRDefault="00B4745F" w:rsidP="00B4745F">
            <w:pPr>
              <w:rPr>
                <w:sz w:val="22"/>
                <w:szCs w:val="22"/>
              </w:rPr>
            </w:pPr>
          </w:p>
        </w:tc>
      </w:tr>
      <w:tr w:rsidR="00B4745F" w:rsidRPr="00E44373" w14:paraId="531C39AB" w14:textId="77777777" w:rsidTr="00B42243">
        <w:tc>
          <w:tcPr>
            <w:tcW w:w="2122" w:type="dxa"/>
            <w:shd w:val="clear" w:color="auto" w:fill="auto"/>
          </w:tcPr>
          <w:p w14:paraId="10E0C2F4" w14:textId="77777777" w:rsidR="00B4745F" w:rsidRPr="00260414" w:rsidRDefault="00B4745F" w:rsidP="00B4745F">
            <w:pPr>
              <w:rPr>
                <w:sz w:val="22"/>
                <w:szCs w:val="22"/>
              </w:rPr>
            </w:pPr>
            <w:r w:rsidRPr="00260414">
              <w:rPr>
                <w:sz w:val="22"/>
                <w:szCs w:val="22"/>
              </w:rPr>
              <w:t>SP2: Provide bridges and supports into work</w:t>
            </w:r>
          </w:p>
        </w:tc>
        <w:tc>
          <w:tcPr>
            <w:tcW w:w="4536" w:type="dxa"/>
            <w:shd w:val="clear" w:color="auto" w:fill="auto"/>
          </w:tcPr>
          <w:p w14:paraId="19A3BAF9" w14:textId="401A40A1" w:rsidR="00B4745F" w:rsidRPr="00BF2A6C" w:rsidRDefault="00B011E1" w:rsidP="00B4745F">
            <w:pPr>
              <w:rPr>
                <w:sz w:val="22"/>
                <w:szCs w:val="22"/>
              </w:rPr>
            </w:pPr>
            <w:r>
              <w:rPr>
                <w:sz w:val="22"/>
                <w:szCs w:val="22"/>
              </w:rPr>
              <w:t>Number</w:t>
            </w:r>
            <w:r w:rsidR="00B4745F" w:rsidRPr="00BF2A6C">
              <w:rPr>
                <w:sz w:val="22"/>
                <w:szCs w:val="22"/>
              </w:rPr>
              <w:t xml:space="preserve"> of persons with disabilities in receipt of case management services through Intreo and broader public employment service</w:t>
            </w:r>
          </w:p>
        </w:tc>
        <w:tc>
          <w:tcPr>
            <w:tcW w:w="3685" w:type="dxa"/>
          </w:tcPr>
          <w:p w14:paraId="39489C01" w14:textId="1F916D27" w:rsidR="00B4745F" w:rsidRPr="00BF2A6C" w:rsidRDefault="00260795" w:rsidP="00B4745F">
            <w:pPr>
              <w:rPr>
                <w:sz w:val="22"/>
                <w:szCs w:val="22"/>
              </w:rPr>
            </w:pPr>
            <w:r>
              <w:rPr>
                <w:sz w:val="22"/>
                <w:szCs w:val="22"/>
              </w:rPr>
              <w:t>Yes. Removed.</w:t>
            </w:r>
          </w:p>
        </w:tc>
        <w:tc>
          <w:tcPr>
            <w:tcW w:w="2835" w:type="dxa"/>
          </w:tcPr>
          <w:p w14:paraId="31959906" w14:textId="661ADB5F" w:rsidR="00B4745F" w:rsidRPr="00372D71" w:rsidRDefault="00B4745F" w:rsidP="00B4745F">
            <w:pPr>
              <w:rPr>
                <w:sz w:val="22"/>
                <w:szCs w:val="22"/>
              </w:rPr>
            </w:pPr>
            <w:r>
              <w:rPr>
                <w:sz w:val="22"/>
                <w:szCs w:val="22"/>
              </w:rPr>
              <w:t>No data available.</w:t>
            </w:r>
          </w:p>
        </w:tc>
      </w:tr>
      <w:tr w:rsidR="00B011E1" w:rsidRPr="00E44373" w14:paraId="759572BC" w14:textId="77777777" w:rsidTr="00B42243">
        <w:tc>
          <w:tcPr>
            <w:tcW w:w="2122" w:type="dxa"/>
            <w:shd w:val="clear" w:color="auto" w:fill="auto"/>
          </w:tcPr>
          <w:p w14:paraId="6D2CF461" w14:textId="0FA39C5C" w:rsidR="00B011E1" w:rsidRPr="00260414" w:rsidRDefault="00B011E1" w:rsidP="00B4745F">
            <w:pPr>
              <w:rPr>
                <w:sz w:val="22"/>
                <w:szCs w:val="22"/>
              </w:rPr>
            </w:pPr>
            <w:r w:rsidRPr="00260414">
              <w:rPr>
                <w:sz w:val="22"/>
                <w:szCs w:val="22"/>
              </w:rPr>
              <w:t>SP2: Provide bridges and supports into work</w:t>
            </w:r>
          </w:p>
        </w:tc>
        <w:tc>
          <w:tcPr>
            <w:tcW w:w="4536" w:type="dxa"/>
            <w:shd w:val="clear" w:color="auto" w:fill="auto"/>
          </w:tcPr>
          <w:p w14:paraId="70A80CFE" w14:textId="62B92D25" w:rsidR="00B011E1" w:rsidRDefault="00B011E1" w:rsidP="00B4745F">
            <w:pPr>
              <w:rPr>
                <w:sz w:val="22"/>
                <w:szCs w:val="22"/>
              </w:rPr>
            </w:pPr>
            <w:r w:rsidRPr="00372D71">
              <w:rPr>
                <w:sz w:val="22"/>
                <w:szCs w:val="22"/>
              </w:rPr>
              <w:t>Proportion of EmployAbility participants exiting into employment</w:t>
            </w:r>
          </w:p>
        </w:tc>
        <w:tc>
          <w:tcPr>
            <w:tcW w:w="3685" w:type="dxa"/>
          </w:tcPr>
          <w:p w14:paraId="7A0771DE" w14:textId="1722580E" w:rsidR="00B011E1" w:rsidRDefault="00B011E1" w:rsidP="00B4745F">
            <w:pPr>
              <w:rPr>
                <w:sz w:val="22"/>
                <w:szCs w:val="22"/>
              </w:rPr>
            </w:pPr>
            <w:r>
              <w:rPr>
                <w:sz w:val="22"/>
                <w:szCs w:val="22"/>
              </w:rPr>
              <w:t>No.</w:t>
            </w:r>
          </w:p>
        </w:tc>
        <w:tc>
          <w:tcPr>
            <w:tcW w:w="2835" w:type="dxa"/>
          </w:tcPr>
          <w:p w14:paraId="0AA84CC2" w14:textId="77777777" w:rsidR="00B011E1" w:rsidRDefault="00B011E1" w:rsidP="00B4745F">
            <w:pPr>
              <w:rPr>
                <w:sz w:val="22"/>
                <w:szCs w:val="22"/>
              </w:rPr>
            </w:pPr>
          </w:p>
        </w:tc>
      </w:tr>
      <w:tr w:rsidR="00B011E1" w:rsidRPr="00E44373" w14:paraId="24C8B8EA" w14:textId="77777777" w:rsidTr="00B42243">
        <w:tc>
          <w:tcPr>
            <w:tcW w:w="2122" w:type="dxa"/>
            <w:shd w:val="clear" w:color="auto" w:fill="auto"/>
          </w:tcPr>
          <w:p w14:paraId="62F4D738" w14:textId="3B087C16" w:rsidR="00B011E1" w:rsidRPr="00372D71" w:rsidRDefault="00B011E1" w:rsidP="00B4745F">
            <w:pPr>
              <w:rPr>
                <w:sz w:val="22"/>
                <w:szCs w:val="22"/>
              </w:rPr>
            </w:pPr>
            <w:r w:rsidRPr="00372D71">
              <w:rPr>
                <w:sz w:val="22"/>
                <w:szCs w:val="22"/>
              </w:rPr>
              <w:t>SP2: Provide bridges and supports into work</w:t>
            </w:r>
          </w:p>
        </w:tc>
        <w:tc>
          <w:tcPr>
            <w:tcW w:w="4536" w:type="dxa"/>
            <w:shd w:val="clear" w:color="auto" w:fill="auto"/>
          </w:tcPr>
          <w:p w14:paraId="65F1797A" w14:textId="414CE352" w:rsidR="00B011E1" w:rsidRPr="00A07EDB" w:rsidRDefault="00B011E1" w:rsidP="00B4745F">
            <w:pPr>
              <w:rPr>
                <w:sz w:val="22"/>
                <w:szCs w:val="22"/>
              </w:rPr>
            </w:pPr>
            <w:r>
              <w:rPr>
                <w:sz w:val="22"/>
                <w:szCs w:val="22"/>
              </w:rPr>
              <w:t>Number of persons with mental health difficulties benefiting from IPS model of supported employment</w:t>
            </w:r>
          </w:p>
        </w:tc>
        <w:tc>
          <w:tcPr>
            <w:tcW w:w="3685" w:type="dxa"/>
          </w:tcPr>
          <w:p w14:paraId="7BCE1A01" w14:textId="553752BF" w:rsidR="00B011E1" w:rsidRDefault="00B011E1" w:rsidP="00B4745F">
            <w:pPr>
              <w:rPr>
                <w:sz w:val="22"/>
                <w:szCs w:val="22"/>
              </w:rPr>
            </w:pPr>
            <w:r>
              <w:rPr>
                <w:sz w:val="22"/>
                <w:szCs w:val="22"/>
              </w:rPr>
              <w:t>Yes. Wording amended to: “Number of persons with mental health difficulties receiving support under the IPS model of supported employment”</w:t>
            </w:r>
          </w:p>
        </w:tc>
        <w:tc>
          <w:tcPr>
            <w:tcW w:w="2835" w:type="dxa"/>
          </w:tcPr>
          <w:p w14:paraId="2CC88CA7" w14:textId="4D380BED" w:rsidR="00B011E1" w:rsidRDefault="00260795" w:rsidP="00B4745F">
            <w:pPr>
              <w:rPr>
                <w:sz w:val="22"/>
                <w:szCs w:val="22"/>
              </w:rPr>
            </w:pPr>
            <w:r>
              <w:rPr>
                <w:sz w:val="22"/>
                <w:szCs w:val="22"/>
              </w:rPr>
              <w:t>Rephrased to better capture the data available (numbers receiving support rather than numbers benefitting).</w:t>
            </w:r>
          </w:p>
        </w:tc>
      </w:tr>
      <w:tr w:rsidR="00B4745F" w:rsidRPr="00E44373" w14:paraId="719EF1C8" w14:textId="77777777" w:rsidTr="00B42243">
        <w:tc>
          <w:tcPr>
            <w:tcW w:w="2122" w:type="dxa"/>
            <w:shd w:val="clear" w:color="auto" w:fill="auto"/>
          </w:tcPr>
          <w:p w14:paraId="7CDD41B0" w14:textId="77777777" w:rsidR="00B4745F" w:rsidRPr="00372D71" w:rsidRDefault="00B4745F" w:rsidP="00B4745F">
            <w:pPr>
              <w:rPr>
                <w:sz w:val="22"/>
                <w:szCs w:val="22"/>
              </w:rPr>
            </w:pPr>
            <w:r w:rsidRPr="00372D71">
              <w:rPr>
                <w:sz w:val="22"/>
                <w:szCs w:val="22"/>
              </w:rPr>
              <w:t>SP2: Provide bridges and supports into work</w:t>
            </w:r>
          </w:p>
        </w:tc>
        <w:tc>
          <w:tcPr>
            <w:tcW w:w="4536" w:type="dxa"/>
            <w:shd w:val="clear" w:color="auto" w:fill="auto"/>
          </w:tcPr>
          <w:p w14:paraId="4F2E04B5" w14:textId="2A2FA772" w:rsidR="00B4745F" w:rsidRPr="00372D71" w:rsidRDefault="00B4745F" w:rsidP="00B4745F">
            <w:pPr>
              <w:rPr>
                <w:sz w:val="22"/>
                <w:szCs w:val="22"/>
              </w:rPr>
            </w:pPr>
            <w:r w:rsidRPr="00A07EDB">
              <w:rPr>
                <w:sz w:val="22"/>
                <w:szCs w:val="22"/>
              </w:rPr>
              <w:t xml:space="preserve">Percentage of persons with disabilities </w:t>
            </w:r>
            <w:r w:rsidRPr="00085A89">
              <w:rPr>
                <w:iCs/>
                <w:sz w:val="22"/>
                <w:szCs w:val="22"/>
              </w:rPr>
              <w:t>using</w:t>
            </w:r>
            <w:r>
              <w:rPr>
                <w:i/>
                <w:sz w:val="22"/>
                <w:szCs w:val="22"/>
              </w:rPr>
              <w:t xml:space="preserve"> </w:t>
            </w:r>
            <w:r w:rsidRPr="00A07EDB">
              <w:rPr>
                <w:sz w:val="22"/>
                <w:szCs w:val="22"/>
              </w:rPr>
              <w:t>public transport services for journey to work vs non-disabled counterparts</w:t>
            </w:r>
          </w:p>
        </w:tc>
        <w:tc>
          <w:tcPr>
            <w:tcW w:w="3685" w:type="dxa"/>
          </w:tcPr>
          <w:p w14:paraId="337772B0" w14:textId="559C97FB" w:rsidR="00B4745F" w:rsidRPr="00372D71" w:rsidRDefault="00B4745F" w:rsidP="00B4745F">
            <w:pPr>
              <w:rPr>
                <w:sz w:val="22"/>
                <w:szCs w:val="22"/>
              </w:rPr>
            </w:pPr>
            <w:r>
              <w:rPr>
                <w:sz w:val="22"/>
                <w:szCs w:val="22"/>
              </w:rPr>
              <w:t>No.</w:t>
            </w:r>
            <w:r w:rsidR="00D11DF9">
              <w:rPr>
                <w:sz w:val="22"/>
                <w:szCs w:val="22"/>
              </w:rPr>
              <w:t xml:space="preserve"> The indicator has been retained and data presented for one time point, but trend data for this indicator are not available.</w:t>
            </w:r>
          </w:p>
        </w:tc>
        <w:tc>
          <w:tcPr>
            <w:tcW w:w="2835" w:type="dxa"/>
          </w:tcPr>
          <w:p w14:paraId="0877A91A" w14:textId="0C3C47BA" w:rsidR="00B4745F" w:rsidRPr="00372D71" w:rsidRDefault="00B4745F" w:rsidP="00B4745F">
            <w:pPr>
              <w:rPr>
                <w:sz w:val="22"/>
                <w:szCs w:val="22"/>
              </w:rPr>
            </w:pPr>
          </w:p>
        </w:tc>
      </w:tr>
      <w:tr w:rsidR="00B4745F" w:rsidRPr="00E44373" w14:paraId="186DD0CE" w14:textId="77777777" w:rsidTr="00B42243">
        <w:tc>
          <w:tcPr>
            <w:tcW w:w="2122" w:type="dxa"/>
            <w:shd w:val="clear" w:color="auto" w:fill="auto"/>
          </w:tcPr>
          <w:p w14:paraId="74D9A423" w14:textId="77777777" w:rsidR="00B4745F" w:rsidRPr="00372D71" w:rsidRDefault="00B4745F" w:rsidP="00B4745F">
            <w:pPr>
              <w:rPr>
                <w:sz w:val="22"/>
                <w:szCs w:val="22"/>
              </w:rPr>
            </w:pPr>
            <w:r w:rsidRPr="00372D71">
              <w:rPr>
                <w:sz w:val="22"/>
                <w:szCs w:val="22"/>
              </w:rPr>
              <w:t>SP2: Provide bridges and supports into work</w:t>
            </w:r>
          </w:p>
        </w:tc>
        <w:tc>
          <w:tcPr>
            <w:tcW w:w="4536" w:type="dxa"/>
            <w:shd w:val="clear" w:color="auto" w:fill="auto"/>
          </w:tcPr>
          <w:p w14:paraId="5C7AB70B" w14:textId="259312B1" w:rsidR="00B4745F" w:rsidRPr="00372D71" w:rsidRDefault="00B4745F" w:rsidP="00B4745F">
            <w:pPr>
              <w:rPr>
                <w:sz w:val="22"/>
                <w:szCs w:val="22"/>
              </w:rPr>
            </w:pPr>
            <w:r w:rsidRPr="00372D71">
              <w:rPr>
                <w:sz w:val="22"/>
                <w:szCs w:val="22"/>
              </w:rPr>
              <w:t xml:space="preserve">Nos. of persons with disabilities accessing Enterprise Ireland supports </w:t>
            </w:r>
          </w:p>
        </w:tc>
        <w:tc>
          <w:tcPr>
            <w:tcW w:w="3685" w:type="dxa"/>
          </w:tcPr>
          <w:p w14:paraId="6ACD033A" w14:textId="423B1C6E" w:rsidR="00B4745F" w:rsidRPr="00372D71" w:rsidRDefault="00A72927" w:rsidP="00B4745F">
            <w:pPr>
              <w:rPr>
                <w:sz w:val="22"/>
                <w:szCs w:val="22"/>
              </w:rPr>
            </w:pPr>
            <w:r>
              <w:rPr>
                <w:sz w:val="22"/>
                <w:szCs w:val="22"/>
              </w:rPr>
              <w:t xml:space="preserve">Yes. </w:t>
            </w:r>
            <w:r w:rsidR="00260795">
              <w:rPr>
                <w:sz w:val="22"/>
                <w:szCs w:val="22"/>
              </w:rPr>
              <w:t>Removed</w:t>
            </w:r>
            <w:r>
              <w:rPr>
                <w:sz w:val="22"/>
                <w:szCs w:val="22"/>
              </w:rPr>
              <w:t xml:space="preserve">. </w:t>
            </w:r>
          </w:p>
        </w:tc>
        <w:tc>
          <w:tcPr>
            <w:tcW w:w="2835" w:type="dxa"/>
          </w:tcPr>
          <w:p w14:paraId="5601A6EE" w14:textId="7378C6B8" w:rsidR="00B4745F" w:rsidRPr="00372D71" w:rsidRDefault="00A72927" w:rsidP="00B4745F">
            <w:pPr>
              <w:rPr>
                <w:sz w:val="22"/>
                <w:szCs w:val="22"/>
              </w:rPr>
            </w:pPr>
            <w:r>
              <w:rPr>
                <w:sz w:val="22"/>
                <w:szCs w:val="22"/>
              </w:rPr>
              <w:t>No data available.</w:t>
            </w:r>
          </w:p>
        </w:tc>
      </w:tr>
      <w:tr w:rsidR="00FF77FB" w:rsidRPr="00E44373" w14:paraId="3D695ADF" w14:textId="77777777" w:rsidTr="00B42243">
        <w:tc>
          <w:tcPr>
            <w:tcW w:w="2122" w:type="dxa"/>
            <w:shd w:val="clear" w:color="auto" w:fill="auto"/>
          </w:tcPr>
          <w:p w14:paraId="0E3B94CD" w14:textId="79F37BF4" w:rsidR="00FF77FB" w:rsidRPr="00372D71" w:rsidRDefault="00FF77FB" w:rsidP="00B4745F">
            <w:pPr>
              <w:rPr>
                <w:sz w:val="22"/>
                <w:szCs w:val="22"/>
              </w:rPr>
            </w:pPr>
            <w:r w:rsidRPr="00372D71">
              <w:rPr>
                <w:sz w:val="22"/>
                <w:szCs w:val="22"/>
              </w:rPr>
              <w:t>SP2: Provide bridges and supports into work</w:t>
            </w:r>
          </w:p>
        </w:tc>
        <w:tc>
          <w:tcPr>
            <w:tcW w:w="4536" w:type="dxa"/>
            <w:shd w:val="clear" w:color="auto" w:fill="auto"/>
          </w:tcPr>
          <w:p w14:paraId="1EC838A4" w14:textId="3C487223" w:rsidR="00FF77FB" w:rsidRPr="00372D71" w:rsidRDefault="00FF77FB" w:rsidP="00B4745F">
            <w:pPr>
              <w:rPr>
                <w:sz w:val="22"/>
                <w:szCs w:val="22"/>
              </w:rPr>
            </w:pPr>
            <w:r w:rsidRPr="00FF77FB">
              <w:rPr>
                <w:sz w:val="22"/>
                <w:szCs w:val="22"/>
              </w:rPr>
              <w:t>Proportion of young persons with a disability who are NEET compared to young persons without a disability</w:t>
            </w:r>
          </w:p>
        </w:tc>
        <w:tc>
          <w:tcPr>
            <w:tcW w:w="3685" w:type="dxa"/>
          </w:tcPr>
          <w:p w14:paraId="0231BFF4" w14:textId="7CEDF02A" w:rsidR="00FF77FB" w:rsidRDefault="00FF77FB" w:rsidP="00B4745F">
            <w:pPr>
              <w:rPr>
                <w:sz w:val="22"/>
                <w:szCs w:val="22"/>
              </w:rPr>
            </w:pPr>
            <w:r>
              <w:rPr>
                <w:sz w:val="22"/>
                <w:szCs w:val="22"/>
              </w:rPr>
              <w:t>No.</w:t>
            </w:r>
            <w:r w:rsidR="00260795">
              <w:rPr>
                <w:sz w:val="22"/>
                <w:szCs w:val="22"/>
              </w:rPr>
              <w:t xml:space="preserve"> The indicator has been retained and data presented at one time point. It has not been possible to examine trends over time.</w:t>
            </w:r>
          </w:p>
        </w:tc>
        <w:tc>
          <w:tcPr>
            <w:tcW w:w="2835" w:type="dxa"/>
          </w:tcPr>
          <w:p w14:paraId="499D94FC" w14:textId="77777777" w:rsidR="00FF77FB" w:rsidRDefault="00FF77FB" w:rsidP="00B4745F">
            <w:pPr>
              <w:rPr>
                <w:sz w:val="22"/>
                <w:szCs w:val="22"/>
              </w:rPr>
            </w:pPr>
          </w:p>
        </w:tc>
      </w:tr>
      <w:tr w:rsidR="00B4745F" w:rsidRPr="00E44373" w14:paraId="7C4EFF92" w14:textId="77777777" w:rsidTr="00B42243">
        <w:tc>
          <w:tcPr>
            <w:tcW w:w="2122" w:type="dxa"/>
            <w:shd w:val="clear" w:color="auto" w:fill="auto"/>
          </w:tcPr>
          <w:p w14:paraId="49CD1EAD" w14:textId="77777777" w:rsidR="00B4745F" w:rsidRPr="00372D71" w:rsidRDefault="00B4745F" w:rsidP="00B4745F">
            <w:pPr>
              <w:rPr>
                <w:sz w:val="22"/>
                <w:szCs w:val="22"/>
              </w:rPr>
            </w:pPr>
            <w:r w:rsidRPr="00372D71">
              <w:rPr>
                <w:sz w:val="22"/>
                <w:szCs w:val="22"/>
              </w:rPr>
              <w:t xml:space="preserve">SP3: Make </w:t>
            </w:r>
            <w:r>
              <w:rPr>
                <w:sz w:val="22"/>
                <w:szCs w:val="22"/>
              </w:rPr>
              <w:t>w</w:t>
            </w:r>
            <w:r w:rsidRPr="00372D71">
              <w:rPr>
                <w:sz w:val="22"/>
                <w:szCs w:val="22"/>
              </w:rPr>
              <w:t xml:space="preserve">ork </w:t>
            </w:r>
            <w:r>
              <w:rPr>
                <w:sz w:val="22"/>
                <w:szCs w:val="22"/>
              </w:rPr>
              <w:t>p</w:t>
            </w:r>
            <w:r w:rsidRPr="00372D71">
              <w:rPr>
                <w:sz w:val="22"/>
                <w:szCs w:val="22"/>
              </w:rPr>
              <w:t>ay</w:t>
            </w:r>
          </w:p>
        </w:tc>
        <w:tc>
          <w:tcPr>
            <w:tcW w:w="4536" w:type="dxa"/>
            <w:shd w:val="clear" w:color="auto" w:fill="auto"/>
          </w:tcPr>
          <w:p w14:paraId="5D1EAE55" w14:textId="783E0EB7" w:rsidR="00B4745F" w:rsidRPr="00372D71" w:rsidRDefault="00B4745F" w:rsidP="00B4745F">
            <w:pPr>
              <w:rPr>
                <w:sz w:val="22"/>
                <w:szCs w:val="22"/>
              </w:rPr>
            </w:pPr>
            <w:r w:rsidRPr="00372D71">
              <w:rPr>
                <w:sz w:val="22"/>
                <w:szCs w:val="22"/>
              </w:rPr>
              <w:t>N</w:t>
            </w:r>
            <w:r w:rsidR="00F13429">
              <w:rPr>
                <w:sz w:val="22"/>
                <w:szCs w:val="22"/>
              </w:rPr>
              <w:t>umber</w:t>
            </w:r>
            <w:r w:rsidRPr="00372D71">
              <w:rPr>
                <w:sz w:val="22"/>
                <w:szCs w:val="22"/>
              </w:rPr>
              <w:t xml:space="preserve"> of people accessing DEASP ready reckoner on roll-out</w:t>
            </w:r>
          </w:p>
        </w:tc>
        <w:tc>
          <w:tcPr>
            <w:tcW w:w="3685" w:type="dxa"/>
          </w:tcPr>
          <w:p w14:paraId="7D12EAC3" w14:textId="526CFD27" w:rsidR="00B4745F" w:rsidRPr="00372D71" w:rsidRDefault="00B4745F" w:rsidP="00B4745F">
            <w:pPr>
              <w:rPr>
                <w:sz w:val="22"/>
                <w:szCs w:val="22"/>
              </w:rPr>
            </w:pPr>
            <w:r>
              <w:rPr>
                <w:sz w:val="22"/>
                <w:szCs w:val="22"/>
              </w:rPr>
              <w:t xml:space="preserve">Yes. </w:t>
            </w:r>
            <w:r w:rsidR="00260795">
              <w:rPr>
                <w:sz w:val="22"/>
                <w:szCs w:val="22"/>
              </w:rPr>
              <w:t>Removed.</w:t>
            </w:r>
          </w:p>
        </w:tc>
        <w:tc>
          <w:tcPr>
            <w:tcW w:w="2835" w:type="dxa"/>
          </w:tcPr>
          <w:p w14:paraId="59C52CA8" w14:textId="6BA388FF" w:rsidR="00B4745F" w:rsidRPr="00372D71" w:rsidRDefault="00F13429" w:rsidP="00B4745F">
            <w:pPr>
              <w:rPr>
                <w:sz w:val="22"/>
                <w:szCs w:val="22"/>
              </w:rPr>
            </w:pPr>
            <w:r>
              <w:rPr>
                <w:sz w:val="22"/>
                <w:szCs w:val="22"/>
              </w:rPr>
              <w:t xml:space="preserve">No </w:t>
            </w:r>
            <w:r w:rsidR="00260795">
              <w:rPr>
                <w:sz w:val="22"/>
                <w:szCs w:val="22"/>
              </w:rPr>
              <w:t>useful</w:t>
            </w:r>
            <w:r>
              <w:rPr>
                <w:sz w:val="22"/>
                <w:szCs w:val="22"/>
              </w:rPr>
              <w:t xml:space="preserve"> data available.</w:t>
            </w:r>
          </w:p>
        </w:tc>
      </w:tr>
      <w:tr w:rsidR="00B4745F" w:rsidRPr="00E44373" w14:paraId="0E7AEBDF" w14:textId="77777777" w:rsidTr="00B42243">
        <w:tc>
          <w:tcPr>
            <w:tcW w:w="2122" w:type="dxa"/>
            <w:shd w:val="clear" w:color="auto" w:fill="auto"/>
          </w:tcPr>
          <w:p w14:paraId="7DAF7C5F" w14:textId="77777777" w:rsidR="00B4745F" w:rsidRPr="00372D71" w:rsidRDefault="00B4745F" w:rsidP="00B4745F">
            <w:pPr>
              <w:rPr>
                <w:sz w:val="22"/>
                <w:szCs w:val="22"/>
              </w:rPr>
            </w:pPr>
            <w:r w:rsidRPr="00372D71">
              <w:rPr>
                <w:sz w:val="22"/>
                <w:szCs w:val="22"/>
              </w:rPr>
              <w:t xml:space="preserve">SP3: Make </w:t>
            </w:r>
            <w:r>
              <w:rPr>
                <w:sz w:val="22"/>
                <w:szCs w:val="22"/>
              </w:rPr>
              <w:t>w</w:t>
            </w:r>
            <w:r w:rsidRPr="00372D71">
              <w:rPr>
                <w:sz w:val="22"/>
                <w:szCs w:val="22"/>
              </w:rPr>
              <w:t xml:space="preserve">ork </w:t>
            </w:r>
            <w:r>
              <w:rPr>
                <w:sz w:val="22"/>
                <w:szCs w:val="22"/>
              </w:rPr>
              <w:t>p</w:t>
            </w:r>
            <w:r w:rsidRPr="00372D71">
              <w:rPr>
                <w:sz w:val="22"/>
                <w:szCs w:val="22"/>
              </w:rPr>
              <w:t>ay</w:t>
            </w:r>
          </w:p>
        </w:tc>
        <w:tc>
          <w:tcPr>
            <w:tcW w:w="4536" w:type="dxa"/>
            <w:shd w:val="clear" w:color="auto" w:fill="auto"/>
          </w:tcPr>
          <w:p w14:paraId="50433DEC" w14:textId="5215BA2A" w:rsidR="00B4745F" w:rsidRPr="005A7595" w:rsidRDefault="00B4745F" w:rsidP="00B4745F">
            <w:pPr>
              <w:rPr>
                <w:sz w:val="22"/>
                <w:szCs w:val="22"/>
              </w:rPr>
            </w:pPr>
            <w:r w:rsidRPr="005A7595">
              <w:rPr>
                <w:sz w:val="22"/>
                <w:szCs w:val="22"/>
              </w:rPr>
              <w:t xml:space="preserve">Number of people with a disability on disability payments/benefits </w:t>
            </w:r>
          </w:p>
        </w:tc>
        <w:tc>
          <w:tcPr>
            <w:tcW w:w="3685" w:type="dxa"/>
          </w:tcPr>
          <w:p w14:paraId="3EAB78DA" w14:textId="7690DB8B" w:rsidR="00B4745F" w:rsidRPr="005A7595" w:rsidRDefault="00B4745F" w:rsidP="00B4745F">
            <w:pPr>
              <w:spacing w:after="0"/>
              <w:rPr>
                <w:sz w:val="22"/>
                <w:szCs w:val="22"/>
              </w:rPr>
            </w:pPr>
            <w:r>
              <w:rPr>
                <w:sz w:val="22"/>
                <w:szCs w:val="22"/>
              </w:rPr>
              <w:t>No.</w:t>
            </w:r>
          </w:p>
        </w:tc>
        <w:tc>
          <w:tcPr>
            <w:tcW w:w="2835" w:type="dxa"/>
          </w:tcPr>
          <w:p w14:paraId="53480F2C" w14:textId="4640240E" w:rsidR="00B4745F" w:rsidRPr="00372D71" w:rsidRDefault="00B4745F" w:rsidP="00B4745F">
            <w:pPr>
              <w:spacing w:after="0"/>
              <w:rPr>
                <w:sz w:val="22"/>
                <w:szCs w:val="22"/>
              </w:rPr>
            </w:pPr>
          </w:p>
        </w:tc>
      </w:tr>
      <w:tr w:rsidR="00B4745F" w:rsidRPr="00E44373" w14:paraId="27FE117A" w14:textId="77777777" w:rsidTr="00B42243">
        <w:tc>
          <w:tcPr>
            <w:tcW w:w="2122" w:type="dxa"/>
            <w:shd w:val="clear" w:color="auto" w:fill="auto"/>
          </w:tcPr>
          <w:p w14:paraId="7E0D95EF" w14:textId="77777777" w:rsidR="00B4745F" w:rsidRPr="00372D71" w:rsidRDefault="00B4745F" w:rsidP="00B4745F">
            <w:pPr>
              <w:rPr>
                <w:sz w:val="22"/>
                <w:szCs w:val="22"/>
              </w:rPr>
            </w:pPr>
            <w:r w:rsidRPr="00372D71">
              <w:rPr>
                <w:sz w:val="22"/>
                <w:szCs w:val="22"/>
              </w:rPr>
              <w:t>SP4: Promote job retention and re-entry to work</w:t>
            </w:r>
          </w:p>
        </w:tc>
        <w:tc>
          <w:tcPr>
            <w:tcW w:w="4536" w:type="dxa"/>
            <w:shd w:val="clear" w:color="auto" w:fill="auto"/>
          </w:tcPr>
          <w:p w14:paraId="6A3DFD57" w14:textId="197D5506" w:rsidR="00B4745F" w:rsidRPr="00372D71" w:rsidRDefault="004C127B" w:rsidP="00B4745F">
            <w:pPr>
              <w:rPr>
                <w:sz w:val="22"/>
                <w:szCs w:val="22"/>
              </w:rPr>
            </w:pPr>
            <w:r w:rsidRPr="00372D71">
              <w:rPr>
                <w:sz w:val="22"/>
                <w:szCs w:val="22"/>
              </w:rPr>
              <w:t>Number of persons in employment supported through the Wage Subsidy Scheme</w:t>
            </w:r>
          </w:p>
        </w:tc>
        <w:tc>
          <w:tcPr>
            <w:tcW w:w="3685" w:type="dxa"/>
          </w:tcPr>
          <w:p w14:paraId="6CCD9022" w14:textId="3FA4FA6F" w:rsidR="00B4745F" w:rsidRPr="00372D71" w:rsidRDefault="004C127B" w:rsidP="00B4745F">
            <w:pPr>
              <w:rPr>
                <w:sz w:val="22"/>
                <w:szCs w:val="22"/>
              </w:rPr>
            </w:pPr>
            <w:r>
              <w:rPr>
                <w:sz w:val="22"/>
                <w:szCs w:val="22"/>
              </w:rPr>
              <w:t>No.</w:t>
            </w:r>
          </w:p>
          <w:p w14:paraId="251F608A" w14:textId="2ACB4542" w:rsidR="00B4745F" w:rsidRPr="00372D71" w:rsidRDefault="00B4745F" w:rsidP="00B4745F">
            <w:pPr>
              <w:rPr>
                <w:sz w:val="22"/>
                <w:szCs w:val="22"/>
              </w:rPr>
            </w:pPr>
          </w:p>
        </w:tc>
        <w:tc>
          <w:tcPr>
            <w:tcW w:w="2835" w:type="dxa"/>
          </w:tcPr>
          <w:p w14:paraId="758FC824" w14:textId="77777777" w:rsidR="00B4745F" w:rsidRPr="00372D71" w:rsidRDefault="00B4745F" w:rsidP="004C127B">
            <w:pPr>
              <w:rPr>
                <w:sz w:val="22"/>
                <w:szCs w:val="22"/>
              </w:rPr>
            </w:pPr>
          </w:p>
        </w:tc>
      </w:tr>
      <w:tr w:rsidR="004C127B" w:rsidRPr="00E44373" w14:paraId="56037990" w14:textId="77777777" w:rsidTr="00B42243">
        <w:tc>
          <w:tcPr>
            <w:tcW w:w="2122" w:type="dxa"/>
            <w:shd w:val="clear" w:color="auto" w:fill="auto"/>
          </w:tcPr>
          <w:p w14:paraId="369DD6E0" w14:textId="049502AA" w:rsidR="004C127B" w:rsidRPr="00372D71" w:rsidRDefault="004C127B" w:rsidP="00B4745F">
            <w:pPr>
              <w:rPr>
                <w:sz w:val="22"/>
                <w:szCs w:val="22"/>
              </w:rPr>
            </w:pPr>
            <w:r w:rsidRPr="00372D71">
              <w:rPr>
                <w:sz w:val="22"/>
                <w:szCs w:val="22"/>
              </w:rPr>
              <w:t>SP4: Promote job retention and re-entry to work</w:t>
            </w:r>
          </w:p>
        </w:tc>
        <w:tc>
          <w:tcPr>
            <w:tcW w:w="4536" w:type="dxa"/>
            <w:shd w:val="clear" w:color="auto" w:fill="auto"/>
          </w:tcPr>
          <w:p w14:paraId="60490E8A" w14:textId="343DEF7F" w:rsidR="004C127B" w:rsidRPr="00372D71" w:rsidRDefault="004C127B" w:rsidP="00B4745F">
            <w:pPr>
              <w:rPr>
                <w:sz w:val="22"/>
                <w:szCs w:val="22"/>
              </w:rPr>
            </w:pPr>
            <w:r>
              <w:rPr>
                <w:sz w:val="22"/>
                <w:szCs w:val="22"/>
              </w:rPr>
              <w:t>Number of applications to the Reasonable Accommodation Fund</w:t>
            </w:r>
          </w:p>
        </w:tc>
        <w:tc>
          <w:tcPr>
            <w:tcW w:w="3685" w:type="dxa"/>
          </w:tcPr>
          <w:p w14:paraId="6DBFA2B1" w14:textId="6753ACFD" w:rsidR="004C127B" w:rsidRPr="00403E16" w:rsidRDefault="00260795" w:rsidP="00B4745F">
            <w:pPr>
              <w:rPr>
                <w:sz w:val="22"/>
                <w:szCs w:val="22"/>
              </w:rPr>
            </w:pPr>
            <w:r>
              <w:rPr>
                <w:sz w:val="22"/>
                <w:szCs w:val="22"/>
              </w:rPr>
              <w:t>Yes</w:t>
            </w:r>
            <w:r w:rsidR="004C127B">
              <w:rPr>
                <w:sz w:val="22"/>
                <w:szCs w:val="22"/>
              </w:rPr>
              <w:t>.</w:t>
            </w:r>
            <w:r>
              <w:rPr>
                <w:sz w:val="22"/>
                <w:szCs w:val="22"/>
              </w:rPr>
              <w:t xml:space="preserve"> Indicator renamed to </w:t>
            </w:r>
            <w:r w:rsidR="00544D32">
              <w:rPr>
                <w:sz w:val="22"/>
                <w:szCs w:val="22"/>
              </w:rPr>
              <w:t>“</w:t>
            </w:r>
            <w:r>
              <w:rPr>
                <w:sz w:val="22"/>
                <w:szCs w:val="22"/>
              </w:rPr>
              <w:t xml:space="preserve">Number of </w:t>
            </w:r>
            <w:r w:rsidRPr="00627897">
              <w:rPr>
                <w:i/>
                <w:iCs/>
                <w:sz w:val="22"/>
                <w:szCs w:val="22"/>
              </w:rPr>
              <w:t xml:space="preserve">successful </w:t>
            </w:r>
            <w:r>
              <w:rPr>
                <w:sz w:val="22"/>
                <w:szCs w:val="22"/>
              </w:rPr>
              <w:t>applications to the Reasonable Accommodation Fun</w:t>
            </w:r>
            <w:r w:rsidR="00544D32">
              <w:rPr>
                <w:sz w:val="22"/>
                <w:szCs w:val="22"/>
              </w:rPr>
              <w:t>”</w:t>
            </w:r>
            <w:r>
              <w:rPr>
                <w:sz w:val="22"/>
                <w:szCs w:val="22"/>
              </w:rPr>
              <w:t>’</w:t>
            </w:r>
            <w:r w:rsidR="00627897">
              <w:rPr>
                <w:sz w:val="22"/>
                <w:szCs w:val="22"/>
              </w:rPr>
              <w:t>.</w:t>
            </w:r>
          </w:p>
        </w:tc>
        <w:tc>
          <w:tcPr>
            <w:tcW w:w="2835" w:type="dxa"/>
          </w:tcPr>
          <w:p w14:paraId="6BD142FB" w14:textId="7AA3E317" w:rsidR="004C127B" w:rsidRPr="00372D71" w:rsidRDefault="00544D32" w:rsidP="004C127B">
            <w:pPr>
              <w:rPr>
                <w:sz w:val="22"/>
                <w:szCs w:val="22"/>
              </w:rPr>
            </w:pPr>
            <w:r>
              <w:rPr>
                <w:sz w:val="22"/>
                <w:szCs w:val="22"/>
              </w:rPr>
              <w:t>Wording amended to</w:t>
            </w:r>
            <w:r w:rsidR="00627897">
              <w:rPr>
                <w:sz w:val="22"/>
                <w:szCs w:val="22"/>
              </w:rPr>
              <w:t xml:space="preserve"> accurately reflect the data provided by the DSP for this indicator.</w:t>
            </w:r>
          </w:p>
        </w:tc>
      </w:tr>
      <w:tr w:rsidR="00B4745F" w:rsidRPr="00E44373" w14:paraId="213E9ACB" w14:textId="77777777" w:rsidTr="00B42243">
        <w:tc>
          <w:tcPr>
            <w:tcW w:w="2122" w:type="dxa"/>
            <w:shd w:val="clear" w:color="auto" w:fill="auto"/>
          </w:tcPr>
          <w:p w14:paraId="58F14DA9" w14:textId="77777777" w:rsidR="00B4745F" w:rsidRPr="00372D71" w:rsidRDefault="00B4745F" w:rsidP="00B4745F">
            <w:pPr>
              <w:rPr>
                <w:sz w:val="22"/>
                <w:szCs w:val="22"/>
              </w:rPr>
            </w:pPr>
            <w:r w:rsidRPr="00372D71">
              <w:rPr>
                <w:sz w:val="22"/>
                <w:szCs w:val="22"/>
              </w:rPr>
              <w:t>SP4: Promote job retention and re-entry to work</w:t>
            </w:r>
          </w:p>
        </w:tc>
        <w:tc>
          <w:tcPr>
            <w:tcW w:w="4536" w:type="dxa"/>
            <w:shd w:val="clear" w:color="auto" w:fill="auto"/>
          </w:tcPr>
          <w:p w14:paraId="3C3D2C27" w14:textId="21C82F25" w:rsidR="00B4745F" w:rsidRPr="00CA5866" w:rsidRDefault="00935E70" w:rsidP="00B4745F">
            <w:pPr>
              <w:rPr>
                <w:sz w:val="22"/>
                <w:szCs w:val="22"/>
              </w:rPr>
            </w:pPr>
            <w:r w:rsidRPr="00CA5866">
              <w:rPr>
                <w:sz w:val="22"/>
                <w:szCs w:val="22"/>
              </w:rPr>
              <w:t xml:space="preserve">Number of people exiting disability payments/benefits </w:t>
            </w:r>
            <w:r>
              <w:rPr>
                <w:sz w:val="22"/>
                <w:szCs w:val="22"/>
              </w:rPr>
              <w:t>into employment</w:t>
            </w:r>
          </w:p>
        </w:tc>
        <w:tc>
          <w:tcPr>
            <w:tcW w:w="3685" w:type="dxa"/>
          </w:tcPr>
          <w:p w14:paraId="11D3B341" w14:textId="51719498" w:rsidR="00B4745F" w:rsidRPr="00260414" w:rsidRDefault="00935E70" w:rsidP="00B4745F">
            <w:pPr>
              <w:spacing w:after="0"/>
              <w:rPr>
                <w:i/>
                <w:sz w:val="22"/>
                <w:szCs w:val="22"/>
              </w:rPr>
            </w:pPr>
            <w:r>
              <w:rPr>
                <w:sz w:val="22"/>
                <w:szCs w:val="22"/>
              </w:rPr>
              <w:t>No.</w:t>
            </w:r>
          </w:p>
        </w:tc>
        <w:tc>
          <w:tcPr>
            <w:tcW w:w="2835" w:type="dxa"/>
          </w:tcPr>
          <w:p w14:paraId="01908B5A" w14:textId="660B3382" w:rsidR="00B4745F" w:rsidRPr="00372D71" w:rsidRDefault="00B4745F" w:rsidP="00B4745F">
            <w:pPr>
              <w:spacing w:after="0"/>
              <w:rPr>
                <w:sz w:val="22"/>
                <w:szCs w:val="22"/>
              </w:rPr>
            </w:pPr>
          </w:p>
        </w:tc>
      </w:tr>
      <w:tr w:rsidR="00B4745F" w:rsidRPr="00E44373" w14:paraId="1B7CA391" w14:textId="77777777" w:rsidTr="00B42243">
        <w:tc>
          <w:tcPr>
            <w:tcW w:w="2122" w:type="dxa"/>
            <w:shd w:val="clear" w:color="auto" w:fill="auto"/>
          </w:tcPr>
          <w:p w14:paraId="79C51FD5" w14:textId="77777777" w:rsidR="00B4745F" w:rsidRPr="00372D71" w:rsidRDefault="00B4745F" w:rsidP="00B4745F">
            <w:pPr>
              <w:rPr>
                <w:sz w:val="22"/>
                <w:szCs w:val="22"/>
              </w:rPr>
            </w:pPr>
            <w:r w:rsidRPr="00372D71">
              <w:rPr>
                <w:sz w:val="22"/>
                <w:szCs w:val="22"/>
              </w:rPr>
              <w:t>SP4: Promote job retention and re-entry to work</w:t>
            </w:r>
          </w:p>
        </w:tc>
        <w:tc>
          <w:tcPr>
            <w:tcW w:w="4536" w:type="dxa"/>
            <w:shd w:val="clear" w:color="auto" w:fill="auto"/>
          </w:tcPr>
          <w:p w14:paraId="40BDC620" w14:textId="702BC29B" w:rsidR="00B4745F" w:rsidRPr="00372D71" w:rsidRDefault="00935E70" w:rsidP="00B4745F">
            <w:pPr>
              <w:spacing w:after="0"/>
              <w:rPr>
                <w:sz w:val="22"/>
                <w:szCs w:val="22"/>
              </w:rPr>
            </w:pPr>
            <w:r w:rsidRPr="00372D71">
              <w:rPr>
                <w:sz w:val="22"/>
                <w:szCs w:val="22"/>
              </w:rPr>
              <w:t>Percentage of persons with disabilities age 20-64 unemployed after having lost or given up previous job</w:t>
            </w:r>
            <w:r>
              <w:rPr>
                <w:sz w:val="22"/>
                <w:szCs w:val="22"/>
              </w:rPr>
              <w:t>.</w:t>
            </w:r>
          </w:p>
        </w:tc>
        <w:tc>
          <w:tcPr>
            <w:tcW w:w="3685" w:type="dxa"/>
          </w:tcPr>
          <w:p w14:paraId="4B668228" w14:textId="6567869C" w:rsidR="00B4745F" w:rsidRPr="00372D71" w:rsidRDefault="00B4745F" w:rsidP="00B4745F">
            <w:pPr>
              <w:spacing w:after="0"/>
              <w:rPr>
                <w:sz w:val="22"/>
                <w:szCs w:val="22"/>
              </w:rPr>
            </w:pPr>
            <w:r w:rsidRPr="00372D71">
              <w:rPr>
                <w:sz w:val="22"/>
                <w:szCs w:val="22"/>
              </w:rPr>
              <w:t xml:space="preserve">Yes: </w:t>
            </w:r>
            <w:r w:rsidR="00544D32">
              <w:rPr>
                <w:sz w:val="22"/>
                <w:szCs w:val="22"/>
              </w:rPr>
              <w:t>Removed</w:t>
            </w:r>
            <w:r w:rsidR="00935E70">
              <w:rPr>
                <w:sz w:val="22"/>
                <w:szCs w:val="22"/>
              </w:rPr>
              <w:t>.</w:t>
            </w:r>
          </w:p>
        </w:tc>
        <w:tc>
          <w:tcPr>
            <w:tcW w:w="2835" w:type="dxa"/>
          </w:tcPr>
          <w:p w14:paraId="369C0BC7" w14:textId="60E5F7B8" w:rsidR="00B4745F" w:rsidRPr="00372D71" w:rsidRDefault="00935E70" w:rsidP="00B4745F">
            <w:pPr>
              <w:spacing w:after="0"/>
              <w:rPr>
                <w:sz w:val="22"/>
                <w:szCs w:val="22"/>
              </w:rPr>
            </w:pPr>
            <w:r>
              <w:rPr>
                <w:sz w:val="22"/>
                <w:szCs w:val="22"/>
              </w:rPr>
              <w:t>Data unavailable</w:t>
            </w:r>
            <w:r w:rsidR="00B85E55">
              <w:rPr>
                <w:sz w:val="22"/>
                <w:szCs w:val="22"/>
              </w:rPr>
              <w:t>.</w:t>
            </w:r>
          </w:p>
        </w:tc>
      </w:tr>
      <w:tr w:rsidR="00B4745F" w:rsidRPr="00E44373" w14:paraId="6C2A63E7" w14:textId="77777777" w:rsidTr="00B42243">
        <w:tc>
          <w:tcPr>
            <w:tcW w:w="2122" w:type="dxa"/>
            <w:shd w:val="clear" w:color="auto" w:fill="auto"/>
          </w:tcPr>
          <w:p w14:paraId="17858EF8" w14:textId="77777777" w:rsidR="00B4745F" w:rsidRPr="00372D71" w:rsidRDefault="00B4745F" w:rsidP="00B4745F">
            <w:pPr>
              <w:rPr>
                <w:sz w:val="22"/>
                <w:szCs w:val="22"/>
              </w:rPr>
            </w:pPr>
            <w:r w:rsidRPr="00372D71">
              <w:rPr>
                <w:sz w:val="22"/>
                <w:szCs w:val="22"/>
              </w:rPr>
              <w:t>SP4: Promote job retention and re-entry to work</w:t>
            </w:r>
          </w:p>
        </w:tc>
        <w:tc>
          <w:tcPr>
            <w:tcW w:w="4536" w:type="dxa"/>
            <w:shd w:val="clear" w:color="auto" w:fill="auto"/>
          </w:tcPr>
          <w:p w14:paraId="79CA7BF5" w14:textId="1A4C2FAF" w:rsidR="00B4745F" w:rsidRPr="00372D71" w:rsidRDefault="00B85E55" w:rsidP="00B4745F">
            <w:pPr>
              <w:spacing w:after="0"/>
              <w:rPr>
                <w:sz w:val="22"/>
                <w:szCs w:val="22"/>
              </w:rPr>
            </w:pPr>
            <w:r>
              <w:rPr>
                <w:sz w:val="22"/>
                <w:szCs w:val="22"/>
              </w:rPr>
              <w:t>Queries received by the Employer Disability Information Service on retention of employees with acquired disabilities</w:t>
            </w:r>
          </w:p>
        </w:tc>
        <w:tc>
          <w:tcPr>
            <w:tcW w:w="3685" w:type="dxa"/>
          </w:tcPr>
          <w:p w14:paraId="68026B39" w14:textId="06628B31" w:rsidR="00B4745F" w:rsidRPr="00372D71" w:rsidRDefault="00B4745F" w:rsidP="00B4745F">
            <w:pPr>
              <w:spacing w:after="0"/>
              <w:rPr>
                <w:sz w:val="22"/>
                <w:szCs w:val="22"/>
              </w:rPr>
            </w:pPr>
            <w:r>
              <w:rPr>
                <w:sz w:val="22"/>
                <w:szCs w:val="22"/>
              </w:rPr>
              <w:t xml:space="preserve">Yes. </w:t>
            </w:r>
            <w:r w:rsidR="00544D32">
              <w:rPr>
                <w:sz w:val="22"/>
                <w:szCs w:val="22"/>
              </w:rPr>
              <w:t>Removed</w:t>
            </w:r>
            <w:r w:rsidR="00B85E55">
              <w:rPr>
                <w:sz w:val="22"/>
                <w:szCs w:val="22"/>
              </w:rPr>
              <w:t>.</w:t>
            </w:r>
          </w:p>
        </w:tc>
        <w:tc>
          <w:tcPr>
            <w:tcW w:w="2835" w:type="dxa"/>
          </w:tcPr>
          <w:p w14:paraId="3FD86869" w14:textId="2C0AC828" w:rsidR="00B4745F" w:rsidRPr="00372D71" w:rsidRDefault="00B85E55" w:rsidP="00B4745F">
            <w:pPr>
              <w:spacing w:after="0"/>
              <w:rPr>
                <w:sz w:val="22"/>
                <w:szCs w:val="22"/>
              </w:rPr>
            </w:pPr>
            <w:r>
              <w:rPr>
                <w:sz w:val="22"/>
                <w:szCs w:val="22"/>
              </w:rPr>
              <w:t xml:space="preserve">This service is no longer in operation. </w:t>
            </w:r>
          </w:p>
        </w:tc>
      </w:tr>
      <w:tr w:rsidR="00B4745F" w:rsidRPr="00E44373" w14:paraId="55BCFD1D" w14:textId="77777777" w:rsidTr="00B42243">
        <w:tc>
          <w:tcPr>
            <w:tcW w:w="2122" w:type="dxa"/>
            <w:shd w:val="clear" w:color="auto" w:fill="auto"/>
          </w:tcPr>
          <w:p w14:paraId="31477401" w14:textId="77777777" w:rsidR="00B4745F" w:rsidRPr="00372D71" w:rsidRDefault="00B4745F" w:rsidP="00B4745F">
            <w:pPr>
              <w:rPr>
                <w:sz w:val="22"/>
                <w:szCs w:val="22"/>
              </w:rPr>
            </w:pPr>
            <w:r w:rsidRPr="00372D71">
              <w:rPr>
                <w:sz w:val="22"/>
                <w:szCs w:val="22"/>
              </w:rPr>
              <w:t>SP5: Provide coordinated and seamless support</w:t>
            </w:r>
          </w:p>
        </w:tc>
        <w:tc>
          <w:tcPr>
            <w:tcW w:w="4536" w:type="dxa"/>
            <w:shd w:val="clear" w:color="auto" w:fill="auto"/>
          </w:tcPr>
          <w:p w14:paraId="1D3A112C" w14:textId="77777777" w:rsidR="00B4745F" w:rsidRPr="00372D71" w:rsidRDefault="00B4745F" w:rsidP="00B4745F">
            <w:pPr>
              <w:rPr>
                <w:sz w:val="22"/>
                <w:szCs w:val="22"/>
              </w:rPr>
            </w:pPr>
            <w:r w:rsidRPr="00372D71">
              <w:rPr>
                <w:sz w:val="22"/>
                <w:szCs w:val="22"/>
              </w:rPr>
              <w:t>Evaluation of Ability programmes to provide innovative pre-activation approaches for persons with disabilities</w:t>
            </w:r>
          </w:p>
        </w:tc>
        <w:tc>
          <w:tcPr>
            <w:tcW w:w="3685" w:type="dxa"/>
          </w:tcPr>
          <w:p w14:paraId="57B19169" w14:textId="77777777" w:rsidR="00B4745F" w:rsidRPr="00372D71" w:rsidRDefault="00B4745F" w:rsidP="00B4745F">
            <w:pPr>
              <w:rPr>
                <w:sz w:val="22"/>
                <w:szCs w:val="22"/>
              </w:rPr>
            </w:pPr>
            <w:r>
              <w:rPr>
                <w:sz w:val="22"/>
                <w:szCs w:val="22"/>
              </w:rPr>
              <w:t>No.</w:t>
            </w:r>
          </w:p>
        </w:tc>
        <w:tc>
          <w:tcPr>
            <w:tcW w:w="2835" w:type="dxa"/>
          </w:tcPr>
          <w:p w14:paraId="52244D79" w14:textId="77777777" w:rsidR="00B4745F" w:rsidRPr="00372D71" w:rsidRDefault="00B4745F" w:rsidP="00B4745F">
            <w:pPr>
              <w:rPr>
                <w:sz w:val="22"/>
                <w:szCs w:val="22"/>
              </w:rPr>
            </w:pPr>
          </w:p>
        </w:tc>
      </w:tr>
      <w:tr w:rsidR="00B4745F" w:rsidRPr="00E44373" w14:paraId="140F687B" w14:textId="77777777" w:rsidTr="00B42243">
        <w:tc>
          <w:tcPr>
            <w:tcW w:w="2122" w:type="dxa"/>
            <w:shd w:val="clear" w:color="auto" w:fill="auto"/>
          </w:tcPr>
          <w:p w14:paraId="4E47196D" w14:textId="77777777" w:rsidR="00B4745F" w:rsidRPr="00372D71" w:rsidRDefault="00B4745F" w:rsidP="00B4745F">
            <w:pPr>
              <w:rPr>
                <w:sz w:val="22"/>
                <w:szCs w:val="22"/>
              </w:rPr>
            </w:pPr>
            <w:r w:rsidRPr="00372D71">
              <w:rPr>
                <w:sz w:val="22"/>
                <w:szCs w:val="22"/>
              </w:rPr>
              <w:t>SP5: Provide coordinated and seamless support</w:t>
            </w:r>
          </w:p>
        </w:tc>
        <w:tc>
          <w:tcPr>
            <w:tcW w:w="4536" w:type="dxa"/>
            <w:shd w:val="clear" w:color="auto" w:fill="auto"/>
          </w:tcPr>
          <w:p w14:paraId="18A746E9" w14:textId="77777777" w:rsidR="00B4745F" w:rsidRPr="00372D71" w:rsidRDefault="00B4745F" w:rsidP="00B4745F">
            <w:pPr>
              <w:rPr>
                <w:sz w:val="22"/>
                <w:szCs w:val="22"/>
              </w:rPr>
            </w:pPr>
            <w:r w:rsidRPr="00372D71">
              <w:rPr>
                <w:sz w:val="22"/>
                <w:szCs w:val="22"/>
              </w:rPr>
              <w:t>Evaluation of pilot phase to provide complementary support services to persons with disabilities (5.1 implementation plan)</w:t>
            </w:r>
          </w:p>
        </w:tc>
        <w:tc>
          <w:tcPr>
            <w:tcW w:w="3685" w:type="dxa"/>
          </w:tcPr>
          <w:p w14:paraId="64582A17" w14:textId="0FF892C5" w:rsidR="00B4745F" w:rsidRPr="00372D71" w:rsidRDefault="007F0E6F" w:rsidP="00B4745F">
            <w:pPr>
              <w:rPr>
                <w:sz w:val="22"/>
                <w:szCs w:val="22"/>
              </w:rPr>
            </w:pPr>
            <w:r>
              <w:rPr>
                <w:sz w:val="22"/>
                <w:szCs w:val="22"/>
              </w:rPr>
              <w:t>No</w:t>
            </w:r>
            <w:r w:rsidR="00544D32">
              <w:rPr>
                <w:sz w:val="22"/>
                <w:szCs w:val="22"/>
              </w:rPr>
              <w:t>. An explanation of the indicator has been retained, but no updates could be provided.</w:t>
            </w:r>
          </w:p>
        </w:tc>
        <w:tc>
          <w:tcPr>
            <w:tcW w:w="2835" w:type="dxa"/>
          </w:tcPr>
          <w:p w14:paraId="25539F35" w14:textId="77777777" w:rsidR="00B4745F" w:rsidRPr="00372D71" w:rsidRDefault="00B4745F" w:rsidP="00B4745F">
            <w:pPr>
              <w:rPr>
                <w:sz w:val="22"/>
                <w:szCs w:val="22"/>
              </w:rPr>
            </w:pPr>
          </w:p>
        </w:tc>
      </w:tr>
      <w:tr w:rsidR="00B4745F" w:rsidRPr="00E44373" w14:paraId="0FE4EE32" w14:textId="77777777" w:rsidTr="00B42243">
        <w:tc>
          <w:tcPr>
            <w:tcW w:w="2122" w:type="dxa"/>
            <w:shd w:val="clear" w:color="auto" w:fill="auto"/>
          </w:tcPr>
          <w:p w14:paraId="2E280150" w14:textId="77777777" w:rsidR="00B4745F" w:rsidRPr="00372D71" w:rsidRDefault="00B4745F" w:rsidP="00B4745F">
            <w:pPr>
              <w:rPr>
                <w:sz w:val="22"/>
                <w:szCs w:val="22"/>
              </w:rPr>
            </w:pPr>
            <w:r w:rsidRPr="00372D71">
              <w:rPr>
                <w:sz w:val="22"/>
                <w:szCs w:val="22"/>
              </w:rPr>
              <w:t>SP5: Provide coordinated and seamless support</w:t>
            </w:r>
          </w:p>
        </w:tc>
        <w:tc>
          <w:tcPr>
            <w:tcW w:w="4536" w:type="dxa"/>
            <w:shd w:val="clear" w:color="auto" w:fill="auto"/>
          </w:tcPr>
          <w:p w14:paraId="4FC7309B" w14:textId="4FACB429" w:rsidR="00B4745F" w:rsidRPr="00372D71" w:rsidRDefault="00B4745F" w:rsidP="00B4745F">
            <w:pPr>
              <w:rPr>
                <w:sz w:val="22"/>
                <w:szCs w:val="22"/>
              </w:rPr>
            </w:pPr>
            <w:r w:rsidRPr="00372D71">
              <w:rPr>
                <w:sz w:val="22"/>
                <w:szCs w:val="22"/>
              </w:rPr>
              <w:t>N</w:t>
            </w:r>
            <w:r w:rsidR="00544D32">
              <w:rPr>
                <w:sz w:val="22"/>
                <w:szCs w:val="22"/>
              </w:rPr>
              <w:t>umber</w:t>
            </w:r>
            <w:r w:rsidRPr="00372D71">
              <w:rPr>
                <w:sz w:val="22"/>
                <w:szCs w:val="22"/>
              </w:rPr>
              <w:t xml:space="preserve"> of persons with mental health difficulties benefiting from IPS model of supported employment</w:t>
            </w:r>
          </w:p>
        </w:tc>
        <w:tc>
          <w:tcPr>
            <w:tcW w:w="3685" w:type="dxa"/>
          </w:tcPr>
          <w:p w14:paraId="27A07C48" w14:textId="16482E12" w:rsidR="00B4745F" w:rsidRPr="00372D71" w:rsidRDefault="007F0E6F" w:rsidP="00B4745F">
            <w:pPr>
              <w:rPr>
                <w:sz w:val="22"/>
                <w:szCs w:val="22"/>
              </w:rPr>
            </w:pPr>
            <w:r>
              <w:rPr>
                <w:sz w:val="22"/>
                <w:szCs w:val="22"/>
              </w:rPr>
              <w:t>Yes. Wording amended, as in SP2 above, to “Number of persons with mental health difficulties receiving support under the IPS model of employment’</w:t>
            </w:r>
          </w:p>
        </w:tc>
        <w:tc>
          <w:tcPr>
            <w:tcW w:w="2835" w:type="dxa"/>
          </w:tcPr>
          <w:p w14:paraId="52CCA50E" w14:textId="32FFC3B8" w:rsidR="00B4745F" w:rsidRPr="00372D71" w:rsidRDefault="00544D32" w:rsidP="00B4745F">
            <w:pPr>
              <w:rPr>
                <w:sz w:val="22"/>
                <w:szCs w:val="22"/>
              </w:rPr>
            </w:pPr>
            <w:r>
              <w:rPr>
                <w:sz w:val="22"/>
                <w:szCs w:val="22"/>
              </w:rPr>
              <w:t>Rephrased to better capture the data available (numbers receiving support rather than numbers benefitting).</w:t>
            </w:r>
          </w:p>
        </w:tc>
      </w:tr>
      <w:tr w:rsidR="00B4745F" w:rsidRPr="00E44373" w14:paraId="0277B179" w14:textId="77777777" w:rsidTr="00B42243">
        <w:tc>
          <w:tcPr>
            <w:tcW w:w="2122" w:type="dxa"/>
            <w:shd w:val="clear" w:color="auto" w:fill="auto"/>
          </w:tcPr>
          <w:p w14:paraId="5C929B0D" w14:textId="77777777" w:rsidR="00B4745F" w:rsidRPr="00372D71" w:rsidRDefault="00B4745F" w:rsidP="00B4745F">
            <w:pPr>
              <w:rPr>
                <w:sz w:val="22"/>
                <w:szCs w:val="22"/>
              </w:rPr>
            </w:pPr>
            <w:r w:rsidRPr="00372D71">
              <w:rPr>
                <w:sz w:val="22"/>
                <w:szCs w:val="22"/>
              </w:rPr>
              <w:t>SP5: Provide coordinated and seamless support</w:t>
            </w:r>
          </w:p>
        </w:tc>
        <w:tc>
          <w:tcPr>
            <w:tcW w:w="4536" w:type="dxa"/>
            <w:shd w:val="clear" w:color="auto" w:fill="auto"/>
          </w:tcPr>
          <w:p w14:paraId="7F5325F9" w14:textId="77777777" w:rsidR="00B4745F" w:rsidRPr="00372D71" w:rsidRDefault="00B4745F" w:rsidP="00B4745F">
            <w:pPr>
              <w:rPr>
                <w:sz w:val="22"/>
                <w:szCs w:val="22"/>
              </w:rPr>
            </w:pPr>
            <w:r w:rsidRPr="00372D71">
              <w:rPr>
                <w:sz w:val="22"/>
                <w:szCs w:val="22"/>
              </w:rPr>
              <w:t>Development of protocols and MoUs for cross-departmental cooperation, at national and local level</w:t>
            </w:r>
          </w:p>
        </w:tc>
        <w:tc>
          <w:tcPr>
            <w:tcW w:w="3685" w:type="dxa"/>
          </w:tcPr>
          <w:p w14:paraId="33E4C302" w14:textId="3857F269" w:rsidR="00B4745F" w:rsidRPr="00372D71" w:rsidRDefault="006F0D02" w:rsidP="00B4745F">
            <w:pPr>
              <w:rPr>
                <w:sz w:val="22"/>
                <w:szCs w:val="22"/>
              </w:rPr>
            </w:pPr>
            <w:r>
              <w:rPr>
                <w:sz w:val="22"/>
                <w:szCs w:val="22"/>
              </w:rPr>
              <w:t>No.</w:t>
            </w:r>
          </w:p>
        </w:tc>
        <w:tc>
          <w:tcPr>
            <w:tcW w:w="2835" w:type="dxa"/>
          </w:tcPr>
          <w:p w14:paraId="6A19FFD0" w14:textId="77777777" w:rsidR="00B4745F" w:rsidRPr="00372D71" w:rsidRDefault="00B4745F" w:rsidP="00B4745F">
            <w:pPr>
              <w:rPr>
                <w:sz w:val="22"/>
                <w:szCs w:val="22"/>
              </w:rPr>
            </w:pPr>
          </w:p>
        </w:tc>
      </w:tr>
      <w:tr w:rsidR="00B4745F" w:rsidRPr="00E44373" w14:paraId="4E9DA884" w14:textId="77777777" w:rsidTr="00B42243">
        <w:tc>
          <w:tcPr>
            <w:tcW w:w="2122" w:type="dxa"/>
            <w:shd w:val="clear" w:color="auto" w:fill="auto"/>
          </w:tcPr>
          <w:p w14:paraId="73EEE17E" w14:textId="77777777" w:rsidR="00B4745F" w:rsidRPr="00372D71" w:rsidRDefault="00B4745F" w:rsidP="00B4745F">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2E4D86A0" w14:textId="52ADA639" w:rsidR="00B4745F" w:rsidRPr="00372D71" w:rsidRDefault="006F0D02" w:rsidP="00B4745F">
            <w:pPr>
              <w:rPr>
                <w:sz w:val="22"/>
                <w:szCs w:val="22"/>
              </w:rPr>
            </w:pPr>
            <w:r w:rsidRPr="006F0D02">
              <w:rPr>
                <w:sz w:val="22"/>
                <w:szCs w:val="22"/>
              </w:rPr>
              <w:t>Number of persons in employment supported through the Wage Subsidy Scheme</w:t>
            </w:r>
          </w:p>
        </w:tc>
        <w:tc>
          <w:tcPr>
            <w:tcW w:w="3685" w:type="dxa"/>
          </w:tcPr>
          <w:p w14:paraId="6F3278AC" w14:textId="3D2114E2" w:rsidR="00B4745F" w:rsidRPr="00372D71" w:rsidRDefault="006F0D02" w:rsidP="00B4745F">
            <w:pPr>
              <w:rPr>
                <w:sz w:val="22"/>
                <w:szCs w:val="22"/>
              </w:rPr>
            </w:pPr>
            <w:r>
              <w:rPr>
                <w:sz w:val="22"/>
                <w:szCs w:val="22"/>
              </w:rPr>
              <w:t>No.</w:t>
            </w:r>
          </w:p>
        </w:tc>
        <w:tc>
          <w:tcPr>
            <w:tcW w:w="2835" w:type="dxa"/>
          </w:tcPr>
          <w:p w14:paraId="7E4C426F" w14:textId="25FB8734" w:rsidR="00B4745F" w:rsidRPr="00372D71" w:rsidRDefault="00B4745F" w:rsidP="00B4745F">
            <w:pPr>
              <w:rPr>
                <w:sz w:val="22"/>
                <w:szCs w:val="22"/>
              </w:rPr>
            </w:pPr>
          </w:p>
        </w:tc>
      </w:tr>
      <w:tr w:rsidR="006F0D02" w:rsidRPr="00E44373" w14:paraId="0978FE6D" w14:textId="77777777" w:rsidTr="00B42243">
        <w:tc>
          <w:tcPr>
            <w:tcW w:w="2122" w:type="dxa"/>
            <w:shd w:val="clear" w:color="auto" w:fill="auto"/>
          </w:tcPr>
          <w:p w14:paraId="2B099FCC" w14:textId="68058BB2" w:rsidR="006F0D02" w:rsidRPr="00372D71" w:rsidRDefault="006F0D02" w:rsidP="00B4745F">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2B442EF3" w14:textId="7FF0F11B" w:rsidR="006F0D02" w:rsidRPr="006F0D02" w:rsidRDefault="006F0D02" w:rsidP="00B4745F">
            <w:pPr>
              <w:rPr>
                <w:sz w:val="22"/>
                <w:szCs w:val="22"/>
              </w:rPr>
            </w:pPr>
            <w:r w:rsidRPr="006F0D02">
              <w:rPr>
                <w:sz w:val="22"/>
                <w:szCs w:val="22"/>
              </w:rPr>
              <w:t>Number of applications for Reasonable Accommodation Fund</w:t>
            </w:r>
          </w:p>
        </w:tc>
        <w:tc>
          <w:tcPr>
            <w:tcW w:w="3685" w:type="dxa"/>
          </w:tcPr>
          <w:p w14:paraId="71C9F1F2" w14:textId="12DF64C5" w:rsidR="006F0D02" w:rsidRDefault="006F0D02" w:rsidP="00B4745F">
            <w:pPr>
              <w:rPr>
                <w:sz w:val="22"/>
                <w:szCs w:val="22"/>
              </w:rPr>
            </w:pPr>
            <w:r>
              <w:rPr>
                <w:sz w:val="22"/>
                <w:szCs w:val="22"/>
              </w:rPr>
              <w:t xml:space="preserve">No. </w:t>
            </w:r>
          </w:p>
        </w:tc>
        <w:tc>
          <w:tcPr>
            <w:tcW w:w="2835" w:type="dxa"/>
          </w:tcPr>
          <w:p w14:paraId="6B53D0AA" w14:textId="77777777" w:rsidR="006F0D02" w:rsidRPr="00372D71" w:rsidRDefault="006F0D02" w:rsidP="00B4745F">
            <w:pPr>
              <w:rPr>
                <w:sz w:val="22"/>
                <w:szCs w:val="22"/>
              </w:rPr>
            </w:pPr>
          </w:p>
        </w:tc>
      </w:tr>
      <w:tr w:rsidR="00B4745F" w:rsidRPr="00E44373" w14:paraId="5585AA62" w14:textId="77777777" w:rsidTr="00B42243">
        <w:tc>
          <w:tcPr>
            <w:tcW w:w="2122" w:type="dxa"/>
            <w:shd w:val="clear" w:color="auto" w:fill="auto"/>
          </w:tcPr>
          <w:p w14:paraId="1156A41A" w14:textId="77777777" w:rsidR="00B4745F" w:rsidRPr="00372D71" w:rsidRDefault="00B4745F" w:rsidP="00B4745F">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43E22C3F" w14:textId="31E55E5A" w:rsidR="00B4745F" w:rsidRPr="00372D71" w:rsidRDefault="00B4745F" w:rsidP="00B4745F">
            <w:pPr>
              <w:rPr>
                <w:sz w:val="22"/>
                <w:szCs w:val="22"/>
              </w:rPr>
            </w:pPr>
            <w:r w:rsidRPr="00372D71">
              <w:rPr>
                <w:sz w:val="22"/>
                <w:szCs w:val="22"/>
              </w:rPr>
              <w:t>N</w:t>
            </w:r>
            <w:r w:rsidR="009B5399">
              <w:rPr>
                <w:sz w:val="22"/>
                <w:szCs w:val="22"/>
              </w:rPr>
              <w:t>umber</w:t>
            </w:r>
            <w:r w:rsidRPr="00372D71">
              <w:rPr>
                <w:sz w:val="22"/>
                <w:szCs w:val="22"/>
              </w:rPr>
              <w:t xml:space="preserve"> of employers in peer-to-peer networks</w:t>
            </w:r>
          </w:p>
        </w:tc>
        <w:tc>
          <w:tcPr>
            <w:tcW w:w="3685" w:type="dxa"/>
          </w:tcPr>
          <w:p w14:paraId="56C84C92" w14:textId="5C870C5F" w:rsidR="00B4745F" w:rsidRPr="00372D71" w:rsidRDefault="009B5399" w:rsidP="00B4745F">
            <w:pPr>
              <w:rPr>
                <w:sz w:val="22"/>
                <w:szCs w:val="22"/>
              </w:rPr>
            </w:pPr>
            <w:r>
              <w:rPr>
                <w:sz w:val="22"/>
                <w:szCs w:val="22"/>
              </w:rPr>
              <w:t>No</w:t>
            </w:r>
            <w:r w:rsidR="006F0D02">
              <w:rPr>
                <w:sz w:val="22"/>
                <w:szCs w:val="22"/>
              </w:rPr>
              <w:t xml:space="preserve"> </w:t>
            </w:r>
          </w:p>
        </w:tc>
        <w:tc>
          <w:tcPr>
            <w:tcW w:w="2835" w:type="dxa"/>
          </w:tcPr>
          <w:p w14:paraId="5D2E5527" w14:textId="1668EE08" w:rsidR="00B4745F" w:rsidRPr="00372D71" w:rsidRDefault="00361B77" w:rsidP="00B4745F">
            <w:pPr>
              <w:rPr>
                <w:sz w:val="22"/>
                <w:szCs w:val="22"/>
              </w:rPr>
            </w:pPr>
            <w:r>
              <w:rPr>
                <w:sz w:val="22"/>
                <w:szCs w:val="22"/>
              </w:rPr>
              <w:t xml:space="preserve">No data available. </w:t>
            </w:r>
          </w:p>
        </w:tc>
      </w:tr>
      <w:tr w:rsidR="00B4745F" w:rsidRPr="00E44373" w14:paraId="38BBF6B9" w14:textId="77777777" w:rsidTr="00B42243">
        <w:tc>
          <w:tcPr>
            <w:tcW w:w="2122" w:type="dxa"/>
            <w:shd w:val="clear" w:color="auto" w:fill="auto"/>
          </w:tcPr>
          <w:p w14:paraId="03E65D0D" w14:textId="77777777" w:rsidR="00B4745F" w:rsidRPr="00372D71" w:rsidRDefault="00B4745F" w:rsidP="00B4745F">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645D9A94" w14:textId="2DA6EFC4" w:rsidR="00B4745F" w:rsidRPr="00372D71" w:rsidRDefault="00990971" w:rsidP="00B4745F">
            <w:pPr>
              <w:spacing w:after="0"/>
              <w:rPr>
                <w:sz w:val="22"/>
                <w:szCs w:val="22"/>
              </w:rPr>
            </w:pPr>
            <w:r w:rsidRPr="005B22FD">
              <w:rPr>
                <w:sz w:val="22"/>
                <w:szCs w:val="22"/>
              </w:rPr>
              <w:t>Principal economic status of persons with and without disabilities age 20-6</w:t>
            </w:r>
            <w:r>
              <w:rPr>
                <w:sz w:val="22"/>
                <w:szCs w:val="22"/>
              </w:rPr>
              <w:t>4</w:t>
            </w:r>
          </w:p>
        </w:tc>
        <w:tc>
          <w:tcPr>
            <w:tcW w:w="3685" w:type="dxa"/>
          </w:tcPr>
          <w:p w14:paraId="75FFF99A" w14:textId="360AEB1A" w:rsidR="00B4745F" w:rsidRPr="00372D71" w:rsidRDefault="009B5399" w:rsidP="00B4745F">
            <w:pPr>
              <w:spacing w:after="0"/>
              <w:rPr>
                <w:sz w:val="22"/>
                <w:szCs w:val="22"/>
              </w:rPr>
            </w:pPr>
            <w:r>
              <w:rPr>
                <w:sz w:val="22"/>
                <w:szCs w:val="22"/>
              </w:rPr>
              <w:t>Yes. Removed from SP6 and reported as a primary indicator of the strategy.</w:t>
            </w:r>
          </w:p>
        </w:tc>
        <w:tc>
          <w:tcPr>
            <w:tcW w:w="2835" w:type="dxa"/>
          </w:tcPr>
          <w:p w14:paraId="781780FA" w14:textId="6CAC84D8" w:rsidR="00B4745F" w:rsidRPr="00372D71" w:rsidRDefault="009B5399" w:rsidP="00B4745F">
            <w:pPr>
              <w:spacing w:after="0"/>
              <w:rPr>
                <w:sz w:val="22"/>
                <w:szCs w:val="22"/>
              </w:rPr>
            </w:pPr>
            <w:r>
              <w:rPr>
                <w:sz w:val="22"/>
                <w:szCs w:val="22"/>
              </w:rPr>
              <w:t>This indicator was deemed to be an overarching indicator of strategy progress and not related specifically to employer engagement.</w:t>
            </w:r>
          </w:p>
        </w:tc>
      </w:tr>
      <w:tr w:rsidR="009B5399" w:rsidRPr="00E44373" w14:paraId="3DE3D94E" w14:textId="77777777" w:rsidTr="00B42243">
        <w:tc>
          <w:tcPr>
            <w:tcW w:w="2122" w:type="dxa"/>
            <w:shd w:val="clear" w:color="auto" w:fill="auto"/>
          </w:tcPr>
          <w:p w14:paraId="1DF4F372" w14:textId="77777777" w:rsidR="009B5399" w:rsidRPr="00372D71" w:rsidRDefault="009B5399" w:rsidP="009B5399">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592C26E4" w14:textId="77777777" w:rsidR="009B5399" w:rsidRPr="00372D71" w:rsidRDefault="009B5399" w:rsidP="009B5399">
            <w:pPr>
              <w:spacing w:after="0"/>
              <w:rPr>
                <w:sz w:val="22"/>
                <w:szCs w:val="22"/>
              </w:rPr>
            </w:pPr>
            <w:r w:rsidRPr="00372D71">
              <w:rPr>
                <w:sz w:val="22"/>
                <w:szCs w:val="22"/>
              </w:rPr>
              <w:t>Percentage of people with a disability employed in the public sector</w:t>
            </w:r>
          </w:p>
        </w:tc>
        <w:tc>
          <w:tcPr>
            <w:tcW w:w="3685" w:type="dxa"/>
          </w:tcPr>
          <w:p w14:paraId="0DDCE7CD" w14:textId="210C1B87" w:rsidR="009B5399" w:rsidRPr="00372D71" w:rsidRDefault="009B5399" w:rsidP="009B5399">
            <w:pPr>
              <w:spacing w:after="0"/>
              <w:rPr>
                <w:sz w:val="22"/>
                <w:szCs w:val="22"/>
              </w:rPr>
            </w:pPr>
            <w:r>
              <w:rPr>
                <w:sz w:val="22"/>
                <w:szCs w:val="22"/>
              </w:rPr>
              <w:t>Yes. Removed from SP6 and reported as a primary indicator of the strategy.</w:t>
            </w:r>
          </w:p>
        </w:tc>
        <w:tc>
          <w:tcPr>
            <w:tcW w:w="2835" w:type="dxa"/>
          </w:tcPr>
          <w:p w14:paraId="6EB55752" w14:textId="7BB778A5" w:rsidR="009B5399" w:rsidRPr="00372D71" w:rsidRDefault="009B5399" w:rsidP="009B5399">
            <w:pPr>
              <w:spacing w:after="0"/>
              <w:rPr>
                <w:sz w:val="22"/>
                <w:szCs w:val="22"/>
              </w:rPr>
            </w:pPr>
            <w:r>
              <w:rPr>
                <w:sz w:val="22"/>
                <w:szCs w:val="22"/>
              </w:rPr>
              <w:t>This indicator was deemed to be an overarching indicator of strategy progress and not related specifically to employer engagement.</w:t>
            </w:r>
          </w:p>
        </w:tc>
      </w:tr>
      <w:tr w:rsidR="009B5399" w:rsidRPr="00E44373" w14:paraId="10758E1F" w14:textId="77777777" w:rsidTr="00B42243">
        <w:tc>
          <w:tcPr>
            <w:tcW w:w="2122" w:type="dxa"/>
            <w:shd w:val="clear" w:color="auto" w:fill="auto"/>
          </w:tcPr>
          <w:p w14:paraId="69144A31" w14:textId="77777777" w:rsidR="009B5399" w:rsidRPr="00372D71" w:rsidRDefault="009B5399" w:rsidP="009B5399">
            <w:pPr>
              <w:rPr>
                <w:sz w:val="22"/>
                <w:szCs w:val="22"/>
              </w:rPr>
            </w:pPr>
            <w:r w:rsidRPr="00372D71">
              <w:rPr>
                <w:sz w:val="22"/>
                <w:szCs w:val="22"/>
              </w:rPr>
              <w:t xml:space="preserve">SP6: Engage </w:t>
            </w:r>
            <w:r>
              <w:rPr>
                <w:sz w:val="22"/>
                <w:szCs w:val="22"/>
              </w:rPr>
              <w:t>e</w:t>
            </w:r>
            <w:r w:rsidRPr="00372D71">
              <w:rPr>
                <w:sz w:val="22"/>
                <w:szCs w:val="22"/>
              </w:rPr>
              <w:t>mployers</w:t>
            </w:r>
          </w:p>
        </w:tc>
        <w:tc>
          <w:tcPr>
            <w:tcW w:w="4536" w:type="dxa"/>
            <w:shd w:val="clear" w:color="auto" w:fill="auto"/>
          </w:tcPr>
          <w:p w14:paraId="4A6F373B" w14:textId="448C363A" w:rsidR="009B5399" w:rsidRPr="00372D71" w:rsidRDefault="009B5399" w:rsidP="009B5399">
            <w:pPr>
              <w:rPr>
                <w:sz w:val="22"/>
                <w:szCs w:val="22"/>
              </w:rPr>
            </w:pPr>
            <w:r w:rsidRPr="006825D6">
              <w:rPr>
                <w:sz w:val="22"/>
                <w:szCs w:val="22"/>
              </w:rPr>
              <w:t>Percentage of persons with and without a disability who are self-employed</w:t>
            </w:r>
          </w:p>
        </w:tc>
        <w:tc>
          <w:tcPr>
            <w:tcW w:w="3685" w:type="dxa"/>
          </w:tcPr>
          <w:p w14:paraId="27A6AED2" w14:textId="7D2DC84A" w:rsidR="009B5399" w:rsidRPr="00372D71" w:rsidRDefault="009B5399" w:rsidP="009B5399">
            <w:pPr>
              <w:rPr>
                <w:sz w:val="22"/>
                <w:szCs w:val="22"/>
              </w:rPr>
            </w:pPr>
            <w:r>
              <w:rPr>
                <w:sz w:val="22"/>
                <w:szCs w:val="22"/>
              </w:rPr>
              <w:t>Yes.</w:t>
            </w:r>
            <w:r w:rsidR="008F41C3">
              <w:rPr>
                <w:sz w:val="22"/>
                <w:szCs w:val="22"/>
              </w:rPr>
              <w:t xml:space="preserve"> Removed from SP6 and reported instead under SP2 (2.7.1). </w:t>
            </w:r>
          </w:p>
        </w:tc>
        <w:tc>
          <w:tcPr>
            <w:tcW w:w="2835" w:type="dxa"/>
          </w:tcPr>
          <w:p w14:paraId="408D86B4" w14:textId="5F4AD2D1" w:rsidR="009B5399" w:rsidRPr="00372D71" w:rsidRDefault="008F41C3" w:rsidP="009B5399">
            <w:pPr>
              <w:rPr>
                <w:sz w:val="22"/>
                <w:szCs w:val="22"/>
              </w:rPr>
            </w:pPr>
            <w:r>
              <w:rPr>
                <w:sz w:val="22"/>
                <w:szCs w:val="22"/>
              </w:rPr>
              <w:t>The indicator is now considered in conjunction with the indicator relating to supports provided to people with disabilities by Enterprise Ireland.</w:t>
            </w:r>
          </w:p>
        </w:tc>
      </w:tr>
    </w:tbl>
    <w:p w14:paraId="499AC768" w14:textId="4715E319" w:rsidR="006F7CD1" w:rsidRPr="006F7CD1" w:rsidRDefault="006F7CD1" w:rsidP="000F51CB"/>
    <w:sectPr w:rsidR="006F7CD1" w:rsidRPr="006F7CD1" w:rsidSect="00085A8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C0A3" w14:textId="77777777" w:rsidR="00511ED9" w:rsidRDefault="00511ED9">
      <w:r>
        <w:separator/>
      </w:r>
    </w:p>
  </w:endnote>
  <w:endnote w:type="continuationSeparator" w:id="0">
    <w:p w14:paraId="1AFD672A" w14:textId="77777777" w:rsidR="00511ED9" w:rsidRDefault="0051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EF-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HelveticaNeue">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24847"/>
      <w:docPartObj>
        <w:docPartGallery w:val="Page Numbers (Bottom of Page)"/>
        <w:docPartUnique/>
      </w:docPartObj>
    </w:sdtPr>
    <w:sdtEndPr/>
    <w:sdtContent>
      <w:p w14:paraId="7E8E4CCA" w14:textId="4287DAAD" w:rsidR="00E73256" w:rsidRDefault="00E73256">
        <w:pPr>
          <w:pStyle w:val="Footer"/>
          <w:jc w:val="center"/>
        </w:pPr>
        <w:r>
          <w:fldChar w:fldCharType="begin"/>
        </w:r>
        <w:r>
          <w:instrText>PAGE   \* MERGEFORMAT</w:instrText>
        </w:r>
        <w:r>
          <w:fldChar w:fldCharType="separate"/>
        </w:r>
        <w:r>
          <w:rPr>
            <w:lang w:val="en-GB"/>
          </w:rPr>
          <w:t>2</w:t>
        </w:r>
        <w:r>
          <w:fldChar w:fldCharType="end"/>
        </w:r>
      </w:p>
    </w:sdtContent>
  </w:sdt>
  <w:p w14:paraId="17C39923" w14:textId="77777777" w:rsidR="00E73256" w:rsidRDefault="00E73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A687" w14:textId="77777777" w:rsidR="009C4D62" w:rsidRDefault="009C4D62">
    <w:pPr>
      <w:pStyle w:val="Footer"/>
    </w:pPr>
    <w:r>
      <w:tab/>
    </w:r>
    <w:r>
      <w:tab/>
    </w:r>
    <w:r>
      <w:fldChar w:fldCharType="begin"/>
    </w:r>
    <w:r>
      <w:instrText xml:space="preserve"> PAGE  \* Arabic  \* MERGEFORMAT </w:instrText>
    </w:r>
    <w:r>
      <w:fldChar w:fldCharType="separate"/>
    </w:r>
    <w:r w:rsidR="006E0C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F833" w14:textId="77777777" w:rsidR="00511ED9" w:rsidRDefault="00511ED9">
      <w:r>
        <w:separator/>
      </w:r>
    </w:p>
  </w:footnote>
  <w:footnote w:type="continuationSeparator" w:id="0">
    <w:p w14:paraId="3960CB53" w14:textId="77777777" w:rsidR="00511ED9" w:rsidRDefault="00511ED9">
      <w:r>
        <w:continuationSeparator/>
      </w:r>
    </w:p>
  </w:footnote>
  <w:footnote w:id="1">
    <w:p w14:paraId="675EA06E" w14:textId="136C4CD4" w:rsidR="00115B50" w:rsidRDefault="00115B50">
      <w:pPr>
        <w:pStyle w:val="FootnoteText"/>
      </w:pPr>
      <w:r w:rsidRPr="00233BC4">
        <w:rPr>
          <w:rStyle w:val="FootnoteReference"/>
        </w:rPr>
        <w:footnoteRef/>
      </w:r>
      <w:r>
        <w:t xml:space="preserve"> DCEDIY was formed in 2020 and responsibility for disability policy transferred from the Department of Justice and Equality. </w:t>
      </w:r>
    </w:p>
  </w:footnote>
  <w:footnote w:id="2">
    <w:p w14:paraId="0E9532ED" w14:textId="039058AA" w:rsidR="009C604C" w:rsidRDefault="009C604C">
      <w:pPr>
        <w:pStyle w:val="FootnoteText"/>
      </w:pPr>
      <w:r w:rsidRPr="00233BC4">
        <w:rPr>
          <w:rStyle w:val="FootnoteReference"/>
        </w:rPr>
        <w:footnoteRef/>
      </w:r>
      <w:r>
        <w:t xml:space="preserve"> The National Strategy for Women and Girls, the Migrant Integration Strategy, and the National Traveller and Roma Inclusion Strategy.</w:t>
      </w:r>
    </w:p>
  </w:footnote>
  <w:footnote w:id="3">
    <w:p w14:paraId="0F34519C" w14:textId="4CBA76B8" w:rsidR="00373B15" w:rsidRDefault="00373B15">
      <w:pPr>
        <w:pStyle w:val="FootnoteText"/>
      </w:pPr>
      <w:r w:rsidRPr="00233BC4">
        <w:rPr>
          <w:rStyle w:val="FootnoteReference"/>
        </w:rPr>
        <w:footnoteRef/>
      </w:r>
      <w:r>
        <w:t xml:space="preserve"> Although a repo</w:t>
      </w:r>
      <w:r w:rsidR="007E06E7">
        <w:t>r</w:t>
      </w:r>
      <w:r>
        <w:t>t on the Green Paper</w:t>
      </w:r>
      <w:r w:rsidR="007E06E7">
        <w:t xml:space="preserve"> consultation</w:t>
      </w:r>
      <w:r>
        <w:t xml:space="preserve"> has not yet been published </w:t>
      </w:r>
      <w:r w:rsidR="005C0EF7">
        <w:t>the NDA were present</w:t>
      </w:r>
      <w:r w:rsidR="00701F82">
        <w:t xml:space="preserve"> at</w:t>
      </w:r>
      <w:r w:rsidR="005C0EF7">
        <w:t xml:space="preserve"> or assisted with a number of the </w:t>
      </w:r>
      <w:r w:rsidR="007E06E7">
        <w:t>consultation sessions</w:t>
      </w:r>
      <w:r w:rsidR="005C0EF7">
        <w:t xml:space="preserve"> </w:t>
      </w:r>
      <w:hyperlink w:history="1">
        <w:r w:rsidR="005C0EF7" w:rsidRPr="00BE32AF">
          <w:rPr>
            <w:rStyle w:val="Hyperlink"/>
          </w:rPr>
          <w:t>gov.ie - Green Paper on Disability Reform: A Public Consultation to Reform Disability Payments in Ireland (www.gov.ie)</w:t>
        </w:r>
      </w:hyperlink>
    </w:p>
  </w:footnote>
  <w:footnote w:id="4">
    <w:p w14:paraId="7458D8C2" w14:textId="4AE40EE8" w:rsidR="006C6FF7" w:rsidRDefault="006C6FF7" w:rsidP="006C6FF7">
      <w:pPr>
        <w:pStyle w:val="FootnoteText"/>
      </w:pPr>
      <w:r w:rsidRPr="00233BC4">
        <w:rPr>
          <w:rStyle w:val="FootnoteReference"/>
        </w:rPr>
        <w:footnoteRef/>
      </w:r>
      <w:r>
        <w:t xml:space="preserve"> This census was planned for 2021 but delayed to 2022 due to the C</w:t>
      </w:r>
      <w:r w:rsidR="00703626">
        <w:t>OVID</w:t>
      </w:r>
      <w:r>
        <w:t>-19 pandemic.</w:t>
      </w:r>
    </w:p>
  </w:footnote>
  <w:footnote w:id="5">
    <w:p w14:paraId="42640986" w14:textId="11DBE4F7" w:rsidR="00927F78" w:rsidRDefault="00927F78" w:rsidP="00927F78">
      <w:pPr>
        <w:pStyle w:val="FootnoteText"/>
      </w:pPr>
      <w:r w:rsidRPr="00233BC4">
        <w:rPr>
          <w:rStyle w:val="FootnoteReference"/>
        </w:rPr>
        <w:footnoteRef/>
      </w:r>
      <w:r>
        <w:t xml:space="preserve"> </w:t>
      </w:r>
      <w:r w:rsidRPr="006B5289">
        <w:rPr>
          <w:rFonts w:ascii="Gill Sans MT" w:hAnsi="Gill Sans MT"/>
          <w:szCs w:val="26"/>
        </w:rPr>
        <w:t>Data on disability were derived from answers to two questions on the Census 2022 form. In the first question, census respondents were asked to indicate if they had any of a list of long-lasting conditions or difficulties, by choosing one of three response options: ‘yes, to some extent’, ‘yes, to a great extent’ or ‘no’. In previous censuses, only two response options were provided: ‘yes’ and ‘no’. The second question asked respondents to indicate whether they had difficulty doing any of a series of daily activities, by responding that they had ‘no difficulty’, ‘some difficulty’ or ‘a lot of difficulty’. In previous censuses, respondents were only asked to respond to this question on activity limitation if they had already indicated that they experienced one of the conditions or difficulties in the previous question; in 2022, everyone was asked to respond to both questions.</w:t>
      </w:r>
      <w:r>
        <w:rPr>
          <w:rFonts w:ascii="Gill Sans MT" w:hAnsi="Gill Sans MT"/>
          <w:szCs w:val="26"/>
        </w:rPr>
        <w:t xml:space="preserve"> </w:t>
      </w:r>
      <w:r>
        <w:t>In 2016, 13.5% of the population of Ireland was classified has having a disability. In Census 2022, 21.5% of the population had a disability (to any extent). Specifically, 8% of the population had a disability ‘to a great extent’, and 14% had a disability ‘to some extent’. It is not possible to say with any certainty whether this increase represents (or to what extent it represents) an actual increase in disability prevalence or instead reflects the changes to the census questions</w:t>
      </w:r>
      <w:r w:rsidR="0091045A">
        <w:t>.</w:t>
      </w:r>
    </w:p>
  </w:footnote>
  <w:footnote w:id="6">
    <w:p w14:paraId="77C361F6" w14:textId="77777777" w:rsidR="0045592E" w:rsidRPr="00E14F67" w:rsidRDefault="0045592E" w:rsidP="0045592E">
      <w:pPr>
        <w:spacing w:after="0"/>
        <w:rPr>
          <w:color w:val="000000" w:themeColor="text1"/>
          <w:sz w:val="20"/>
          <w:szCs w:val="20"/>
          <w:lang w:eastAsia="en-IE"/>
        </w:rPr>
      </w:pPr>
      <w:r w:rsidRPr="00233BC4">
        <w:rPr>
          <w:rStyle w:val="FootnoteReference"/>
        </w:rPr>
        <w:footnoteRef/>
      </w:r>
      <w:r w:rsidRPr="00E14F67">
        <w:rPr>
          <w:sz w:val="20"/>
          <w:szCs w:val="20"/>
        </w:rPr>
        <w:t xml:space="preserve"> </w:t>
      </w:r>
      <w:r w:rsidRPr="00E14F67">
        <w:rPr>
          <w:color w:val="000000" w:themeColor="text1"/>
          <w:sz w:val="20"/>
          <w:szCs w:val="20"/>
          <w:lang w:eastAsia="en-IE"/>
        </w:rPr>
        <w:t xml:space="preserve">Relevant refers to the public bodies that report under Part 5 of the </w:t>
      </w:r>
      <w:r w:rsidRPr="00E14F67">
        <w:rPr>
          <w:color w:val="000000" w:themeColor="text1"/>
          <w:sz w:val="20"/>
          <w:szCs w:val="20"/>
        </w:rPr>
        <w:t>Disability Act 2005.</w:t>
      </w:r>
      <w:r w:rsidRPr="00E14F67">
        <w:rPr>
          <w:color w:val="000000" w:themeColor="text1"/>
          <w:sz w:val="20"/>
          <w:szCs w:val="20"/>
          <w:lang w:eastAsia="en-IE"/>
        </w:rPr>
        <w:t xml:space="preserve"> Section (3) of Part 5 of the Act states that there are public bodies which Part 5 does not apply to.</w:t>
      </w:r>
    </w:p>
  </w:footnote>
  <w:footnote w:id="7">
    <w:p w14:paraId="20C490FA" w14:textId="17D887C1" w:rsidR="00712F0F" w:rsidRDefault="00712F0F" w:rsidP="00712F0F">
      <w:pPr>
        <w:pStyle w:val="FootnoteText"/>
      </w:pPr>
      <w:r w:rsidRPr="00233BC4">
        <w:rPr>
          <w:rStyle w:val="FootnoteReference"/>
        </w:rPr>
        <w:footnoteRef/>
      </w:r>
      <w:r>
        <w:t xml:space="preserve"> SILC </w:t>
      </w:r>
      <w:r w:rsidR="00BD372E">
        <w:t>collects data on</w:t>
      </w:r>
      <w:r>
        <w:t xml:space="preserve"> Global Activity Limitation Indicator (GALI), which captures the respondent’s self-assessment of whether he/she is limited in </w:t>
      </w:r>
      <w:r w:rsidR="007241F7">
        <w:t>‘</w:t>
      </w:r>
      <w:r>
        <w:t>activities people usually do</w:t>
      </w:r>
      <w:r w:rsidR="007241F7">
        <w:t>’</w:t>
      </w:r>
      <w:r>
        <w:t xml:space="preserve"> by any on-going physical, mental or emotional health problem, including disease or impairment, and old age.</w:t>
      </w:r>
      <w:r w:rsidR="00BD372E">
        <w:t xml:space="preserve"> It does not ask people directly to indicate whether they have a disability.</w:t>
      </w:r>
    </w:p>
  </w:footnote>
  <w:footnote w:id="8">
    <w:p w14:paraId="22830699" w14:textId="68DCC869" w:rsidR="003704CE" w:rsidRDefault="003704CE">
      <w:pPr>
        <w:pStyle w:val="FootnoteText"/>
      </w:pPr>
      <w:r w:rsidRPr="00233BC4">
        <w:rPr>
          <w:rStyle w:val="FootnoteReference"/>
        </w:rPr>
        <w:footnoteRef/>
      </w:r>
      <w:r>
        <w:t xml:space="preserve"> Data were provided by the CSO for primary, secondary</w:t>
      </w:r>
      <w:r w:rsidR="007241F7">
        <w:t>,</w:t>
      </w:r>
      <w:r>
        <w:t xml:space="preserve"> and tertiary education, but not for further education and training</w:t>
      </w:r>
      <w:r w:rsidR="0002641B">
        <w:t xml:space="preserve"> specifically</w:t>
      </w:r>
      <w:r>
        <w:t>.</w:t>
      </w:r>
    </w:p>
  </w:footnote>
  <w:footnote w:id="9">
    <w:p w14:paraId="144D4B0F" w14:textId="3600A89F" w:rsidR="0002641B" w:rsidRDefault="0002641B">
      <w:pPr>
        <w:pStyle w:val="FootnoteText"/>
      </w:pPr>
      <w:r w:rsidRPr="00233BC4">
        <w:rPr>
          <w:rStyle w:val="FootnoteReference"/>
        </w:rPr>
        <w:footnoteRef/>
      </w:r>
      <w:r>
        <w:t xml:space="preserve"> See: </w:t>
      </w:r>
      <w:r w:rsidRPr="00011847">
        <w:t>https://universaldesign.ie/education</w:t>
      </w:r>
    </w:p>
  </w:footnote>
  <w:footnote w:id="10">
    <w:p w14:paraId="1A9B71BA" w14:textId="0529A994" w:rsidR="00DB44F0" w:rsidRDefault="00DB44F0">
      <w:pPr>
        <w:pStyle w:val="FootnoteText"/>
      </w:pPr>
      <w:r w:rsidRPr="00233BC4">
        <w:rPr>
          <w:rStyle w:val="FootnoteReference"/>
        </w:rPr>
        <w:footnoteRef/>
      </w:r>
      <w:r>
        <w:t xml:space="preserve"> </w:t>
      </w:r>
      <w:r w:rsidR="00AB7F3E" w:rsidRPr="00AB7F3E">
        <w:t>The Minister for Social Protection made her decision on this issue following direct engagement with DCU PhD student Catherine Gallagher.</w:t>
      </w:r>
      <w:r w:rsidR="00AB7F3E">
        <w:t xml:space="preserve"> </w:t>
      </w:r>
      <w:r w:rsidR="00AB7F3E">
        <w:fldChar w:fldCharType="begin"/>
      </w:r>
      <w:r w:rsidR="00C0772E">
        <w:instrText xml:space="preserve"> ADDIN ZOTERO_ITEM CSL_CITATION {"citationID":"UJfFoDIq","properties":{"formattedCitation":"(29)","plainCitation":"(29)","noteIndex":10},"citationItems":[{"id":295,"uris":["http://zotero.org/users/local/kvLunvBP/items/KDMGH83E"],"itemData":{"id":295,"type":"webpage","language":"en","title":"Ministers Humphreys and McGrath extend ‘Catherine’s Law’ to further remove barriers facing PhD students with disabilities","URL":"https://www.gov.ie/en/press-release/a9209-ministers-humphreys-and-mcgrath-extend-catherines-law-to-further-remove-barriers-facing-phd-students-with-disabilities/","author":[{"family":"Department of Social Protection","given":""}],"accessed":{"date-parts":[["2024",10,18]]},"issued":{"date-parts":[["2022",3,15]]}}}],"schema":"https://github.com/citation-style-language/schema/raw/master/csl-citation.json"} </w:instrText>
      </w:r>
      <w:r w:rsidR="00AB7F3E">
        <w:fldChar w:fldCharType="separate"/>
      </w:r>
      <w:r w:rsidR="00C0772E" w:rsidRPr="00C0772E">
        <w:t>(29)</w:t>
      </w:r>
      <w:r w:rsidR="00AB7F3E">
        <w:fldChar w:fldCharType="end"/>
      </w:r>
    </w:p>
  </w:footnote>
  <w:footnote w:id="11">
    <w:p w14:paraId="39FC127B" w14:textId="5C4793F8" w:rsidR="0044450B" w:rsidRDefault="0044450B">
      <w:pPr>
        <w:pStyle w:val="FootnoteText"/>
      </w:pPr>
      <w:r w:rsidRPr="00233BC4">
        <w:rPr>
          <w:rStyle w:val="FootnoteReference"/>
        </w:rPr>
        <w:footnoteRef/>
      </w:r>
      <w:r>
        <w:t xml:space="preserve"> </w:t>
      </w:r>
      <w:r w:rsidRPr="0044450B">
        <w:rPr>
          <w:sz w:val="20"/>
        </w:rPr>
        <w:t>This project involved the development and implementation of a speech and language and occupational therapeutic support model for mainstream schools, special schools</w:t>
      </w:r>
      <w:r>
        <w:rPr>
          <w:sz w:val="20"/>
        </w:rPr>
        <w:t>,</w:t>
      </w:r>
      <w:r w:rsidRPr="0044450B">
        <w:rPr>
          <w:sz w:val="20"/>
        </w:rPr>
        <w:t xml:space="preserve"> and early years</w:t>
      </w:r>
      <w:r>
        <w:rPr>
          <w:sz w:val="20"/>
        </w:rPr>
        <w:t xml:space="preserve"> </w:t>
      </w:r>
      <w:r w:rsidRPr="0044450B">
        <w:rPr>
          <w:sz w:val="20"/>
        </w:rPr>
        <w:t xml:space="preserve">settings. </w:t>
      </w:r>
      <w:r>
        <w:rPr>
          <w:sz w:val="20"/>
        </w:rPr>
        <w:t>Through a</w:t>
      </w:r>
      <w:r w:rsidRPr="0044450B">
        <w:rPr>
          <w:sz w:val="20"/>
        </w:rPr>
        <w:t xml:space="preserve"> collaboration between the Department of Health, </w:t>
      </w:r>
      <w:r>
        <w:rPr>
          <w:sz w:val="20"/>
        </w:rPr>
        <w:t xml:space="preserve">Department of </w:t>
      </w:r>
      <w:r w:rsidRPr="0044450B">
        <w:rPr>
          <w:sz w:val="20"/>
        </w:rPr>
        <w:t>Education</w:t>
      </w:r>
      <w:r>
        <w:rPr>
          <w:sz w:val="20"/>
        </w:rPr>
        <w:t>,</w:t>
      </w:r>
      <w:r w:rsidRPr="0044450B">
        <w:rPr>
          <w:sz w:val="20"/>
        </w:rPr>
        <w:t xml:space="preserve"> </w:t>
      </w:r>
      <w:r>
        <w:rPr>
          <w:sz w:val="20"/>
        </w:rPr>
        <w:t>DCEDIY,</w:t>
      </w:r>
      <w:r w:rsidRPr="0044450B">
        <w:rPr>
          <w:sz w:val="20"/>
        </w:rPr>
        <w:t xml:space="preserve"> the HSE and the NCSE</w:t>
      </w:r>
      <w:r>
        <w:rPr>
          <w:sz w:val="20"/>
        </w:rPr>
        <w:t>,</w:t>
      </w:r>
      <w:r w:rsidRPr="0044450B">
        <w:rPr>
          <w:sz w:val="20"/>
        </w:rPr>
        <w:t xml:space="preserve"> therapeutic supports </w:t>
      </w:r>
      <w:r>
        <w:rPr>
          <w:sz w:val="20"/>
        </w:rPr>
        <w:t xml:space="preserve">were collectively delivered </w:t>
      </w:r>
      <w:r w:rsidRPr="0044450B">
        <w:rPr>
          <w:sz w:val="20"/>
        </w:rPr>
        <w:t>and capacity</w:t>
      </w:r>
      <w:r>
        <w:rPr>
          <w:sz w:val="20"/>
        </w:rPr>
        <w:t xml:space="preserve"> built across</w:t>
      </w:r>
      <w:r w:rsidRPr="0044450B">
        <w:rPr>
          <w:sz w:val="20"/>
        </w:rPr>
        <w:t xml:space="preserve"> 75 schools and 75 early years</w:t>
      </w:r>
      <w:r w:rsidR="00E063E3">
        <w:rPr>
          <w:sz w:val="20"/>
        </w:rPr>
        <w:t xml:space="preserve"> </w:t>
      </w:r>
      <w:r w:rsidRPr="0044450B">
        <w:rPr>
          <w:sz w:val="20"/>
        </w:rPr>
        <w:t>settings under a new model of provision</w:t>
      </w:r>
      <w:r>
        <w:rPr>
          <w:sz w:val="20"/>
        </w:rPr>
        <w:t xml:space="preserve"> </w:t>
      </w:r>
      <w:r>
        <w:rPr>
          <w:sz w:val="20"/>
        </w:rPr>
        <w:fldChar w:fldCharType="begin"/>
      </w:r>
      <w:r w:rsidR="00C0772E">
        <w:rPr>
          <w:sz w:val="20"/>
        </w:rPr>
        <w:instrText xml:space="preserve"> ADDIN ZOTERO_ITEM CSL_CITATION {"citationID":"cP3mDKOC","properties":{"formattedCitation":"(33)","plainCitation":"(33)","noteIndex":11},"citationItems":[{"id":292,"uris":["http://zotero.org/users/local/kvLunvBP/items/KJGVAXHW"],"itemData":{"id":292,"type":"report","publisher":"National Council for Special Education","title":"Evaluation of In-School and  Early Years Therapy Support  Demonstration Project","URL":"https://ncse.ie/wp-content/uploads/2020/11/Demo-project-evaluation-fInal-for-web-upload.pdf","author":[{"family":"Lynch","given":"Helen"},{"family":"Ring","given":"Emer"},{"family":"Boyle","given":"Brian"},{"family":"Moore","given":"Alice"},{"family":"O'Toole","given":"Ciara"},{"family":"O'Sullivan","given":"Lisha"},{"family":"Brophy","given":"Therese"},{"family":"Frizelle","given":"Pauline"},{"family":"Horgan","given":"Deirdre"},{"family":"O'Sullivan","given":"Dan"}],"issued":{"date-parts":[["2020"]]}}}],"schema":"https://github.com/citation-style-language/schema/raw/master/csl-citation.json"} </w:instrText>
      </w:r>
      <w:r>
        <w:rPr>
          <w:sz w:val="20"/>
        </w:rPr>
        <w:fldChar w:fldCharType="separate"/>
      </w:r>
      <w:r w:rsidR="00C0772E" w:rsidRPr="00C0772E">
        <w:rPr>
          <w:sz w:val="20"/>
        </w:rPr>
        <w:t>(33)</w:t>
      </w:r>
      <w:r>
        <w:rPr>
          <w:sz w:val="20"/>
        </w:rPr>
        <w:fldChar w:fldCharType="end"/>
      </w:r>
    </w:p>
  </w:footnote>
  <w:footnote w:id="12">
    <w:p w14:paraId="21FDBAEC" w14:textId="5C70255E" w:rsidR="00EC0082" w:rsidRPr="00C055E8" w:rsidRDefault="00EC0082" w:rsidP="00EC0082">
      <w:pPr>
        <w:pStyle w:val="FootnoteText"/>
        <w:spacing w:after="0"/>
        <w:rPr>
          <w:sz w:val="20"/>
        </w:rPr>
      </w:pPr>
      <w:r w:rsidRPr="00233BC4">
        <w:rPr>
          <w:rStyle w:val="FootnoteReference"/>
        </w:rPr>
        <w:footnoteRef/>
      </w:r>
      <w:r w:rsidRPr="00C055E8">
        <w:rPr>
          <w:sz w:val="20"/>
        </w:rPr>
        <w:t xml:space="preserve"> The </w:t>
      </w:r>
      <w:r w:rsidR="00873D6F">
        <w:rPr>
          <w:sz w:val="20"/>
        </w:rPr>
        <w:t>most up-to-date range of resources is available here:</w:t>
      </w:r>
      <w:r w:rsidR="00037D6B" w:rsidRPr="00C055E8">
        <w:rPr>
          <w:sz w:val="20"/>
        </w:rPr>
        <w:t xml:space="preserve"> </w:t>
      </w:r>
      <w:hyperlink r:id="rId1" w:anchor="transfer-from-primary-to-post-primary" w:history="1">
        <w:r w:rsidR="00037D6B">
          <w:rPr>
            <w:rStyle w:val="Hyperlink"/>
          </w:rPr>
          <w:t>gov - National Educational Psychological Service (NEPS) Guidelines, Tips and Handouts for Parents and Teachers (www.gov.ie)</w:t>
        </w:r>
      </w:hyperlink>
    </w:p>
    <w:p w14:paraId="28591647" w14:textId="380184DD" w:rsidR="00D8268B" w:rsidRPr="00C055E8" w:rsidRDefault="00D8268B" w:rsidP="00EC0082">
      <w:pPr>
        <w:pStyle w:val="FootnoteText"/>
        <w:spacing w:after="0"/>
        <w:rPr>
          <w:sz w:val="20"/>
        </w:rPr>
      </w:pPr>
    </w:p>
  </w:footnote>
  <w:footnote w:id="13">
    <w:p w14:paraId="36AD3E2D" w14:textId="38ED28B4" w:rsidR="008C4769" w:rsidRDefault="008C4769">
      <w:pPr>
        <w:pStyle w:val="FootnoteText"/>
      </w:pPr>
      <w:r w:rsidRPr="00233BC4">
        <w:rPr>
          <w:rStyle w:val="FootnoteReference"/>
        </w:rPr>
        <w:footnoteRef/>
      </w:r>
      <w:r>
        <w:t xml:space="preserve"> </w:t>
      </w:r>
      <w:r w:rsidRPr="00AB308B">
        <w:rPr>
          <w:sz w:val="20"/>
        </w:rPr>
        <w:t>The most up-to-date range of resources is available here:</w:t>
      </w:r>
      <w:r>
        <w:t xml:space="preserve"> </w:t>
      </w:r>
      <w:hyperlink r:id="rId2" w:history="1">
        <w:r w:rsidR="00DE5D04">
          <w:rPr>
            <w:rStyle w:val="Hyperlink"/>
          </w:rPr>
          <w:t>Transitions – National Council for Special Education – Working to deliver a better special education service (ncse.ie)</w:t>
        </w:r>
      </w:hyperlink>
    </w:p>
  </w:footnote>
  <w:footnote w:id="14">
    <w:p w14:paraId="2E7DF4D6" w14:textId="40AA2D63" w:rsidR="00962EBD" w:rsidRDefault="00962EBD">
      <w:pPr>
        <w:pStyle w:val="FootnoteText"/>
      </w:pPr>
      <w:r w:rsidRPr="00233BC4">
        <w:rPr>
          <w:rStyle w:val="FootnoteReference"/>
        </w:rPr>
        <w:footnoteRef/>
      </w:r>
      <w:r>
        <w:t xml:space="preserve"> Some young people have accessed a personalised budget through the personalised budget demonstration programme that is currently ongoing. </w:t>
      </w:r>
    </w:p>
  </w:footnote>
  <w:footnote w:id="15">
    <w:p w14:paraId="58F34FCF" w14:textId="0F6B7ECF" w:rsidR="00273AE2" w:rsidRDefault="00273AE2">
      <w:pPr>
        <w:pStyle w:val="FootnoteText"/>
      </w:pPr>
      <w:r w:rsidRPr="00233BC4">
        <w:rPr>
          <w:rStyle w:val="FootnoteReference"/>
        </w:rPr>
        <w:footnoteRef/>
      </w:r>
      <w:r>
        <w:t xml:space="preserve"> Information provided directly to the NDA by WALK.</w:t>
      </w:r>
    </w:p>
  </w:footnote>
  <w:footnote w:id="16">
    <w:p w14:paraId="69A49989" w14:textId="49C92D7F" w:rsidR="00EC0082" w:rsidRDefault="00EC0082" w:rsidP="00EC0082">
      <w:pPr>
        <w:pStyle w:val="FootnoteText"/>
      </w:pPr>
      <w:r w:rsidRPr="00233BC4">
        <w:rPr>
          <w:rStyle w:val="FootnoteReference"/>
        </w:rPr>
        <w:footnoteRef/>
      </w:r>
      <w:r w:rsidRPr="0027213C">
        <w:t xml:space="preserve"> Unpublished data provided by HSE (Angela Moran)</w:t>
      </w:r>
      <w:r w:rsidR="0027213C">
        <w:t>.</w:t>
      </w:r>
    </w:p>
  </w:footnote>
  <w:footnote w:id="17">
    <w:p w14:paraId="4C62A71C" w14:textId="7CEAD5C5" w:rsidR="00120872" w:rsidRDefault="00120872">
      <w:pPr>
        <w:pStyle w:val="FootnoteText"/>
      </w:pPr>
      <w:r w:rsidRPr="00233BC4">
        <w:rPr>
          <w:rStyle w:val="FootnoteReference"/>
        </w:rPr>
        <w:footnoteRef/>
      </w:r>
      <w:r>
        <w:t xml:space="preserve"> Data provided to the NDA by the DSP.</w:t>
      </w:r>
    </w:p>
  </w:footnote>
  <w:footnote w:id="18">
    <w:p w14:paraId="5BB66609" w14:textId="5FA0A17D" w:rsidR="00C977A0" w:rsidRPr="00C977A0" w:rsidRDefault="00C977A0" w:rsidP="00C977A0">
      <w:pPr>
        <w:pStyle w:val="FootnoteText"/>
        <w:spacing w:after="0"/>
        <w:rPr>
          <w:sz w:val="20"/>
          <w:highlight w:val="yellow"/>
        </w:rPr>
      </w:pPr>
      <w:r w:rsidRPr="00233BC4">
        <w:rPr>
          <w:rStyle w:val="FootnoteReference"/>
        </w:rPr>
        <w:footnoteRef/>
      </w:r>
      <w:r w:rsidRPr="004C3FBA">
        <w:rPr>
          <w:sz w:val="20"/>
        </w:rPr>
        <w:t xml:space="preserve"> Figures from</w:t>
      </w:r>
      <w:r w:rsidR="005D60F8">
        <w:rPr>
          <w:sz w:val="20"/>
        </w:rPr>
        <w:t xml:space="preserve"> the</w:t>
      </w:r>
      <w:r w:rsidRPr="004C3FBA">
        <w:rPr>
          <w:sz w:val="20"/>
        </w:rPr>
        <w:t xml:space="preserve"> DSP presented to</w:t>
      </w:r>
      <w:r w:rsidR="005D60F8">
        <w:rPr>
          <w:sz w:val="20"/>
        </w:rPr>
        <w:t xml:space="preserve"> the</w:t>
      </w:r>
      <w:r w:rsidRPr="004C3FBA">
        <w:rPr>
          <w:sz w:val="20"/>
        </w:rPr>
        <w:t xml:space="preserve"> CESIG in February 2020.</w:t>
      </w:r>
    </w:p>
  </w:footnote>
  <w:footnote w:id="19">
    <w:p w14:paraId="6ECF96C0" w14:textId="77777777" w:rsidR="00175A1A" w:rsidRPr="00C977A0" w:rsidRDefault="00175A1A" w:rsidP="00175A1A">
      <w:pPr>
        <w:pStyle w:val="TableNote"/>
        <w:spacing w:before="0" w:after="0"/>
        <w:jc w:val="left"/>
        <w:rPr>
          <w:highlight w:val="yellow"/>
        </w:rPr>
      </w:pPr>
      <w:r w:rsidRPr="00233BC4">
        <w:rPr>
          <w:rStyle w:val="FootnoteReference"/>
        </w:rPr>
        <w:footnoteRef/>
      </w:r>
      <w:r w:rsidRPr="00E03A3C">
        <w:t xml:space="preserve"> </w:t>
      </w:r>
      <w:r>
        <w:t>Data provided directly to the NDA by the Department of Social Protection.</w:t>
      </w:r>
    </w:p>
  </w:footnote>
  <w:footnote w:id="20">
    <w:p w14:paraId="516D8BA3" w14:textId="3677A271" w:rsidR="00C977A0" w:rsidRPr="00C977A0" w:rsidRDefault="00C977A0" w:rsidP="00C977A0">
      <w:pPr>
        <w:pStyle w:val="FootnoteText"/>
        <w:spacing w:after="0"/>
        <w:rPr>
          <w:highlight w:val="yellow"/>
        </w:rPr>
      </w:pPr>
      <w:r w:rsidRPr="00233BC4">
        <w:rPr>
          <w:rStyle w:val="FootnoteReference"/>
        </w:rPr>
        <w:footnoteRef/>
      </w:r>
      <w:r w:rsidRPr="00E32CD6">
        <w:rPr>
          <w:sz w:val="20"/>
        </w:rPr>
        <w:t xml:space="preserve"> Data on this indicator received from</w:t>
      </w:r>
      <w:r w:rsidR="00E32CD6">
        <w:rPr>
          <w:sz w:val="20"/>
        </w:rPr>
        <w:t xml:space="preserve"> the</w:t>
      </w:r>
      <w:r w:rsidRPr="00E32CD6">
        <w:rPr>
          <w:sz w:val="20"/>
        </w:rPr>
        <w:t xml:space="preserve"> HSE and Genio</w:t>
      </w:r>
      <w:r w:rsidR="00E32CD6">
        <w:rPr>
          <w:sz w:val="20"/>
        </w:rPr>
        <w:t xml:space="preserve"> at the time of the CES midterm review</w:t>
      </w:r>
      <w:r w:rsidRPr="00E32CD6">
        <w:rPr>
          <w:sz w:val="20"/>
        </w:rPr>
        <w:t>.</w:t>
      </w:r>
    </w:p>
  </w:footnote>
  <w:footnote w:id="21">
    <w:p w14:paraId="51CC1DF2" w14:textId="5410A04C" w:rsidR="00E32CD6" w:rsidRDefault="00E32CD6">
      <w:pPr>
        <w:pStyle w:val="FootnoteText"/>
      </w:pPr>
      <w:r w:rsidRPr="00233BC4">
        <w:rPr>
          <w:rStyle w:val="FootnoteReference"/>
        </w:rPr>
        <w:footnoteRef/>
      </w:r>
      <w:r>
        <w:t xml:space="preserve"> </w:t>
      </w:r>
      <w:r w:rsidRPr="00727CB9">
        <w:rPr>
          <w:sz w:val="20"/>
        </w:rPr>
        <w:t xml:space="preserve">Information presented at </w:t>
      </w:r>
      <w:r w:rsidR="00727CB9" w:rsidRPr="00727CB9">
        <w:rPr>
          <w:sz w:val="20"/>
        </w:rPr>
        <w:t>the IPS Conference on 10th October 2024</w:t>
      </w:r>
      <w:r w:rsidR="00727CB9">
        <w:rPr>
          <w:sz w:val="20"/>
        </w:rPr>
        <w:t xml:space="preserve"> and shared with the NDA by Mental Health Reform.</w:t>
      </w:r>
    </w:p>
  </w:footnote>
  <w:footnote w:id="22">
    <w:p w14:paraId="0FDF57ED" w14:textId="77777777" w:rsidR="00E1332C" w:rsidRDefault="00E1332C" w:rsidP="00E1332C">
      <w:pPr>
        <w:pStyle w:val="FootnoteText"/>
      </w:pPr>
      <w:r w:rsidRPr="00233BC4">
        <w:rPr>
          <w:rStyle w:val="FootnoteReference"/>
        </w:rPr>
        <w:footnoteRef/>
      </w:r>
      <w:r>
        <w:t xml:space="preserve"> See </w:t>
      </w:r>
      <w:hyperlink r:id="rId3" w:anchor=":~:text=This%20is%20a%20dedicated%20webpage%20for%20persons%20with,a%20business%20or%20who%20are%20already%20in%20self-employment." w:history="1">
        <w:r w:rsidRPr="00E1332C">
          <w:rPr>
            <w:rStyle w:val="Hyperlink"/>
          </w:rPr>
          <w:t>Self-Employment-Supports-for-Persons-with-Disabilities - Local Enterprise Office</w:t>
        </w:r>
      </w:hyperlink>
    </w:p>
  </w:footnote>
  <w:footnote w:id="23">
    <w:p w14:paraId="32C808EA" w14:textId="77777777" w:rsidR="00D2461E" w:rsidRDefault="00D2461E" w:rsidP="00D2461E">
      <w:pPr>
        <w:pStyle w:val="FootnoteText"/>
      </w:pPr>
      <w:r w:rsidRPr="00233BC4">
        <w:rPr>
          <w:rStyle w:val="FootnoteReference"/>
        </w:rPr>
        <w:footnoteRef/>
      </w:r>
      <w:r>
        <w:t xml:space="preserve"> Data on self-employment among people with disabilities provided directly to the NDA by the CSO.</w:t>
      </w:r>
    </w:p>
  </w:footnote>
  <w:footnote w:id="24">
    <w:p w14:paraId="0E70D083" w14:textId="74A51A1C" w:rsidR="00FD0C3F" w:rsidRDefault="00FD0C3F">
      <w:pPr>
        <w:pStyle w:val="FootnoteText"/>
      </w:pPr>
      <w:r w:rsidRPr="00233BC4">
        <w:rPr>
          <w:rStyle w:val="FootnoteReference"/>
        </w:rPr>
        <w:footnoteRef/>
      </w:r>
      <w:r>
        <w:t xml:space="preserve"> </w:t>
      </w:r>
      <w:r w:rsidRPr="00FD0C3F">
        <w:t xml:space="preserve">Specialisterne Ireland is a specialist consultancy for neurodivergent people </w:t>
      </w:r>
      <w:r>
        <w:t xml:space="preserve">that </w:t>
      </w:r>
      <w:r w:rsidRPr="00FD0C3F">
        <w:t>support</w:t>
      </w:r>
      <w:r>
        <w:t xml:space="preserve">s </w:t>
      </w:r>
      <w:r w:rsidRPr="00FD0C3F">
        <w:t>them into employment.</w:t>
      </w:r>
    </w:p>
  </w:footnote>
  <w:footnote w:id="25">
    <w:p w14:paraId="18BD56ED" w14:textId="155DB43C" w:rsidR="007C601A" w:rsidRPr="00656507" w:rsidRDefault="007C601A" w:rsidP="007C601A">
      <w:pPr>
        <w:pStyle w:val="FootnoteText"/>
        <w:rPr>
          <w:sz w:val="20"/>
        </w:rPr>
      </w:pPr>
      <w:r w:rsidRPr="00233BC4">
        <w:rPr>
          <w:rStyle w:val="FootnoteReference"/>
        </w:rPr>
        <w:footnoteRef/>
      </w:r>
      <w:r w:rsidRPr="006825D6">
        <w:rPr>
          <w:sz w:val="18"/>
          <w:szCs w:val="18"/>
        </w:rPr>
        <w:t xml:space="preserve"> </w:t>
      </w:r>
      <w:r w:rsidRPr="00656507">
        <w:rPr>
          <w:sz w:val="20"/>
        </w:rPr>
        <w:t xml:space="preserve">Partial Capacity Benefit is a social welfare </w:t>
      </w:r>
      <w:r w:rsidR="00633197" w:rsidRPr="00656507">
        <w:rPr>
          <w:sz w:val="20"/>
        </w:rPr>
        <w:t>payment</w:t>
      </w:r>
      <w:r w:rsidRPr="00656507">
        <w:rPr>
          <w:sz w:val="20"/>
        </w:rPr>
        <w:t xml:space="preserve"> </w:t>
      </w:r>
      <w:r w:rsidR="00633197" w:rsidRPr="00656507">
        <w:rPr>
          <w:sz w:val="20"/>
        </w:rPr>
        <w:t>scheme that</w:t>
      </w:r>
      <w:r w:rsidRPr="00656507">
        <w:rPr>
          <w:sz w:val="20"/>
        </w:rPr>
        <w:t xml:space="preserve"> allows </w:t>
      </w:r>
      <w:r w:rsidR="00633197" w:rsidRPr="00656507">
        <w:rPr>
          <w:sz w:val="20"/>
        </w:rPr>
        <w:t xml:space="preserve">an individual </w:t>
      </w:r>
      <w:r w:rsidRPr="00656507">
        <w:rPr>
          <w:sz w:val="20"/>
        </w:rPr>
        <w:t>to return to work or self-employment</w:t>
      </w:r>
      <w:r w:rsidR="00D6067E" w:rsidRPr="00656507">
        <w:rPr>
          <w:sz w:val="20"/>
        </w:rPr>
        <w:t xml:space="preserve"> while continuing</w:t>
      </w:r>
      <w:r w:rsidRPr="00656507">
        <w:rPr>
          <w:sz w:val="20"/>
        </w:rPr>
        <w:t xml:space="preserve"> to receive a payment from </w:t>
      </w:r>
      <w:r w:rsidR="00633197" w:rsidRPr="00656507">
        <w:rPr>
          <w:sz w:val="20"/>
        </w:rPr>
        <w:t>the DSP</w:t>
      </w:r>
      <w:r w:rsidR="00AE3C55" w:rsidRPr="00656507">
        <w:rPr>
          <w:sz w:val="20"/>
        </w:rPr>
        <w:t>, if they have reduced capacity to work</w:t>
      </w:r>
      <w:r w:rsidR="00633197" w:rsidRPr="00656507">
        <w:rPr>
          <w:sz w:val="20"/>
        </w:rPr>
        <w:t>.</w:t>
      </w:r>
    </w:p>
  </w:footnote>
  <w:footnote w:id="26">
    <w:p w14:paraId="32BC6FE1" w14:textId="539C0B07" w:rsidR="007C601A" w:rsidRDefault="007C601A" w:rsidP="007C601A">
      <w:pPr>
        <w:pStyle w:val="FootnoteText"/>
      </w:pPr>
      <w:r w:rsidRPr="00233BC4">
        <w:rPr>
          <w:rStyle w:val="FootnoteReference"/>
        </w:rPr>
        <w:footnoteRef/>
      </w:r>
      <w:r w:rsidRPr="006825D6">
        <w:rPr>
          <w:sz w:val="18"/>
          <w:szCs w:val="18"/>
        </w:rPr>
        <w:t xml:space="preserve"> Illness Benefit is paid by D</w:t>
      </w:r>
      <w:r w:rsidR="001012D7">
        <w:rPr>
          <w:sz w:val="18"/>
          <w:szCs w:val="18"/>
        </w:rPr>
        <w:t>S</w:t>
      </w:r>
      <w:r w:rsidRPr="006825D6">
        <w:rPr>
          <w:sz w:val="18"/>
          <w:szCs w:val="18"/>
        </w:rPr>
        <w:t xml:space="preserve">P to persons who cannot work due to illness. It is paid for up to </w:t>
      </w:r>
      <w:r w:rsidR="00CA2EC0">
        <w:rPr>
          <w:sz w:val="18"/>
          <w:szCs w:val="18"/>
        </w:rPr>
        <w:t>two</w:t>
      </w:r>
      <w:r w:rsidRPr="006825D6">
        <w:rPr>
          <w:sz w:val="18"/>
          <w:szCs w:val="18"/>
        </w:rPr>
        <w:t xml:space="preserve"> years</w:t>
      </w:r>
      <w:r w:rsidR="001012D7">
        <w:rPr>
          <w:sz w:val="18"/>
          <w:szCs w:val="18"/>
        </w:rPr>
        <w:t>,</w:t>
      </w:r>
      <w:r w:rsidRPr="006825D6">
        <w:rPr>
          <w:sz w:val="18"/>
          <w:szCs w:val="18"/>
        </w:rPr>
        <w:t xml:space="preserve"> </w:t>
      </w:r>
      <w:r w:rsidR="00AE3C55">
        <w:rPr>
          <w:sz w:val="18"/>
          <w:szCs w:val="18"/>
        </w:rPr>
        <w:t xml:space="preserve">with the duration </w:t>
      </w:r>
      <w:r w:rsidRPr="006825D6">
        <w:rPr>
          <w:sz w:val="18"/>
          <w:szCs w:val="18"/>
        </w:rPr>
        <w:t xml:space="preserve">depending upon PRSI contributions. If a person remains ill </w:t>
      </w:r>
      <w:r w:rsidR="001012D7">
        <w:rPr>
          <w:sz w:val="18"/>
          <w:szCs w:val="18"/>
        </w:rPr>
        <w:t xml:space="preserve">after this time </w:t>
      </w:r>
      <w:r w:rsidRPr="006825D6">
        <w:rPr>
          <w:sz w:val="18"/>
          <w:szCs w:val="18"/>
        </w:rPr>
        <w:t>and is likely to be permanently incapable of work</w:t>
      </w:r>
      <w:r w:rsidR="001012D7">
        <w:rPr>
          <w:sz w:val="18"/>
          <w:szCs w:val="18"/>
        </w:rPr>
        <w:t>,</w:t>
      </w:r>
      <w:r w:rsidRPr="006825D6">
        <w:rPr>
          <w:sz w:val="18"/>
          <w:szCs w:val="18"/>
        </w:rPr>
        <w:t xml:space="preserve"> they may qualify for Invalidity Pension. If</w:t>
      </w:r>
      <w:r w:rsidR="001012D7">
        <w:rPr>
          <w:sz w:val="18"/>
          <w:szCs w:val="18"/>
        </w:rPr>
        <w:t>,</w:t>
      </w:r>
      <w:r w:rsidRPr="006825D6">
        <w:rPr>
          <w:sz w:val="18"/>
          <w:szCs w:val="18"/>
        </w:rPr>
        <w:t xml:space="preserve"> however</w:t>
      </w:r>
      <w:r w:rsidR="001012D7">
        <w:rPr>
          <w:sz w:val="18"/>
          <w:szCs w:val="18"/>
        </w:rPr>
        <w:t xml:space="preserve">, </w:t>
      </w:r>
      <w:r w:rsidRPr="006825D6">
        <w:rPr>
          <w:sz w:val="18"/>
          <w:szCs w:val="18"/>
        </w:rPr>
        <w:t>a person has a disability that is expected to last for a year or more they may qualify for a means-tested Disability Allowance</w:t>
      </w:r>
      <w:r>
        <w:rPr>
          <w:sz w:val="18"/>
          <w:szCs w:val="18"/>
        </w:rPr>
        <w:t>.</w:t>
      </w:r>
    </w:p>
  </w:footnote>
  <w:footnote w:id="27">
    <w:p w14:paraId="463E9487" w14:textId="5058E9F8" w:rsidR="000A52BC" w:rsidRDefault="000A52BC">
      <w:pPr>
        <w:pStyle w:val="FootnoteText"/>
      </w:pPr>
      <w:r w:rsidRPr="00233BC4">
        <w:rPr>
          <w:rStyle w:val="FootnoteReference"/>
        </w:rPr>
        <w:footnoteRef/>
      </w:r>
      <w:r>
        <w:t xml:space="preserve"> Data provided to the NDA by the DSP.</w:t>
      </w:r>
    </w:p>
  </w:footnote>
  <w:footnote w:id="28">
    <w:p w14:paraId="019983D5" w14:textId="77777777" w:rsidR="0020536D" w:rsidRPr="00717787" w:rsidRDefault="0020536D" w:rsidP="0020536D">
      <w:pPr>
        <w:pStyle w:val="FootnoteText"/>
        <w:spacing w:after="0"/>
        <w:rPr>
          <w:sz w:val="20"/>
          <w:highlight w:val="yellow"/>
        </w:rPr>
      </w:pPr>
      <w:r w:rsidRPr="00233BC4">
        <w:rPr>
          <w:rStyle w:val="FootnoteReference"/>
        </w:rPr>
        <w:footnoteRef/>
      </w:r>
      <w:r w:rsidRPr="00913D92">
        <w:rPr>
          <w:sz w:val="20"/>
        </w:rPr>
        <w:t xml:space="preserve"> Data provided directly to the NDA from the DSP.</w:t>
      </w:r>
    </w:p>
  </w:footnote>
  <w:footnote w:id="29">
    <w:p w14:paraId="39EF61DB" w14:textId="51735A1A" w:rsidR="00EF7BA3" w:rsidRDefault="00EF7BA3">
      <w:pPr>
        <w:pStyle w:val="FootnoteText"/>
      </w:pPr>
      <w:r w:rsidRPr="00233BC4">
        <w:rPr>
          <w:rStyle w:val="FootnoteReference"/>
        </w:rPr>
        <w:footnoteRef/>
      </w:r>
      <w:r>
        <w:t xml:space="preserve"> </w:t>
      </w:r>
      <w:r w:rsidRPr="00EF7BA3">
        <w:t xml:space="preserve">The Disability Awareness Support Scheme </w:t>
      </w:r>
      <w:r>
        <w:t>was a</w:t>
      </w:r>
      <w:r w:rsidRPr="00EF7BA3">
        <w:t xml:space="preserve"> funding</w:t>
      </w:r>
      <w:r>
        <w:t xml:space="preserve"> programme</w:t>
      </w:r>
      <w:r w:rsidRPr="00EF7BA3">
        <w:t xml:space="preserve"> for private sector employers to arrange and pay for disability awareness training for their staff who work with a colleague </w:t>
      </w:r>
      <w:r>
        <w:t xml:space="preserve">with a </w:t>
      </w:r>
      <w:r w:rsidRPr="00EF7BA3">
        <w:t>disability. The maximum funding amount is €20,000</w:t>
      </w:r>
      <w:r>
        <w:t>.</w:t>
      </w:r>
    </w:p>
  </w:footnote>
  <w:footnote w:id="30">
    <w:p w14:paraId="05C6C66C" w14:textId="5250FAC1" w:rsidR="00DF4506" w:rsidRDefault="00DF4506">
      <w:pPr>
        <w:pStyle w:val="FootnoteText"/>
      </w:pPr>
      <w:r w:rsidRPr="00233BC4">
        <w:rPr>
          <w:rStyle w:val="FootnoteReference"/>
        </w:rPr>
        <w:footnoteRef/>
      </w:r>
      <w:r>
        <w:t xml:space="preserve"> </w:t>
      </w:r>
      <w:r w:rsidRPr="00727725">
        <w:rPr>
          <w:sz w:val="20"/>
        </w:rPr>
        <w:t>Information provided directly to the NDA by the DSP.</w:t>
      </w:r>
    </w:p>
  </w:footnote>
  <w:footnote w:id="31">
    <w:p w14:paraId="2019D1D3" w14:textId="77777777" w:rsidR="00B574EA" w:rsidRDefault="00B574EA" w:rsidP="00B574EA">
      <w:pPr>
        <w:pStyle w:val="FootnoteText"/>
      </w:pPr>
      <w:r w:rsidRPr="00233BC4">
        <w:rPr>
          <w:rStyle w:val="FootnoteReference"/>
        </w:rPr>
        <w:footnoteRef/>
      </w:r>
      <w:r>
        <w:t xml:space="preserve"> Information provided directly to the NDA by DPER.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23ED9FE"/>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6" w15:restartNumberingAfterBreak="0">
    <w:nsid w:val="026B047A"/>
    <w:multiLevelType w:val="hybridMultilevel"/>
    <w:tmpl w:val="FD3EF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6203BB0"/>
    <w:multiLevelType w:val="hybridMultilevel"/>
    <w:tmpl w:val="F8800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3A20F9"/>
    <w:multiLevelType w:val="hybridMultilevel"/>
    <w:tmpl w:val="33C44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0927123"/>
    <w:multiLevelType w:val="hybridMultilevel"/>
    <w:tmpl w:val="58122886"/>
    <w:lvl w:ilvl="0" w:tplc="ED5EF6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0D31094"/>
    <w:multiLevelType w:val="hybridMultilevel"/>
    <w:tmpl w:val="41548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3E21C2"/>
    <w:multiLevelType w:val="hybridMultilevel"/>
    <w:tmpl w:val="AC282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7335A4"/>
    <w:multiLevelType w:val="hybridMultilevel"/>
    <w:tmpl w:val="D09CA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284803"/>
    <w:multiLevelType w:val="hybridMultilevel"/>
    <w:tmpl w:val="99ACF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61444C4"/>
    <w:multiLevelType w:val="hybridMultilevel"/>
    <w:tmpl w:val="8AE849E6"/>
    <w:lvl w:ilvl="0" w:tplc="8B16424A">
      <w:start w:val="1"/>
      <w:numFmt w:val="bullet"/>
      <w:lvlText w:val=""/>
      <w:lvlJc w:val="left"/>
      <w:pPr>
        <w:ind w:left="1440" w:hanging="360"/>
      </w:pPr>
      <w:rPr>
        <w:rFonts w:ascii="Symbol" w:hAnsi="Symbol"/>
      </w:rPr>
    </w:lvl>
    <w:lvl w:ilvl="1" w:tplc="756AD418">
      <w:start w:val="1"/>
      <w:numFmt w:val="bullet"/>
      <w:lvlText w:val=""/>
      <w:lvlJc w:val="left"/>
      <w:pPr>
        <w:ind w:left="1440" w:hanging="360"/>
      </w:pPr>
      <w:rPr>
        <w:rFonts w:ascii="Symbol" w:hAnsi="Symbol"/>
      </w:rPr>
    </w:lvl>
    <w:lvl w:ilvl="2" w:tplc="42982AE8">
      <w:start w:val="1"/>
      <w:numFmt w:val="bullet"/>
      <w:lvlText w:val=""/>
      <w:lvlJc w:val="left"/>
      <w:pPr>
        <w:ind w:left="1440" w:hanging="360"/>
      </w:pPr>
      <w:rPr>
        <w:rFonts w:ascii="Symbol" w:hAnsi="Symbol"/>
      </w:rPr>
    </w:lvl>
    <w:lvl w:ilvl="3" w:tplc="93A232D0">
      <w:start w:val="1"/>
      <w:numFmt w:val="bullet"/>
      <w:lvlText w:val=""/>
      <w:lvlJc w:val="left"/>
      <w:pPr>
        <w:ind w:left="1440" w:hanging="360"/>
      </w:pPr>
      <w:rPr>
        <w:rFonts w:ascii="Symbol" w:hAnsi="Symbol"/>
      </w:rPr>
    </w:lvl>
    <w:lvl w:ilvl="4" w:tplc="E5A8F54C">
      <w:start w:val="1"/>
      <w:numFmt w:val="bullet"/>
      <w:lvlText w:val=""/>
      <w:lvlJc w:val="left"/>
      <w:pPr>
        <w:ind w:left="1440" w:hanging="360"/>
      </w:pPr>
      <w:rPr>
        <w:rFonts w:ascii="Symbol" w:hAnsi="Symbol"/>
      </w:rPr>
    </w:lvl>
    <w:lvl w:ilvl="5" w:tplc="1C2283E8">
      <w:start w:val="1"/>
      <w:numFmt w:val="bullet"/>
      <w:lvlText w:val=""/>
      <w:lvlJc w:val="left"/>
      <w:pPr>
        <w:ind w:left="1440" w:hanging="360"/>
      </w:pPr>
      <w:rPr>
        <w:rFonts w:ascii="Symbol" w:hAnsi="Symbol"/>
      </w:rPr>
    </w:lvl>
    <w:lvl w:ilvl="6" w:tplc="E2DA6100">
      <w:start w:val="1"/>
      <w:numFmt w:val="bullet"/>
      <w:lvlText w:val=""/>
      <w:lvlJc w:val="left"/>
      <w:pPr>
        <w:ind w:left="1440" w:hanging="360"/>
      </w:pPr>
      <w:rPr>
        <w:rFonts w:ascii="Symbol" w:hAnsi="Symbol"/>
      </w:rPr>
    </w:lvl>
    <w:lvl w:ilvl="7" w:tplc="D4960DD2">
      <w:start w:val="1"/>
      <w:numFmt w:val="bullet"/>
      <w:lvlText w:val=""/>
      <w:lvlJc w:val="left"/>
      <w:pPr>
        <w:ind w:left="1440" w:hanging="360"/>
      </w:pPr>
      <w:rPr>
        <w:rFonts w:ascii="Symbol" w:hAnsi="Symbol"/>
      </w:rPr>
    </w:lvl>
    <w:lvl w:ilvl="8" w:tplc="AB5C8756">
      <w:start w:val="1"/>
      <w:numFmt w:val="bullet"/>
      <w:lvlText w:val=""/>
      <w:lvlJc w:val="left"/>
      <w:pPr>
        <w:ind w:left="1440" w:hanging="360"/>
      </w:pPr>
      <w:rPr>
        <w:rFonts w:ascii="Symbol" w:hAnsi="Symbol"/>
      </w:rPr>
    </w:lvl>
  </w:abstractNum>
  <w:abstractNum w:abstractNumId="15" w15:restartNumberingAfterBreak="0">
    <w:nsid w:val="1CA92D70"/>
    <w:multiLevelType w:val="hybridMultilevel"/>
    <w:tmpl w:val="CAFA9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1D5B5266"/>
    <w:multiLevelType w:val="hybridMultilevel"/>
    <w:tmpl w:val="B9987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3F7B3E"/>
    <w:multiLevelType w:val="hybridMultilevel"/>
    <w:tmpl w:val="184C9A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4A74C8D"/>
    <w:multiLevelType w:val="hybridMultilevel"/>
    <w:tmpl w:val="DC5E9AA2"/>
    <w:lvl w:ilvl="0" w:tplc="157C96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A3284E"/>
    <w:multiLevelType w:val="hybridMultilevel"/>
    <w:tmpl w:val="089E1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897069"/>
    <w:multiLevelType w:val="hybridMultilevel"/>
    <w:tmpl w:val="374CE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4B2411"/>
    <w:multiLevelType w:val="hybridMultilevel"/>
    <w:tmpl w:val="CF847D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FC82F97"/>
    <w:multiLevelType w:val="hybridMultilevel"/>
    <w:tmpl w:val="F19EF9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12024EC"/>
    <w:multiLevelType w:val="hybridMultilevel"/>
    <w:tmpl w:val="539E4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430E1D"/>
    <w:multiLevelType w:val="hybridMultilevel"/>
    <w:tmpl w:val="12B2B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23B5EA1"/>
    <w:multiLevelType w:val="hybridMultilevel"/>
    <w:tmpl w:val="79C60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D03E2C"/>
    <w:multiLevelType w:val="hybridMultilevel"/>
    <w:tmpl w:val="C84A69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3EC52A2"/>
    <w:multiLevelType w:val="hybridMultilevel"/>
    <w:tmpl w:val="A0545BE0"/>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8" w15:restartNumberingAfterBreak="0">
    <w:nsid w:val="5A427021"/>
    <w:multiLevelType w:val="hybridMultilevel"/>
    <w:tmpl w:val="3834B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3B42D8"/>
    <w:multiLevelType w:val="hybridMultilevel"/>
    <w:tmpl w:val="36E2E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D07489"/>
    <w:multiLevelType w:val="hybridMultilevel"/>
    <w:tmpl w:val="0214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53619F"/>
    <w:multiLevelType w:val="hybridMultilevel"/>
    <w:tmpl w:val="939C3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2D0D40"/>
    <w:multiLevelType w:val="hybridMultilevel"/>
    <w:tmpl w:val="E56E3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522961"/>
    <w:multiLevelType w:val="hybridMultilevel"/>
    <w:tmpl w:val="6C8A70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182D4F"/>
    <w:multiLevelType w:val="hybridMultilevel"/>
    <w:tmpl w:val="B1FCA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775E90"/>
    <w:multiLevelType w:val="hybridMultilevel"/>
    <w:tmpl w:val="06B22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EE6024"/>
    <w:multiLevelType w:val="hybridMultilevel"/>
    <w:tmpl w:val="FA2866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80F50CC"/>
    <w:multiLevelType w:val="hybridMultilevel"/>
    <w:tmpl w:val="F470156C"/>
    <w:lvl w:ilvl="0" w:tplc="199E20C2">
      <w:start w:val="1"/>
      <w:numFmt w:val="bullet"/>
      <w:lvlText w:val=""/>
      <w:lvlJc w:val="left"/>
      <w:pPr>
        <w:ind w:left="1920" w:hanging="360"/>
      </w:pPr>
      <w:rPr>
        <w:rFonts w:ascii="Symbol" w:hAnsi="Symbol"/>
      </w:rPr>
    </w:lvl>
    <w:lvl w:ilvl="1" w:tplc="3184F4B8">
      <w:start w:val="1"/>
      <w:numFmt w:val="bullet"/>
      <w:lvlText w:val=""/>
      <w:lvlJc w:val="left"/>
      <w:pPr>
        <w:ind w:left="1920" w:hanging="360"/>
      </w:pPr>
      <w:rPr>
        <w:rFonts w:ascii="Symbol" w:hAnsi="Symbol"/>
      </w:rPr>
    </w:lvl>
    <w:lvl w:ilvl="2" w:tplc="E2905FD8">
      <w:start w:val="1"/>
      <w:numFmt w:val="bullet"/>
      <w:lvlText w:val=""/>
      <w:lvlJc w:val="left"/>
      <w:pPr>
        <w:ind w:left="1920" w:hanging="360"/>
      </w:pPr>
      <w:rPr>
        <w:rFonts w:ascii="Symbol" w:hAnsi="Symbol"/>
      </w:rPr>
    </w:lvl>
    <w:lvl w:ilvl="3" w:tplc="3C2A89F4">
      <w:start w:val="1"/>
      <w:numFmt w:val="bullet"/>
      <w:lvlText w:val=""/>
      <w:lvlJc w:val="left"/>
      <w:pPr>
        <w:ind w:left="1920" w:hanging="360"/>
      </w:pPr>
      <w:rPr>
        <w:rFonts w:ascii="Symbol" w:hAnsi="Symbol"/>
      </w:rPr>
    </w:lvl>
    <w:lvl w:ilvl="4" w:tplc="E6D8B1EE">
      <w:start w:val="1"/>
      <w:numFmt w:val="bullet"/>
      <w:lvlText w:val=""/>
      <w:lvlJc w:val="left"/>
      <w:pPr>
        <w:ind w:left="1920" w:hanging="360"/>
      </w:pPr>
      <w:rPr>
        <w:rFonts w:ascii="Symbol" w:hAnsi="Symbol"/>
      </w:rPr>
    </w:lvl>
    <w:lvl w:ilvl="5" w:tplc="6B6EE410">
      <w:start w:val="1"/>
      <w:numFmt w:val="bullet"/>
      <w:lvlText w:val=""/>
      <w:lvlJc w:val="left"/>
      <w:pPr>
        <w:ind w:left="1920" w:hanging="360"/>
      </w:pPr>
      <w:rPr>
        <w:rFonts w:ascii="Symbol" w:hAnsi="Symbol"/>
      </w:rPr>
    </w:lvl>
    <w:lvl w:ilvl="6" w:tplc="E9CA953C">
      <w:start w:val="1"/>
      <w:numFmt w:val="bullet"/>
      <w:lvlText w:val=""/>
      <w:lvlJc w:val="left"/>
      <w:pPr>
        <w:ind w:left="1920" w:hanging="360"/>
      </w:pPr>
      <w:rPr>
        <w:rFonts w:ascii="Symbol" w:hAnsi="Symbol"/>
      </w:rPr>
    </w:lvl>
    <w:lvl w:ilvl="7" w:tplc="B1B4EFAA">
      <w:start w:val="1"/>
      <w:numFmt w:val="bullet"/>
      <w:lvlText w:val=""/>
      <w:lvlJc w:val="left"/>
      <w:pPr>
        <w:ind w:left="1920" w:hanging="360"/>
      </w:pPr>
      <w:rPr>
        <w:rFonts w:ascii="Symbol" w:hAnsi="Symbol"/>
      </w:rPr>
    </w:lvl>
    <w:lvl w:ilvl="8" w:tplc="034008EC">
      <w:start w:val="1"/>
      <w:numFmt w:val="bullet"/>
      <w:lvlText w:val=""/>
      <w:lvlJc w:val="left"/>
      <w:pPr>
        <w:ind w:left="1920" w:hanging="360"/>
      </w:pPr>
      <w:rPr>
        <w:rFonts w:ascii="Symbol" w:hAnsi="Symbol"/>
      </w:rPr>
    </w:lvl>
  </w:abstractNum>
  <w:abstractNum w:abstractNumId="38" w15:restartNumberingAfterBreak="0">
    <w:nsid w:val="6A2F677F"/>
    <w:multiLevelType w:val="hybridMultilevel"/>
    <w:tmpl w:val="6054F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B36910"/>
    <w:multiLevelType w:val="hybridMultilevel"/>
    <w:tmpl w:val="8BC21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FB5055"/>
    <w:multiLevelType w:val="hybridMultilevel"/>
    <w:tmpl w:val="2F7AD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375B6D"/>
    <w:multiLevelType w:val="hybridMultilevel"/>
    <w:tmpl w:val="4FD4F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4A702D"/>
    <w:multiLevelType w:val="hybridMultilevel"/>
    <w:tmpl w:val="58CAA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77256D"/>
    <w:multiLevelType w:val="hybridMultilevel"/>
    <w:tmpl w:val="ECFE7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9D5473"/>
    <w:multiLevelType w:val="hybridMultilevel"/>
    <w:tmpl w:val="F06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CB7406E"/>
    <w:multiLevelType w:val="hybridMultilevel"/>
    <w:tmpl w:val="F028B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DCC569B"/>
    <w:multiLevelType w:val="hybridMultilevel"/>
    <w:tmpl w:val="826E2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E084EB1"/>
    <w:multiLevelType w:val="hybridMultilevel"/>
    <w:tmpl w:val="6436DD76"/>
    <w:lvl w:ilvl="0" w:tplc="A6AA3E08">
      <w:start w:val="1"/>
      <w:numFmt w:val="bullet"/>
      <w:lvlText w:val="•"/>
      <w:lvlJc w:val="left"/>
      <w:pPr>
        <w:tabs>
          <w:tab w:val="num" w:pos="720"/>
        </w:tabs>
        <w:ind w:left="720" w:hanging="360"/>
      </w:pPr>
      <w:rPr>
        <w:rFonts w:ascii="Arial" w:hAnsi="Arial" w:hint="default"/>
      </w:rPr>
    </w:lvl>
    <w:lvl w:ilvl="1" w:tplc="3D1833B6">
      <w:numFmt w:val="bullet"/>
      <w:lvlText w:val="•"/>
      <w:lvlJc w:val="left"/>
      <w:pPr>
        <w:tabs>
          <w:tab w:val="num" w:pos="1440"/>
        </w:tabs>
        <w:ind w:left="1440" w:hanging="360"/>
      </w:pPr>
      <w:rPr>
        <w:rFonts w:ascii="Arial" w:hAnsi="Arial" w:hint="default"/>
      </w:rPr>
    </w:lvl>
    <w:lvl w:ilvl="2" w:tplc="41EC683C" w:tentative="1">
      <w:start w:val="1"/>
      <w:numFmt w:val="bullet"/>
      <w:lvlText w:val="•"/>
      <w:lvlJc w:val="left"/>
      <w:pPr>
        <w:tabs>
          <w:tab w:val="num" w:pos="2160"/>
        </w:tabs>
        <w:ind w:left="2160" w:hanging="360"/>
      </w:pPr>
      <w:rPr>
        <w:rFonts w:ascii="Arial" w:hAnsi="Arial" w:hint="default"/>
      </w:rPr>
    </w:lvl>
    <w:lvl w:ilvl="3" w:tplc="545EEA52" w:tentative="1">
      <w:start w:val="1"/>
      <w:numFmt w:val="bullet"/>
      <w:lvlText w:val="•"/>
      <w:lvlJc w:val="left"/>
      <w:pPr>
        <w:tabs>
          <w:tab w:val="num" w:pos="2880"/>
        </w:tabs>
        <w:ind w:left="2880" w:hanging="360"/>
      </w:pPr>
      <w:rPr>
        <w:rFonts w:ascii="Arial" w:hAnsi="Arial" w:hint="default"/>
      </w:rPr>
    </w:lvl>
    <w:lvl w:ilvl="4" w:tplc="E0467A94" w:tentative="1">
      <w:start w:val="1"/>
      <w:numFmt w:val="bullet"/>
      <w:lvlText w:val="•"/>
      <w:lvlJc w:val="left"/>
      <w:pPr>
        <w:tabs>
          <w:tab w:val="num" w:pos="3600"/>
        </w:tabs>
        <w:ind w:left="3600" w:hanging="360"/>
      </w:pPr>
      <w:rPr>
        <w:rFonts w:ascii="Arial" w:hAnsi="Arial" w:hint="default"/>
      </w:rPr>
    </w:lvl>
    <w:lvl w:ilvl="5" w:tplc="E954EA9C" w:tentative="1">
      <w:start w:val="1"/>
      <w:numFmt w:val="bullet"/>
      <w:lvlText w:val="•"/>
      <w:lvlJc w:val="left"/>
      <w:pPr>
        <w:tabs>
          <w:tab w:val="num" w:pos="4320"/>
        </w:tabs>
        <w:ind w:left="4320" w:hanging="360"/>
      </w:pPr>
      <w:rPr>
        <w:rFonts w:ascii="Arial" w:hAnsi="Arial" w:hint="default"/>
      </w:rPr>
    </w:lvl>
    <w:lvl w:ilvl="6" w:tplc="F96C2CCA" w:tentative="1">
      <w:start w:val="1"/>
      <w:numFmt w:val="bullet"/>
      <w:lvlText w:val="•"/>
      <w:lvlJc w:val="left"/>
      <w:pPr>
        <w:tabs>
          <w:tab w:val="num" w:pos="5040"/>
        </w:tabs>
        <w:ind w:left="5040" w:hanging="360"/>
      </w:pPr>
      <w:rPr>
        <w:rFonts w:ascii="Arial" w:hAnsi="Arial" w:hint="default"/>
      </w:rPr>
    </w:lvl>
    <w:lvl w:ilvl="7" w:tplc="9B8E24B0" w:tentative="1">
      <w:start w:val="1"/>
      <w:numFmt w:val="bullet"/>
      <w:lvlText w:val="•"/>
      <w:lvlJc w:val="left"/>
      <w:pPr>
        <w:tabs>
          <w:tab w:val="num" w:pos="5760"/>
        </w:tabs>
        <w:ind w:left="5760" w:hanging="360"/>
      </w:pPr>
      <w:rPr>
        <w:rFonts w:ascii="Arial" w:hAnsi="Arial" w:hint="default"/>
      </w:rPr>
    </w:lvl>
    <w:lvl w:ilvl="8" w:tplc="E0B89414" w:tentative="1">
      <w:start w:val="1"/>
      <w:numFmt w:val="bullet"/>
      <w:lvlText w:val="•"/>
      <w:lvlJc w:val="left"/>
      <w:pPr>
        <w:tabs>
          <w:tab w:val="num" w:pos="6480"/>
        </w:tabs>
        <w:ind w:left="6480" w:hanging="360"/>
      </w:pPr>
      <w:rPr>
        <w:rFonts w:ascii="Arial" w:hAnsi="Arial" w:hint="default"/>
      </w:rPr>
    </w:lvl>
  </w:abstractNum>
  <w:num w:numId="1" w16cid:durableId="2050452221">
    <w:abstractNumId w:val="5"/>
  </w:num>
  <w:num w:numId="2" w16cid:durableId="1019965422">
    <w:abstractNumId w:val="3"/>
  </w:num>
  <w:num w:numId="3" w16cid:durableId="283849337">
    <w:abstractNumId w:val="2"/>
  </w:num>
  <w:num w:numId="4" w16cid:durableId="1244410887">
    <w:abstractNumId w:val="4"/>
  </w:num>
  <w:num w:numId="5" w16cid:durableId="78983776">
    <w:abstractNumId w:val="1"/>
  </w:num>
  <w:num w:numId="6" w16cid:durableId="951595999">
    <w:abstractNumId w:val="0"/>
  </w:num>
  <w:num w:numId="7" w16cid:durableId="788210191">
    <w:abstractNumId w:val="19"/>
  </w:num>
  <w:num w:numId="8" w16cid:durableId="274019902">
    <w:abstractNumId w:val="40"/>
  </w:num>
  <w:num w:numId="9" w16cid:durableId="507670174">
    <w:abstractNumId w:val="16"/>
  </w:num>
  <w:num w:numId="10" w16cid:durableId="1000231647">
    <w:abstractNumId w:val="9"/>
  </w:num>
  <w:num w:numId="11" w16cid:durableId="906191332">
    <w:abstractNumId w:val="23"/>
  </w:num>
  <w:num w:numId="12" w16cid:durableId="210003380">
    <w:abstractNumId w:val="7"/>
  </w:num>
  <w:num w:numId="13" w16cid:durableId="213540843">
    <w:abstractNumId w:val="8"/>
  </w:num>
  <w:num w:numId="14" w16cid:durableId="1949385962">
    <w:abstractNumId w:val="6"/>
  </w:num>
  <w:num w:numId="15" w16cid:durableId="1482116463">
    <w:abstractNumId w:val="32"/>
  </w:num>
  <w:num w:numId="16" w16cid:durableId="1214854206">
    <w:abstractNumId w:val="46"/>
  </w:num>
  <w:num w:numId="17" w16cid:durableId="444153471">
    <w:abstractNumId w:val="30"/>
  </w:num>
  <w:num w:numId="18" w16cid:durableId="734667337">
    <w:abstractNumId w:val="15"/>
  </w:num>
  <w:num w:numId="19" w16cid:durableId="1774007886">
    <w:abstractNumId w:val="21"/>
  </w:num>
  <w:num w:numId="20" w16cid:durableId="1016081293">
    <w:abstractNumId w:val="36"/>
  </w:num>
  <w:num w:numId="21" w16cid:durableId="1007168551">
    <w:abstractNumId w:val="11"/>
  </w:num>
  <w:num w:numId="22" w16cid:durableId="2030257702">
    <w:abstractNumId w:val="35"/>
  </w:num>
  <w:num w:numId="23" w16cid:durableId="402266718">
    <w:abstractNumId w:val="48"/>
  </w:num>
  <w:num w:numId="24" w16cid:durableId="181168762">
    <w:abstractNumId w:val="18"/>
  </w:num>
  <w:num w:numId="25" w16cid:durableId="808209345">
    <w:abstractNumId w:val="22"/>
  </w:num>
  <w:num w:numId="26" w16cid:durableId="1073820060">
    <w:abstractNumId w:val="38"/>
  </w:num>
  <w:num w:numId="27" w16cid:durableId="822965167">
    <w:abstractNumId w:val="29"/>
  </w:num>
  <w:num w:numId="28" w16cid:durableId="1530023264">
    <w:abstractNumId w:val="10"/>
  </w:num>
  <w:num w:numId="29" w16cid:durableId="79374285">
    <w:abstractNumId w:val="13"/>
  </w:num>
  <w:num w:numId="30" w16cid:durableId="1565680649">
    <w:abstractNumId w:val="39"/>
  </w:num>
  <w:num w:numId="31" w16cid:durableId="1962031801">
    <w:abstractNumId w:val="45"/>
  </w:num>
  <w:num w:numId="32" w16cid:durableId="1116288580">
    <w:abstractNumId w:val="17"/>
  </w:num>
  <w:num w:numId="33" w16cid:durableId="215707391">
    <w:abstractNumId w:val="42"/>
  </w:num>
  <w:num w:numId="34" w16cid:durableId="2018459255">
    <w:abstractNumId w:val="12"/>
  </w:num>
  <w:num w:numId="35" w16cid:durableId="363403641">
    <w:abstractNumId w:val="44"/>
  </w:num>
  <w:num w:numId="36" w16cid:durableId="1557429449">
    <w:abstractNumId w:val="43"/>
  </w:num>
  <w:num w:numId="37" w16cid:durableId="1106537818">
    <w:abstractNumId w:val="25"/>
  </w:num>
  <w:num w:numId="38" w16cid:durableId="1941527772">
    <w:abstractNumId w:val="20"/>
  </w:num>
  <w:num w:numId="39" w16cid:durableId="1203131876">
    <w:abstractNumId w:val="31"/>
  </w:num>
  <w:num w:numId="40" w16cid:durableId="502741904">
    <w:abstractNumId w:val="26"/>
  </w:num>
  <w:num w:numId="41" w16cid:durableId="69354900">
    <w:abstractNumId w:val="47"/>
  </w:num>
  <w:num w:numId="42" w16cid:durableId="224490929">
    <w:abstractNumId w:val="24"/>
  </w:num>
  <w:num w:numId="43" w16cid:durableId="1009991946">
    <w:abstractNumId w:val="14"/>
  </w:num>
  <w:num w:numId="44" w16cid:durableId="1221207246">
    <w:abstractNumId w:val="37"/>
  </w:num>
  <w:num w:numId="45" w16cid:durableId="1329672874">
    <w:abstractNumId w:val="27"/>
  </w:num>
  <w:num w:numId="46" w16cid:durableId="1230114432">
    <w:abstractNumId w:val="41"/>
  </w:num>
  <w:num w:numId="47" w16cid:durableId="578057636">
    <w:abstractNumId w:val="33"/>
  </w:num>
  <w:num w:numId="48" w16cid:durableId="261765185">
    <w:abstractNumId w:val="28"/>
  </w:num>
  <w:num w:numId="49" w16cid:durableId="72238627">
    <w:abstractNumId w:val="34"/>
  </w:num>
  <w:num w:numId="50" w16cid:durableId="1036733633">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D6"/>
    <w:rsid w:val="00001FF3"/>
    <w:rsid w:val="00003C69"/>
    <w:rsid w:val="00003FB8"/>
    <w:rsid w:val="0000537B"/>
    <w:rsid w:val="00005DF2"/>
    <w:rsid w:val="00010709"/>
    <w:rsid w:val="00010D41"/>
    <w:rsid w:val="00011847"/>
    <w:rsid w:val="000157ED"/>
    <w:rsid w:val="00016418"/>
    <w:rsid w:val="000169EA"/>
    <w:rsid w:val="0001753B"/>
    <w:rsid w:val="00020E26"/>
    <w:rsid w:val="00021525"/>
    <w:rsid w:val="000232DE"/>
    <w:rsid w:val="00023471"/>
    <w:rsid w:val="0002641B"/>
    <w:rsid w:val="00026451"/>
    <w:rsid w:val="00027BE0"/>
    <w:rsid w:val="000331C0"/>
    <w:rsid w:val="00037A03"/>
    <w:rsid w:val="00037D6B"/>
    <w:rsid w:val="0004190A"/>
    <w:rsid w:val="00041DF9"/>
    <w:rsid w:val="0004205A"/>
    <w:rsid w:val="00043A86"/>
    <w:rsid w:val="00044944"/>
    <w:rsid w:val="000454A0"/>
    <w:rsid w:val="00046008"/>
    <w:rsid w:val="00047AE6"/>
    <w:rsid w:val="000500A2"/>
    <w:rsid w:val="0005080A"/>
    <w:rsid w:val="00051BE4"/>
    <w:rsid w:val="00054A2E"/>
    <w:rsid w:val="00054DE1"/>
    <w:rsid w:val="00055157"/>
    <w:rsid w:val="00055418"/>
    <w:rsid w:val="00055F2F"/>
    <w:rsid w:val="0005641A"/>
    <w:rsid w:val="000574C5"/>
    <w:rsid w:val="0005756C"/>
    <w:rsid w:val="00057D7E"/>
    <w:rsid w:val="00060116"/>
    <w:rsid w:val="000611FE"/>
    <w:rsid w:val="000619CF"/>
    <w:rsid w:val="00062C08"/>
    <w:rsid w:val="00067B0A"/>
    <w:rsid w:val="00067B72"/>
    <w:rsid w:val="0007015A"/>
    <w:rsid w:val="0007123C"/>
    <w:rsid w:val="00071E98"/>
    <w:rsid w:val="0007209E"/>
    <w:rsid w:val="00074B40"/>
    <w:rsid w:val="000753DC"/>
    <w:rsid w:val="000773D5"/>
    <w:rsid w:val="00077DF9"/>
    <w:rsid w:val="00082DD9"/>
    <w:rsid w:val="000835E8"/>
    <w:rsid w:val="000837CF"/>
    <w:rsid w:val="00084A91"/>
    <w:rsid w:val="00085A89"/>
    <w:rsid w:val="00087D1C"/>
    <w:rsid w:val="00087E18"/>
    <w:rsid w:val="0009118A"/>
    <w:rsid w:val="00091C73"/>
    <w:rsid w:val="0009592B"/>
    <w:rsid w:val="00096339"/>
    <w:rsid w:val="00096F5D"/>
    <w:rsid w:val="000979A7"/>
    <w:rsid w:val="000A01E6"/>
    <w:rsid w:val="000A158A"/>
    <w:rsid w:val="000A23CD"/>
    <w:rsid w:val="000A32CE"/>
    <w:rsid w:val="000A3F3C"/>
    <w:rsid w:val="000A52BC"/>
    <w:rsid w:val="000A5EFF"/>
    <w:rsid w:val="000A6818"/>
    <w:rsid w:val="000A6EC1"/>
    <w:rsid w:val="000B02C9"/>
    <w:rsid w:val="000B09B9"/>
    <w:rsid w:val="000B1B3C"/>
    <w:rsid w:val="000B45EB"/>
    <w:rsid w:val="000B6E53"/>
    <w:rsid w:val="000C0006"/>
    <w:rsid w:val="000C00A9"/>
    <w:rsid w:val="000C083D"/>
    <w:rsid w:val="000C1318"/>
    <w:rsid w:val="000C1CDD"/>
    <w:rsid w:val="000C22ED"/>
    <w:rsid w:val="000C3BE9"/>
    <w:rsid w:val="000C3E5D"/>
    <w:rsid w:val="000C7ABA"/>
    <w:rsid w:val="000D1B2C"/>
    <w:rsid w:val="000E027E"/>
    <w:rsid w:val="000E0C34"/>
    <w:rsid w:val="000E1C0A"/>
    <w:rsid w:val="000E2C9F"/>
    <w:rsid w:val="000E386F"/>
    <w:rsid w:val="000E6605"/>
    <w:rsid w:val="000F1979"/>
    <w:rsid w:val="000F3669"/>
    <w:rsid w:val="000F3CB0"/>
    <w:rsid w:val="000F3D1E"/>
    <w:rsid w:val="000F51CB"/>
    <w:rsid w:val="000F7F76"/>
    <w:rsid w:val="001004DA"/>
    <w:rsid w:val="001012D7"/>
    <w:rsid w:val="00101887"/>
    <w:rsid w:val="00101AFD"/>
    <w:rsid w:val="001023BD"/>
    <w:rsid w:val="0010244B"/>
    <w:rsid w:val="00102B8F"/>
    <w:rsid w:val="00104942"/>
    <w:rsid w:val="00104EA3"/>
    <w:rsid w:val="0010610F"/>
    <w:rsid w:val="00106DE0"/>
    <w:rsid w:val="001077B8"/>
    <w:rsid w:val="00110C24"/>
    <w:rsid w:val="001123AD"/>
    <w:rsid w:val="00112720"/>
    <w:rsid w:val="001129A9"/>
    <w:rsid w:val="0011301B"/>
    <w:rsid w:val="00115B50"/>
    <w:rsid w:val="00117057"/>
    <w:rsid w:val="0012066D"/>
    <w:rsid w:val="00120872"/>
    <w:rsid w:val="00122793"/>
    <w:rsid w:val="0012610B"/>
    <w:rsid w:val="001268CE"/>
    <w:rsid w:val="00127C0A"/>
    <w:rsid w:val="001307B5"/>
    <w:rsid w:val="00132187"/>
    <w:rsid w:val="001323A4"/>
    <w:rsid w:val="00133E9C"/>
    <w:rsid w:val="0013443C"/>
    <w:rsid w:val="00134CF7"/>
    <w:rsid w:val="00134E07"/>
    <w:rsid w:val="0013568F"/>
    <w:rsid w:val="0013663D"/>
    <w:rsid w:val="0013755B"/>
    <w:rsid w:val="00137B6A"/>
    <w:rsid w:val="001404F0"/>
    <w:rsid w:val="00140F44"/>
    <w:rsid w:val="00145988"/>
    <w:rsid w:val="00146A6D"/>
    <w:rsid w:val="00146DF9"/>
    <w:rsid w:val="00147D22"/>
    <w:rsid w:val="00147EEF"/>
    <w:rsid w:val="001530F2"/>
    <w:rsid w:val="00153412"/>
    <w:rsid w:val="00153DC0"/>
    <w:rsid w:val="00154670"/>
    <w:rsid w:val="00154B58"/>
    <w:rsid w:val="0015554C"/>
    <w:rsid w:val="00155BF8"/>
    <w:rsid w:val="00156A01"/>
    <w:rsid w:val="001604C3"/>
    <w:rsid w:val="001606C2"/>
    <w:rsid w:val="001609A0"/>
    <w:rsid w:val="001610AC"/>
    <w:rsid w:val="00162D18"/>
    <w:rsid w:val="00164B7F"/>
    <w:rsid w:val="00166688"/>
    <w:rsid w:val="00167D64"/>
    <w:rsid w:val="0017003F"/>
    <w:rsid w:val="0017071A"/>
    <w:rsid w:val="001720CA"/>
    <w:rsid w:val="00172272"/>
    <w:rsid w:val="00172355"/>
    <w:rsid w:val="001727BA"/>
    <w:rsid w:val="0017519B"/>
    <w:rsid w:val="00175A1A"/>
    <w:rsid w:val="0017737A"/>
    <w:rsid w:val="00180D03"/>
    <w:rsid w:val="00181B79"/>
    <w:rsid w:val="00181FE6"/>
    <w:rsid w:val="001827FB"/>
    <w:rsid w:val="00182866"/>
    <w:rsid w:val="0018430C"/>
    <w:rsid w:val="00185733"/>
    <w:rsid w:val="001864D8"/>
    <w:rsid w:val="001872F5"/>
    <w:rsid w:val="001912D6"/>
    <w:rsid w:val="00191F39"/>
    <w:rsid w:val="00193478"/>
    <w:rsid w:val="00194A74"/>
    <w:rsid w:val="00195214"/>
    <w:rsid w:val="001956D5"/>
    <w:rsid w:val="00197E26"/>
    <w:rsid w:val="00197FE1"/>
    <w:rsid w:val="001A01E7"/>
    <w:rsid w:val="001A13C7"/>
    <w:rsid w:val="001A1AE5"/>
    <w:rsid w:val="001A2B5C"/>
    <w:rsid w:val="001A3676"/>
    <w:rsid w:val="001A6462"/>
    <w:rsid w:val="001B058E"/>
    <w:rsid w:val="001B0A94"/>
    <w:rsid w:val="001B3304"/>
    <w:rsid w:val="001B4FF5"/>
    <w:rsid w:val="001B52C7"/>
    <w:rsid w:val="001B588C"/>
    <w:rsid w:val="001B5D10"/>
    <w:rsid w:val="001B62D1"/>
    <w:rsid w:val="001B7396"/>
    <w:rsid w:val="001C0CE9"/>
    <w:rsid w:val="001C1A5A"/>
    <w:rsid w:val="001C2025"/>
    <w:rsid w:val="001C3FA0"/>
    <w:rsid w:val="001C4C84"/>
    <w:rsid w:val="001C64E8"/>
    <w:rsid w:val="001C70E2"/>
    <w:rsid w:val="001C7845"/>
    <w:rsid w:val="001D7984"/>
    <w:rsid w:val="001E2447"/>
    <w:rsid w:val="001E5476"/>
    <w:rsid w:val="001E768E"/>
    <w:rsid w:val="001E7CD1"/>
    <w:rsid w:val="001F0D22"/>
    <w:rsid w:val="001F3833"/>
    <w:rsid w:val="001F432A"/>
    <w:rsid w:val="001F4356"/>
    <w:rsid w:val="001F49BD"/>
    <w:rsid w:val="0020003D"/>
    <w:rsid w:val="00200AC9"/>
    <w:rsid w:val="0020536D"/>
    <w:rsid w:val="00205B6A"/>
    <w:rsid w:val="00207C59"/>
    <w:rsid w:val="002116DE"/>
    <w:rsid w:val="002121D3"/>
    <w:rsid w:val="002134D0"/>
    <w:rsid w:val="00213989"/>
    <w:rsid w:val="00213AFE"/>
    <w:rsid w:val="00213E29"/>
    <w:rsid w:val="002158B2"/>
    <w:rsid w:val="00221D6B"/>
    <w:rsid w:val="002220D7"/>
    <w:rsid w:val="002224C0"/>
    <w:rsid w:val="00222570"/>
    <w:rsid w:val="0022283E"/>
    <w:rsid w:val="0022287E"/>
    <w:rsid w:val="0022658A"/>
    <w:rsid w:val="002273BF"/>
    <w:rsid w:val="00227660"/>
    <w:rsid w:val="00227E7E"/>
    <w:rsid w:val="00232005"/>
    <w:rsid w:val="00233BC4"/>
    <w:rsid w:val="00234F3E"/>
    <w:rsid w:val="00237B26"/>
    <w:rsid w:val="00240AE1"/>
    <w:rsid w:val="00241F81"/>
    <w:rsid w:val="002437AD"/>
    <w:rsid w:val="002478C0"/>
    <w:rsid w:val="00250677"/>
    <w:rsid w:val="00250EDB"/>
    <w:rsid w:val="00251454"/>
    <w:rsid w:val="00251E6D"/>
    <w:rsid w:val="0025272D"/>
    <w:rsid w:val="00252BE6"/>
    <w:rsid w:val="00253611"/>
    <w:rsid w:val="00253FDA"/>
    <w:rsid w:val="00255434"/>
    <w:rsid w:val="00257EA5"/>
    <w:rsid w:val="00257F25"/>
    <w:rsid w:val="00260795"/>
    <w:rsid w:val="0026220B"/>
    <w:rsid w:val="00265A74"/>
    <w:rsid w:val="00267C04"/>
    <w:rsid w:val="00271C65"/>
    <w:rsid w:val="0027213C"/>
    <w:rsid w:val="00273AE2"/>
    <w:rsid w:val="00275EAF"/>
    <w:rsid w:val="00276178"/>
    <w:rsid w:val="002773D9"/>
    <w:rsid w:val="002820E5"/>
    <w:rsid w:val="00284C91"/>
    <w:rsid w:val="0028517E"/>
    <w:rsid w:val="00287B8E"/>
    <w:rsid w:val="00293219"/>
    <w:rsid w:val="00296494"/>
    <w:rsid w:val="002973E9"/>
    <w:rsid w:val="002974FF"/>
    <w:rsid w:val="00297D89"/>
    <w:rsid w:val="002A068F"/>
    <w:rsid w:val="002A2632"/>
    <w:rsid w:val="002A3209"/>
    <w:rsid w:val="002A3504"/>
    <w:rsid w:val="002A3FCA"/>
    <w:rsid w:val="002A4CD9"/>
    <w:rsid w:val="002A7988"/>
    <w:rsid w:val="002B009E"/>
    <w:rsid w:val="002B0603"/>
    <w:rsid w:val="002B0D86"/>
    <w:rsid w:val="002B1036"/>
    <w:rsid w:val="002B19F2"/>
    <w:rsid w:val="002B22F4"/>
    <w:rsid w:val="002B2D86"/>
    <w:rsid w:val="002B3E1C"/>
    <w:rsid w:val="002B4246"/>
    <w:rsid w:val="002B5776"/>
    <w:rsid w:val="002B57AD"/>
    <w:rsid w:val="002B7C86"/>
    <w:rsid w:val="002C0404"/>
    <w:rsid w:val="002C2F9F"/>
    <w:rsid w:val="002C636E"/>
    <w:rsid w:val="002D0493"/>
    <w:rsid w:val="002D0A84"/>
    <w:rsid w:val="002D100B"/>
    <w:rsid w:val="002D116F"/>
    <w:rsid w:val="002D1B48"/>
    <w:rsid w:val="002D2E5D"/>
    <w:rsid w:val="002D43CE"/>
    <w:rsid w:val="002D4FBB"/>
    <w:rsid w:val="002D652C"/>
    <w:rsid w:val="002E01FC"/>
    <w:rsid w:val="002E17CE"/>
    <w:rsid w:val="002E4E71"/>
    <w:rsid w:val="002E6122"/>
    <w:rsid w:val="002F29E6"/>
    <w:rsid w:val="002F2B58"/>
    <w:rsid w:val="002F3BD2"/>
    <w:rsid w:val="002F4401"/>
    <w:rsid w:val="002F4862"/>
    <w:rsid w:val="002F5D58"/>
    <w:rsid w:val="002F6B02"/>
    <w:rsid w:val="002F6C67"/>
    <w:rsid w:val="002F704E"/>
    <w:rsid w:val="002F78A8"/>
    <w:rsid w:val="00302B70"/>
    <w:rsid w:val="00302BF1"/>
    <w:rsid w:val="00303779"/>
    <w:rsid w:val="0030478D"/>
    <w:rsid w:val="0030584B"/>
    <w:rsid w:val="00311631"/>
    <w:rsid w:val="003120C5"/>
    <w:rsid w:val="00312609"/>
    <w:rsid w:val="0031396D"/>
    <w:rsid w:val="00313DB5"/>
    <w:rsid w:val="003147A3"/>
    <w:rsid w:val="003151E4"/>
    <w:rsid w:val="003177C9"/>
    <w:rsid w:val="00321E44"/>
    <w:rsid w:val="00322DA1"/>
    <w:rsid w:val="003239D1"/>
    <w:rsid w:val="00326258"/>
    <w:rsid w:val="003318FB"/>
    <w:rsid w:val="00332942"/>
    <w:rsid w:val="00332BE8"/>
    <w:rsid w:val="00333216"/>
    <w:rsid w:val="00333414"/>
    <w:rsid w:val="00333794"/>
    <w:rsid w:val="00334C85"/>
    <w:rsid w:val="00335B55"/>
    <w:rsid w:val="0034055B"/>
    <w:rsid w:val="00343601"/>
    <w:rsid w:val="00343815"/>
    <w:rsid w:val="0034601B"/>
    <w:rsid w:val="003460BB"/>
    <w:rsid w:val="0035201C"/>
    <w:rsid w:val="00353275"/>
    <w:rsid w:val="003538DA"/>
    <w:rsid w:val="0035571D"/>
    <w:rsid w:val="00355F48"/>
    <w:rsid w:val="003613B1"/>
    <w:rsid w:val="00361585"/>
    <w:rsid w:val="0036161F"/>
    <w:rsid w:val="00361B77"/>
    <w:rsid w:val="003626F8"/>
    <w:rsid w:val="00363C8D"/>
    <w:rsid w:val="00364F46"/>
    <w:rsid w:val="00366EC0"/>
    <w:rsid w:val="00367D18"/>
    <w:rsid w:val="0037032B"/>
    <w:rsid w:val="003704CE"/>
    <w:rsid w:val="00371A0C"/>
    <w:rsid w:val="00373B15"/>
    <w:rsid w:val="003766D4"/>
    <w:rsid w:val="00377697"/>
    <w:rsid w:val="00380BD7"/>
    <w:rsid w:val="00382E09"/>
    <w:rsid w:val="00384C64"/>
    <w:rsid w:val="003866DE"/>
    <w:rsid w:val="00386CAC"/>
    <w:rsid w:val="003948A8"/>
    <w:rsid w:val="00397607"/>
    <w:rsid w:val="00397A9E"/>
    <w:rsid w:val="003A00D5"/>
    <w:rsid w:val="003A3DF0"/>
    <w:rsid w:val="003A44C8"/>
    <w:rsid w:val="003A48E3"/>
    <w:rsid w:val="003A5A1E"/>
    <w:rsid w:val="003A6A0D"/>
    <w:rsid w:val="003A6BB6"/>
    <w:rsid w:val="003A72C3"/>
    <w:rsid w:val="003B0809"/>
    <w:rsid w:val="003B0AC6"/>
    <w:rsid w:val="003B10EC"/>
    <w:rsid w:val="003B1EA2"/>
    <w:rsid w:val="003B3D6F"/>
    <w:rsid w:val="003B5232"/>
    <w:rsid w:val="003B5BCE"/>
    <w:rsid w:val="003B5EF6"/>
    <w:rsid w:val="003B71C7"/>
    <w:rsid w:val="003C00EF"/>
    <w:rsid w:val="003C192B"/>
    <w:rsid w:val="003C2582"/>
    <w:rsid w:val="003C33C3"/>
    <w:rsid w:val="003C5EF8"/>
    <w:rsid w:val="003C6407"/>
    <w:rsid w:val="003C696E"/>
    <w:rsid w:val="003C7911"/>
    <w:rsid w:val="003D1D2E"/>
    <w:rsid w:val="003D34D1"/>
    <w:rsid w:val="003D4F43"/>
    <w:rsid w:val="003E0541"/>
    <w:rsid w:val="003E2496"/>
    <w:rsid w:val="003E4439"/>
    <w:rsid w:val="003E54E2"/>
    <w:rsid w:val="003F040D"/>
    <w:rsid w:val="003F1DD8"/>
    <w:rsid w:val="003F341C"/>
    <w:rsid w:val="003F3589"/>
    <w:rsid w:val="003F5A46"/>
    <w:rsid w:val="00400A6A"/>
    <w:rsid w:val="00400CB0"/>
    <w:rsid w:val="00401D7B"/>
    <w:rsid w:val="00403470"/>
    <w:rsid w:val="0040382A"/>
    <w:rsid w:val="00403A41"/>
    <w:rsid w:val="004040F3"/>
    <w:rsid w:val="00406458"/>
    <w:rsid w:val="0040705F"/>
    <w:rsid w:val="004073CB"/>
    <w:rsid w:val="00407FE0"/>
    <w:rsid w:val="00410008"/>
    <w:rsid w:val="00410E10"/>
    <w:rsid w:val="00410EE9"/>
    <w:rsid w:val="0041322C"/>
    <w:rsid w:val="00414D56"/>
    <w:rsid w:val="00415EF0"/>
    <w:rsid w:val="004171B5"/>
    <w:rsid w:val="004210AC"/>
    <w:rsid w:val="004218F9"/>
    <w:rsid w:val="00421EB6"/>
    <w:rsid w:val="004271C1"/>
    <w:rsid w:val="00427ED6"/>
    <w:rsid w:val="00431588"/>
    <w:rsid w:val="00435E93"/>
    <w:rsid w:val="00440ABC"/>
    <w:rsid w:val="00440E6E"/>
    <w:rsid w:val="0044130B"/>
    <w:rsid w:val="004444EF"/>
    <w:rsid w:val="0044450B"/>
    <w:rsid w:val="004447F6"/>
    <w:rsid w:val="00445396"/>
    <w:rsid w:val="00445892"/>
    <w:rsid w:val="00445975"/>
    <w:rsid w:val="00450719"/>
    <w:rsid w:val="00451519"/>
    <w:rsid w:val="00452E1D"/>
    <w:rsid w:val="0045358D"/>
    <w:rsid w:val="0045592E"/>
    <w:rsid w:val="004604A8"/>
    <w:rsid w:val="00461837"/>
    <w:rsid w:val="004652EF"/>
    <w:rsid w:val="00465B77"/>
    <w:rsid w:val="00465C0A"/>
    <w:rsid w:val="00466250"/>
    <w:rsid w:val="0047118C"/>
    <w:rsid w:val="004730E9"/>
    <w:rsid w:val="0047469C"/>
    <w:rsid w:val="00475377"/>
    <w:rsid w:val="004755CA"/>
    <w:rsid w:val="00475D6F"/>
    <w:rsid w:val="00476090"/>
    <w:rsid w:val="004760F9"/>
    <w:rsid w:val="00477AC5"/>
    <w:rsid w:val="004815E0"/>
    <w:rsid w:val="00481DDB"/>
    <w:rsid w:val="00481ED9"/>
    <w:rsid w:val="004842FE"/>
    <w:rsid w:val="00484528"/>
    <w:rsid w:val="00484E51"/>
    <w:rsid w:val="0049012A"/>
    <w:rsid w:val="00490F6F"/>
    <w:rsid w:val="00492BCC"/>
    <w:rsid w:val="00492EC8"/>
    <w:rsid w:val="004934C9"/>
    <w:rsid w:val="00493AE8"/>
    <w:rsid w:val="00495418"/>
    <w:rsid w:val="00495AD0"/>
    <w:rsid w:val="004A0072"/>
    <w:rsid w:val="004A0582"/>
    <w:rsid w:val="004A0CCC"/>
    <w:rsid w:val="004A1C7C"/>
    <w:rsid w:val="004A2EB5"/>
    <w:rsid w:val="004A3A4C"/>
    <w:rsid w:val="004A3C96"/>
    <w:rsid w:val="004A467A"/>
    <w:rsid w:val="004A574F"/>
    <w:rsid w:val="004A666D"/>
    <w:rsid w:val="004B09AE"/>
    <w:rsid w:val="004B12F3"/>
    <w:rsid w:val="004B4C04"/>
    <w:rsid w:val="004B603D"/>
    <w:rsid w:val="004B64F1"/>
    <w:rsid w:val="004C0AE1"/>
    <w:rsid w:val="004C1206"/>
    <w:rsid w:val="004C127B"/>
    <w:rsid w:val="004C14C4"/>
    <w:rsid w:val="004C3FBA"/>
    <w:rsid w:val="004C5836"/>
    <w:rsid w:val="004C63C8"/>
    <w:rsid w:val="004C6FC5"/>
    <w:rsid w:val="004D05A1"/>
    <w:rsid w:val="004D0AC5"/>
    <w:rsid w:val="004D2714"/>
    <w:rsid w:val="004D3F6A"/>
    <w:rsid w:val="004D4778"/>
    <w:rsid w:val="004D4D50"/>
    <w:rsid w:val="004D516B"/>
    <w:rsid w:val="004D606F"/>
    <w:rsid w:val="004D6C8A"/>
    <w:rsid w:val="004E1F31"/>
    <w:rsid w:val="004E3E4E"/>
    <w:rsid w:val="004E47F4"/>
    <w:rsid w:val="004E59EB"/>
    <w:rsid w:val="004E66DB"/>
    <w:rsid w:val="004F0E3D"/>
    <w:rsid w:val="004F0E7E"/>
    <w:rsid w:val="004F227E"/>
    <w:rsid w:val="004F2D13"/>
    <w:rsid w:val="004F2DE6"/>
    <w:rsid w:val="004F2ED4"/>
    <w:rsid w:val="004F31AC"/>
    <w:rsid w:val="004F4213"/>
    <w:rsid w:val="004F499E"/>
    <w:rsid w:val="004F4D94"/>
    <w:rsid w:val="004F618B"/>
    <w:rsid w:val="004F71C3"/>
    <w:rsid w:val="004F7C2A"/>
    <w:rsid w:val="00501802"/>
    <w:rsid w:val="0050289F"/>
    <w:rsid w:val="00503056"/>
    <w:rsid w:val="0050318C"/>
    <w:rsid w:val="00504644"/>
    <w:rsid w:val="0051118F"/>
    <w:rsid w:val="00511ED9"/>
    <w:rsid w:val="0051416F"/>
    <w:rsid w:val="00514CDE"/>
    <w:rsid w:val="00514F8A"/>
    <w:rsid w:val="005155EE"/>
    <w:rsid w:val="0051799E"/>
    <w:rsid w:val="00517DB5"/>
    <w:rsid w:val="00520555"/>
    <w:rsid w:val="00520A64"/>
    <w:rsid w:val="00521718"/>
    <w:rsid w:val="00522485"/>
    <w:rsid w:val="00522E82"/>
    <w:rsid w:val="00524165"/>
    <w:rsid w:val="0052618C"/>
    <w:rsid w:val="00527B3D"/>
    <w:rsid w:val="00530906"/>
    <w:rsid w:val="00530BA9"/>
    <w:rsid w:val="00530C37"/>
    <w:rsid w:val="0053105E"/>
    <w:rsid w:val="00531316"/>
    <w:rsid w:val="00531592"/>
    <w:rsid w:val="00532B70"/>
    <w:rsid w:val="00533790"/>
    <w:rsid w:val="005346BD"/>
    <w:rsid w:val="00534FB7"/>
    <w:rsid w:val="00536721"/>
    <w:rsid w:val="00537881"/>
    <w:rsid w:val="00540657"/>
    <w:rsid w:val="00542568"/>
    <w:rsid w:val="00544D32"/>
    <w:rsid w:val="00546ACC"/>
    <w:rsid w:val="00551EC6"/>
    <w:rsid w:val="005521F3"/>
    <w:rsid w:val="0055415A"/>
    <w:rsid w:val="00555834"/>
    <w:rsid w:val="005612BE"/>
    <w:rsid w:val="005630B7"/>
    <w:rsid w:val="00565117"/>
    <w:rsid w:val="0057063C"/>
    <w:rsid w:val="00570BFB"/>
    <w:rsid w:val="00570D8D"/>
    <w:rsid w:val="005718F0"/>
    <w:rsid w:val="00573C36"/>
    <w:rsid w:val="0057426A"/>
    <w:rsid w:val="00576A73"/>
    <w:rsid w:val="00576D1C"/>
    <w:rsid w:val="005770D6"/>
    <w:rsid w:val="005778B2"/>
    <w:rsid w:val="00580409"/>
    <w:rsid w:val="00580B5E"/>
    <w:rsid w:val="00581174"/>
    <w:rsid w:val="0058265B"/>
    <w:rsid w:val="00582EF5"/>
    <w:rsid w:val="0058440F"/>
    <w:rsid w:val="00586BFE"/>
    <w:rsid w:val="00587ACC"/>
    <w:rsid w:val="005904F1"/>
    <w:rsid w:val="0059216F"/>
    <w:rsid w:val="005953CB"/>
    <w:rsid w:val="005962C8"/>
    <w:rsid w:val="005A40D1"/>
    <w:rsid w:val="005A6E35"/>
    <w:rsid w:val="005A7219"/>
    <w:rsid w:val="005B0FAD"/>
    <w:rsid w:val="005B35F3"/>
    <w:rsid w:val="005B4348"/>
    <w:rsid w:val="005B6BB3"/>
    <w:rsid w:val="005C04AF"/>
    <w:rsid w:val="005C0785"/>
    <w:rsid w:val="005C0EF7"/>
    <w:rsid w:val="005C292B"/>
    <w:rsid w:val="005C41A3"/>
    <w:rsid w:val="005C4BA5"/>
    <w:rsid w:val="005D0B56"/>
    <w:rsid w:val="005D5B63"/>
    <w:rsid w:val="005D5E30"/>
    <w:rsid w:val="005D60F8"/>
    <w:rsid w:val="005D65BB"/>
    <w:rsid w:val="005D7D40"/>
    <w:rsid w:val="005E3AA6"/>
    <w:rsid w:val="005E3C62"/>
    <w:rsid w:val="005E3D1F"/>
    <w:rsid w:val="005E4082"/>
    <w:rsid w:val="005E5058"/>
    <w:rsid w:val="005F2B14"/>
    <w:rsid w:val="005F3766"/>
    <w:rsid w:val="005F44AF"/>
    <w:rsid w:val="005F48FD"/>
    <w:rsid w:val="005F4A47"/>
    <w:rsid w:val="00600042"/>
    <w:rsid w:val="0060223F"/>
    <w:rsid w:val="0060225F"/>
    <w:rsid w:val="00604A62"/>
    <w:rsid w:val="00605A57"/>
    <w:rsid w:val="006074AA"/>
    <w:rsid w:val="006079C4"/>
    <w:rsid w:val="00610024"/>
    <w:rsid w:val="00610177"/>
    <w:rsid w:val="00611A26"/>
    <w:rsid w:val="00612EAE"/>
    <w:rsid w:val="00613950"/>
    <w:rsid w:val="006153AE"/>
    <w:rsid w:val="0061602E"/>
    <w:rsid w:val="00616F10"/>
    <w:rsid w:val="006176E8"/>
    <w:rsid w:val="006204FD"/>
    <w:rsid w:val="00620828"/>
    <w:rsid w:val="00621D0F"/>
    <w:rsid w:val="00622886"/>
    <w:rsid w:val="006230C5"/>
    <w:rsid w:val="00623C51"/>
    <w:rsid w:val="00624232"/>
    <w:rsid w:val="00624870"/>
    <w:rsid w:val="006248A8"/>
    <w:rsid w:val="006249C3"/>
    <w:rsid w:val="006252C1"/>
    <w:rsid w:val="00626162"/>
    <w:rsid w:val="006273B1"/>
    <w:rsid w:val="00627897"/>
    <w:rsid w:val="006305CE"/>
    <w:rsid w:val="006306E4"/>
    <w:rsid w:val="00631967"/>
    <w:rsid w:val="00633197"/>
    <w:rsid w:val="00634702"/>
    <w:rsid w:val="00634899"/>
    <w:rsid w:val="00635135"/>
    <w:rsid w:val="00636CE2"/>
    <w:rsid w:val="00636FE1"/>
    <w:rsid w:val="00637256"/>
    <w:rsid w:val="00637806"/>
    <w:rsid w:val="00640F70"/>
    <w:rsid w:val="00641983"/>
    <w:rsid w:val="006419BE"/>
    <w:rsid w:val="00642681"/>
    <w:rsid w:val="006457AF"/>
    <w:rsid w:val="006461E3"/>
    <w:rsid w:val="00646303"/>
    <w:rsid w:val="006513CC"/>
    <w:rsid w:val="00651471"/>
    <w:rsid w:val="0065147B"/>
    <w:rsid w:val="00653017"/>
    <w:rsid w:val="00653C33"/>
    <w:rsid w:val="0065533A"/>
    <w:rsid w:val="00655789"/>
    <w:rsid w:val="00655CA4"/>
    <w:rsid w:val="00656507"/>
    <w:rsid w:val="00660815"/>
    <w:rsid w:val="00660FEC"/>
    <w:rsid w:val="006643C1"/>
    <w:rsid w:val="0066476B"/>
    <w:rsid w:val="0066505A"/>
    <w:rsid w:val="006655AA"/>
    <w:rsid w:val="00666D91"/>
    <w:rsid w:val="00667C56"/>
    <w:rsid w:val="00670115"/>
    <w:rsid w:val="00670AD6"/>
    <w:rsid w:val="00671CEA"/>
    <w:rsid w:val="006725CE"/>
    <w:rsid w:val="00673896"/>
    <w:rsid w:val="00673C8F"/>
    <w:rsid w:val="00677CE3"/>
    <w:rsid w:val="00680CE4"/>
    <w:rsid w:val="00680EE6"/>
    <w:rsid w:val="00685B03"/>
    <w:rsid w:val="00687E1C"/>
    <w:rsid w:val="00692826"/>
    <w:rsid w:val="0069478E"/>
    <w:rsid w:val="006955FA"/>
    <w:rsid w:val="00695723"/>
    <w:rsid w:val="00695C38"/>
    <w:rsid w:val="00695FBC"/>
    <w:rsid w:val="0069692F"/>
    <w:rsid w:val="006A04C3"/>
    <w:rsid w:val="006A26C6"/>
    <w:rsid w:val="006A2A06"/>
    <w:rsid w:val="006A453B"/>
    <w:rsid w:val="006A4672"/>
    <w:rsid w:val="006A6E5C"/>
    <w:rsid w:val="006A7618"/>
    <w:rsid w:val="006A76C8"/>
    <w:rsid w:val="006B1C05"/>
    <w:rsid w:val="006B253D"/>
    <w:rsid w:val="006B2830"/>
    <w:rsid w:val="006B3997"/>
    <w:rsid w:val="006B5289"/>
    <w:rsid w:val="006B6D61"/>
    <w:rsid w:val="006C06EE"/>
    <w:rsid w:val="006C5AE8"/>
    <w:rsid w:val="006C617C"/>
    <w:rsid w:val="006C6809"/>
    <w:rsid w:val="006C6FF7"/>
    <w:rsid w:val="006D03D7"/>
    <w:rsid w:val="006D062A"/>
    <w:rsid w:val="006D0D5A"/>
    <w:rsid w:val="006D273A"/>
    <w:rsid w:val="006D3B6E"/>
    <w:rsid w:val="006D4496"/>
    <w:rsid w:val="006D67FC"/>
    <w:rsid w:val="006E038F"/>
    <w:rsid w:val="006E06D8"/>
    <w:rsid w:val="006E0C75"/>
    <w:rsid w:val="006E0F9E"/>
    <w:rsid w:val="006E15E8"/>
    <w:rsid w:val="006E2429"/>
    <w:rsid w:val="006E2C0D"/>
    <w:rsid w:val="006E4453"/>
    <w:rsid w:val="006E4588"/>
    <w:rsid w:val="006E691A"/>
    <w:rsid w:val="006E6DBA"/>
    <w:rsid w:val="006E7087"/>
    <w:rsid w:val="006E7EA5"/>
    <w:rsid w:val="006F0C7A"/>
    <w:rsid w:val="006F0D02"/>
    <w:rsid w:val="006F25EC"/>
    <w:rsid w:val="006F2EC2"/>
    <w:rsid w:val="006F3C21"/>
    <w:rsid w:val="006F4E14"/>
    <w:rsid w:val="006F5561"/>
    <w:rsid w:val="006F5598"/>
    <w:rsid w:val="006F6239"/>
    <w:rsid w:val="006F6F8B"/>
    <w:rsid w:val="006F7CD1"/>
    <w:rsid w:val="00701CAE"/>
    <w:rsid w:val="00701F82"/>
    <w:rsid w:val="00702D1E"/>
    <w:rsid w:val="00703626"/>
    <w:rsid w:val="007045D0"/>
    <w:rsid w:val="00704BDA"/>
    <w:rsid w:val="00705D41"/>
    <w:rsid w:val="0071051F"/>
    <w:rsid w:val="0071189B"/>
    <w:rsid w:val="00712F0F"/>
    <w:rsid w:val="00713169"/>
    <w:rsid w:val="00713E72"/>
    <w:rsid w:val="007143B3"/>
    <w:rsid w:val="00715AB2"/>
    <w:rsid w:val="00717787"/>
    <w:rsid w:val="00721EC1"/>
    <w:rsid w:val="00722696"/>
    <w:rsid w:val="007235D7"/>
    <w:rsid w:val="0072399C"/>
    <w:rsid w:val="007241F7"/>
    <w:rsid w:val="00724283"/>
    <w:rsid w:val="00724F73"/>
    <w:rsid w:val="007251FA"/>
    <w:rsid w:val="0072706D"/>
    <w:rsid w:val="00727725"/>
    <w:rsid w:val="00727CB9"/>
    <w:rsid w:val="00727E5F"/>
    <w:rsid w:val="00730814"/>
    <w:rsid w:val="0073084A"/>
    <w:rsid w:val="00731596"/>
    <w:rsid w:val="00731957"/>
    <w:rsid w:val="00732BC9"/>
    <w:rsid w:val="00735661"/>
    <w:rsid w:val="00736590"/>
    <w:rsid w:val="00741EA1"/>
    <w:rsid w:val="007430CE"/>
    <w:rsid w:val="00745ABC"/>
    <w:rsid w:val="0074649C"/>
    <w:rsid w:val="00747580"/>
    <w:rsid w:val="0074758F"/>
    <w:rsid w:val="007505F0"/>
    <w:rsid w:val="007526BC"/>
    <w:rsid w:val="00753A56"/>
    <w:rsid w:val="0075637D"/>
    <w:rsid w:val="0076067D"/>
    <w:rsid w:val="007608EF"/>
    <w:rsid w:val="00761637"/>
    <w:rsid w:val="00762071"/>
    <w:rsid w:val="007623A5"/>
    <w:rsid w:val="00763216"/>
    <w:rsid w:val="007634E5"/>
    <w:rsid w:val="00764A9E"/>
    <w:rsid w:val="00766C11"/>
    <w:rsid w:val="00766EAC"/>
    <w:rsid w:val="00767F08"/>
    <w:rsid w:val="00771ED5"/>
    <w:rsid w:val="0077482D"/>
    <w:rsid w:val="0077485E"/>
    <w:rsid w:val="00774A24"/>
    <w:rsid w:val="007762E0"/>
    <w:rsid w:val="0078283D"/>
    <w:rsid w:val="00783FEF"/>
    <w:rsid w:val="007865CA"/>
    <w:rsid w:val="00786736"/>
    <w:rsid w:val="00790A28"/>
    <w:rsid w:val="00790FF6"/>
    <w:rsid w:val="00791FD4"/>
    <w:rsid w:val="00792DFF"/>
    <w:rsid w:val="00793420"/>
    <w:rsid w:val="00793948"/>
    <w:rsid w:val="0079538A"/>
    <w:rsid w:val="007A12C1"/>
    <w:rsid w:val="007A1C35"/>
    <w:rsid w:val="007A1CC0"/>
    <w:rsid w:val="007A2546"/>
    <w:rsid w:val="007A33EC"/>
    <w:rsid w:val="007A3563"/>
    <w:rsid w:val="007A35BA"/>
    <w:rsid w:val="007A4EDA"/>
    <w:rsid w:val="007B04D0"/>
    <w:rsid w:val="007B091E"/>
    <w:rsid w:val="007B3203"/>
    <w:rsid w:val="007B381B"/>
    <w:rsid w:val="007B43D1"/>
    <w:rsid w:val="007B4ECE"/>
    <w:rsid w:val="007B6238"/>
    <w:rsid w:val="007B7BF7"/>
    <w:rsid w:val="007B7CF8"/>
    <w:rsid w:val="007B7EB2"/>
    <w:rsid w:val="007C1C88"/>
    <w:rsid w:val="007C1D90"/>
    <w:rsid w:val="007C2D24"/>
    <w:rsid w:val="007C3043"/>
    <w:rsid w:val="007C44D2"/>
    <w:rsid w:val="007C601A"/>
    <w:rsid w:val="007C73F7"/>
    <w:rsid w:val="007D073A"/>
    <w:rsid w:val="007D0D57"/>
    <w:rsid w:val="007D1B9C"/>
    <w:rsid w:val="007D2DFC"/>
    <w:rsid w:val="007D34F1"/>
    <w:rsid w:val="007D430D"/>
    <w:rsid w:val="007D5B7F"/>
    <w:rsid w:val="007D6CF4"/>
    <w:rsid w:val="007D6E6C"/>
    <w:rsid w:val="007D71FC"/>
    <w:rsid w:val="007E06E7"/>
    <w:rsid w:val="007E2FB8"/>
    <w:rsid w:val="007E3231"/>
    <w:rsid w:val="007E5B47"/>
    <w:rsid w:val="007E5F37"/>
    <w:rsid w:val="007F0E6F"/>
    <w:rsid w:val="007F21B9"/>
    <w:rsid w:val="007F2B66"/>
    <w:rsid w:val="007F5497"/>
    <w:rsid w:val="007F667A"/>
    <w:rsid w:val="007F6887"/>
    <w:rsid w:val="00801407"/>
    <w:rsid w:val="0080196F"/>
    <w:rsid w:val="00806BA1"/>
    <w:rsid w:val="008102C4"/>
    <w:rsid w:val="00810603"/>
    <w:rsid w:val="0081074C"/>
    <w:rsid w:val="00810BAD"/>
    <w:rsid w:val="008137BC"/>
    <w:rsid w:val="0081648D"/>
    <w:rsid w:val="0082248A"/>
    <w:rsid w:val="00825044"/>
    <w:rsid w:val="0082543C"/>
    <w:rsid w:val="0082555C"/>
    <w:rsid w:val="00825B15"/>
    <w:rsid w:val="0082736B"/>
    <w:rsid w:val="00831FA1"/>
    <w:rsid w:val="008332E0"/>
    <w:rsid w:val="008340F8"/>
    <w:rsid w:val="008350D0"/>
    <w:rsid w:val="0083524B"/>
    <w:rsid w:val="0083613F"/>
    <w:rsid w:val="00840EFC"/>
    <w:rsid w:val="00841030"/>
    <w:rsid w:val="0084277F"/>
    <w:rsid w:val="0084335E"/>
    <w:rsid w:val="00843CAD"/>
    <w:rsid w:val="00844BDC"/>
    <w:rsid w:val="008455CD"/>
    <w:rsid w:val="00846AEC"/>
    <w:rsid w:val="008502D1"/>
    <w:rsid w:val="00850742"/>
    <w:rsid w:val="008517F5"/>
    <w:rsid w:val="00852CC6"/>
    <w:rsid w:val="00852E15"/>
    <w:rsid w:val="00854DC9"/>
    <w:rsid w:val="008561FE"/>
    <w:rsid w:val="00856A29"/>
    <w:rsid w:val="00856EF6"/>
    <w:rsid w:val="0085766B"/>
    <w:rsid w:val="00857A7B"/>
    <w:rsid w:val="00861A14"/>
    <w:rsid w:val="0087024C"/>
    <w:rsid w:val="008734ED"/>
    <w:rsid w:val="00873878"/>
    <w:rsid w:val="00873D6F"/>
    <w:rsid w:val="008742EE"/>
    <w:rsid w:val="008757AE"/>
    <w:rsid w:val="00876C7A"/>
    <w:rsid w:val="008771C5"/>
    <w:rsid w:val="00877A25"/>
    <w:rsid w:val="00877DD7"/>
    <w:rsid w:val="00882926"/>
    <w:rsid w:val="008868AE"/>
    <w:rsid w:val="00886BA6"/>
    <w:rsid w:val="0088714D"/>
    <w:rsid w:val="008871BF"/>
    <w:rsid w:val="0089192E"/>
    <w:rsid w:val="00893D56"/>
    <w:rsid w:val="0089461E"/>
    <w:rsid w:val="0089462D"/>
    <w:rsid w:val="00895D56"/>
    <w:rsid w:val="008A0B32"/>
    <w:rsid w:val="008A0E1D"/>
    <w:rsid w:val="008A2065"/>
    <w:rsid w:val="008A49A9"/>
    <w:rsid w:val="008A6906"/>
    <w:rsid w:val="008A748D"/>
    <w:rsid w:val="008A7A06"/>
    <w:rsid w:val="008B170E"/>
    <w:rsid w:val="008B2CA8"/>
    <w:rsid w:val="008B5C0C"/>
    <w:rsid w:val="008B6106"/>
    <w:rsid w:val="008B6A25"/>
    <w:rsid w:val="008B7261"/>
    <w:rsid w:val="008B78E8"/>
    <w:rsid w:val="008B7BD5"/>
    <w:rsid w:val="008B7FC0"/>
    <w:rsid w:val="008C0B4E"/>
    <w:rsid w:val="008C27C4"/>
    <w:rsid w:val="008C298C"/>
    <w:rsid w:val="008C4769"/>
    <w:rsid w:val="008C5500"/>
    <w:rsid w:val="008C583A"/>
    <w:rsid w:val="008D2259"/>
    <w:rsid w:val="008D32D0"/>
    <w:rsid w:val="008D6159"/>
    <w:rsid w:val="008D75C4"/>
    <w:rsid w:val="008E3735"/>
    <w:rsid w:val="008F135C"/>
    <w:rsid w:val="008F29EC"/>
    <w:rsid w:val="008F41C3"/>
    <w:rsid w:val="008F45D0"/>
    <w:rsid w:val="008F54B0"/>
    <w:rsid w:val="008F7DB4"/>
    <w:rsid w:val="00901D58"/>
    <w:rsid w:val="00901F06"/>
    <w:rsid w:val="009102DA"/>
    <w:rsid w:val="0091045A"/>
    <w:rsid w:val="00910BB7"/>
    <w:rsid w:val="00913423"/>
    <w:rsid w:val="00913BF9"/>
    <w:rsid w:val="00917C0F"/>
    <w:rsid w:val="00920799"/>
    <w:rsid w:val="009222D3"/>
    <w:rsid w:val="009268CD"/>
    <w:rsid w:val="009271C8"/>
    <w:rsid w:val="00927F78"/>
    <w:rsid w:val="0093061B"/>
    <w:rsid w:val="00934BBC"/>
    <w:rsid w:val="00935334"/>
    <w:rsid w:val="0093568A"/>
    <w:rsid w:val="00935E70"/>
    <w:rsid w:val="0093635A"/>
    <w:rsid w:val="009370EA"/>
    <w:rsid w:val="00940165"/>
    <w:rsid w:val="00940F28"/>
    <w:rsid w:val="009420AA"/>
    <w:rsid w:val="00943E30"/>
    <w:rsid w:val="009446E5"/>
    <w:rsid w:val="00945EDB"/>
    <w:rsid w:val="00946A50"/>
    <w:rsid w:val="00950000"/>
    <w:rsid w:val="00953936"/>
    <w:rsid w:val="00953C29"/>
    <w:rsid w:val="00953D76"/>
    <w:rsid w:val="009545CE"/>
    <w:rsid w:val="00956E18"/>
    <w:rsid w:val="009572AC"/>
    <w:rsid w:val="00957E58"/>
    <w:rsid w:val="00960EA8"/>
    <w:rsid w:val="009623EF"/>
    <w:rsid w:val="00962543"/>
    <w:rsid w:val="00962EBD"/>
    <w:rsid w:val="00964C87"/>
    <w:rsid w:val="0096526C"/>
    <w:rsid w:val="00966C4A"/>
    <w:rsid w:val="00970A04"/>
    <w:rsid w:val="00970E95"/>
    <w:rsid w:val="009724F8"/>
    <w:rsid w:val="0097361C"/>
    <w:rsid w:val="00974AEE"/>
    <w:rsid w:val="009750A4"/>
    <w:rsid w:val="00976D31"/>
    <w:rsid w:val="00982337"/>
    <w:rsid w:val="00982A67"/>
    <w:rsid w:val="0098444A"/>
    <w:rsid w:val="00987E83"/>
    <w:rsid w:val="00990210"/>
    <w:rsid w:val="009902E0"/>
    <w:rsid w:val="00990971"/>
    <w:rsid w:val="009914CA"/>
    <w:rsid w:val="00992863"/>
    <w:rsid w:val="009945A7"/>
    <w:rsid w:val="0099761C"/>
    <w:rsid w:val="009A022E"/>
    <w:rsid w:val="009A0E83"/>
    <w:rsid w:val="009A1781"/>
    <w:rsid w:val="009A19F6"/>
    <w:rsid w:val="009A2744"/>
    <w:rsid w:val="009A3FF0"/>
    <w:rsid w:val="009A4058"/>
    <w:rsid w:val="009A5A5E"/>
    <w:rsid w:val="009A6749"/>
    <w:rsid w:val="009A7E84"/>
    <w:rsid w:val="009B0894"/>
    <w:rsid w:val="009B2D4E"/>
    <w:rsid w:val="009B43C5"/>
    <w:rsid w:val="009B474E"/>
    <w:rsid w:val="009B519A"/>
    <w:rsid w:val="009B5399"/>
    <w:rsid w:val="009B6716"/>
    <w:rsid w:val="009B78D8"/>
    <w:rsid w:val="009C0DDB"/>
    <w:rsid w:val="009C1129"/>
    <w:rsid w:val="009C3300"/>
    <w:rsid w:val="009C3BD0"/>
    <w:rsid w:val="009C3BD7"/>
    <w:rsid w:val="009C4029"/>
    <w:rsid w:val="009C4192"/>
    <w:rsid w:val="009C44B6"/>
    <w:rsid w:val="009C4D62"/>
    <w:rsid w:val="009C5922"/>
    <w:rsid w:val="009C604C"/>
    <w:rsid w:val="009C7843"/>
    <w:rsid w:val="009C7D01"/>
    <w:rsid w:val="009C7DD0"/>
    <w:rsid w:val="009D0128"/>
    <w:rsid w:val="009D0308"/>
    <w:rsid w:val="009D03F5"/>
    <w:rsid w:val="009D0855"/>
    <w:rsid w:val="009D16D2"/>
    <w:rsid w:val="009D1A45"/>
    <w:rsid w:val="009D1A5D"/>
    <w:rsid w:val="009D1C48"/>
    <w:rsid w:val="009D2551"/>
    <w:rsid w:val="009D46B1"/>
    <w:rsid w:val="009D4B60"/>
    <w:rsid w:val="009D5A1B"/>
    <w:rsid w:val="009D7312"/>
    <w:rsid w:val="009E01C3"/>
    <w:rsid w:val="009E1A34"/>
    <w:rsid w:val="009E2A76"/>
    <w:rsid w:val="009E39F7"/>
    <w:rsid w:val="009E523B"/>
    <w:rsid w:val="009E5358"/>
    <w:rsid w:val="009E5728"/>
    <w:rsid w:val="009E7F79"/>
    <w:rsid w:val="009F2406"/>
    <w:rsid w:val="009F2C8A"/>
    <w:rsid w:val="009F78FB"/>
    <w:rsid w:val="009F7EFC"/>
    <w:rsid w:val="00A00B1A"/>
    <w:rsid w:val="00A05270"/>
    <w:rsid w:val="00A0534A"/>
    <w:rsid w:val="00A07C43"/>
    <w:rsid w:val="00A1079C"/>
    <w:rsid w:val="00A11227"/>
    <w:rsid w:val="00A114F1"/>
    <w:rsid w:val="00A1218B"/>
    <w:rsid w:val="00A124E4"/>
    <w:rsid w:val="00A13820"/>
    <w:rsid w:val="00A13EBF"/>
    <w:rsid w:val="00A14402"/>
    <w:rsid w:val="00A157F5"/>
    <w:rsid w:val="00A163B4"/>
    <w:rsid w:val="00A17364"/>
    <w:rsid w:val="00A21B8F"/>
    <w:rsid w:val="00A22BB2"/>
    <w:rsid w:val="00A23796"/>
    <w:rsid w:val="00A2392A"/>
    <w:rsid w:val="00A2424A"/>
    <w:rsid w:val="00A25EC7"/>
    <w:rsid w:val="00A25FCC"/>
    <w:rsid w:val="00A30496"/>
    <w:rsid w:val="00A33975"/>
    <w:rsid w:val="00A35152"/>
    <w:rsid w:val="00A3520F"/>
    <w:rsid w:val="00A36B59"/>
    <w:rsid w:val="00A36E40"/>
    <w:rsid w:val="00A4165E"/>
    <w:rsid w:val="00A41E42"/>
    <w:rsid w:val="00A423B2"/>
    <w:rsid w:val="00A427D9"/>
    <w:rsid w:val="00A443B9"/>
    <w:rsid w:val="00A453B2"/>
    <w:rsid w:val="00A45EBE"/>
    <w:rsid w:val="00A46047"/>
    <w:rsid w:val="00A462EA"/>
    <w:rsid w:val="00A47239"/>
    <w:rsid w:val="00A50809"/>
    <w:rsid w:val="00A53B00"/>
    <w:rsid w:val="00A53B4E"/>
    <w:rsid w:val="00A55404"/>
    <w:rsid w:val="00A5662F"/>
    <w:rsid w:val="00A57827"/>
    <w:rsid w:val="00A619F9"/>
    <w:rsid w:val="00A61A98"/>
    <w:rsid w:val="00A650F7"/>
    <w:rsid w:val="00A65C88"/>
    <w:rsid w:val="00A66906"/>
    <w:rsid w:val="00A66AAD"/>
    <w:rsid w:val="00A674EA"/>
    <w:rsid w:val="00A67F31"/>
    <w:rsid w:val="00A70691"/>
    <w:rsid w:val="00A708F0"/>
    <w:rsid w:val="00A721A5"/>
    <w:rsid w:val="00A7252B"/>
    <w:rsid w:val="00A727BB"/>
    <w:rsid w:val="00A72927"/>
    <w:rsid w:val="00A73774"/>
    <w:rsid w:val="00A74227"/>
    <w:rsid w:val="00A74AD1"/>
    <w:rsid w:val="00A75B91"/>
    <w:rsid w:val="00A76068"/>
    <w:rsid w:val="00A77FF8"/>
    <w:rsid w:val="00A827D7"/>
    <w:rsid w:val="00A8408E"/>
    <w:rsid w:val="00A867FE"/>
    <w:rsid w:val="00A93BF6"/>
    <w:rsid w:val="00A93FA8"/>
    <w:rsid w:val="00A94073"/>
    <w:rsid w:val="00A94D7A"/>
    <w:rsid w:val="00A97FEE"/>
    <w:rsid w:val="00AA097A"/>
    <w:rsid w:val="00AA0BF0"/>
    <w:rsid w:val="00AA143C"/>
    <w:rsid w:val="00AA16B5"/>
    <w:rsid w:val="00AA3078"/>
    <w:rsid w:val="00AA356B"/>
    <w:rsid w:val="00AA3AD0"/>
    <w:rsid w:val="00AA7079"/>
    <w:rsid w:val="00AB1954"/>
    <w:rsid w:val="00AB2CFA"/>
    <w:rsid w:val="00AB308B"/>
    <w:rsid w:val="00AB4074"/>
    <w:rsid w:val="00AB43BC"/>
    <w:rsid w:val="00AB4BBD"/>
    <w:rsid w:val="00AB5FBE"/>
    <w:rsid w:val="00AB732B"/>
    <w:rsid w:val="00AB7F3E"/>
    <w:rsid w:val="00AC0904"/>
    <w:rsid w:val="00AC12AB"/>
    <w:rsid w:val="00AC3796"/>
    <w:rsid w:val="00AC3F58"/>
    <w:rsid w:val="00AC575C"/>
    <w:rsid w:val="00AC781F"/>
    <w:rsid w:val="00AD1673"/>
    <w:rsid w:val="00AD1F80"/>
    <w:rsid w:val="00AD331A"/>
    <w:rsid w:val="00AD3DD4"/>
    <w:rsid w:val="00AD456A"/>
    <w:rsid w:val="00AD49E8"/>
    <w:rsid w:val="00AD5AC9"/>
    <w:rsid w:val="00AD6E92"/>
    <w:rsid w:val="00AD7961"/>
    <w:rsid w:val="00AD7ECF"/>
    <w:rsid w:val="00AE0CE7"/>
    <w:rsid w:val="00AE183B"/>
    <w:rsid w:val="00AE1A15"/>
    <w:rsid w:val="00AE345D"/>
    <w:rsid w:val="00AE35D4"/>
    <w:rsid w:val="00AE3C55"/>
    <w:rsid w:val="00AE3D64"/>
    <w:rsid w:val="00AE6984"/>
    <w:rsid w:val="00AF09C2"/>
    <w:rsid w:val="00AF1254"/>
    <w:rsid w:val="00AF2EDA"/>
    <w:rsid w:val="00AF5372"/>
    <w:rsid w:val="00AF574B"/>
    <w:rsid w:val="00AF5E09"/>
    <w:rsid w:val="00AF7173"/>
    <w:rsid w:val="00B00A07"/>
    <w:rsid w:val="00B00BCC"/>
    <w:rsid w:val="00B00CD8"/>
    <w:rsid w:val="00B011E1"/>
    <w:rsid w:val="00B02511"/>
    <w:rsid w:val="00B03099"/>
    <w:rsid w:val="00B05283"/>
    <w:rsid w:val="00B05D5D"/>
    <w:rsid w:val="00B061BF"/>
    <w:rsid w:val="00B0652E"/>
    <w:rsid w:val="00B06931"/>
    <w:rsid w:val="00B0789D"/>
    <w:rsid w:val="00B078B1"/>
    <w:rsid w:val="00B10B95"/>
    <w:rsid w:val="00B11579"/>
    <w:rsid w:val="00B116A7"/>
    <w:rsid w:val="00B127D0"/>
    <w:rsid w:val="00B138FF"/>
    <w:rsid w:val="00B13AEA"/>
    <w:rsid w:val="00B147E5"/>
    <w:rsid w:val="00B14C0F"/>
    <w:rsid w:val="00B17E08"/>
    <w:rsid w:val="00B207ED"/>
    <w:rsid w:val="00B21F1B"/>
    <w:rsid w:val="00B24FD6"/>
    <w:rsid w:val="00B27D80"/>
    <w:rsid w:val="00B3086C"/>
    <w:rsid w:val="00B31249"/>
    <w:rsid w:val="00B324CD"/>
    <w:rsid w:val="00B32B84"/>
    <w:rsid w:val="00B3351A"/>
    <w:rsid w:val="00B33C19"/>
    <w:rsid w:val="00B34CE5"/>
    <w:rsid w:val="00B35BE1"/>
    <w:rsid w:val="00B374F7"/>
    <w:rsid w:val="00B40A9A"/>
    <w:rsid w:val="00B42243"/>
    <w:rsid w:val="00B426E9"/>
    <w:rsid w:val="00B43C19"/>
    <w:rsid w:val="00B44E71"/>
    <w:rsid w:val="00B4552D"/>
    <w:rsid w:val="00B45C18"/>
    <w:rsid w:val="00B4745F"/>
    <w:rsid w:val="00B47724"/>
    <w:rsid w:val="00B47B31"/>
    <w:rsid w:val="00B50411"/>
    <w:rsid w:val="00B5082A"/>
    <w:rsid w:val="00B50F96"/>
    <w:rsid w:val="00B513A8"/>
    <w:rsid w:val="00B5238D"/>
    <w:rsid w:val="00B53513"/>
    <w:rsid w:val="00B5374E"/>
    <w:rsid w:val="00B53AD6"/>
    <w:rsid w:val="00B53D62"/>
    <w:rsid w:val="00B54EC5"/>
    <w:rsid w:val="00B569EB"/>
    <w:rsid w:val="00B574EA"/>
    <w:rsid w:val="00B619E6"/>
    <w:rsid w:val="00B621A1"/>
    <w:rsid w:val="00B62309"/>
    <w:rsid w:val="00B632E8"/>
    <w:rsid w:val="00B67E35"/>
    <w:rsid w:val="00B7001A"/>
    <w:rsid w:val="00B706C9"/>
    <w:rsid w:val="00B7460B"/>
    <w:rsid w:val="00B75759"/>
    <w:rsid w:val="00B76547"/>
    <w:rsid w:val="00B7668F"/>
    <w:rsid w:val="00B76A06"/>
    <w:rsid w:val="00B76FAC"/>
    <w:rsid w:val="00B8062A"/>
    <w:rsid w:val="00B8159B"/>
    <w:rsid w:val="00B822AD"/>
    <w:rsid w:val="00B837E6"/>
    <w:rsid w:val="00B8403A"/>
    <w:rsid w:val="00B844A2"/>
    <w:rsid w:val="00B85E55"/>
    <w:rsid w:val="00B96413"/>
    <w:rsid w:val="00B971C5"/>
    <w:rsid w:val="00BA0203"/>
    <w:rsid w:val="00BA0A48"/>
    <w:rsid w:val="00BA0A61"/>
    <w:rsid w:val="00BA1793"/>
    <w:rsid w:val="00BA2579"/>
    <w:rsid w:val="00BA26A5"/>
    <w:rsid w:val="00BA29E3"/>
    <w:rsid w:val="00BA3CFB"/>
    <w:rsid w:val="00BA50BE"/>
    <w:rsid w:val="00BA52F3"/>
    <w:rsid w:val="00BA6192"/>
    <w:rsid w:val="00BA627B"/>
    <w:rsid w:val="00BA6AF3"/>
    <w:rsid w:val="00BA6F72"/>
    <w:rsid w:val="00BB3237"/>
    <w:rsid w:val="00BB3948"/>
    <w:rsid w:val="00BB4151"/>
    <w:rsid w:val="00BB4716"/>
    <w:rsid w:val="00BB628D"/>
    <w:rsid w:val="00BB69D6"/>
    <w:rsid w:val="00BB7CAA"/>
    <w:rsid w:val="00BC2563"/>
    <w:rsid w:val="00BC49B4"/>
    <w:rsid w:val="00BC4BCC"/>
    <w:rsid w:val="00BC6F03"/>
    <w:rsid w:val="00BC74C2"/>
    <w:rsid w:val="00BD0AEA"/>
    <w:rsid w:val="00BD0DCA"/>
    <w:rsid w:val="00BD232A"/>
    <w:rsid w:val="00BD2C0C"/>
    <w:rsid w:val="00BD2DA7"/>
    <w:rsid w:val="00BD372E"/>
    <w:rsid w:val="00BD4C0A"/>
    <w:rsid w:val="00BE1EB8"/>
    <w:rsid w:val="00BE2E4D"/>
    <w:rsid w:val="00BE3DCC"/>
    <w:rsid w:val="00BE4ECF"/>
    <w:rsid w:val="00BE5B2C"/>
    <w:rsid w:val="00BE7855"/>
    <w:rsid w:val="00BF183C"/>
    <w:rsid w:val="00BF2755"/>
    <w:rsid w:val="00BF2B88"/>
    <w:rsid w:val="00BF2C76"/>
    <w:rsid w:val="00BF2E68"/>
    <w:rsid w:val="00BF4778"/>
    <w:rsid w:val="00BF6FF1"/>
    <w:rsid w:val="00C02056"/>
    <w:rsid w:val="00C03AC2"/>
    <w:rsid w:val="00C03DCC"/>
    <w:rsid w:val="00C0416D"/>
    <w:rsid w:val="00C055FA"/>
    <w:rsid w:val="00C06012"/>
    <w:rsid w:val="00C06257"/>
    <w:rsid w:val="00C0772E"/>
    <w:rsid w:val="00C107E2"/>
    <w:rsid w:val="00C1201F"/>
    <w:rsid w:val="00C12D83"/>
    <w:rsid w:val="00C150C4"/>
    <w:rsid w:val="00C154AE"/>
    <w:rsid w:val="00C15741"/>
    <w:rsid w:val="00C15996"/>
    <w:rsid w:val="00C172AB"/>
    <w:rsid w:val="00C20895"/>
    <w:rsid w:val="00C24618"/>
    <w:rsid w:val="00C26191"/>
    <w:rsid w:val="00C3227F"/>
    <w:rsid w:val="00C32AF1"/>
    <w:rsid w:val="00C33402"/>
    <w:rsid w:val="00C337FD"/>
    <w:rsid w:val="00C34024"/>
    <w:rsid w:val="00C3450A"/>
    <w:rsid w:val="00C34870"/>
    <w:rsid w:val="00C34A69"/>
    <w:rsid w:val="00C34F51"/>
    <w:rsid w:val="00C35D93"/>
    <w:rsid w:val="00C3790A"/>
    <w:rsid w:val="00C414CE"/>
    <w:rsid w:val="00C422FE"/>
    <w:rsid w:val="00C44C6A"/>
    <w:rsid w:val="00C44D6D"/>
    <w:rsid w:val="00C44E0E"/>
    <w:rsid w:val="00C46847"/>
    <w:rsid w:val="00C51253"/>
    <w:rsid w:val="00C51AAF"/>
    <w:rsid w:val="00C5234F"/>
    <w:rsid w:val="00C53046"/>
    <w:rsid w:val="00C5438E"/>
    <w:rsid w:val="00C55573"/>
    <w:rsid w:val="00C55D60"/>
    <w:rsid w:val="00C575C9"/>
    <w:rsid w:val="00C600BE"/>
    <w:rsid w:val="00C632F9"/>
    <w:rsid w:val="00C64EBF"/>
    <w:rsid w:val="00C706B2"/>
    <w:rsid w:val="00C71322"/>
    <w:rsid w:val="00C71852"/>
    <w:rsid w:val="00C73500"/>
    <w:rsid w:val="00C74494"/>
    <w:rsid w:val="00C7553C"/>
    <w:rsid w:val="00C76258"/>
    <w:rsid w:val="00C809B2"/>
    <w:rsid w:val="00C81C52"/>
    <w:rsid w:val="00C82439"/>
    <w:rsid w:val="00C82E35"/>
    <w:rsid w:val="00C83B86"/>
    <w:rsid w:val="00C83FC6"/>
    <w:rsid w:val="00C8565B"/>
    <w:rsid w:val="00C86001"/>
    <w:rsid w:val="00C867C9"/>
    <w:rsid w:val="00C86BB3"/>
    <w:rsid w:val="00C8797A"/>
    <w:rsid w:val="00C909E9"/>
    <w:rsid w:val="00C95DE1"/>
    <w:rsid w:val="00C96B92"/>
    <w:rsid w:val="00C96C95"/>
    <w:rsid w:val="00C97417"/>
    <w:rsid w:val="00C977A0"/>
    <w:rsid w:val="00CA22DE"/>
    <w:rsid w:val="00CA2AD5"/>
    <w:rsid w:val="00CA2EC0"/>
    <w:rsid w:val="00CA2EEC"/>
    <w:rsid w:val="00CA3E50"/>
    <w:rsid w:val="00CA4402"/>
    <w:rsid w:val="00CA45E3"/>
    <w:rsid w:val="00CA4BD1"/>
    <w:rsid w:val="00CA773D"/>
    <w:rsid w:val="00CA7D2B"/>
    <w:rsid w:val="00CB0CDC"/>
    <w:rsid w:val="00CB141A"/>
    <w:rsid w:val="00CB20A6"/>
    <w:rsid w:val="00CB280C"/>
    <w:rsid w:val="00CB305F"/>
    <w:rsid w:val="00CB447B"/>
    <w:rsid w:val="00CB6737"/>
    <w:rsid w:val="00CB6E62"/>
    <w:rsid w:val="00CB7047"/>
    <w:rsid w:val="00CB7183"/>
    <w:rsid w:val="00CB75FD"/>
    <w:rsid w:val="00CC0920"/>
    <w:rsid w:val="00CC1C4C"/>
    <w:rsid w:val="00CC20B5"/>
    <w:rsid w:val="00CC221D"/>
    <w:rsid w:val="00CC3965"/>
    <w:rsid w:val="00CC58A5"/>
    <w:rsid w:val="00CC6190"/>
    <w:rsid w:val="00CC63C6"/>
    <w:rsid w:val="00CC6FEF"/>
    <w:rsid w:val="00CC7B2D"/>
    <w:rsid w:val="00CD2D46"/>
    <w:rsid w:val="00CD2DAB"/>
    <w:rsid w:val="00CD4614"/>
    <w:rsid w:val="00CD4C49"/>
    <w:rsid w:val="00CD7C4F"/>
    <w:rsid w:val="00CD7DF0"/>
    <w:rsid w:val="00CD7F59"/>
    <w:rsid w:val="00CE4365"/>
    <w:rsid w:val="00CE48D6"/>
    <w:rsid w:val="00CF1522"/>
    <w:rsid w:val="00CF3575"/>
    <w:rsid w:val="00CF3B6D"/>
    <w:rsid w:val="00CF5EDB"/>
    <w:rsid w:val="00CF68BE"/>
    <w:rsid w:val="00CF6942"/>
    <w:rsid w:val="00D0257C"/>
    <w:rsid w:val="00D02608"/>
    <w:rsid w:val="00D05792"/>
    <w:rsid w:val="00D05A39"/>
    <w:rsid w:val="00D06289"/>
    <w:rsid w:val="00D07246"/>
    <w:rsid w:val="00D1057A"/>
    <w:rsid w:val="00D11DF9"/>
    <w:rsid w:val="00D1294F"/>
    <w:rsid w:val="00D13C97"/>
    <w:rsid w:val="00D145EB"/>
    <w:rsid w:val="00D153BD"/>
    <w:rsid w:val="00D15E69"/>
    <w:rsid w:val="00D16FD1"/>
    <w:rsid w:val="00D2125F"/>
    <w:rsid w:val="00D2399D"/>
    <w:rsid w:val="00D23CC1"/>
    <w:rsid w:val="00D2461E"/>
    <w:rsid w:val="00D32155"/>
    <w:rsid w:val="00D32ADF"/>
    <w:rsid w:val="00D32FDC"/>
    <w:rsid w:val="00D33C3F"/>
    <w:rsid w:val="00D344B1"/>
    <w:rsid w:val="00D40203"/>
    <w:rsid w:val="00D40CAC"/>
    <w:rsid w:val="00D4436B"/>
    <w:rsid w:val="00D446BB"/>
    <w:rsid w:val="00D44B1F"/>
    <w:rsid w:val="00D4576E"/>
    <w:rsid w:val="00D45BF8"/>
    <w:rsid w:val="00D4681B"/>
    <w:rsid w:val="00D522BD"/>
    <w:rsid w:val="00D5494F"/>
    <w:rsid w:val="00D553E1"/>
    <w:rsid w:val="00D55A8B"/>
    <w:rsid w:val="00D6067E"/>
    <w:rsid w:val="00D62A13"/>
    <w:rsid w:val="00D63078"/>
    <w:rsid w:val="00D63207"/>
    <w:rsid w:val="00D64D58"/>
    <w:rsid w:val="00D65436"/>
    <w:rsid w:val="00D66A44"/>
    <w:rsid w:val="00D66EF1"/>
    <w:rsid w:val="00D67BBF"/>
    <w:rsid w:val="00D70238"/>
    <w:rsid w:val="00D70522"/>
    <w:rsid w:val="00D713B5"/>
    <w:rsid w:val="00D73D2A"/>
    <w:rsid w:val="00D740A3"/>
    <w:rsid w:val="00D742B6"/>
    <w:rsid w:val="00D8268B"/>
    <w:rsid w:val="00D85E69"/>
    <w:rsid w:val="00D8650F"/>
    <w:rsid w:val="00D86C44"/>
    <w:rsid w:val="00D87196"/>
    <w:rsid w:val="00D87B33"/>
    <w:rsid w:val="00D90018"/>
    <w:rsid w:val="00D905E0"/>
    <w:rsid w:val="00D911B4"/>
    <w:rsid w:val="00D9164B"/>
    <w:rsid w:val="00D9230A"/>
    <w:rsid w:val="00D9284A"/>
    <w:rsid w:val="00D9458B"/>
    <w:rsid w:val="00D94ACD"/>
    <w:rsid w:val="00D94D02"/>
    <w:rsid w:val="00D964EF"/>
    <w:rsid w:val="00D97338"/>
    <w:rsid w:val="00D979DA"/>
    <w:rsid w:val="00DA0C85"/>
    <w:rsid w:val="00DA0C9C"/>
    <w:rsid w:val="00DA1763"/>
    <w:rsid w:val="00DA1A17"/>
    <w:rsid w:val="00DA2CCF"/>
    <w:rsid w:val="00DA5790"/>
    <w:rsid w:val="00DB0384"/>
    <w:rsid w:val="00DB0433"/>
    <w:rsid w:val="00DB05E5"/>
    <w:rsid w:val="00DB2579"/>
    <w:rsid w:val="00DB3F9A"/>
    <w:rsid w:val="00DB44F0"/>
    <w:rsid w:val="00DB6D20"/>
    <w:rsid w:val="00DB6EB2"/>
    <w:rsid w:val="00DB78AD"/>
    <w:rsid w:val="00DC08CB"/>
    <w:rsid w:val="00DC7954"/>
    <w:rsid w:val="00DC7B90"/>
    <w:rsid w:val="00DD053C"/>
    <w:rsid w:val="00DD0548"/>
    <w:rsid w:val="00DD0827"/>
    <w:rsid w:val="00DD0B70"/>
    <w:rsid w:val="00DD0B7C"/>
    <w:rsid w:val="00DD2D40"/>
    <w:rsid w:val="00DD5C78"/>
    <w:rsid w:val="00DE4F78"/>
    <w:rsid w:val="00DE5349"/>
    <w:rsid w:val="00DE5D04"/>
    <w:rsid w:val="00DE7188"/>
    <w:rsid w:val="00DF0B91"/>
    <w:rsid w:val="00DF37AC"/>
    <w:rsid w:val="00DF41E7"/>
    <w:rsid w:val="00DF4506"/>
    <w:rsid w:val="00DF4E56"/>
    <w:rsid w:val="00DF5900"/>
    <w:rsid w:val="00DF5D21"/>
    <w:rsid w:val="00DF61BE"/>
    <w:rsid w:val="00DF6871"/>
    <w:rsid w:val="00DF79AA"/>
    <w:rsid w:val="00DF7C5C"/>
    <w:rsid w:val="00E014E2"/>
    <w:rsid w:val="00E0218E"/>
    <w:rsid w:val="00E02CC0"/>
    <w:rsid w:val="00E03493"/>
    <w:rsid w:val="00E03A3C"/>
    <w:rsid w:val="00E03CD0"/>
    <w:rsid w:val="00E049A8"/>
    <w:rsid w:val="00E063E3"/>
    <w:rsid w:val="00E111F1"/>
    <w:rsid w:val="00E11DFA"/>
    <w:rsid w:val="00E127E6"/>
    <w:rsid w:val="00E1332C"/>
    <w:rsid w:val="00E15599"/>
    <w:rsid w:val="00E21AAA"/>
    <w:rsid w:val="00E21C2A"/>
    <w:rsid w:val="00E2576A"/>
    <w:rsid w:val="00E32CD6"/>
    <w:rsid w:val="00E359E3"/>
    <w:rsid w:val="00E36674"/>
    <w:rsid w:val="00E413E2"/>
    <w:rsid w:val="00E4338F"/>
    <w:rsid w:val="00E45313"/>
    <w:rsid w:val="00E46BAE"/>
    <w:rsid w:val="00E504A1"/>
    <w:rsid w:val="00E512DF"/>
    <w:rsid w:val="00E51B4C"/>
    <w:rsid w:val="00E52014"/>
    <w:rsid w:val="00E543B5"/>
    <w:rsid w:val="00E564B3"/>
    <w:rsid w:val="00E56B0D"/>
    <w:rsid w:val="00E6110F"/>
    <w:rsid w:val="00E61373"/>
    <w:rsid w:val="00E61BA5"/>
    <w:rsid w:val="00E61D4D"/>
    <w:rsid w:val="00E64258"/>
    <w:rsid w:val="00E64290"/>
    <w:rsid w:val="00E643C7"/>
    <w:rsid w:val="00E658B9"/>
    <w:rsid w:val="00E661D3"/>
    <w:rsid w:val="00E66352"/>
    <w:rsid w:val="00E66680"/>
    <w:rsid w:val="00E67578"/>
    <w:rsid w:val="00E704D1"/>
    <w:rsid w:val="00E70985"/>
    <w:rsid w:val="00E70C35"/>
    <w:rsid w:val="00E70FCA"/>
    <w:rsid w:val="00E7242E"/>
    <w:rsid w:val="00E73256"/>
    <w:rsid w:val="00E7384F"/>
    <w:rsid w:val="00E73E69"/>
    <w:rsid w:val="00E744C7"/>
    <w:rsid w:val="00E754E5"/>
    <w:rsid w:val="00E7602D"/>
    <w:rsid w:val="00E7685A"/>
    <w:rsid w:val="00E76D9C"/>
    <w:rsid w:val="00E84010"/>
    <w:rsid w:val="00E86C1D"/>
    <w:rsid w:val="00E90A94"/>
    <w:rsid w:val="00E9202D"/>
    <w:rsid w:val="00E92DC8"/>
    <w:rsid w:val="00E939B1"/>
    <w:rsid w:val="00E94683"/>
    <w:rsid w:val="00E94CE9"/>
    <w:rsid w:val="00E96207"/>
    <w:rsid w:val="00E96D3D"/>
    <w:rsid w:val="00E97AD1"/>
    <w:rsid w:val="00EA0349"/>
    <w:rsid w:val="00EA043D"/>
    <w:rsid w:val="00EA069D"/>
    <w:rsid w:val="00EA0EFD"/>
    <w:rsid w:val="00EA3B45"/>
    <w:rsid w:val="00EA5498"/>
    <w:rsid w:val="00EA5A08"/>
    <w:rsid w:val="00EA5B09"/>
    <w:rsid w:val="00EA6921"/>
    <w:rsid w:val="00EB231A"/>
    <w:rsid w:val="00EB3863"/>
    <w:rsid w:val="00EB5B6D"/>
    <w:rsid w:val="00EB6A28"/>
    <w:rsid w:val="00EC0082"/>
    <w:rsid w:val="00EC1C51"/>
    <w:rsid w:val="00EC23FE"/>
    <w:rsid w:val="00EC730B"/>
    <w:rsid w:val="00EC7AD1"/>
    <w:rsid w:val="00ED02A9"/>
    <w:rsid w:val="00ED1294"/>
    <w:rsid w:val="00ED13B1"/>
    <w:rsid w:val="00ED1E88"/>
    <w:rsid w:val="00ED2937"/>
    <w:rsid w:val="00ED2BED"/>
    <w:rsid w:val="00ED4240"/>
    <w:rsid w:val="00ED5635"/>
    <w:rsid w:val="00ED575F"/>
    <w:rsid w:val="00ED5809"/>
    <w:rsid w:val="00ED768D"/>
    <w:rsid w:val="00EE0647"/>
    <w:rsid w:val="00EE1670"/>
    <w:rsid w:val="00EE219A"/>
    <w:rsid w:val="00EE2862"/>
    <w:rsid w:val="00EE5D7D"/>
    <w:rsid w:val="00EE5DB3"/>
    <w:rsid w:val="00EE6A9B"/>
    <w:rsid w:val="00EE783F"/>
    <w:rsid w:val="00EF103C"/>
    <w:rsid w:val="00EF1E07"/>
    <w:rsid w:val="00EF41D9"/>
    <w:rsid w:val="00EF550E"/>
    <w:rsid w:val="00EF5C6A"/>
    <w:rsid w:val="00EF69CB"/>
    <w:rsid w:val="00EF7BA3"/>
    <w:rsid w:val="00F01C01"/>
    <w:rsid w:val="00F04638"/>
    <w:rsid w:val="00F06300"/>
    <w:rsid w:val="00F065F7"/>
    <w:rsid w:val="00F0797D"/>
    <w:rsid w:val="00F07BFE"/>
    <w:rsid w:val="00F10534"/>
    <w:rsid w:val="00F13429"/>
    <w:rsid w:val="00F135A9"/>
    <w:rsid w:val="00F145DC"/>
    <w:rsid w:val="00F149AC"/>
    <w:rsid w:val="00F15103"/>
    <w:rsid w:val="00F159E9"/>
    <w:rsid w:val="00F20749"/>
    <w:rsid w:val="00F20AB3"/>
    <w:rsid w:val="00F2109D"/>
    <w:rsid w:val="00F21380"/>
    <w:rsid w:val="00F21977"/>
    <w:rsid w:val="00F243DC"/>
    <w:rsid w:val="00F27061"/>
    <w:rsid w:val="00F27631"/>
    <w:rsid w:val="00F2777F"/>
    <w:rsid w:val="00F27D39"/>
    <w:rsid w:val="00F3069F"/>
    <w:rsid w:val="00F30B68"/>
    <w:rsid w:val="00F32639"/>
    <w:rsid w:val="00F32C6C"/>
    <w:rsid w:val="00F33997"/>
    <w:rsid w:val="00F3465E"/>
    <w:rsid w:val="00F351D6"/>
    <w:rsid w:val="00F356A7"/>
    <w:rsid w:val="00F405B9"/>
    <w:rsid w:val="00F42254"/>
    <w:rsid w:val="00F43158"/>
    <w:rsid w:val="00F44BC6"/>
    <w:rsid w:val="00F45B7F"/>
    <w:rsid w:val="00F5220A"/>
    <w:rsid w:val="00F52FF3"/>
    <w:rsid w:val="00F541C1"/>
    <w:rsid w:val="00F576BB"/>
    <w:rsid w:val="00F60EC8"/>
    <w:rsid w:val="00F62130"/>
    <w:rsid w:val="00F6239E"/>
    <w:rsid w:val="00F624FF"/>
    <w:rsid w:val="00F6422F"/>
    <w:rsid w:val="00F64B06"/>
    <w:rsid w:val="00F658D2"/>
    <w:rsid w:val="00F65A20"/>
    <w:rsid w:val="00F66749"/>
    <w:rsid w:val="00F66F67"/>
    <w:rsid w:val="00F677C8"/>
    <w:rsid w:val="00F67F05"/>
    <w:rsid w:val="00F70F1F"/>
    <w:rsid w:val="00F70F8B"/>
    <w:rsid w:val="00F711C2"/>
    <w:rsid w:val="00F72B45"/>
    <w:rsid w:val="00F743D8"/>
    <w:rsid w:val="00F750DF"/>
    <w:rsid w:val="00F85734"/>
    <w:rsid w:val="00F86070"/>
    <w:rsid w:val="00F93540"/>
    <w:rsid w:val="00F9473A"/>
    <w:rsid w:val="00F94859"/>
    <w:rsid w:val="00F949A3"/>
    <w:rsid w:val="00F96CE4"/>
    <w:rsid w:val="00F972C1"/>
    <w:rsid w:val="00F97FEF"/>
    <w:rsid w:val="00FA13DF"/>
    <w:rsid w:val="00FA2016"/>
    <w:rsid w:val="00FA25D1"/>
    <w:rsid w:val="00FA4E56"/>
    <w:rsid w:val="00FA5F4A"/>
    <w:rsid w:val="00FA7DF2"/>
    <w:rsid w:val="00FB2CA7"/>
    <w:rsid w:val="00FB340B"/>
    <w:rsid w:val="00FB3A55"/>
    <w:rsid w:val="00FB4425"/>
    <w:rsid w:val="00FB4DB7"/>
    <w:rsid w:val="00FB587F"/>
    <w:rsid w:val="00FB5A9A"/>
    <w:rsid w:val="00FB7938"/>
    <w:rsid w:val="00FC1A74"/>
    <w:rsid w:val="00FC296F"/>
    <w:rsid w:val="00FC30AF"/>
    <w:rsid w:val="00FC3555"/>
    <w:rsid w:val="00FC3C93"/>
    <w:rsid w:val="00FC4DC9"/>
    <w:rsid w:val="00FC715A"/>
    <w:rsid w:val="00FC7BCA"/>
    <w:rsid w:val="00FC7EF4"/>
    <w:rsid w:val="00FD033E"/>
    <w:rsid w:val="00FD05B6"/>
    <w:rsid w:val="00FD0C3F"/>
    <w:rsid w:val="00FD0DEC"/>
    <w:rsid w:val="00FD1BD9"/>
    <w:rsid w:val="00FD38E1"/>
    <w:rsid w:val="00FD4F24"/>
    <w:rsid w:val="00FD5C59"/>
    <w:rsid w:val="00FD5D9B"/>
    <w:rsid w:val="00FD6A77"/>
    <w:rsid w:val="00FD6F93"/>
    <w:rsid w:val="00FE09E4"/>
    <w:rsid w:val="00FE0FE0"/>
    <w:rsid w:val="00FE13AD"/>
    <w:rsid w:val="00FE2F76"/>
    <w:rsid w:val="00FE3CED"/>
    <w:rsid w:val="00FE4295"/>
    <w:rsid w:val="00FE5E0F"/>
    <w:rsid w:val="00FE6A30"/>
    <w:rsid w:val="00FE772C"/>
    <w:rsid w:val="00FF0933"/>
    <w:rsid w:val="00FF1760"/>
    <w:rsid w:val="00FF26F0"/>
    <w:rsid w:val="00FF28DB"/>
    <w:rsid w:val="00FF2D39"/>
    <w:rsid w:val="00FF3CE7"/>
    <w:rsid w:val="00FF5AB0"/>
    <w:rsid w:val="00FF77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9E67"/>
  <w15:docId w15:val="{CBEA2199-AF1A-4D21-A861-22F503E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0AA"/>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link w:val="Heading3Char"/>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uiPriority w:val="99"/>
    <w:rPr>
      <w:rFonts w:ascii="Arial" w:hAnsi="Arial"/>
      <w:sz w:val="20"/>
      <w:lang w:val="x-none"/>
    </w:rPr>
  </w:style>
  <w:style w:type="character" w:customStyle="1" w:styleId="CommentTextChar">
    <w:name w:val="Comment Text Char"/>
    <w:link w:val="CommentText"/>
    <w:uiPriority w:val="99"/>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147EEF"/>
    <w:pPr>
      <w:keepNext/>
      <w:keepLines/>
      <w:tabs>
        <w:tab w:val="right" w:leader="dot" w:pos="8636"/>
      </w:tabs>
      <w:spacing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1"/>
      </w:numPr>
      <w:spacing w:after="120"/>
      <w:ind w:left="357" w:hanging="357"/>
    </w:pPr>
  </w:style>
  <w:style w:type="paragraph" w:styleId="ListBullet2">
    <w:name w:val="List Bullet 2"/>
    <w:basedOn w:val="Normal"/>
    <w:rsid w:val="005C292B"/>
    <w:pPr>
      <w:numPr>
        <w:numId w:val="2"/>
      </w:numPr>
      <w:tabs>
        <w:tab w:val="clear" w:pos="717"/>
        <w:tab w:val="left" w:pos="357"/>
      </w:tabs>
      <w:spacing w:before="60" w:after="60"/>
      <w:ind w:left="641" w:hanging="357"/>
    </w:pPr>
  </w:style>
  <w:style w:type="paragraph" w:styleId="ListBullet3">
    <w:name w:val="List Bullet 3"/>
    <w:basedOn w:val="Normal"/>
    <w:rsid w:val="001F0D22"/>
    <w:pPr>
      <w:numPr>
        <w:numId w:val="3"/>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4"/>
      </w:numPr>
      <w:tabs>
        <w:tab w:val="clear" w:pos="360"/>
      </w:tabs>
      <w:spacing w:after="120"/>
    </w:pPr>
  </w:style>
  <w:style w:type="paragraph" w:styleId="ListNumber2">
    <w:name w:val="List Number 2"/>
    <w:basedOn w:val="Normal"/>
    <w:pPr>
      <w:numPr>
        <w:numId w:val="5"/>
      </w:numPr>
      <w:tabs>
        <w:tab w:val="clear" w:pos="641"/>
        <w:tab w:val="num" w:pos="643"/>
      </w:tabs>
      <w:spacing w:before="60" w:after="60"/>
    </w:pPr>
  </w:style>
  <w:style w:type="paragraph" w:styleId="ListNumber3">
    <w:name w:val="List Number 3"/>
    <w:basedOn w:val="Normal"/>
    <w:rsid w:val="00055418"/>
    <w:pPr>
      <w:numPr>
        <w:numId w:val="6"/>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5_G"/>
    <w:basedOn w:val="Normal"/>
    <w:link w:val="FootnoteTextChar"/>
    <w:qFormat/>
    <w:rsid w:val="009222D3"/>
    <w:pPr>
      <w:spacing w:after="80"/>
    </w:pPr>
    <w:rPr>
      <w:sz w:val="22"/>
      <w:szCs w:val="20"/>
    </w:rPr>
  </w:style>
  <w:style w:type="paragraph" w:styleId="TOC2">
    <w:name w:val="toc 2"/>
    <w:basedOn w:val="Normal"/>
    <w:next w:val="Normal"/>
    <w:autoRedefine/>
    <w:uiPriority w:val="39"/>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SUPE,Footnotes refs,SUPERS"/>
    <w:rsid w:val="00A1079C"/>
    <w:rPr>
      <w:rFonts w:ascii="Gill Sans" w:hAnsi="Gill Sans"/>
      <w:sz w:val="26"/>
      <w:vertAlign w:val="superscript"/>
    </w:rPr>
  </w:style>
  <w:style w:type="character" w:customStyle="1" w:styleId="matrix1">
    <w:name w:val="matrix1"/>
    <w:basedOn w:val="DefaultParagraphFont"/>
    <w:rsid w:val="00180D03"/>
    <w:rPr>
      <w:color w:val="1D6993"/>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180D03"/>
    <w:rPr>
      <w:rFonts w:ascii="Gill Sans" w:eastAsia="Times New Roman" w:hAnsi="Gill Sans"/>
      <w:sz w:val="22"/>
      <w:lang w:eastAsia="en-US"/>
    </w:rPr>
  </w:style>
  <w:style w:type="character" w:styleId="CommentReference">
    <w:name w:val="annotation reference"/>
    <w:basedOn w:val="DefaultParagraphFont"/>
    <w:uiPriority w:val="99"/>
    <w:rsid w:val="00576D1C"/>
    <w:rPr>
      <w:sz w:val="16"/>
      <w:szCs w:val="16"/>
    </w:rPr>
  </w:style>
  <w:style w:type="paragraph" w:styleId="CommentSubject">
    <w:name w:val="annotation subject"/>
    <w:basedOn w:val="CommentText"/>
    <w:next w:val="CommentText"/>
    <w:link w:val="CommentSubjectChar"/>
    <w:rsid w:val="00576D1C"/>
    <w:rPr>
      <w:rFonts w:ascii="Gill Sans" w:hAnsi="Gill Sans"/>
      <w:b/>
      <w:bCs/>
      <w:szCs w:val="20"/>
      <w:lang w:val="en-IE"/>
    </w:rPr>
  </w:style>
  <w:style w:type="character" w:customStyle="1" w:styleId="CommentSubjectChar">
    <w:name w:val="Comment Subject Char"/>
    <w:basedOn w:val="CommentTextChar"/>
    <w:link w:val="CommentSubject"/>
    <w:rsid w:val="00576D1C"/>
    <w:rPr>
      <w:rFonts w:ascii="Gill Sans" w:eastAsia="Times New Roman" w:hAnsi="Gill Sans"/>
      <w:b/>
      <w:bCs/>
      <w:szCs w:val="24"/>
      <w:lang w:eastAsia="en-US"/>
    </w:rPr>
  </w:style>
  <w:style w:type="table" w:styleId="TableGrid">
    <w:name w:val="Table Grid"/>
    <w:basedOn w:val="TableNormal"/>
    <w:uiPriority w:val="59"/>
    <w:rsid w:val="009C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0DDB"/>
    <w:pPr>
      <w:autoSpaceDE w:val="0"/>
      <w:autoSpaceDN w:val="0"/>
      <w:adjustRightInd w:val="0"/>
    </w:pPr>
    <w:rPr>
      <w:rFonts w:ascii="Verdana" w:eastAsia="Calibri" w:hAnsi="Verdana" w:cs="Verdana"/>
      <w:color w:val="000000"/>
      <w:sz w:val="24"/>
      <w:szCs w:val="24"/>
      <w:lang w:eastAsia="en-US"/>
    </w:rPr>
  </w:style>
  <w:style w:type="character" w:styleId="UnresolvedMention">
    <w:name w:val="Unresolved Mention"/>
    <w:basedOn w:val="DefaultParagraphFont"/>
    <w:uiPriority w:val="99"/>
    <w:semiHidden/>
    <w:unhideWhenUsed/>
    <w:rsid w:val="00D63207"/>
    <w:rPr>
      <w:color w:val="605E5C"/>
      <w:shd w:val="clear" w:color="auto" w:fill="E1DFDD"/>
    </w:rPr>
  </w:style>
  <w:style w:type="paragraph" w:styleId="NormalWeb">
    <w:name w:val="Normal (Web)"/>
    <w:basedOn w:val="Normal"/>
    <w:uiPriority w:val="99"/>
    <w:unhideWhenUsed/>
    <w:rsid w:val="00D05792"/>
    <w:pPr>
      <w:spacing w:before="100" w:beforeAutospacing="1" w:after="100" w:afterAutospacing="1"/>
    </w:pPr>
    <w:rPr>
      <w:rFonts w:ascii="Times New Roman" w:hAnsi="Times New Roman"/>
      <w:sz w:val="24"/>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C55573"/>
    <w:pPr>
      <w:ind w:left="720"/>
      <w:contextualSpacing/>
    </w:pPr>
  </w:style>
  <w:style w:type="paragraph" w:styleId="Bibliography">
    <w:name w:val="Bibliography"/>
    <w:basedOn w:val="Normal"/>
    <w:next w:val="Normal"/>
    <w:uiPriority w:val="37"/>
    <w:unhideWhenUsed/>
    <w:rsid w:val="00761637"/>
    <w:pPr>
      <w:tabs>
        <w:tab w:val="left" w:pos="384"/>
      </w:tabs>
      <w:ind w:left="384" w:hanging="384"/>
    </w:pPr>
  </w:style>
  <w:style w:type="character" w:customStyle="1" w:styleId="FooterChar">
    <w:name w:val="Footer Char"/>
    <w:basedOn w:val="DefaultParagraphFont"/>
    <w:link w:val="Footer"/>
    <w:uiPriority w:val="99"/>
    <w:rsid w:val="00E73256"/>
    <w:rPr>
      <w:rFonts w:ascii="Gill Sans" w:eastAsia="Times New Roman" w:hAnsi="Gill Sans"/>
      <w:color w:val="323232"/>
      <w:lang w:eastAsia="en-US"/>
    </w:rPr>
  </w:style>
  <w:style w:type="paragraph" w:styleId="Revision">
    <w:name w:val="Revision"/>
    <w:hidden/>
    <w:uiPriority w:val="99"/>
    <w:semiHidden/>
    <w:rsid w:val="00587ACC"/>
    <w:rPr>
      <w:rFonts w:ascii="Gill Sans" w:eastAsia="Times New Roman" w:hAnsi="Gill Sans"/>
      <w:sz w:val="26"/>
      <w:szCs w:val="24"/>
      <w:lang w:eastAsia="en-US"/>
    </w:rPr>
  </w:style>
  <w:style w:type="character" w:customStyle="1" w:styleId="normaltextrun">
    <w:name w:val="normaltextrun"/>
    <w:basedOn w:val="DefaultParagraphFont"/>
    <w:rsid w:val="002F78A8"/>
  </w:style>
  <w:style w:type="character" w:customStyle="1" w:styleId="eop">
    <w:name w:val="eop"/>
    <w:basedOn w:val="DefaultParagraphFont"/>
    <w:rsid w:val="002F78A8"/>
  </w:style>
  <w:style w:type="character" w:customStyle="1" w:styleId="spellingerror">
    <w:name w:val="spellingerror"/>
    <w:basedOn w:val="DefaultParagraphFont"/>
    <w:rsid w:val="002F78A8"/>
  </w:style>
  <w:style w:type="character" w:styleId="EndnoteReference">
    <w:name w:val="endnote reference"/>
    <w:basedOn w:val="DefaultParagraphFont"/>
    <w:rsid w:val="00CB305F"/>
    <w:rPr>
      <w:vertAlign w:val="superscript"/>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7A35BA"/>
    <w:rPr>
      <w:rFonts w:ascii="Gill Sans" w:eastAsia="Times New Roman" w:hAnsi="Gill Sans"/>
      <w:sz w:val="26"/>
      <w:szCs w:val="24"/>
      <w:lang w:eastAsia="en-US"/>
    </w:rPr>
  </w:style>
  <w:style w:type="character" w:customStyle="1" w:styleId="cf01">
    <w:name w:val="cf01"/>
    <w:basedOn w:val="DefaultParagraphFont"/>
    <w:rsid w:val="00373B15"/>
    <w:rPr>
      <w:rFonts w:ascii="Segoe UI" w:hAnsi="Segoe UI" w:cs="Segoe UI" w:hint="default"/>
      <w:sz w:val="18"/>
      <w:szCs w:val="18"/>
    </w:rPr>
  </w:style>
  <w:style w:type="character" w:customStyle="1" w:styleId="Heading3Char">
    <w:name w:val="Heading 3 Char"/>
    <w:basedOn w:val="DefaultParagraphFont"/>
    <w:link w:val="Heading3"/>
    <w:rsid w:val="00A93BF6"/>
    <w:rPr>
      <w:rFonts w:ascii="Gill Sans" w:eastAsia="Times New Roman" w:hAnsi="Gill Sans" w:cs="Arial Bold"/>
      <w:b/>
      <w:bCs/>
      <w:sz w:val="26"/>
      <w:szCs w:val="24"/>
      <w:lang w:eastAsia="en-US"/>
    </w:rPr>
  </w:style>
  <w:style w:type="paragraph" w:customStyle="1" w:styleId="H1Heading1NDA">
    <w:name w:val="H1 Heading1_NDA"/>
    <w:basedOn w:val="Heading1"/>
    <w:next w:val="Normal"/>
    <w:uiPriority w:val="1"/>
    <w:qFormat/>
    <w:rsid w:val="00BA0A61"/>
    <w:pPr>
      <w:keepLines/>
    </w:pPr>
    <w:rPr>
      <w:rFonts w:ascii="Verdana" w:eastAsiaTheme="majorEastAsia" w:hAnsi="Verdana" w:cstheme="majorBidi"/>
      <w:bCs w:val="0"/>
      <w:color w:val="000000" w:themeColor="text1"/>
      <w:kern w:val="2"/>
      <w14:ligatures w14:val="standardContextual"/>
    </w:rPr>
  </w:style>
  <w:style w:type="paragraph" w:customStyle="1" w:styleId="H2Heading2NDA">
    <w:name w:val="H2 Heading2_NDA"/>
    <w:basedOn w:val="Heading2"/>
    <w:next w:val="Normal"/>
    <w:uiPriority w:val="2"/>
    <w:qFormat/>
    <w:rsid w:val="00BA0A61"/>
    <w:pPr>
      <w:keepLines/>
      <w:spacing w:after="80"/>
    </w:pPr>
    <w:rPr>
      <w:rFonts w:ascii="Verdana" w:eastAsiaTheme="majorEastAsia" w:hAnsi="Verdana" w:cstheme="majorBidi"/>
      <w:bCs w:val="0"/>
      <w:iCs w:val="0"/>
      <w:color w:val="000000" w:themeColor="text1"/>
      <w:kern w:val="2"/>
      <w:szCs w:val="26"/>
      <w14:ligatures w14:val="standardContextual"/>
    </w:rPr>
  </w:style>
  <w:style w:type="paragraph" w:customStyle="1" w:styleId="H3Heading3NDA">
    <w:name w:val="H3 Heading3_NDA"/>
    <w:basedOn w:val="Heading3"/>
    <w:next w:val="Normal"/>
    <w:uiPriority w:val="3"/>
    <w:qFormat/>
    <w:rsid w:val="00BA0A61"/>
    <w:pPr>
      <w:keepLines/>
      <w:spacing w:after="40"/>
    </w:pPr>
    <w:rPr>
      <w:rFonts w:ascii="Verdana" w:eastAsiaTheme="majorEastAsia" w:hAnsi="Verdana" w:cstheme="majorBidi"/>
      <w:bCs w:val="0"/>
      <w:color w:val="000000" w:themeColor="text1"/>
      <w:kern w:val="2"/>
      <w:sz w:val="24"/>
      <w14:ligatures w14:val="standardContextual"/>
    </w:rPr>
  </w:style>
  <w:style w:type="paragraph" w:customStyle="1" w:styleId="BulletNDA">
    <w:name w:val="Bullet_NDA"/>
    <w:basedOn w:val="Normal"/>
    <w:uiPriority w:val="8"/>
    <w:qFormat/>
    <w:rsid w:val="00BA0A61"/>
    <w:pPr>
      <w:numPr>
        <w:numId w:val="46"/>
      </w:numPr>
      <w:spacing w:after="120"/>
      <w:ind w:left="357" w:hanging="357"/>
    </w:pPr>
    <w:rPr>
      <w:rFonts w:ascii="Verdana" w:eastAsiaTheme="minorHAnsi" w:hAnsi="Verdana" w:cstheme="minorBidi"/>
      <w:color w:val="000000" w:themeColor="text1"/>
      <w:kern w:val="2"/>
      <w:sz w:val="24"/>
      <w:szCs w:val="22"/>
      <w14:ligatures w14:val="standardContextual"/>
    </w:rPr>
  </w:style>
  <w:style w:type="paragraph" w:styleId="TOCHeading">
    <w:name w:val="TOC Heading"/>
    <w:basedOn w:val="Heading1"/>
    <w:next w:val="Normal"/>
    <w:uiPriority w:val="39"/>
    <w:unhideWhenUsed/>
    <w:qFormat/>
    <w:rsid w:val="00692826"/>
    <w:pPr>
      <w:keepLines/>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eastAsiaTheme="majorEastAsia" w:hAnsiTheme="majorHAnsi" w:cstheme="majorBidi"/>
      <w:b w:val="0"/>
      <w:bCs w:val="0"/>
      <w:color w:val="2F5496" w:themeColor="accent1" w:themeShade="BF"/>
      <w:kern w:val="0"/>
      <w:lang w:eastAsia="en-IE"/>
    </w:rPr>
  </w:style>
  <w:style w:type="paragraph" w:styleId="TOC3">
    <w:name w:val="toc 3"/>
    <w:basedOn w:val="Normal"/>
    <w:next w:val="Normal"/>
    <w:autoRedefine/>
    <w:uiPriority w:val="39"/>
    <w:rsid w:val="00692826"/>
    <w:pPr>
      <w:spacing w:after="100"/>
      <w:ind w:left="520"/>
    </w:pPr>
  </w:style>
  <w:style w:type="paragraph" w:styleId="TOC4">
    <w:name w:val="toc 4"/>
    <w:basedOn w:val="Normal"/>
    <w:next w:val="Normal"/>
    <w:autoRedefine/>
    <w:uiPriority w:val="39"/>
    <w:unhideWhenUsed/>
    <w:rsid w:val="00692826"/>
    <w:pPr>
      <w:spacing w:after="100" w:line="259" w:lineRule="auto"/>
      <w:ind w:left="660"/>
    </w:pPr>
    <w:rPr>
      <w:rFonts w:asciiTheme="minorHAnsi" w:eastAsiaTheme="minorEastAsia" w:hAnsiTheme="minorHAnsi" w:cstheme="minorBidi"/>
      <w:kern w:val="2"/>
      <w:sz w:val="22"/>
      <w:szCs w:val="22"/>
      <w:lang w:eastAsia="en-IE"/>
      <w14:ligatures w14:val="standardContextual"/>
    </w:rPr>
  </w:style>
  <w:style w:type="paragraph" w:styleId="TOC5">
    <w:name w:val="toc 5"/>
    <w:basedOn w:val="Normal"/>
    <w:next w:val="Normal"/>
    <w:autoRedefine/>
    <w:uiPriority w:val="39"/>
    <w:unhideWhenUsed/>
    <w:rsid w:val="00692826"/>
    <w:pPr>
      <w:spacing w:after="100" w:line="259" w:lineRule="auto"/>
      <w:ind w:left="880"/>
    </w:pPr>
    <w:rPr>
      <w:rFonts w:asciiTheme="minorHAnsi" w:eastAsiaTheme="minorEastAsia" w:hAnsiTheme="minorHAnsi" w:cstheme="minorBidi"/>
      <w:kern w:val="2"/>
      <w:sz w:val="22"/>
      <w:szCs w:val="22"/>
      <w:lang w:eastAsia="en-IE"/>
      <w14:ligatures w14:val="standardContextual"/>
    </w:rPr>
  </w:style>
  <w:style w:type="paragraph" w:styleId="TOC6">
    <w:name w:val="toc 6"/>
    <w:basedOn w:val="Normal"/>
    <w:next w:val="Normal"/>
    <w:autoRedefine/>
    <w:uiPriority w:val="39"/>
    <w:unhideWhenUsed/>
    <w:rsid w:val="00692826"/>
    <w:pPr>
      <w:spacing w:after="100" w:line="259" w:lineRule="auto"/>
      <w:ind w:left="1100"/>
    </w:pPr>
    <w:rPr>
      <w:rFonts w:asciiTheme="minorHAnsi" w:eastAsiaTheme="minorEastAsia" w:hAnsiTheme="minorHAnsi" w:cstheme="minorBidi"/>
      <w:kern w:val="2"/>
      <w:sz w:val="22"/>
      <w:szCs w:val="22"/>
      <w:lang w:eastAsia="en-IE"/>
      <w14:ligatures w14:val="standardContextual"/>
    </w:rPr>
  </w:style>
  <w:style w:type="paragraph" w:styleId="TOC7">
    <w:name w:val="toc 7"/>
    <w:basedOn w:val="Normal"/>
    <w:next w:val="Normal"/>
    <w:autoRedefine/>
    <w:uiPriority w:val="39"/>
    <w:unhideWhenUsed/>
    <w:rsid w:val="00692826"/>
    <w:pPr>
      <w:spacing w:after="100" w:line="259" w:lineRule="auto"/>
      <w:ind w:left="1320"/>
    </w:pPr>
    <w:rPr>
      <w:rFonts w:asciiTheme="minorHAnsi" w:eastAsiaTheme="minorEastAsia" w:hAnsiTheme="minorHAnsi" w:cstheme="minorBidi"/>
      <w:kern w:val="2"/>
      <w:sz w:val="22"/>
      <w:szCs w:val="22"/>
      <w:lang w:eastAsia="en-IE"/>
      <w14:ligatures w14:val="standardContextual"/>
    </w:rPr>
  </w:style>
  <w:style w:type="paragraph" w:styleId="TOC8">
    <w:name w:val="toc 8"/>
    <w:basedOn w:val="Normal"/>
    <w:next w:val="Normal"/>
    <w:autoRedefine/>
    <w:uiPriority w:val="39"/>
    <w:unhideWhenUsed/>
    <w:rsid w:val="00692826"/>
    <w:pPr>
      <w:spacing w:after="100" w:line="259" w:lineRule="auto"/>
      <w:ind w:left="1540"/>
    </w:pPr>
    <w:rPr>
      <w:rFonts w:asciiTheme="minorHAnsi" w:eastAsiaTheme="minorEastAsia" w:hAnsiTheme="minorHAnsi" w:cstheme="minorBidi"/>
      <w:kern w:val="2"/>
      <w:sz w:val="22"/>
      <w:szCs w:val="22"/>
      <w:lang w:eastAsia="en-IE"/>
      <w14:ligatures w14:val="standardContextual"/>
    </w:rPr>
  </w:style>
  <w:style w:type="paragraph" w:styleId="TOC9">
    <w:name w:val="toc 9"/>
    <w:basedOn w:val="Normal"/>
    <w:next w:val="Normal"/>
    <w:autoRedefine/>
    <w:uiPriority w:val="39"/>
    <w:unhideWhenUsed/>
    <w:rsid w:val="00692826"/>
    <w:pPr>
      <w:spacing w:after="100" w:line="259" w:lineRule="auto"/>
      <w:ind w:left="1760"/>
    </w:pPr>
    <w:rPr>
      <w:rFonts w:asciiTheme="minorHAnsi" w:eastAsiaTheme="minorEastAsia" w:hAnsiTheme="minorHAnsi" w:cstheme="minorBidi"/>
      <w:kern w:val="2"/>
      <w:sz w:val="22"/>
      <w:szCs w:val="22"/>
      <w:lang w:eastAsia="en-IE"/>
      <w14:ligatures w14:val="standardContextual"/>
    </w:rPr>
  </w:style>
  <w:style w:type="paragraph" w:styleId="TableofFigures">
    <w:name w:val="table of figures"/>
    <w:basedOn w:val="Normal"/>
    <w:next w:val="Normal"/>
    <w:uiPriority w:val="99"/>
    <w:rsid w:val="003615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0090">
      <w:bodyDiv w:val="1"/>
      <w:marLeft w:val="0"/>
      <w:marRight w:val="0"/>
      <w:marTop w:val="0"/>
      <w:marBottom w:val="0"/>
      <w:divBdr>
        <w:top w:val="none" w:sz="0" w:space="0" w:color="auto"/>
        <w:left w:val="none" w:sz="0" w:space="0" w:color="auto"/>
        <w:bottom w:val="none" w:sz="0" w:space="0" w:color="auto"/>
        <w:right w:val="none" w:sz="0" w:space="0" w:color="auto"/>
      </w:divBdr>
    </w:div>
    <w:div w:id="219286363">
      <w:bodyDiv w:val="1"/>
      <w:marLeft w:val="0"/>
      <w:marRight w:val="0"/>
      <w:marTop w:val="0"/>
      <w:marBottom w:val="0"/>
      <w:divBdr>
        <w:top w:val="none" w:sz="0" w:space="0" w:color="auto"/>
        <w:left w:val="none" w:sz="0" w:space="0" w:color="auto"/>
        <w:bottom w:val="none" w:sz="0" w:space="0" w:color="auto"/>
        <w:right w:val="none" w:sz="0" w:space="0" w:color="auto"/>
      </w:divBdr>
    </w:div>
    <w:div w:id="349065230">
      <w:bodyDiv w:val="1"/>
      <w:marLeft w:val="0"/>
      <w:marRight w:val="0"/>
      <w:marTop w:val="0"/>
      <w:marBottom w:val="0"/>
      <w:divBdr>
        <w:top w:val="none" w:sz="0" w:space="0" w:color="auto"/>
        <w:left w:val="none" w:sz="0" w:space="0" w:color="auto"/>
        <w:bottom w:val="none" w:sz="0" w:space="0" w:color="auto"/>
        <w:right w:val="none" w:sz="0" w:space="0" w:color="auto"/>
      </w:divBdr>
    </w:div>
    <w:div w:id="446852270">
      <w:bodyDiv w:val="1"/>
      <w:marLeft w:val="0"/>
      <w:marRight w:val="0"/>
      <w:marTop w:val="0"/>
      <w:marBottom w:val="0"/>
      <w:divBdr>
        <w:top w:val="none" w:sz="0" w:space="0" w:color="auto"/>
        <w:left w:val="none" w:sz="0" w:space="0" w:color="auto"/>
        <w:bottom w:val="none" w:sz="0" w:space="0" w:color="auto"/>
        <w:right w:val="none" w:sz="0" w:space="0" w:color="auto"/>
      </w:divBdr>
      <w:divsChild>
        <w:div w:id="1892232406">
          <w:marLeft w:val="360"/>
          <w:marRight w:val="0"/>
          <w:marTop w:val="200"/>
          <w:marBottom w:val="0"/>
          <w:divBdr>
            <w:top w:val="none" w:sz="0" w:space="0" w:color="auto"/>
            <w:left w:val="none" w:sz="0" w:space="0" w:color="auto"/>
            <w:bottom w:val="none" w:sz="0" w:space="0" w:color="auto"/>
            <w:right w:val="none" w:sz="0" w:space="0" w:color="auto"/>
          </w:divBdr>
        </w:div>
        <w:div w:id="750735913">
          <w:marLeft w:val="360"/>
          <w:marRight w:val="0"/>
          <w:marTop w:val="200"/>
          <w:marBottom w:val="0"/>
          <w:divBdr>
            <w:top w:val="none" w:sz="0" w:space="0" w:color="auto"/>
            <w:left w:val="none" w:sz="0" w:space="0" w:color="auto"/>
            <w:bottom w:val="none" w:sz="0" w:space="0" w:color="auto"/>
            <w:right w:val="none" w:sz="0" w:space="0" w:color="auto"/>
          </w:divBdr>
        </w:div>
        <w:div w:id="491914885">
          <w:marLeft w:val="1080"/>
          <w:marRight w:val="0"/>
          <w:marTop w:val="100"/>
          <w:marBottom w:val="0"/>
          <w:divBdr>
            <w:top w:val="none" w:sz="0" w:space="0" w:color="auto"/>
            <w:left w:val="none" w:sz="0" w:space="0" w:color="auto"/>
            <w:bottom w:val="none" w:sz="0" w:space="0" w:color="auto"/>
            <w:right w:val="none" w:sz="0" w:space="0" w:color="auto"/>
          </w:divBdr>
        </w:div>
        <w:div w:id="1054045928">
          <w:marLeft w:val="1080"/>
          <w:marRight w:val="0"/>
          <w:marTop w:val="100"/>
          <w:marBottom w:val="0"/>
          <w:divBdr>
            <w:top w:val="none" w:sz="0" w:space="0" w:color="auto"/>
            <w:left w:val="none" w:sz="0" w:space="0" w:color="auto"/>
            <w:bottom w:val="none" w:sz="0" w:space="0" w:color="auto"/>
            <w:right w:val="none" w:sz="0" w:space="0" w:color="auto"/>
          </w:divBdr>
        </w:div>
        <w:div w:id="898444425">
          <w:marLeft w:val="1080"/>
          <w:marRight w:val="0"/>
          <w:marTop w:val="100"/>
          <w:marBottom w:val="0"/>
          <w:divBdr>
            <w:top w:val="none" w:sz="0" w:space="0" w:color="auto"/>
            <w:left w:val="none" w:sz="0" w:space="0" w:color="auto"/>
            <w:bottom w:val="none" w:sz="0" w:space="0" w:color="auto"/>
            <w:right w:val="none" w:sz="0" w:space="0" w:color="auto"/>
          </w:divBdr>
        </w:div>
        <w:div w:id="494959082">
          <w:marLeft w:val="1080"/>
          <w:marRight w:val="0"/>
          <w:marTop w:val="100"/>
          <w:marBottom w:val="0"/>
          <w:divBdr>
            <w:top w:val="none" w:sz="0" w:space="0" w:color="auto"/>
            <w:left w:val="none" w:sz="0" w:space="0" w:color="auto"/>
            <w:bottom w:val="none" w:sz="0" w:space="0" w:color="auto"/>
            <w:right w:val="none" w:sz="0" w:space="0" w:color="auto"/>
          </w:divBdr>
        </w:div>
        <w:div w:id="1871067057">
          <w:marLeft w:val="1080"/>
          <w:marRight w:val="0"/>
          <w:marTop w:val="100"/>
          <w:marBottom w:val="0"/>
          <w:divBdr>
            <w:top w:val="none" w:sz="0" w:space="0" w:color="auto"/>
            <w:left w:val="none" w:sz="0" w:space="0" w:color="auto"/>
            <w:bottom w:val="none" w:sz="0" w:space="0" w:color="auto"/>
            <w:right w:val="none" w:sz="0" w:space="0" w:color="auto"/>
          </w:divBdr>
        </w:div>
      </w:divsChild>
    </w:div>
    <w:div w:id="888765526">
      <w:bodyDiv w:val="1"/>
      <w:marLeft w:val="0"/>
      <w:marRight w:val="0"/>
      <w:marTop w:val="0"/>
      <w:marBottom w:val="0"/>
      <w:divBdr>
        <w:top w:val="none" w:sz="0" w:space="0" w:color="auto"/>
        <w:left w:val="none" w:sz="0" w:space="0" w:color="auto"/>
        <w:bottom w:val="none" w:sz="0" w:space="0" w:color="auto"/>
        <w:right w:val="none" w:sz="0" w:space="0" w:color="auto"/>
      </w:divBdr>
    </w:div>
    <w:div w:id="905146695">
      <w:bodyDiv w:val="1"/>
      <w:marLeft w:val="0"/>
      <w:marRight w:val="0"/>
      <w:marTop w:val="0"/>
      <w:marBottom w:val="0"/>
      <w:divBdr>
        <w:top w:val="none" w:sz="0" w:space="0" w:color="auto"/>
        <w:left w:val="none" w:sz="0" w:space="0" w:color="auto"/>
        <w:bottom w:val="none" w:sz="0" w:space="0" w:color="auto"/>
        <w:right w:val="none" w:sz="0" w:space="0" w:color="auto"/>
      </w:divBdr>
    </w:div>
    <w:div w:id="1166673598">
      <w:bodyDiv w:val="1"/>
      <w:marLeft w:val="0"/>
      <w:marRight w:val="0"/>
      <w:marTop w:val="0"/>
      <w:marBottom w:val="0"/>
      <w:divBdr>
        <w:top w:val="none" w:sz="0" w:space="0" w:color="auto"/>
        <w:left w:val="none" w:sz="0" w:space="0" w:color="auto"/>
        <w:bottom w:val="none" w:sz="0" w:space="0" w:color="auto"/>
        <w:right w:val="none" w:sz="0" w:space="0" w:color="auto"/>
      </w:divBdr>
    </w:div>
    <w:div w:id="1427384048">
      <w:bodyDiv w:val="1"/>
      <w:marLeft w:val="0"/>
      <w:marRight w:val="0"/>
      <w:marTop w:val="0"/>
      <w:marBottom w:val="0"/>
      <w:divBdr>
        <w:top w:val="none" w:sz="0" w:space="0" w:color="auto"/>
        <w:left w:val="none" w:sz="0" w:space="0" w:color="auto"/>
        <w:bottom w:val="none" w:sz="0" w:space="0" w:color="auto"/>
        <w:right w:val="none" w:sz="0" w:space="0" w:color="auto"/>
      </w:divBdr>
    </w:div>
    <w:div w:id="1454901445">
      <w:bodyDiv w:val="1"/>
      <w:marLeft w:val="0"/>
      <w:marRight w:val="0"/>
      <w:marTop w:val="0"/>
      <w:marBottom w:val="0"/>
      <w:divBdr>
        <w:top w:val="none" w:sz="0" w:space="0" w:color="auto"/>
        <w:left w:val="none" w:sz="0" w:space="0" w:color="auto"/>
        <w:bottom w:val="none" w:sz="0" w:space="0" w:color="auto"/>
        <w:right w:val="none" w:sz="0" w:space="0" w:color="auto"/>
      </w:divBdr>
    </w:div>
    <w:div w:id="1482189744">
      <w:bodyDiv w:val="1"/>
      <w:marLeft w:val="0"/>
      <w:marRight w:val="0"/>
      <w:marTop w:val="0"/>
      <w:marBottom w:val="0"/>
      <w:divBdr>
        <w:top w:val="none" w:sz="0" w:space="0" w:color="auto"/>
        <w:left w:val="none" w:sz="0" w:space="0" w:color="auto"/>
        <w:bottom w:val="none" w:sz="0" w:space="0" w:color="auto"/>
        <w:right w:val="none" w:sz="0" w:space="0" w:color="auto"/>
      </w:divBdr>
    </w:div>
    <w:div w:id="1525442119">
      <w:bodyDiv w:val="1"/>
      <w:marLeft w:val="0"/>
      <w:marRight w:val="0"/>
      <w:marTop w:val="0"/>
      <w:marBottom w:val="0"/>
      <w:divBdr>
        <w:top w:val="none" w:sz="0" w:space="0" w:color="auto"/>
        <w:left w:val="none" w:sz="0" w:space="0" w:color="auto"/>
        <w:bottom w:val="none" w:sz="0" w:space="0" w:color="auto"/>
        <w:right w:val="none" w:sz="0" w:space="0" w:color="auto"/>
      </w:divBdr>
    </w:div>
    <w:div w:id="1747650444">
      <w:bodyDiv w:val="1"/>
      <w:marLeft w:val="0"/>
      <w:marRight w:val="0"/>
      <w:marTop w:val="0"/>
      <w:marBottom w:val="0"/>
      <w:divBdr>
        <w:top w:val="none" w:sz="0" w:space="0" w:color="auto"/>
        <w:left w:val="none" w:sz="0" w:space="0" w:color="auto"/>
        <w:bottom w:val="none" w:sz="0" w:space="0" w:color="auto"/>
        <w:right w:val="none" w:sz="0" w:space="0" w:color="auto"/>
      </w:divBdr>
      <w:divsChild>
        <w:div w:id="47387969">
          <w:marLeft w:val="0"/>
          <w:marRight w:val="0"/>
          <w:marTop w:val="0"/>
          <w:marBottom w:val="300"/>
          <w:divBdr>
            <w:top w:val="none" w:sz="0" w:space="0" w:color="auto"/>
            <w:left w:val="none" w:sz="0" w:space="0" w:color="auto"/>
            <w:bottom w:val="none" w:sz="0" w:space="0" w:color="auto"/>
            <w:right w:val="none" w:sz="0" w:space="0" w:color="auto"/>
          </w:divBdr>
          <w:divsChild>
            <w:div w:id="1872919514">
              <w:marLeft w:val="-225"/>
              <w:marRight w:val="-225"/>
              <w:marTop w:val="0"/>
              <w:marBottom w:val="0"/>
              <w:divBdr>
                <w:top w:val="none" w:sz="0" w:space="0" w:color="auto"/>
                <w:left w:val="none" w:sz="0" w:space="0" w:color="auto"/>
                <w:bottom w:val="none" w:sz="0" w:space="0" w:color="auto"/>
                <w:right w:val="none" w:sz="0" w:space="0" w:color="auto"/>
              </w:divBdr>
            </w:div>
          </w:divsChild>
        </w:div>
        <w:div w:id="187063826">
          <w:marLeft w:val="0"/>
          <w:marRight w:val="0"/>
          <w:marTop w:val="0"/>
          <w:marBottom w:val="300"/>
          <w:divBdr>
            <w:top w:val="none" w:sz="0" w:space="0" w:color="auto"/>
            <w:left w:val="none" w:sz="0" w:space="0" w:color="auto"/>
            <w:bottom w:val="none" w:sz="0" w:space="0" w:color="auto"/>
            <w:right w:val="none" w:sz="0" w:space="0" w:color="auto"/>
          </w:divBdr>
          <w:divsChild>
            <w:div w:id="1152526706">
              <w:marLeft w:val="-225"/>
              <w:marRight w:val="-225"/>
              <w:marTop w:val="0"/>
              <w:marBottom w:val="0"/>
              <w:divBdr>
                <w:top w:val="none" w:sz="0" w:space="0" w:color="auto"/>
                <w:left w:val="none" w:sz="0" w:space="0" w:color="auto"/>
                <w:bottom w:val="none" w:sz="0" w:space="0" w:color="auto"/>
                <w:right w:val="none" w:sz="0" w:space="0" w:color="auto"/>
              </w:divBdr>
            </w:div>
          </w:divsChild>
        </w:div>
        <w:div w:id="1265461324">
          <w:marLeft w:val="0"/>
          <w:marRight w:val="0"/>
          <w:marTop w:val="0"/>
          <w:marBottom w:val="300"/>
          <w:divBdr>
            <w:top w:val="none" w:sz="0" w:space="0" w:color="auto"/>
            <w:left w:val="none" w:sz="0" w:space="0" w:color="auto"/>
            <w:bottom w:val="none" w:sz="0" w:space="0" w:color="auto"/>
            <w:right w:val="none" w:sz="0" w:space="0" w:color="auto"/>
          </w:divBdr>
          <w:divsChild>
            <w:div w:id="1461654244">
              <w:marLeft w:val="-225"/>
              <w:marRight w:val="-225"/>
              <w:marTop w:val="0"/>
              <w:marBottom w:val="0"/>
              <w:divBdr>
                <w:top w:val="none" w:sz="0" w:space="0" w:color="auto"/>
                <w:left w:val="none" w:sz="0" w:space="0" w:color="auto"/>
                <w:bottom w:val="none" w:sz="0" w:space="0" w:color="auto"/>
                <w:right w:val="none" w:sz="0" w:space="0" w:color="auto"/>
              </w:divBdr>
            </w:div>
          </w:divsChild>
        </w:div>
        <w:div w:id="1631279182">
          <w:marLeft w:val="0"/>
          <w:marRight w:val="0"/>
          <w:marTop w:val="0"/>
          <w:marBottom w:val="300"/>
          <w:divBdr>
            <w:top w:val="none" w:sz="0" w:space="0" w:color="auto"/>
            <w:left w:val="none" w:sz="0" w:space="0" w:color="auto"/>
            <w:bottom w:val="none" w:sz="0" w:space="0" w:color="auto"/>
            <w:right w:val="none" w:sz="0" w:space="0" w:color="auto"/>
          </w:divBdr>
          <w:divsChild>
            <w:div w:id="11199596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04158969">
      <w:bodyDiv w:val="1"/>
      <w:marLeft w:val="0"/>
      <w:marRight w:val="0"/>
      <w:marTop w:val="0"/>
      <w:marBottom w:val="0"/>
      <w:divBdr>
        <w:top w:val="none" w:sz="0" w:space="0" w:color="auto"/>
        <w:left w:val="none" w:sz="0" w:space="0" w:color="auto"/>
        <w:bottom w:val="none" w:sz="0" w:space="0" w:color="auto"/>
        <w:right w:val="none" w:sz="0" w:space="0" w:color="auto"/>
      </w:divBdr>
    </w:div>
    <w:div w:id="1970669889">
      <w:bodyDiv w:val="1"/>
      <w:marLeft w:val="0"/>
      <w:marRight w:val="0"/>
      <w:marTop w:val="0"/>
      <w:marBottom w:val="0"/>
      <w:divBdr>
        <w:top w:val="none" w:sz="0" w:space="0" w:color="auto"/>
        <w:left w:val="none" w:sz="0" w:space="0" w:color="auto"/>
        <w:bottom w:val="none" w:sz="0" w:space="0" w:color="auto"/>
        <w:right w:val="none" w:sz="0" w:space="0" w:color="auto"/>
      </w:divBdr>
    </w:div>
    <w:div w:id="20948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www.gov.ie/en/service/c79268-partial-capacity-benef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calenterprise.ie/Portal/Discover-Business-Supports/Tailored-Supports-for-Persons-with-Disabilities/Self-Employment-Supports-for-Persons-with-Disabilities.html" TargetMode="External"/><Relationship Id="rId2" Type="http://schemas.openxmlformats.org/officeDocument/2006/relationships/hyperlink" Target="https://ncse.ie/transitions-2" TargetMode="External"/><Relationship Id="rId1" Type="http://schemas.openxmlformats.org/officeDocument/2006/relationships/hyperlink" Target="https://www.gov.ie/en/collection/84e52e-national-educational-psychological-service-neps-guidelines-tips-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itservices.gov.ie\dfs\myhome\NDA\kavanaghl02\Employment%20targets%20paper%20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tservices.gov.ie\dfs\groups\NDA\Policy,%20Research%20&amp;%20Public%20Affairs\Policy%20Areas\Employment\Comprehensive%20Employment%20Strategy\CES%20indicators%20report\Final%20indicators%20report\Copy%20of%20Disability%20types%20in%20F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itservices.gov.ie\dfs\groups\NDA\Policy,%20Research%20&amp;%20Public%20Affairs\Policy%20Areas\Employment\Comprehensive%20Employment%20Strategy\CES%20indicators%20report\Final%20indicators%20report\Data%20received\Copy%20of%2010262024%20For%20Releas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itservices.gov.ie\dfs\groups\NDA\Policy,%20Research%20&amp;%20Public%20Affairs\Policy%20Areas\Employment\Comprehensive%20Employment%20Strategy\CES%20indicators%20report\Final%20indicators%20report\Data%20received\Copy%20of%2010262024%20For%20Release.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Chart!$B$1</c:f>
              <c:strCache>
                <c:ptCount val="1"/>
                <c:pt idx="0">
                  <c:v>No disability</c:v>
                </c:pt>
              </c:strCache>
            </c:strRef>
          </c:tx>
          <c:spPr>
            <a:solidFill>
              <a:srgbClr val="BF2296"/>
            </a:solidFill>
            <a:ln>
              <a:solidFill>
                <a:srgbClr val="BF2296"/>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Chart!$A$2:$A$6</c:f>
              <c:strCache>
                <c:ptCount val="5"/>
                <c:pt idx="0">
                  <c:v>At work</c:v>
                </c:pt>
                <c:pt idx="1">
                  <c:v>Unemployed</c:v>
                </c:pt>
                <c:pt idx="2">
                  <c:v>Student or pupil</c:v>
                </c:pt>
                <c:pt idx="3">
                  <c:v>Unable to work due to permanent sickness or disability</c:v>
                </c:pt>
                <c:pt idx="4">
                  <c:v>Other</c:v>
                </c:pt>
              </c:strCache>
            </c:strRef>
          </c:cat>
          <c:val>
            <c:numRef>
              <c:f>Chart!$B$2:$B$6</c:f>
              <c:numCache>
                <c:formatCode>0.0</c:formatCode>
                <c:ptCount val="5"/>
                <c:pt idx="0">
                  <c:v>63.130635227219656</c:v>
                </c:pt>
                <c:pt idx="1">
                  <c:v>5.0202265191001931</c:v>
                </c:pt>
                <c:pt idx="2">
                  <c:v>12.09304646629308</c:v>
                </c:pt>
                <c:pt idx="3">
                  <c:v>1.0310310566476888</c:v>
                </c:pt>
                <c:pt idx="4">
                  <c:v>18.725060730739383</c:v>
                </c:pt>
              </c:numCache>
            </c:numRef>
          </c:val>
          <c:extLst>
            <c:ext xmlns:c16="http://schemas.microsoft.com/office/drawing/2014/chart" uri="{C3380CC4-5D6E-409C-BE32-E72D297353CC}">
              <c16:uniqueId val="{00000000-D851-4F1C-A22D-47F5F36AD864}"/>
            </c:ext>
          </c:extLst>
        </c:ser>
        <c:ser>
          <c:idx val="1"/>
          <c:order val="1"/>
          <c:tx>
            <c:strRef>
              <c:f>Chart!$C$1</c:f>
              <c:strCache>
                <c:ptCount val="1"/>
                <c:pt idx="0">
                  <c:v>Disability to some extent</c:v>
                </c:pt>
              </c:strCache>
            </c:strRef>
          </c:tx>
          <c:spPr>
            <a:pattFill prst="pct80">
              <a:fgClr>
                <a:schemeClr val="tx1">
                  <a:lumMod val="75000"/>
                  <a:lumOff val="25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Chart!$A$2:$A$6</c:f>
              <c:strCache>
                <c:ptCount val="5"/>
                <c:pt idx="0">
                  <c:v>At work</c:v>
                </c:pt>
                <c:pt idx="1">
                  <c:v>Unemployed</c:v>
                </c:pt>
                <c:pt idx="2">
                  <c:v>Student or pupil</c:v>
                </c:pt>
                <c:pt idx="3">
                  <c:v>Unable to work due to permanent sickness or disability</c:v>
                </c:pt>
                <c:pt idx="4">
                  <c:v>Other</c:v>
                </c:pt>
              </c:strCache>
            </c:strRef>
          </c:cat>
          <c:val>
            <c:numRef>
              <c:f>Chart!$C$2:$C$6</c:f>
              <c:numCache>
                <c:formatCode>0.0</c:formatCode>
                <c:ptCount val="5"/>
                <c:pt idx="0">
                  <c:v>44.281843751075463</c:v>
                </c:pt>
                <c:pt idx="1">
                  <c:v>5.6108450056471364</c:v>
                </c:pt>
                <c:pt idx="2">
                  <c:v>9.096113956405981</c:v>
                </c:pt>
                <c:pt idx="3">
                  <c:v>5.8473677459320275</c:v>
                </c:pt>
                <c:pt idx="4">
                  <c:v>35.163829540939396</c:v>
                </c:pt>
              </c:numCache>
            </c:numRef>
          </c:val>
          <c:extLst>
            <c:ext xmlns:c16="http://schemas.microsoft.com/office/drawing/2014/chart" uri="{C3380CC4-5D6E-409C-BE32-E72D297353CC}">
              <c16:uniqueId val="{00000001-D851-4F1C-A22D-47F5F36AD864}"/>
            </c:ext>
          </c:extLst>
        </c:ser>
        <c:ser>
          <c:idx val="2"/>
          <c:order val="2"/>
          <c:tx>
            <c:strRef>
              <c:f>Chart!$D$1</c:f>
              <c:strCache>
                <c:ptCount val="1"/>
                <c:pt idx="0">
                  <c:v>Disability to a great extent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Chart!$A$2:$A$6</c:f>
              <c:strCache>
                <c:ptCount val="5"/>
                <c:pt idx="0">
                  <c:v>At work</c:v>
                </c:pt>
                <c:pt idx="1">
                  <c:v>Unemployed</c:v>
                </c:pt>
                <c:pt idx="2">
                  <c:v>Student or pupil</c:v>
                </c:pt>
                <c:pt idx="3">
                  <c:v>Unable to work due to permanent sickness or disability</c:v>
                </c:pt>
                <c:pt idx="4">
                  <c:v>Other</c:v>
                </c:pt>
              </c:strCache>
            </c:strRef>
          </c:cat>
          <c:val>
            <c:numRef>
              <c:f>Chart!$D$2:$D$6</c:f>
              <c:numCache>
                <c:formatCode>0.0</c:formatCode>
                <c:ptCount val="5"/>
                <c:pt idx="0">
                  <c:v>17.146079634773994</c:v>
                </c:pt>
                <c:pt idx="1">
                  <c:v>4.8444666968150401</c:v>
                </c:pt>
                <c:pt idx="2">
                  <c:v>6.2146025798393527</c:v>
                </c:pt>
                <c:pt idx="3">
                  <c:v>32.220266167065056</c:v>
                </c:pt>
                <c:pt idx="4">
                  <c:v>39.574584921506556</c:v>
                </c:pt>
              </c:numCache>
            </c:numRef>
          </c:val>
          <c:extLst>
            <c:ext xmlns:c16="http://schemas.microsoft.com/office/drawing/2014/chart" uri="{C3380CC4-5D6E-409C-BE32-E72D297353CC}">
              <c16:uniqueId val="{00000002-D851-4F1C-A22D-47F5F36AD864}"/>
            </c:ext>
          </c:extLst>
        </c:ser>
        <c:dLbls>
          <c:showLegendKey val="0"/>
          <c:showVal val="0"/>
          <c:showCatName val="0"/>
          <c:showSerName val="0"/>
          <c:showPercent val="0"/>
          <c:showBubbleSize val="0"/>
        </c:dLbls>
        <c:gapWidth val="219"/>
        <c:overlap val="-27"/>
        <c:axId val="684146808"/>
        <c:axId val="684146448"/>
      </c:barChart>
      <c:catAx>
        <c:axId val="68414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4146448"/>
        <c:crosses val="autoZero"/>
        <c:auto val="1"/>
        <c:lblAlgn val="ctr"/>
        <c:lblOffset val="100"/>
        <c:noMultiLvlLbl val="0"/>
      </c:catAx>
      <c:valAx>
        <c:axId val="6841464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E"/>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4146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0"/>
            <c:invertIfNegative val="0"/>
            <c:bubble3D val="0"/>
            <c:spPr>
              <a:solidFill>
                <a:srgbClr val="BF2296"/>
              </a:solidFill>
              <a:ln>
                <a:solidFill>
                  <a:srgbClr val="BF2296"/>
                </a:solidFill>
              </a:ln>
              <a:effectLst/>
            </c:spPr>
            <c:extLst>
              <c:ext xmlns:c16="http://schemas.microsoft.com/office/drawing/2014/chart" uri="{C3380CC4-5D6E-409C-BE32-E72D297353CC}">
                <c16:uniqueId val="{00000003-CB59-4DC1-8FE2-8381125E11F0}"/>
              </c:ext>
            </c:extLst>
          </c:dPt>
          <c:dPt>
            <c:idx val="1"/>
            <c:invertIfNegative val="0"/>
            <c:bubble3D val="0"/>
            <c:spPr>
              <a:solidFill>
                <a:srgbClr val="BF2296"/>
              </a:solidFill>
              <a:ln>
                <a:solidFill>
                  <a:srgbClr val="BF2296"/>
                </a:solidFill>
              </a:ln>
              <a:effectLst/>
            </c:spPr>
            <c:extLst>
              <c:ext xmlns:c16="http://schemas.microsoft.com/office/drawing/2014/chart" uri="{C3380CC4-5D6E-409C-BE32-E72D297353CC}">
                <c16:uniqueId val="{00000004-CB59-4DC1-8FE2-8381125E11F0}"/>
              </c:ext>
            </c:extLst>
          </c:dPt>
          <c:dPt>
            <c:idx val="2"/>
            <c:invertIfNegative val="0"/>
            <c:bubble3D val="0"/>
            <c:spPr>
              <a:solidFill>
                <a:srgbClr val="BF2296"/>
              </a:solidFill>
              <a:ln>
                <a:noFill/>
              </a:ln>
              <a:effectLst/>
            </c:spPr>
            <c:extLst>
              <c:ext xmlns:c16="http://schemas.microsoft.com/office/drawing/2014/chart" uri="{C3380CC4-5D6E-409C-BE32-E72D297353CC}">
                <c16:uniqueId val="{00000005-CB59-4DC1-8FE2-8381125E11F0}"/>
              </c:ext>
            </c:extLst>
          </c:dPt>
          <c:dPt>
            <c:idx val="3"/>
            <c:invertIfNegative val="0"/>
            <c:bubble3D val="0"/>
            <c:spPr>
              <a:solidFill>
                <a:srgbClr val="BF2296"/>
              </a:solidFill>
              <a:ln>
                <a:noFill/>
              </a:ln>
              <a:effectLst/>
            </c:spPr>
            <c:extLst>
              <c:ext xmlns:c16="http://schemas.microsoft.com/office/drawing/2014/chart" uri="{C3380CC4-5D6E-409C-BE32-E72D297353CC}">
                <c16:uniqueId val="{00000006-CB59-4DC1-8FE2-8381125E11F0}"/>
              </c:ext>
            </c:extLst>
          </c:dPt>
          <c:dPt>
            <c:idx val="4"/>
            <c:invertIfNegative val="0"/>
            <c:bubble3D val="0"/>
            <c:spPr>
              <a:solidFill>
                <a:srgbClr val="BF2296"/>
              </a:solidFill>
              <a:ln>
                <a:noFill/>
              </a:ln>
              <a:effectLst/>
            </c:spPr>
            <c:extLst>
              <c:ext xmlns:c16="http://schemas.microsoft.com/office/drawing/2014/chart" uri="{C3380CC4-5D6E-409C-BE32-E72D297353CC}">
                <c16:uniqueId val="{00000007-CB59-4DC1-8FE2-8381125E11F0}"/>
              </c:ext>
            </c:extLst>
          </c:dPt>
          <c:dPt>
            <c:idx val="5"/>
            <c:invertIfNegative val="0"/>
            <c:bubble3D val="0"/>
            <c:spPr>
              <a:solidFill>
                <a:srgbClr val="BF2296"/>
              </a:solidFill>
              <a:ln>
                <a:noFill/>
              </a:ln>
              <a:effectLst/>
            </c:spPr>
            <c:extLst>
              <c:ext xmlns:c16="http://schemas.microsoft.com/office/drawing/2014/chart" uri="{C3380CC4-5D6E-409C-BE32-E72D297353CC}">
                <c16:uniqueId val="{00000008-CB59-4DC1-8FE2-8381125E11F0}"/>
              </c:ext>
            </c:extLst>
          </c:dPt>
          <c:dPt>
            <c:idx val="6"/>
            <c:invertIfNegative val="0"/>
            <c:bubble3D val="0"/>
            <c:spPr>
              <a:solidFill>
                <a:srgbClr val="BF2296"/>
              </a:solidFill>
              <a:ln>
                <a:noFill/>
              </a:ln>
              <a:effectLst/>
            </c:spPr>
            <c:extLst>
              <c:ext xmlns:c16="http://schemas.microsoft.com/office/drawing/2014/chart" uri="{C3380CC4-5D6E-409C-BE32-E72D297353CC}">
                <c16:uniqueId val="{00000009-CB59-4DC1-8FE2-8381125E11F0}"/>
              </c:ext>
            </c:extLst>
          </c:dPt>
          <c:dPt>
            <c:idx val="7"/>
            <c:invertIfNegative val="0"/>
            <c:bubble3D val="0"/>
            <c:spPr>
              <a:solidFill>
                <a:srgbClr val="BF2296"/>
              </a:solidFill>
              <a:ln>
                <a:noFill/>
              </a:ln>
              <a:effectLst/>
            </c:spPr>
            <c:extLst>
              <c:ext xmlns:c16="http://schemas.microsoft.com/office/drawing/2014/chart" uri="{C3380CC4-5D6E-409C-BE32-E72D297353CC}">
                <c16:uniqueId val="{0000000A-CB59-4DC1-8FE2-8381125E11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2015</c:v>
                </c:pt>
                <c:pt idx="1">
                  <c:v>2016</c:v>
                </c:pt>
                <c:pt idx="2">
                  <c:v>2017</c:v>
                </c:pt>
                <c:pt idx="3">
                  <c:v>2018</c:v>
                </c:pt>
                <c:pt idx="4">
                  <c:v>2019</c:v>
                </c:pt>
                <c:pt idx="5">
                  <c:v>2020</c:v>
                </c:pt>
                <c:pt idx="6">
                  <c:v>2021</c:v>
                </c:pt>
                <c:pt idx="7">
                  <c:v>2022</c:v>
                </c:pt>
              </c:numCache>
            </c:numRef>
          </c:cat>
          <c:val>
            <c:numRef>
              <c:f>Sheet1!$B$2:$B$10</c:f>
              <c:numCache>
                <c:formatCode>General</c:formatCode>
                <c:ptCount val="9"/>
                <c:pt idx="0" formatCode="#,##0">
                  <c:v>119042</c:v>
                </c:pt>
                <c:pt idx="1">
                  <c:v>126203</c:v>
                </c:pt>
                <c:pt idx="2">
                  <c:v>133929</c:v>
                </c:pt>
                <c:pt idx="3">
                  <c:v>140835</c:v>
                </c:pt>
                <c:pt idx="4">
                  <c:v>149755</c:v>
                </c:pt>
                <c:pt idx="5">
                  <c:v>152580</c:v>
                </c:pt>
                <c:pt idx="6">
                  <c:v>155181</c:v>
                </c:pt>
                <c:pt idx="7">
                  <c:v>157807</c:v>
                </c:pt>
              </c:numCache>
            </c:numRef>
          </c:val>
          <c:extLst>
            <c:ext xmlns:c16="http://schemas.microsoft.com/office/drawing/2014/chart" uri="{C3380CC4-5D6E-409C-BE32-E72D297353CC}">
              <c16:uniqueId val="{00000000-CB59-4DC1-8FE2-8381125E11F0}"/>
            </c:ext>
          </c:extLst>
        </c:ser>
        <c:dLbls>
          <c:showLegendKey val="0"/>
          <c:showVal val="0"/>
          <c:showCatName val="0"/>
          <c:showSerName val="0"/>
          <c:showPercent val="0"/>
          <c:showBubbleSize val="0"/>
        </c:dLbls>
        <c:gapWidth val="219"/>
        <c:overlap val="-27"/>
        <c:axId val="887065352"/>
        <c:axId val="887062472"/>
      </c:barChart>
      <c:catAx>
        <c:axId val="88706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62472"/>
        <c:crosses val="autoZero"/>
        <c:auto val="1"/>
        <c:lblAlgn val="ctr"/>
        <c:lblOffset val="100"/>
        <c:noMultiLvlLbl val="0"/>
      </c:catAx>
      <c:valAx>
        <c:axId val="887062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Number of recipients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65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Partial Capacity Benefit</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General</c:formatCode>
                <c:ptCount val="8"/>
                <c:pt idx="0">
                  <c:v>1612</c:v>
                </c:pt>
                <c:pt idx="1">
                  <c:v>1873</c:v>
                </c:pt>
                <c:pt idx="2">
                  <c:v>394</c:v>
                </c:pt>
                <c:pt idx="3">
                  <c:v>2426</c:v>
                </c:pt>
                <c:pt idx="4">
                  <c:v>2956</c:v>
                </c:pt>
                <c:pt idx="5">
                  <c:v>3227</c:v>
                </c:pt>
                <c:pt idx="6">
                  <c:v>3348</c:v>
                </c:pt>
                <c:pt idx="7">
                  <c:v>3092</c:v>
                </c:pt>
              </c:numCache>
            </c:numRef>
          </c:val>
          <c:extLst>
            <c:ext xmlns:c16="http://schemas.microsoft.com/office/drawing/2014/chart" uri="{C3380CC4-5D6E-409C-BE32-E72D297353CC}">
              <c16:uniqueId val="{00000000-59E4-4B1D-AD84-0D1B9510D6B7}"/>
            </c:ext>
          </c:extLst>
        </c:ser>
        <c:ser>
          <c:idx val="1"/>
          <c:order val="1"/>
          <c:tx>
            <c:strRef>
              <c:f>Sheet1!$C$1</c:f>
              <c:strCache>
                <c:ptCount val="1"/>
                <c:pt idx="0">
                  <c:v>Illness Benefit</c:v>
                </c:pt>
              </c:strCache>
            </c:strRef>
          </c:tx>
          <c:spPr>
            <a:solidFill>
              <a:srgbClr val="BF2296"/>
            </a:solidFill>
            <a:ln>
              <a:noFill/>
            </a:ln>
            <a:effectLst/>
          </c:spPr>
          <c:invertIfNegative val="0"/>
          <c:dLbls>
            <c:dLbl>
              <c:idx val="0"/>
              <c:layout>
                <c:manualLayout>
                  <c:x val="-3.4408602150537641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E4-4B1D-AD84-0D1B9510D6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Sheet1!$C$2:$C$9</c:f>
              <c:numCache>
                <c:formatCode>General</c:formatCode>
                <c:ptCount val="8"/>
                <c:pt idx="0">
                  <c:v>55540</c:v>
                </c:pt>
                <c:pt idx="1">
                  <c:v>54492</c:v>
                </c:pt>
                <c:pt idx="2">
                  <c:v>52809</c:v>
                </c:pt>
                <c:pt idx="3">
                  <c:v>55995</c:v>
                </c:pt>
                <c:pt idx="4">
                  <c:v>49313</c:v>
                </c:pt>
                <c:pt idx="5">
                  <c:v>48157</c:v>
                </c:pt>
                <c:pt idx="6">
                  <c:v>60677</c:v>
                </c:pt>
                <c:pt idx="7">
                  <c:v>59701</c:v>
                </c:pt>
              </c:numCache>
            </c:numRef>
          </c:val>
          <c:extLst>
            <c:ext xmlns:c16="http://schemas.microsoft.com/office/drawing/2014/chart" uri="{C3380CC4-5D6E-409C-BE32-E72D297353CC}">
              <c16:uniqueId val="{00000001-59E4-4B1D-AD84-0D1B9510D6B7}"/>
            </c:ext>
          </c:extLst>
        </c:ser>
        <c:ser>
          <c:idx val="2"/>
          <c:order val="2"/>
          <c:tx>
            <c:strRef>
              <c:f>Sheet1!$D$1</c:f>
              <c:strCache>
                <c:ptCount val="1"/>
                <c:pt idx="0">
                  <c:v>Invalidity Pension</c:v>
                </c:pt>
              </c:strCache>
            </c:strRef>
          </c:tx>
          <c:spPr>
            <a:pattFill prst="ltUpDiag">
              <a:fgClr>
                <a:schemeClr val="tx2"/>
              </a:fgClr>
              <a:bgClr>
                <a:schemeClr val="bg1"/>
              </a:bgClr>
            </a:pattFill>
            <a:ln>
              <a:solidFill>
                <a:schemeClr val="bg2">
                  <a:lumMod val="50000"/>
                </a:schemeClr>
              </a:solidFill>
            </a:ln>
            <a:effectLst/>
          </c:spPr>
          <c:invertIfNegative val="0"/>
          <c:dLbls>
            <c:dLbl>
              <c:idx val="0"/>
              <c:layout>
                <c:manualLayout>
                  <c:x val="2.1505376344086041E-2"/>
                  <c:y val="2.38095238095238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E4-4B1D-AD84-0D1B9510D6B7}"/>
                </c:ext>
              </c:extLst>
            </c:dLbl>
            <c:dLbl>
              <c:idx val="1"/>
              <c:layout>
                <c:manualLayout>
                  <c:x val="3.440860215053763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E4-4B1D-AD84-0D1B9510D6B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E4-4B1D-AD84-0D1B9510D6B7}"/>
                </c:ext>
              </c:extLst>
            </c:dLbl>
            <c:dLbl>
              <c:idx val="3"/>
              <c:layout>
                <c:manualLayout>
                  <c:x val="2.5824394119984034E-2"/>
                  <c:y val="7.80640124902419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E4-4B1D-AD84-0D1B9510D6B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E4-4B1D-AD84-0D1B9510D6B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E4-4B1D-AD84-0D1B9510D6B7}"/>
                </c:ext>
              </c:extLst>
            </c:dLbl>
            <c:dLbl>
              <c:idx val="6"/>
              <c:layout>
                <c:manualLayout>
                  <c:x val="1.3905442987683751E-2"/>
                  <c:y val="2.341920374707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E4-4B1D-AD84-0D1B9510D6B7}"/>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E4-4B1D-AD84-0D1B9510D6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Sheet1!$D$2:$D$9</c:f>
              <c:numCache>
                <c:formatCode>General</c:formatCode>
                <c:ptCount val="8"/>
                <c:pt idx="0">
                  <c:v>55115</c:v>
                </c:pt>
                <c:pt idx="1">
                  <c:v>55532</c:v>
                </c:pt>
                <c:pt idx="2">
                  <c:v>57504</c:v>
                </c:pt>
                <c:pt idx="3">
                  <c:v>57768</c:v>
                </c:pt>
                <c:pt idx="4">
                  <c:v>58168</c:v>
                </c:pt>
                <c:pt idx="5">
                  <c:v>57873</c:v>
                </c:pt>
                <c:pt idx="6">
                  <c:v>59230</c:v>
                </c:pt>
                <c:pt idx="7">
                  <c:v>56450</c:v>
                </c:pt>
              </c:numCache>
            </c:numRef>
          </c:val>
          <c:extLst>
            <c:ext xmlns:c16="http://schemas.microsoft.com/office/drawing/2014/chart" uri="{C3380CC4-5D6E-409C-BE32-E72D297353CC}">
              <c16:uniqueId val="{00000002-59E4-4B1D-AD84-0D1B9510D6B7}"/>
            </c:ext>
          </c:extLst>
        </c:ser>
        <c:dLbls>
          <c:showLegendKey val="0"/>
          <c:showVal val="0"/>
          <c:showCatName val="0"/>
          <c:showSerName val="0"/>
          <c:showPercent val="0"/>
          <c:showBubbleSize val="0"/>
        </c:dLbls>
        <c:gapWidth val="219"/>
        <c:overlap val="-27"/>
        <c:axId val="1147861328"/>
        <c:axId val="1147862768"/>
      </c:barChart>
      <c:catAx>
        <c:axId val="11478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862768"/>
        <c:crosses val="autoZero"/>
        <c:auto val="1"/>
        <c:lblAlgn val="ctr"/>
        <c:lblOffset val="100"/>
        <c:noMultiLvlLbl val="0"/>
      </c:catAx>
      <c:valAx>
        <c:axId val="114786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78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10"/>
            <c:invertIfNegative val="0"/>
            <c:bubble3D val="0"/>
            <c:spPr>
              <a:solidFill>
                <a:srgbClr val="FFFF00"/>
              </a:solidFill>
              <a:ln>
                <a:noFill/>
              </a:ln>
              <a:effectLst/>
            </c:spPr>
            <c:extLst>
              <c:ext xmlns:c16="http://schemas.microsoft.com/office/drawing/2014/chart" uri="{C3380CC4-5D6E-409C-BE32-E72D297353CC}">
                <c16:uniqueId val="{00000001-F62F-48EF-817C-E1F75BDCC156}"/>
              </c:ext>
            </c:extLst>
          </c:dPt>
          <c:dPt>
            <c:idx val="27"/>
            <c:invertIfNegative val="0"/>
            <c:bubble3D val="0"/>
            <c:spPr>
              <a:solidFill>
                <a:srgbClr val="00B050"/>
              </a:solidFill>
              <a:ln>
                <a:noFill/>
              </a:ln>
              <a:effectLst/>
            </c:spPr>
            <c:extLst>
              <c:ext xmlns:c16="http://schemas.microsoft.com/office/drawing/2014/chart" uri="{C3380CC4-5D6E-409C-BE32-E72D297353CC}">
                <c16:uniqueId val="{00000003-F62F-48EF-817C-E1F75BDCC156}"/>
              </c:ext>
            </c:extLst>
          </c:dPt>
          <c:cat>
            <c:strRef>
              <c:f>'2022'!$A$2:$A$29</c:f>
              <c:strCache>
                <c:ptCount val="28"/>
                <c:pt idx="0">
                  <c:v>Luxembourg</c:v>
                </c:pt>
                <c:pt idx="1">
                  <c:v>Denmark</c:v>
                </c:pt>
                <c:pt idx="2">
                  <c:v>Portugal</c:v>
                </c:pt>
                <c:pt idx="3">
                  <c:v>Italy </c:v>
                </c:pt>
                <c:pt idx="4">
                  <c:v>Spain</c:v>
                </c:pt>
                <c:pt idx="5">
                  <c:v>Slovenia</c:v>
                </c:pt>
                <c:pt idx="6">
                  <c:v>Finland</c:v>
                </c:pt>
                <c:pt idx="7">
                  <c:v>France</c:v>
                </c:pt>
                <c:pt idx="8">
                  <c:v>Latvia</c:v>
                </c:pt>
                <c:pt idx="9">
                  <c:v>Slovakia</c:v>
                </c:pt>
                <c:pt idx="10">
                  <c:v>European Union</c:v>
                </c:pt>
                <c:pt idx="11">
                  <c:v>Czechia</c:v>
                </c:pt>
                <c:pt idx="12">
                  <c:v>Austria</c:v>
                </c:pt>
                <c:pt idx="13">
                  <c:v>Germany</c:v>
                </c:pt>
                <c:pt idx="14">
                  <c:v>Netherlands</c:v>
                </c:pt>
                <c:pt idx="15">
                  <c:v>Cyprus</c:v>
                </c:pt>
                <c:pt idx="16">
                  <c:v>Sweden</c:v>
                </c:pt>
                <c:pt idx="17">
                  <c:v>Greece</c:v>
                </c:pt>
                <c:pt idx="18">
                  <c:v>Estonia</c:v>
                </c:pt>
                <c:pt idx="19">
                  <c:v>Bulgaria</c:v>
                </c:pt>
                <c:pt idx="20">
                  <c:v>Malta</c:v>
                </c:pt>
                <c:pt idx="21">
                  <c:v>Poland</c:v>
                </c:pt>
                <c:pt idx="22">
                  <c:v>Romania</c:v>
                </c:pt>
                <c:pt idx="23">
                  <c:v>Hungary</c:v>
                </c:pt>
                <c:pt idx="24">
                  <c:v>Lithuania</c:v>
                </c:pt>
                <c:pt idx="25">
                  <c:v>Belgium</c:v>
                </c:pt>
                <c:pt idx="26">
                  <c:v>Croatia</c:v>
                </c:pt>
                <c:pt idx="27">
                  <c:v>Ireland</c:v>
                </c:pt>
              </c:strCache>
            </c:strRef>
          </c:cat>
          <c:val>
            <c:numRef>
              <c:f>'2022'!$B$2:$B$29</c:f>
              <c:numCache>
                <c:formatCode>General</c:formatCode>
                <c:ptCount val="28"/>
                <c:pt idx="0">
                  <c:v>8.5</c:v>
                </c:pt>
                <c:pt idx="1">
                  <c:v>9.9</c:v>
                </c:pt>
                <c:pt idx="2">
                  <c:v>13.1</c:v>
                </c:pt>
                <c:pt idx="3">
                  <c:v>14</c:v>
                </c:pt>
                <c:pt idx="4">
                  <c:v>14.6</c:v>
                </c:pt>
                <c:pt idx="5">
                  <c:v>18.8</c:v>
                </c:pt>
                <c:pt idx="6">
                  <c:v>19</c:v>
                </c:pt>
                <c:pt idx="7">
                  <c:v>20.8</c:v>
                </c:pt>
                <c:pt idx="8">
                  <c:v>20.8</c:v>
                </c:pt>
                <c:pt idx="9">
                  <c:v>21</c:v>
                </c:pt>
                <c:pt idx="10">
                  <c:v>21.4</c:v>
                </c:pt>
                <c:pt idx="11">
                  <c:v>22.7</c:v>
                </c:pt>
                <c:pt idx="12">
                  <c:v>23.8</c:v>
                </c:pt>
                <c:pt idx="13">
                  <c:v>24</c:v>
                </c:pt>
                <c:pt idx="14">
                  <c:v>25.2</c:v>
                </c:pt>
                <c:pt idx="15">
                  <c:v>25.7</c:v>
                </c:pt>
                <c:pt idx="16">
                  <c:v>25.7</c:v>
                </c:pt>
                <c:pt idx="17">
                  <c:v>25.9</c:v>
                </c:pt>
                <c:pt idx="18">
                  <c:v>26.2</c:v>
                </c:pt>
                <c:pt idx="19">
                  <c:v>29.5</c:v>
                </c:pt>
                <c:pt idx="20">
                  <c:v>30.1</c:v>
                </c:pt>
                <c:pt idx="21">
                  <c:v>31.3</c:v>
                </c:pt>
                <c:pt idx="22">
                  <c:v>32</c:v>
                </c:pt>
                <c:pt idx="23">
                  <c:v>32.4</c:v>
                </c:pt>
                <c:pt idx="24">
                  <c:v>35</c:v>
                </c:pt>
                <c:pt idx="25">
                  <c:v>35.299999999999997</c:v>
                </c:pt>
                <c:pt idx="26">
                  <c:v>36</c:v>
                </c:pt>
                <c:pt idx="27">
                  <c:v>37</c:v>
                </c:pt>
              </c:numCache>
            </c:numRef>
          </c:val>
          <c:extLst>
            <c:ext xmlns:c16="http://schemas.microsoft.com/office/drawing/2014/chart" uri="{C3380CC4-5D6E-409C-BE32-E72D297353CC}">
              <c16:uniqueId val="{00000004-F62F-48EF-817C-E1F75BDCC156}"/>
            </c:ext>
          </c:extLst>
        </c:ser>
        <c:dLbls>
          <c:showLegendKey val="0"/>
          <c:showVal val="0"/>
          <c:showCatName val="0"/>
          <c:showSerName val="0"/>
          <c:showPercent val="0"/>
          <c:showBubbleSize val="0"/>
        </c:dLbls>
        <c:gapWidth val="219"/>
        <c:overlap val="-27"/>
        <c:axId val="770389272"/>
        <c:axId val="770390584"/>
      </c:barChart>
      <c:catAx>
        <c:axId val="77038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390584"/>
        <c:crosses val="autoZero"/>
        <c:auto val="1"/>
        <c:lblAlgn val="ctr"/>
        <c:lblOffset val="100"/>
        <c:noMultiLvlLbl val="0"/>
      </c:catAx>
      <c:valAx>
        <c:axId val="77039058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389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Trends!$A$2</c:f>
              <c:strCache>
                <c:ptCount val="1"/>
                <c:pt idx="0">
                  <c:v>Ireland</c:v>
                </c:pt>
              </c:strCache>
            </c:strRef>
          </c:tx>
          <c:spPr>
            <a:ln w="28575" cap="rnd">
              <a:solidFill>
                <a:schemeClr val="accent1"/>
              </a:solidFill>
              <a:round/>
            </a:ln>
            <a:effectLst/>
          </c:spPr>
          <c:marker>
            <c:symbol val="none"/>
          </c:marker>
          <c:cat>
            <c:numRef>
              <c:f>Trends!$B$1:$J$1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Trends!$B$2:$J$2</c:f>
              <c:numCache>
                <c:formatCode>General</c:formatCode>
                <c:ptCount val="9"/>
                <c:pt idx="0">
                  <c:v>39.799999999999997</c:v>
                </c:pt>
                <c:pt idx="1">
                  <c:v>41.7</c:v>
                </c:pt>
                <c:pt idx="2">
                  <c:v>46.5</c:v>
                </c:pt>
                <c:pt idx="3">
                  <c:v>43.2</c:v>
                </c:pt>
                <c:pt idx="4">
                  <c:v>40</c:v>
                </c:pt>
                <c:pt idx="5">
                  <c:v>44</c:v>
                </c:pt>
                <c:pt idx="6">
                  <c:v>38.799999999999997</c:v>
                </c:pt>
                <c:pt idx="7">
                  <c:v>41.3</c:v>
                </c:pt>
                <c:pt idx="8">
                  <c:v>37</c:v>
                </c:pt>
              </c:numCache>
            </c:numRef>
          </c:val>
          <c:smooth val="0"/>
          <c:extLst>
            <c:ext xmlns:c16="http://schemas.microsoft.com/office/drawing/2014/chart" uri="{C3380CC4-5D6E-409C-BE32-E72D297353CC}">
              <c16:uniqueId val="{00000000-6ED3-444B-B5D3-FB65208696CA}"/>
            </c:ext>
          </c:extLst>
        </c:ser>
        <c:ser>
          <c:idx val="1"/>
          <c:order val="1"/>
          <c:tx>
            <c:strRef>
              <c:f>Trends!$A$3</c:f>
              <c:strCache>
                <c:ptCount val="1"/>
                <c:pt idx="0">
                  <c:v>European Union</c:v>
                </c:pt>
              </c:strCache>
            </c:strRef>
          </c:tx>
          <c:spPr>
            <a:ln w="28575" cap="rnd">
              <a:solidFill>
                <a:schemeClr val="accent2"/>
              </a:solidFill>
              <a:round/>
            </a:ln>
            <a:effectLst/>
          </c:spPr>
          <c:marker>
            <c:symbol val="none"/>
          </c:marker>
          <c:cat>
            <c:numRef>
              <c:f>Trends!$B$1:$J$1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Trends!$B$3:$J$3</c:f>
              <c:numCache>
                <c:formatCode>General</c:formatCode>
                <c:ptCount val="9"/>
                <c:pt idx="0">
                  <c:v>22.7</c:v>
                </c:pt>
                <c:pt idx="1">
                  <c:v>23.8</c:v>
                </c:pt>
                <c:pt idx="2">
                  <c:v>24.2</c:v>
                </c:pt>
                <c:pt idx="3">
                  <c:v>23.5</c:v>
                </c:pt>
                <c:pt idx="4">
                  <c:v>23.5</c:v>
                </c:pt>
                <c:pt idx="5" formatCode="#,##0.00_ ;[Red]\-#,##0.00\ ">
                  <c:v>24.4</c:v>
                </c:pt>
                <c:pt idx="6">
                  <c:v>24.4</c:v>
                </c:pt>
                <c:pt idx="7">
                  <c:v>23.1</c:v>
                </c:pt>
                <c:pt idx="8">
                  <c:v>21.4</c:v>
                </c:pt>
              </c:numCache>
            </c:numRef>
          </c:val>
          <c:smooth val="0"/>
          <c:extLst>
            <c:ext xmlns:c16="http://schemas.microsoft.com/office/drawing/2014/chart" uri="{C3380CC4-5D6E-409C-BE32-E72D297353CC}">
              <c16:uniqueId val="{00000001-6ED3-444B-B5D3-FB65208696CA}"/>
            </c:ext>
          </c:extLst>
        </c:ser>
        <c:dLbls>
          <c:showLegendKey val="0"/>
          <c:showVal val="0"/>
          <c:showCatName val="0"/>
          <c:showSerName val="0"/>
          <c:showPercent val="0"/>
          <c:showBubbleSize val="0"/>
        </c:dLbls>
        <c:smooth val="0"/>
        <c:axId val="793530336"/>
        <c:axId val="793535584"/>
      </c:lineChart>
      <c:catAx>
        <c:axId val="79353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535584"/>
        <c:crosses val="autoZero"/>
        <c:auto val="1"/>
        <c:lblAlgn val="ctr"/>
        <c:lblOffset val="100"/>
        <c:noMultiLvlLbl val="0"/>
      </c:catAx>
      <c:valAx>
        <c:axId val="7935355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53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BF2296"/>
            </a:solidFill>
            <a:ln>
              <a:noFill/>
            </a:ln>
            <a:effectLst/>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General</c:formatCode>
                <c:ptCount val="8"/>
                <c:pt idx="0">
                  <c:v>3.6</c:v>
                </c:pt>
                <c:pt idx="1">
                  <c:v>3.5</c:v>
                </c:pt>
                <c:pt idx="2">
                  <c:v>3.5</c:v>
                </c:pt>
                <c:pt idx="3">
                  <c:v>3.3</c:v>
                </c:pt>
                <c:pt idx="4">
                  <c:v>3.1</c:v>
                </c:pt>
                <c:pt idx="5">
                  <c:v>3.1</c:v>
                </c:pt>
                <c:pt idx="6">
                  <c:v>3.6</c:v>
                </c:pt>
                <c:pt idx="7">
                  <c:v>4.0999999999999996</c:v>
                </c:pt>
              </c:numCache>
            </c:numRef>
          </c:val>
          <c:extLst>
            <c:ext xmlns:c16="http://schemas.microsoft.com/office/drawing/2014/chart" uri="{C3380CC4-5D6E-409C-BE32-E72D297353CC}">
              <c16:uniqueId val="{00000000-74C3-44A3-A096-9168D5872590}"/>
            </c:ext>
          </c:extLst>
        </c:ser>
        <c:dLbls>
          <c:showLegendKey val="0"/>
          <c:showVal val="0"/>
          <c:showCatName val="0"/>
          <c:showSerName val="0"/>
          <c:showPercent val="0"/>
          <c:showBubbleSize val="0"/>
        </c:dLbls>
        <c:gapWidth val="219"/>
        <c:overlap val="-27"/>
        <c:axId val="859236480"/>
        <c:axId val="859237560"/>
      </c:barChart>
      <c:catAx>
        <c:axId val="8592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237560"/>
        <c:crosses val="autoZero"/>
        <c:auto val="1"/>
        <c:lblAlgn val="ctr"/>
        <c:lblOffset val="100"/>
        <c:noMultiLvlLbl val="0"/>
      </c:catAx>
      <c:valAx>
        <c:axId val="859237560"/>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23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2015/16</c:v>
                </c:pt>
                <c:pt idx="1">
                  <c:v>2016/17</c:v>
                </c:pt>
                <c:pt idx="2">
                  <c:v>2017/18</c:v>
                </c:pt>
                <c:pt idx="3">
                  <c:v>2018/19</c:v>
                </c:pt>
                <c:pt idx="4">
                  <c:v>2019/20</c:v>
                </c:pt>
                <c:pt idx="5">
                  <c:v>2020/21</c:v>
                </c:pt>
                <c:pt idx="6">
                  <c:v>2021/22</c:v>
                </c:pt>
                <c:pt idx="7">
                  <c:v>2022/23</c:v>
                </c:pt>
              </c:strCache>
            </c:strRef>
          </c:cat>
          <c:val>
            <c:numRef>
              <c:f>Sheet1!$B$2:$B$9</c:f>
              <c:numCache>
                <c:formatCode>General</c:formatCode>
                <c:ptCount val="8"/>
                <c:pt idx="0">
                  <c:v>5.2</c:v>
                </c:pt>
                <c:pt idx="1">
                  <c:v>5.7</c:v>
                </c:pt>
                <c:pt idx="2">
                  <c:v>6.2</c:v>
                </c:pt>
                <c:pt idx="3">
                  <c:v>6.3</c:v>
                </c:pt>
                <c:pt idx="4">
                  <c:v>6.3</c:v>
                </c:pt>
                <c:pt idx="5">
                  <c:v>6.6</c:v>
                </c:pt>
                <c:pt idx="6">
                  <c:v>6.9</c:v>
                </c:pt>
                <c:pt idx="7">
                  <c:v>7.4</c:v>
                </c:pt>
              </c:numCache>
            </c:numRef>
          </c:val>
          <c:smooth val="0"/>
          <c:extLst>
            <c:ext xmlns:c16="http://schemas.microsoft.com/office/drawing/2014/chart" uri="{C3380CC4-5D6E-409C-BE32-E72D297353CC}">
              <c16:uniqueId val="{00000000-1ABC-4F1B-8C06-4A2A5C402A30}"/>
            </c:ext>
          </c:extLst>
        </c:ser>
        <c:dLbls>
          <c:showLegendKey val="0"/>
          <c:showVal val="0"/>
          <c:showCatName val="0"/>
          <c:showSerName val="0"/>
          <c:showPercent val="0"/>
          <c:showBubbleSize val="0"/>
        </c:dLbls>
        <c:marker val="1"/>
        <c:smooth val="0"/>
        <c:axId val="320801960"/>
        <c:axId val="1050419368"/>
      </c:lineChart>
      <c:catAx>
        <c:axId val="32080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419368"/>
        <c:crosses val="autoZero"/>
        <c:auto val="1"/>
        <c:lblAlgn val="ctr"/>
        <c:lblOffset val="100"/>
        <c:noMultiLvlLbl val="0"/>
      </c:catAx>
      <c:valAx>
        <c:axId val="1050419368"/>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Percent</a:t>
                </a:r>
              </a:p>
            </c:rich>
          </c:tx>
          <c:layout>
            <c:manualLayout>
              <c:xMode val="edge"/>
              <c:yMode val="edge"/>
              <c:x val="2.5462962962962962E-2"/>
              <c:y val="0.334437570303712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01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Sheet4!$B$1</c:f>
              <c:strCache>
                <c:ptCount val="1"/>
                <c:pt idx="0">
                  <c:v>2022</c:v>
                </c:pt>
              </c:strCache>
            </c:strRef>
          </c:tx>
          <c:spPr>
            <a:solidFill>
              <a:srgbClr val="BF229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Blindness or vision impairment</c:v>
                </c:pt>
                <c:pt idx="1">
                  <c:v>Deafness or a serious hearing impairment</c:v>
                </c:pt>
                <c:pt idx="2">
                  <c:v>A difficulty with basic physical activities</c:v>
                </c:pt>
                <c:pt idx="3">
                  <c:v>A psychological or emotional condition</c:v>
                </c:pt>
                <c:pt idx="4">
                  <c:v>Other disability, including chronic illness</c:v>
                </c:pt>
                <c:pt idx="5">
                  <c:v>An intellectual disability</c:v>
                </c:pt>
                <c:pt idx="6">
                  <c:v>A difficulty with learning, remembering or concentrating</c:v>
                </c:pt>
              </c:strCache>
            </c:strRef>
          </c:cat>
          <c:val>
            <c:numRef>
              <c:f>Sheet4!$B$2:$B$8</c:f>
              <c:numCache>
                <c:formatCode>0.0</c:formatCode>
                <c:ptCount val="7"/>
                <c:pt idx="0">
                  <c:v>5.4785894206549122</c:v>
                </c:pt>
                <c:pt idx="1">
                  <c:v>6.4861460957178849</c:v>
                </c:pt>
                <c:pt idx="2">
                  <c:v>14.704030226700251</c:v>
                </c:pt>
                <c:pt idx="3">
                  <c:v>21.56801007556675</c:v>
                </c:pt>
                <c:pt idx="4">
                  <c:v>23.268261964735519</c:v>
                </c:pt>
                <c:pt idx="5">
                  <c:v>24.165617128463477</c:v>
                </c:pt>
                <c:pt idx="6">
                  <c:v>36.649874055415616</c:v>
                </c:pt>
              </c:numCache>
            </c:numRef>
          </c:val>
          <c:extLst>
            <c:ext xmlns:c16="http://schemas.microsoft.com/office/drawing/2014/chart" uri="{C3380CC4-5D6E-409C-BE32-E72D297353CC}">
              <c16:uniqueId val="{00000000-5C3E-4A7F-8F10-BF2CAE635F3D}"/>
            </c:ext>
          </c:extLst>
        </c:ser>
        <c:ser>
          <c:idx val="1"/>
          <c:order val="1"/>
          <c:tx>
            <c:strRef>
              <c:f>Sheet4!$C$1</c:f>
              <c:strCache>
                <c:ptCount val="1"/>
                <c:pt idx="0">
                  <c:v>2018</c:v>
                </c:pt>
              </c:strCache>
            </c:strRef>
          </c:tx>
          <c:spPr>
            <a:pattFill prst="pct70">
              <a:fgClr>
                <a:schemeClr val="bg2">
                  <a:lumMod val="50000"/>
                </a:schemeClr>
              </a:fgClr>
              <a:bgClr>
                <a:schemeClr val="bg1"/>
              </a:bgClr>
            </a:pattFill>
            <a:ln>
              <a:solidFill>
                <a:schemeClr val="bg2">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Sheet4!$A$2:$A$8</c:f>
              <c:strCache>
                <c:ptCount val="7"/>
                <c:pt idx="0">
                  <c:v>Blindness or vision impairment</c:v>
                </c:pt>
                <c:pt idx="1">
                  <c:v>Deafness or a serious hearing impairment</c:v>
                </c:pt>
                <c:pt idx="2">
                  <c:v>A difficulty with basic physical activities</c:v>
                </c:pt>
                <c:pt idx="3">
                  <c:v>A psychological or emotional condition</c:v>
                </c:pt>
                <c:pt idx="4">
                  <c:v>Other disability, including chronic illness</c:v>
                </c:pt>
                <c:pt idx="5">
                  <c:v>An intellectual disability</c:v>
                </c:pt>
                <c:pt idx="6">
                  <c:v>A difficulty with learning, remembering or concentrating</c:v>
                </c:pt>
              </c:strCache>
            </c:strRef>
          </c:cat>
          <c:val>
            <c:numRef>
              <c:f>Sheet4!$C$2:$C$8</c:f>
              <c:numCache>
                <c:formatCode>General</c:formatCode>
                <c:ptCount val="7"/>
                <c:pt idx="0">
                  <c:v>4.7</c:v>
                </c:pt>
                <c:pt idx="1">
                  <c:v>6.3</c:v>
                </c:pt>
                <c:pt idx="2">
                  <c:v>14.1</c:v>
                </c:pt>
                <c:pt idx="3">
                  <c:v>19.5</c:v>
                </c:pt>
                <c:pt idx="4">
                  <c:v>29.3</c:v>
                </c:pt>
                <c:pt idx="5">
                  <c:v>24.7</c:v>
                </c:pt>
                <c:pt idx="6">
                  <c:v>32.4</c:v>
                </c:pt>
              </c:numCache>
            </c:numRef>
          </c:val>
          <c:extLst>
            <c:ext xmlns:c16="http://schemas.microsoft.com/office/drawing/2014/chart" uri="{C3380CC4-5D6E-409C-BE32-E72D297353CC}">
              <c16:uniqueId val="{00000001-5C3E-4A7F-8F10-BF2CAE635F3D}"/>
            </c:ext>
          </c:extLst>
        </c:ser>
        <c:dLbls>
          <c:showLegendKey val="0"/>
          <c:showVal val="0"/>
          <c:showCatName val="0"/>
          <c:showSerName val="0"/>
          <c:showPercent val="0"/>
          <c:showBubbleSize val="0"/>
        </c:dLbls>
        <c:gapWidth val="182"/>
        <c:axId val="691828656"/>
        <c:axId val="691829016"/>
      </c:barChart>
      <c:catAx>
        <c:axId val="691828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829016"/>
        <c:crosses val="autoZero"/>
        <c:auto val="1"/>
        <c:lblAlgn val="ctr"/>
        <c:lblOffset val="100"/>
        <c:noMultiLvlLbl val="0"/>
      </c:catAx>
      <c:valAx>
        <c:axId val="691829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82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Transport!$F$12</c:f>
              <c:strCache>
                <c:ptCount val="1"/>
                <c:pt idx="0">
                  <c:v>Bus, minibus or coach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Transport!$E$13:$E$16</c:f>
              <c:strCache>
                <c:ptCount val="4"/>
                <c:pt idx="0">
                  <c:v>Persons with a disability</c:v>
                </c:pt>
                <c:pt idx="1">
                  <c:v>Persons with a disability to a great extent</c:v>
                </c:pt>
                <c:pt idx="2">
                  <c:v>Persons with a disability to some extent</c:v>
                </c:pt>
                <c:pt idx="3">
                  <c:v>Persons without disabilities</c:v>
                </c:pt>
              </c:strCache>
            </c:strRef>
          </c:cat>
          <c:val>
            <c:numRef>
              <c:f>Transport!$F$13:$F$16</c:f>
              <c:numCache>
                <c:formatCode>0.0</c:formatCode>
                <c:ptCount val="4"/>
                <c:pt idx="0">
                  <c:v>8.0791783479620385</c:v>
                </c:pt>
                <c:pt idx="1">
                  <c:v>9.995329285380663</c:v>
                </c:pt>
                <c:pt idx="2">
                  <c:v>7.6425925546937359</c:v>
                </c:pt>
                <c:pt idx="3">
                  <c:v>5.4696158081981672</c:v>
                </c:pt>
              </c:numCache>
            </c:numRef>
          </c:val>
          <c:extLst>
            <c:ext xmlns:c16="http://schemas.microsoft.com/office/drawing/2014/chart" uri="{C3380CC4-5D6E-409C-BE32-E72D297353CC}">
              <c16:uniqueId val="{00000000-2E3E-468A-8927-91B27C5DF2CF}"/>
            </c:ext>
          </c:extLst>
        </c:ser>
        <c:ser>
          <c:idx val="1"/>
          <c:order val="1"/>
          <c:tx>
            <c:strRef>
              <c:f>Transport!$G$12</c:f>
              <c:strCache>
                <c:ptCount val="1"/>
                <c:pt idx="0">
                  <c:v>Train, DART or Luas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Transport!$E$13:$E$16</c:f>
              <c:strCache>
                <c:ptCount val="4"/>
                <c:pt idx="0">
                  <c:v>Persons with a disability</c:v>
                </c:pt>
                <c:pt idx="1">
                  <c:v>Persons with a disability to a great extent</c:v>
                </c:pt>
                <c:pt idx="2">
                  <c:v>Persons with a disability to some extent</c:v>
                </c:pt>
                <c:pt idx="3">
                  <c:v>Persons without disabilities</c:v>
                </c:pt>
              </c:strCache>
            </c:strRef>
          </c:cat>
          <c:val>
            <c:numRef>
              <c:f>Transport!$G$13:$G$16</c:f>
              <c:numCache>
                <c:formatCode>0.0</c:formatCode>
                <c:ptCount val="4"/>
                <c:pt idx="0">
                  <c:v>3.4562188938632783</c:v>
                </c:pt>
                <c:pt idx="1">
                  <c:v>3.3036323788308843</c:v>
                </c:pt>
                <c:pt idx="2">
                  <c:v>3.4909849988744037</c:v>
                </c:pt>
                <c:pt idx="3">
                  <c:v>2.91283464703135</c:v>
                </c:pt>
              </c:numCache>
            </c:numRef>
          </c:val>
          <c:extLst>
            <c:ext xmlns:c16="http://schemas.microsoft.com/office/drawing/2014/chart" uri="{C3380CC4-5D6E-409C-BE32-E72D297353CC}">
              <c16:uniqueId val="{00000001-2E3E-468A-8927-91B27C5DF2CF}"/>
            </c:ext>
          </c:extLst>
        </c:ser>
        <c:dLbls>
          <c:showLegendKey val="0"/>
          <c:showVal val="0"/>
          <c:showCatName val="0"/>
          <c:showSerName val="0"/>
          <c:showPercent val="0"/>
          <c:showBubbleSize val="0"/>
        </c:dLbls>
        <c:gapWidth val="219"/>
        <c:overlap val="-27"/>
        <c:axId val="813010192"/>
        <c:axId val="813010552"/>
      </c:barChart>
      <c:catAx>
        <c:axId val="81301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010552"/>
        <c:crosses val="autoZero"/>
        <c:auto val="1"/>
        <c:lblAlgn val="ctr"/>
        <c:lblOffset val="100"/>
        <c:noMultiLvlLbl val="0"/>
      </c:catAx>
      <c:valAx>
        <c:axId val="813010552"/>
        <c:scaling>
          <c:orientation val="minMax"/>
          <c:max val="1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01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30E8-44B5-9DCA-4BCF0FA0397E}"/>
              </c:ext>
            </c:extLst>
          </c:dPt>
          <c:dPt>
            <c:idx val="1"/>
            <c:invertIfNegative val="0"/>
            <c:bubble3D val="0"/>
            <c:spPr>
              <a:solidFill>
                <a:schemeClr val="accent3"/>
              </a:solidFill>
              <a:ln>
                <a:noFill/>
              </a:ln>
              <a:effectLst/>
            </c:spPr>
            <c:extLst>
              <c:ext xmlns:c16="http://schemas.microsoft.com/office/drawing/2014/chart" uri="{C3380CC4-5D6E-409C-BE32-E72D297353CC}">
                <c16:uniqueId val="{00000003-30E8-44B5-9DCA-4BCF0FA0397E}"/>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30E8-44B5-9DCA-4BCF0FA0397E}"/>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7-30E8-44B5-9DCA-4BCF0FA039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Sheet2!$A$1:$A$11</c:f>
              <c:strCache>
                <c:ptCount val="11"/>
                <c:pt idx="0">
                  <c:v>Total persons without a disability</c:v>
                </c:pt>
                <c:pt idx="1">
                  <c:v>Total persons with a disability to a great extent</c:v>
                </c:pt>
                <c:pt idx="2">
                  <c:v>Total persons with a disability to some extent</c:v>
                </c:pt>
                <c:pt idx="3">
                  <c:v>Total persons with a disability</c:v>
                </c:pt>
                <c:pt idx="4">
                  <c:v>Intellectual disability</c:v>
                </c:pt>
                <c:pt idx="5">
                  <c:v>Difficulty with basic physical activities</c:v>
                </c:pt>
                <c:pt idx="6">
                  <c:v>Difficulty with learning, remembering, or concentrating</c:v>
                </c:pt>
                <c:pt idx="7">
                  <c:v>Psychological emotional condition or mental health issue</c:v>
                </c:pt>
                <c:pt idx="8">
                  <c:v>Difficulty with pain, breathing, or any other chronic illness or condition</c:v>
                </c:pt>
                <c:pt idx="9">
                  <c:v>Blind or vision impaired</c:v>
                </c:pt>
                <c:pt idx="10">
                  <c:v>Deaf or hearing impaired</c:v>
                </c:pt>
              </c:strCache>
            </c:strRef>
          </c:cat>
          <c:val>
            <c:numRef>
              <c:f>Sheet2!$B$1:$B$11</c:f>
              <c:numCache>
                <c:formatCode>0.0</c:formatCode>
                <c:ptCount val="11"/>
                <c:pt idx="0">
                  <c:v>5.8</c:v>
                </c:pt>
                <c:pt idx="1">
                  <c:v>2.2999999999999998</c:v>
                </c:pt>
                <c:pt idx="2">
                  <c:v>6.6</c:v>
                </c:pt>
                <c:pt idx="3">
                  <c:v>5</c:v>
                </c:pt>
                <c:pt idx="4">
                  <c:v>1.3859154929577466</c:v>
                </c:pt>
                <c:pt idx="5">
                  <c:v>2.4066442162181558</c:v>
                </c:pt>
                <c:pt idx="6">
                  <c:v>2.4884497288197203</c:v>
                </c:pt>
                <c:pt idx="7">
                  <c:v>3.2776339080836556</c:v>
                </c:pt>
                <c:pt idx="8">
                  <c:v>4.4741762400873011</c:v>
                </c:pt>
                <c:pt idx="9">
                  <c:v>5.1881465997668501</c:v>
                </c:pt>
                <c:pt idx="10">
                  <c:v>6.0924721148682552</c:v>
                </c:pt>
              </c:numCache>
            </c:numRef>
          </c:val>
          <c:extLst>
            <c:ext xmlns:c16="http://schemas.microsoft.com/office/drawing/2014/chart" uri="{C3380CC4-5D6E-409C-BE32-E72D297353CC}">
              <c16:uniqueId val="{00000008-30E8-44B5-9DCA-4BCF0FA0397E}"/>
            </c:ext>
          </c:extLst>
        </c:ser>
        <c:dLbls>
          <c:showLegendKey val="0"/>
          <c:showVal val="0"/>
          <c:showCatName val="0"/>
          <c:showSerName val="0"/>
          <c:showPercent val="0"/>
          <c:showBubbleSize val="0"/>
        </c:dLbls>
        <c:gapWidth val="182"/>
        <c:axId val="688491736"/>
        <c:axId val="688492096"/>
      </c:barChart>
      <c:catAx>
        <c:axId val="688491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492096"/>
        <c:crosses val="autoZero"/>
        <c:auto val="1"/>
        <c:lblAlgn val="ctr"/>
        <c:lblOffset val="100"/>
        <c:noMultiLvlLbl val="0"/>
      </c:catAx>
      <c:valAx>
        <c:axId val="688492096"/>
        <c:scaling>
          <c:orientation val="minMax"/>
          <c:max val="1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Percent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491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Sheet4!$A$1:$A$7</c:f>
              <c:strCache>
                <c:ptCount val="7"/>
                <c:pt idx="0">
                  <c:v>Blind or vision impaired</c:v>
                </c:pt>
                <c:pt idx="1">
                  <c:v>Difficulty with pain, breathing, or any other chronic illness or condition</c:v>
                </c:pt>
                <c:pt idx="2">
                  <c:v>Deaf or hearing impaired</c:v>
                </c:pt>
                <c:pt idx="3">
                  <c:v>Difficulty with learning, remembering or concentrating</c:v>
                </c:pt>
                <c:pt idx="4">
                  <c:v>Psychological or emotional condition or mental health issue</c:v>
                </c:pt>
                <c:pt idx="5">
                  <c:v>Intellectual disability</c:v>
                </c:pt>
                <c:pt idx="6">
                  <c:v>Difficulty with basic physical activities</c:v>
                </c:pt>
              </c:strCache>
            </c:strRef>
          </c:cat>
          <c:val>
            <c:numRef>
              <c:f>Sheet4!$B$1:$B$7</c:f>
              <c:numCache>
                <c:formatCode>0.0</c:formatCode>
                <c:ptCount val="7"/>
                <c:pt idx="0">
                  <c:v>11.02359810242063</c:v>
                </c:pt>
                <c:pt idx="1">
                  <c:v>17.451707317073168</c:v>
                </c:pt>
                <c:pt idx="2">
                  <c:v>18.917543264336615</c:v>
                </c:pt>
                <c:pt idx="3">
                  <c:v>20.001843487879068</c:v>
                </c:pt>
                <c:pt idx="4">
                  <c:v>21.172070885215248</c:v>
                </c:pt>
                <c:pt idx="5">
                  <c:v>29.049102235251006</c:v>
                </c:pt>
                <c:pt idx="6">
                  <c:v>35.405699764022508</c:v>
                </c:pt>
              </c:numCache>
            </c:numRef>
          </c:val>
          <c:extLst>
            <c:ext xmlns:c16="http://schemas.microsoft.com/office/drawing/2014/chart" uri="{C3380CC4-5D6E-409C-BE32-E72D297353CC}">
              <c16:uniqueId val="{00000000-103B-435B-A415-0AD94264E1EC}"/>
            </c:ext>
          </c:extLst>
        </c:ser>
        <c:dLbls>
          <c:showLegendKey val="0"/>
          <c:showVal val="0"/>
          <c:showCatName val="0"/>
          <c:showSerName val="0"/>
          <c:showPercent val="0"/>
          <c:showBubbleSize val="0"/>
        </c:dLbls>
        <c:gapWidth val="219"/>
        <c:overlap val="-27"/>
        <c:axId val="688092800"/>
        <c:axId val="688094600"/>
      </c:barChart>
      <c:catAx>
        <c:axId val="68809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094600"/>
        <c:crosses val="autoZero"/>
        <c:auto val="1"/>
        <c:lblAlgn val="ctr"/>
        <c:lblOffset val="100"/>
        <c:noMultiLvlLbl val="0"/>
      </c:catAx>
      <c:valAx>
        <c:axId val="688094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09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C13F-FEC8-42B1-978A-36F1CF9B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5</Pages>
  <Words>49642</Words>
  <Characters>282964</Characters>
  <Application>Microsoft Office Word</Application>
  <DocSecurity>4</DocSecurity>
  <Lines>2358</Lines>
  <Paragraphs>663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Kavanagh (NDA)</dc:creator>
  <cp:keywords/>
  <dc:description/>
  <cp:lastModifiedBy>Heather O'Leary (NDA)</cp:lastModifiedBy>
  <cp:revision>2</cp:revision>
  <cp:lastPrinted>2024-07-18T14:16:00Z</cp:lastPrinted>
  <dcterms:created xsi:type="dcterms:W3CDTF">2025-02-05T16:48:00Z</dcterms:created>
  <dcterms:modified xsi:type="dcterms:W3CDTF">2025-02-05T16:48:00Z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id="NkdWj7uA"/&gt;&lt;style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