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FC4" w:rsidRDefault="00190FAE" w:rsidP="002D37CB">
      <w:pPr>
        <w:pStyle w:val="Title"/>
        <w:spacing w:before="960"/>
        <w:rPr>
          <w:sz w:val="72"/>
          <w:szCs w:val="72"/>
        </w:rPr>
      </w:pPr>
      <w:bookmarkStart w:id="0" w:name="_Toc386464530"/>
      <w:bookmarkStart w:id="1" w:name="_Toc386470025"/>
      <w:bookmarkStart w:id="2" w:name="_Toc386464528"/>
      <w:bookmarkStart w:id="3" w:name="_Toc386470023"/>
      <w:bookmarkStart w:id="4" w:name="_Toc386470904"/>
      <w:bookmarkStart w:id="5" w:name="_Toc415666972"/>
      <w:bookmarkStart w:id="6" w:name="_Toc415733665"/>
      <w:r w:rsidRPr="002D5E87">
        <w:rPr>
          <w:sz w:val="72"/>
          <w:szCs w:val="72"/>
        </w:rPr>
        <w:t>Children’s Disability Services in Ireland</w:t>
      </w:r>
    </w:p>
    <w:p w:rsidR="005538D2" w:rsidRDefault="00BD6FC4" w:rsidP="005538D2">
      <w:pPr>
        <w:pStyle w:val="Title"/>
        <w:spacing w:before="960" w:after="4920"/>
        <w:rPr>
          <w:sz w:val="72"/>
          <w:szCs w:val="72"/>
        </w:rPr>
      </w:pPr>
      <w:r>
        <w:rPr>
          <w:sz w:val="72"/>
          <w:szCs w:val="72"/>
        </w:rPr>
        <w:t>2015</w:t>
      </w:r>
      <w:r w:rsidR="005538D2" w:rsidRPr="005538D2">
        <w:rPr>
          <w:noProof/>
          <w:lang w:eastAsia="en-IE"/>
        </w:rPr>
        <w:t xml:space="preserve"> </w:t>
      </w:r>
      <w:bookmarkStart w:id="7" w:name="_GoBack"/>
      <w:bookmarkEnd w:id="7"/>
    </w:p>
    <w:p w:rsidR="005538D2" w:rsidRDefault="005538D2" w:rsidP="005538D2">
      <w:pPr>
        <w:pStyle w:val="Title"/>
        <w:spacing w:before="960"/>
        <w:jc w:val="left"/>
        <w:rPr>
          <w:sz w:val="48"/>
          <w:szCs w:val="48"/>
        </w:rPr>
      </w:pPr>
      <w:r>
        <w:rPr>
          <w:noProof/>
          <w:lang w:eastAsia="en-IE"/>
        </w:rPr>
        <w:drawing>
          <wp:inline distT="0" distB="0" distL="0" distR="0">
            <wp:extent cx="2514600" cy="1800225"/>
            <wp:effectExtent l="0" t="0" r="0" b="9525"/>
            <wp:docPr id="7" name="Picture 6" descr="Logo of the National Disability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of the National Disability Author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1800225"/>
                    </a:xfrm>
                    <a:prstGeom prst="rect">
                      <a:avLst/>
                    </a:prstGeom>
                    <a:noFill/>
                    <a:ln>
                      <a:noFill/>
                    </a:ln>
                  </pic:spPr>
                </pic:pic>
              </a:graphicData>
            </a:graphic>
          </wp:inline>
        </w:drawing>
      </w:r>
      <w:r>
        <w:rPr>
          <w:sz w:val="48"/>
          <w:szCs w:val="48"/>
        </w:rPr>
        <w:br w:type="textWrapping" w:clear="all"/>
      </w:r>
    </w:p>
    <w:p w:rsidR="00B156DA" w:rsidRDefault="00190FAE" w:rsidP="005538D2">
      <w:pPr>
        <w:pStyle w:val="Title"/>
        <w:spacing w:before="960"/>
        <w:jc w:val="left"/>
        <w:rPr>
          <w:sz w:val="48"/>
          <w:szCs w:val="48"/>
        </w:rPr>
      </w:pPr>
      <w:r w:rsidRPr="005538D2">
        <w:br w:type="page"/>
      </w:r>
      <w:bookmarkStart w:id="8" w:name="_Toc415666973"/>
      <w:bookmarkStart w:id="9" w:name="_Toc415733666"/>
      <w:r w:rsidR="002D37CB">
        <w:rPr>
          <w:sz w:val="48"/>
          <w:szCs w:val="48"/>
        </w:rPr>
        <w:t>Children’s Disability S</w:t>
      </w:r>
      <w:r w:rsidR="004035FE" w:rsidRPr="00B156DA">
        <w:rPr>
          <w:sz w:val="48"/>
          <w:szCs w:val="48"/>
        </w:rPr>
        <w:t>ervices in Ireland</w:t>
      </w:r>
      <w:bookmarkEnd w:id="5"/>
      <w:bookmarkEnd w:id="6"/>
      <w:bookmarkEnd w:id="8"/>
      <w:bookmarkEnd w:id="9"/>
    </w:p>
    <w:p w:rsidR="00A201B4" w:rsidRDefault="00B156DA" w:rsidP="00A201B4">
      <w:pPr>
        <w:pStyle w:val="Title"/>
        <w:spacing w:before="960"/>
        <w:rPr>
          <w:rFonts w:ascii="Gill Sans MT" w:hAnsi="Gill Sans MT"/>
          <w:sz w:val="28"/>
          <w:szCs w:val="28"/>
        </w:rPr>
      </w:pPr>
      <w:r>
        <w:rPr>
          <w:rFonts w:ascii="Gill Sans MT" w:hAnsi="Gill Sans MT"/>
          <w:sz w:val="28"/>
          <w:szCs w:val="28"/>
        </w:rPr>
        <w:br w:type="textWrapping" w:clear="all"/>
      </w:r>
      <w:r>
        <w:rPr>
          <w:rFonts w:ascii="Gill Sans MT" w:hAnsi="Gill Sans MT"/>
          <w:sz w:val="28"/>
          <w:szCs w:val="28"/>
        </w:rPr>
        <w:br w:type="textWrapping" w:clear="all"/>
      </w:r>
      <w:bookmarkStart w:id="10" w:name="_Toc415666974"/>
      <w:bookmarkStart w:id="11" w:name="_Toc415733667"/>
      <w:r w:rsidR="00A201B4">
        <w:rPr>
          <w:rFonts w:ascii="Gill Sans MT" w:hAnsi="Gill Sans MT"/>
          <w:sz w:val="28"/>
          <w:szCs w:val="28"/>
        </w:rPr>
        <w:t>National Disability Authority</w:t>
      </w:r>
      <w:bookmarkEnd w:id="10"/>
      <w:bookmarkEnd w:id="11"/>
    </w:p>
    <w:p w:rsidR="004035FE" w:rsidRPr="00A201B4" w:rsidRDefault="004035FE" w:rsidP="00A201B4">
      <w:pPr>
        <w:pStyle w:val="Title"/>
        <w:spacing w:before="960"/>
        <w:rPr>
          <w:rFonts w:ascii="Gill Sans MT" w:hAnsi="Gill Sans MT"/>
          <w:sz w:val="28"/>
          <w:szCs w:val="28"/>
        </w:rPr>
      </w:pPr>
      <w:bookmarkStart w:id="12" w:name="_Toc415666975"/>
      <w:bookmarkStart w:id="13" w:name="_Toc415733668"/>
      <w:r>
        <w:rPr>
          <w:rFonts w:ascii="Gill Sans MT" w:hAnsi="Gill Sans MT"/>
          <w:sz w:val="28"/>
          <w:szCs w:val="28"/>
        </w:rPr>
        <w:t>February 2015</w:t>
      </w:r>
      <w:bookmarkEnd w:id="12"/>
      <w:bookmarkEnd w:id="13"/>
    </w:p>
    <w:p w:rsidR="004035FE" w:rsidRDefault="004035FE" w:rsidP="004035FE">
      <w:pPr>
        <w:rPr>
          <w:rFonts w:ascii="Gill Sans MT" w:hAnsi="Gill Sans MT"/>
          <w:sz w:val="28"/>
          <w:szCs w:val="28"/>
        </w:rPr>
      </w:pPr>
    </w:p>
    <w:bookmarkEnd w:id="2"/>
    <w:bookmarkEnd w:id="3"/>
    <w:bookmarkEnd w:id="4"/>
    <w:p w:rsidR="00BD6FC4" w:rsidRDefault="00BD6FC4" w:rsidP="00A42377">
      <w:pPr>
        <w:jc w:val="center"/>
      </w:pPr>
    </w:p>
    <w:p w:rsidR="00BD6FC4" w:rsidRPr="00BD6FC4" w:rsidRDefault="00BD6FC4" w:rsidP="00BD6FC4"/>
    <w:p w:rsidR="00BD6FC4" w:rsidRPr="00BD6FC4" w:rsidRDefault="00BD6FC4" w:rsidP="00BD6FC4"/>
    <w:p w:rsidR="00BD6FC4" w:rsidRPr="00BD6FC4" w:rsidRDefault="00BD6FC4" w:rsidP="00BD6FC4"/>
    <w:p w:rsidR="00BD6FC4" w:rsidRPr="00BD6FC4" w:rsidRDefault="00BD6FC4" w:rsidP="00BD6FC4"/>
    <w:p w:rsidR="00BD6FC4" w:rsidRPr="00BD6FC4" w:rsidRDefault="00BD6FC4" w:rsidP="00BD6FC4"/>
    <w:p w:rsidR="00BD6FC4" w:rsidRPr="00BD6FC4" w:rsidRDefault="00BD6FC4" w:rsidP="00BD6FC4"/>
    <w:p w:rsidR="00BD6FC4" w:rsidRPr="00BD6FC4" w:rsidRDefault="00BD6FC4" w:rsidP="00BD6FC4"/>
    <w:p w:rsidR="00BD6FC4" w:rsidRPr="00BD6FC4" w:rsidRDefault="00BD6FC4" w:rsidP="00BD6FC4"/>
    <w:p w:rsidR="00BD6FC4" w:rsidRDefault="00BD6FC4" w:rsidP="00A42377">
      <w:pPr>
        <w:jc w:val="center"/>
      </w:pPr>
    </w:p>
    <w:p w:rsidR="00BD6FC4" w:rsidRDefault="00BD6FC4" w:rsidP="00A42377">
      <w:pPr>
        <w:jc w:val="center"/>
      </w:pPr>
    </w:p>
    <w:p w:rsidR="00BD6FC4" w:rsidRPr="00BD6FC4" w:rsidRDefault="00BD6FC4" w:rsidP="00BD6FC4">
      <w:pPr>
        <w:tabs>
          <w:tab w:val="left" w:pos="1808"/>
        </w:tabs>
      </w:pPr>
      <w:r w:rsidRPr="00C85D76">
        <w:rPr>
          <w:color w:val="BF2296"/>
        </w:rPr>
        <w:t>National Disability Authority</w:t>
      </w:r>
      <w:r w:rsidRPr="00C85D76">
        <w:rPr>
          <w:color w:val="BF2296"/>
        </w:rPr>
        <w:br/>
        <w:t>25 Clyde Road</w:t>
      </w:r>
      <w:r w:rsidRPr="00C85D76">
        <w:rPr>
          <w:color w:val="BF2296"/>
        </w:rPr>
        <w:br/>
        <w:t>Dublin 4</w:t>
      </w:r>
      <w:r>
        <w:rPr>
          <w:color w:val="BF2296"/>
        </w:rPr>
        <w:br/>
      </w:r>
      <w:r>
        <w:rPr>
          <w:b/>
          <w:color w:val="BF2296"/>
        </w:rPr>
        <w:t xml:space="preserve">T: </w:t>
      </w:r>
      <w:r>
        <w:rPr>
          <w:color w:val="BF2296"/>
        </w:rPr>
        <w:t xml:space="preserve">01-608 0400 </w:t>
      </w:r>
      <w:r>
        <w:rPr>
          <w:b/>
          <w:color w:val="BF2296"/>
        </w:rPr>
        <w:t xml:space="preserve">F: </w:t>
      </w:r>
      <w:r>
        <w:rPr>
          <w:color w:val="BF2296"/>
        </w:rPr>
        <w:t>01-660 9935</w:t>
      </w:r>
      <w:r w:rsidRPr="00C85D76">
        <w:rPr>
          <w:color w:val="BF2296"/>
        </w:rPr>
        <w:br/>
      </w:r>
      <w:hyperlink r:id="rId9" w:history="1">
        <w:r w:rsidRPr="004E582B">
          <w:rPr>
            <w:rStyle w:val="Hyperlink"/>
          </w:rPr>
          <w:t>www.nda.ie</w:t>
        </w:r>
      </w:hyperlink>
      <w:r>
        <w:rPr>
          <w:color w:val="BF2296"/>
        </w:rPr>
        <w:t xml:space="preserve"> </w:t>
      </w:r>
    </w:p>
    <w:p w:rsidR="00193C07" w:rsidRDefault="001F55B2" w:rsidP="00A42377">
      <w:pPr>
        <w:jc w:val="center"/>
        <w:rPr>
          <w:noProof/>
        </w:rPr>
      </w:pPr>
      <w:r w:rsidRPr="00BD6FC4">
        <w:br w:type="page"/>
      </w:r>
      <w:r w:rsidR="00B61CB9" w:rsidRPr="00B61CB9">
        <w:rPr>
          <w:b/>
          <w:sz w:val="28"/>
          <w:szCs w:val="28"/>
        </w:rPr>
        <w:lastRenderedPageBreak/>
        <w:t>Table of Contents</w:t>
      </w:r>
      <w:r w:rsidRPr="00853F36">
        <w:rPr>
          <w:sz w:val="22"/>
          <w:szCs w:val="22"/>
        </w:rPr>
        <w:fldChar w:fldCharType="begin"/>
      </w:r>
      <w:r w:rsidRPr="00853F36">
        <w:rPr>
          <w:sz w:val="22"/>
          <w:szCs w:val="22"/>
        </w:rPr>
        <w:instrText xml:space="preserve"> TOC \o "1-3" \h \z \u </w:instrText>
      </w:r>
      <w:r w:rsidRPr="00853F36">
        <w:rPr>
          <w:sz w:val="22"/>
          <w:szCs w:val="22"/>
        </w:rPr>
        <w:fldChar w:fldCharType="separate"/>
      </w:r>
    </w:p>
    <w:p w:rsidR="00193C07" w:rsidRDefault="00193C07">
      <w:pPr>
        <w:pStyle w:val="TOC1"/>
        <w:tabs>
          <w:tab w:val="right" w:leader="dot" w:pos="8630"/>
        </w:tabs>
        <w:rPr>
          <w:rFonts w:ascii="Calibri" w:hAnsi="Calibri"/>
          <w:b w:val="0"/>
          <w:noProof/>
          <w:sz w:val="22"/>
          <w:szCs w:val="22"/>
          <w:lang w:eastAsia="en-IE"/>
        </w:rPr>
      </w:pPr>
      <w:hyperlink w:anchor="_Toc415733669" w:history="1">
        <w:r w:rsidRPr="00C576D7">
          <w:rPr>
            <w:rStyle w:val="Hyperlink"/>
            <w:noProof/>
          </w:rPr>
          <w:t>Summary Report</w:t>
        </w:r>
        <w:r>
          <w:rPr>
            <w:noProof/>
            <w:webHidden/>
          </w:rPr>
          <w:tab/>
        </w:r>
        <w:r>
          <w:rPr>
            <w:noProof/>
            <w:webHidden/>
          </w:rPr>
          <w:fldChar w:fldCharType="begin"/>
        </w:r>
        <w:r>
          <w:rPr>
            <w:noProof/>
            <w:webHidden/>
          </w:rPr>
          <w:instrText xml:space="preserve"> PAGEREF _Toc415733669 \h </w:instrText>
        </w:r>
        <w:r>
          <w:rPr>
            <w:noProof/>
            <w:webHidden/>
          </w:rPr>
        </w:r>
        <w:r>
          <w:rPr>
            <w:noProof/>
            <w:webHidden/>
          </w:rPr>
          <w:fldChar w:fldCharType="separate"/>
        </w:r>
        <w:r w:rsidR="00BD6FC4">
          <w:rPr>
            <w:noProof/>
            <w:webHidden/>
          </w:rPr>
          <w:t>8</w:t>
        </w:r>
        <w:r>
          <w:rPr>
            <w:noProof/>
            <w:webHidden/>
          </w:rPr>
          <w:fldChar w:fldCharType="end"/>
        </w:r>
      </w:hyperlink>
    </w:p>
    <w:p w:rsidR="00193C07" w:rsidRDefault="00193C07">
      <w:pPr>
        <w:pStyle w:val="TOC2"/>
        <w:tabs>
          <w:tab w:val="left" w:pos="1040"/>
          <w:tab w:val="right" w:leader="dot" w:pos="8630"/>
        </w:tabs>
        <w:rPr>
          <w:rFonts w:ascii="Calibri" w:hAnsi="Calibri"/>
          <w:noProof/>
          <w:sz w:val="22"/>
          <w:szCs w:val="22"/>
          <w:lang w:eastAsia="en-IE"/>
        </w:rPr>
      </w:pPr>
      <w:hyperlink w:anchor="_Toc415733670" w:history="1">
        <w:r w:rsidRPr="00C576D7">
          <w:rPr>
            <w:rStyle w:val="Hyperlink"/>
            <w:noProof/>
          </w:rPr>
          <w:t>1.1.</w:t>
        </w:r>
        <w:r>
          <w:rPr>
            <w:rFonts w:ascii="Calibri" w:hAnsi="Calibri"/>
            <w:noProof/>
            <w:sz w:val="22"/>
            <w:szCs w:val="22"/>
            <w:lang w:eastAsia="en-IE"/>
          </w:rPr>
          <w:tab/>
        </w:r>
        <w:r w:rsidRPr="00C576D7">
          <w:rPr>
            <w:rStyle w:val="Hyperlink"/>
            <w:noProof/>
          </w:rPr>
          <w:t>Introduction</w:t>
        </w:r>
        <w:r>
          <w:rPr>
            <w:noProof/>
            <w:webHidden/>
          </w:rPr>
          <w:tab/>
        </w:r>
        <w:r>
          <w:rPr>
            <w:noProof/>
            <w:webHidden/>
          </w:rPr>
          <w:fldChar w:fldCharType="begin"/>
        </w:r>
        <w:r>
          <w:rPr>
            <w:noProof/>
            <w:webHidden/>
          </w:rPr>
          <w:instrText xml:space="preserve"> PAGEREF _Toc415733670 \h </w:instrText>
        </w:r>
        <w:r>
          <w:rPr>
            <w:noProof/>
            <w:webHidden/>
          </w:rPr>
        </w:r>
        <w:r>
          <w:rPr>
            <w:noProof/>
            <w:webHidden/>
          </w:rPr>
          <w:fldChar w:fldCharType="separate"/>
        </w:r>
        <w:r w:rsidR="00BD6FC4">
          <w:rPr>
            <w:noProof/>
            <w:webHidden/>
          </w:rPr>
          <w:t>8</w:t>
        </w:r>
        <w:r>
          <w:rPr>
            <w:noProof/>
            <w:webHidden/>
          </w:rPr>
          <w:fldChar w:fldCharType="end"/>
        </w:r>
      </w:hyperlink>
    </w:p>
    <w:p w:rsidR="00193C07" w:rsidRDefault="00193C07">
      <w:pPr>
        <w:pStyle w:val="TOC2"/>
        <w:tabs>
          <w:tab w:val="left" w:pos="1040"/>
          <w:tab w:val="right" w:leader="dot" w:pos="8630"/>
        </w:tabs>
        <w:rPr>
          <w:rFonts w:ascii="Calibri" w:hAnsi="Calibri"/>
          <w:noProof/>
          <w:sz w:val="22"/>
          <w:szCs w:val="22"/>
          <w:lang w:eastAsia="en-IE"/>
        </w:rPr>
      </w:pPr>
      <w:hyperlink w:anchor="_Toc415733671" w:history="1">
        <w:r w:rsidRPr="00C576D7">
          <w:rPr>
            <w:rStyle w:val="Hyperlink"/>
            <w:noProof/>
          </w:rPr>
          <w:t>1.2.</w:t>
        </w:r>
        <w:r>
          <w:rPr>
            <w:rFonts w:ascii="Calibri" w:hAnsi="Calibri"/>
            <w:noProof/>
            <w:sz w:val="22"/>
            <w:szCs w:val="22"/>
            <w:lang w:eastAsia="en-IE"/>
          </w:rPr>
          <w:tab/>
        </w:r>
        <w:r w:rsidRPr="00C576D7">
          <w:rPr>
            <w:rStyle w:val="Hyperlink"/>
            <w:noProof/>
          </w:rPr>
          <w:t>General findings on children’s disability services from the literature</w:t>
        </w:r>
        <w:r>
          <w:rPr>
            <w:noProof/>
            <w:webHidden/>
          </w:rPr>
          <w:tab/>
        </w:r>
        <w:r>
          <w:rPr>
            <w:noProof/>
            <w:webHidden/>
          </w:rPr>
          <w:fldChar w:fldCharType="begin"/>
        </w:r>
        <w:r>
          <w:rPr>
            <w:noProof/>
            <w:webHidden/>
          </w:rPr>
          <w:instrText xml:space="preserve"> PAGEREF _Toc415733671 \h </w:instrText>
        </w:r>
        <w:r>
          <w:rPr>
            <w:noProof/>
            <w:webHidden/>
          </w:rPr>
        </w:r>
        <w:r>
          <w:rPr>
            <w:noProof/>
            <w:webHidden/>
          </w:rPr>
          <w:fldChar w:fldCharType="separate"/>
        </w:r>
        <w:r w:rsidR="00BD6FC4">
          <w:rPr>
            <w:noProof/>
            <w:webHidden/>
          </w:rPr>
          <w:t>10</w:t>
        </w:r>
        <w:r>
          <w:rPr>
            <w:noProof/>
            <w:webHidden/>
          </w:rPr>
          <w:fldChar w:fldCharType="end"/>
        </w:r>
      </w:hyperlink>
    </w:p>
    <w:p w:rsidR="00193C07" w:rsidRDefault="00193C07">
      <w:pPr>
        <w:pStyle w:val="TOC2"/>
        <w:tabs>
          <w:tab w:val="left" w:pos="1040"/>
          <w:tab w:val="right" w:leader="dot" w:pos="8630"/>
        </w:tabs>
        <w:rPr>
          <w:rFonts w:ascii="Calibri" w:hAnsi="Calibri"/>
          <w:noProof/>
          <w:sz w:val="22"/>
          <w:szCs w:val="22"/>
          <w:lang w:eastAsia="en-IE"/>
        </w:rPr>
      </w:pPr>
      <w:hyperlink w:anchor="_Toc415733672" w:history="1">
        <w:r w:rsidRPr="00C576D7">
          <w:rPr>
            <w:rStyle w:val="Hyperlink"/>
            <w:noProof/>
          </w:rPr>
          <w:t>1.3.</w:t>
        </w:r>
        <w:r>
          <w:rPr>
            <w:rFonts w:ascii="Calibri" w:hAnsi="Calibri"/>
            <w:noProof/>
            <w:sz w:val="22"/>
            <w:szCs w:val="22"/>
            <w:lang w:eastAsia="en-IE"/>
          </w:rPr>
          <w:tab/>
        </w:r>
        <w:r w:rsidRPr="00C576D7">
          <w:rPr>
            <w:rStyle w:val="Hyperlink"/>
            <w:noProof/>
          </w:rPr>
          <w:t>Issues to conside</w:t>
        </w:r>
        <w:r w:rsidRPr="00C576D7">
          <w:rPr>
            <w:rStyle w:val="Hyperlink"/>
            <w:noProof/>
          </w:rPr>
          <w:t>r</w:t>
        </w:r>
        <w:r w:rsidRPr="00C576D7">
          <w:rPr>
            <w:rStyle w:val="Hyperlink"/>
            <w:noProof/>
          </w:rPr>
          <w:t xml:space="preserve"> when planning children’s disability services</w:t>
        </w:r>
        <w:r>
          <w:rPr>
            <w:noProof/>
            <w:webHidden/>
          </w:rPr>
          <w:tab/>
        </w:r>
        <w:r>
          <w:rPr>
            <w:noProof/>
            <w:webHidden/>
          </w:rPr>
          <w:fldChar w:fldCharType="begin"/>
        </w:r>
        <w:r>
          <w:rPr>
            <w:noProof/>
            <w:webHidden/>
          </w:rPr>
          <w:instrText xml:space="preserve"> PAGEREF _Toc415733672 \h </w:instrText>
        </w:r>
        <w:r>
          <w:rPr>
            <w:noProof/>
            <w:webHidden/>
          </w:rPr>
        </w:r>
        <w:r>
          <w:rPr>
            <w:noProof/>
            <w:webHidden/>
          </w:rPr>
          <w:fldChar w:fldCharType="separate"/>
        </w:r>
        <w:r w:rsidR="00BD6FC4">
          <w:rPr>
            <w:noProof/>
            <w:webHidden/>
          </w:rPr>
          <w:t>12</w:t>
        </w:r>
        <w:r>
          <w:rPr>
            <w:noProof/>
            <w:webHidden/>
          </w:rPr>
          <w:fldChar w:fldCharType="end"/>
        </w:r>
      </w:hyperlink>
    </w:p>
    <w:p w:rsidR="00193C07" w:rsidRDefault="00193C07">
      <w:pPr>
        <w:pStyle w:val="TOC2"/>
        <w:tabs>
          <w:tab w:val="left" w:pos="1040"/>
          <w:tab w:val="right" w:leader="dot" w:pos="8630"/>
        </w:tabs>
        <w:rPr>
          <w:rFonts w:ascii="Calibri" w:hAnsi="Calibri"/>
          <w:noProof/>
          <w:sz w:val="22"/>
          <w:szCs w:val="22"/>
          <w:lang w:eastAsia="en-IE"/>
        </w:rPr>
      </w:pPr>
      <w:hyperlink w:anchor="_Toc415733677" w:history="1">
        <w:r w:rsidRPr="00C576D7">
          <w:rPr>
            <w:rStyle w:val="Hyperlink"/>
            <w:noProof/>
            <w:lang w:val="en-GB"/>
          </w:rPr>
          <w:t>1.4.</w:t>
        </w:r>
        <w:r>
          <w:rPr>
            <w:rFonts w:ascii="Calibri" w:hAnsi="Calibri"/>
            <w:noProof/>
            <w:sz w:val="22"/>
            <w:szCs w:val="22"/>
            <w:lang w:eastAsia="en-IE"/>
          </w:rPr>
          <w:tab/>
        </w:r>
        <w:r w:rsidRPr="00C576D7">
          <w:rPr>
            <w:rStyle w:val="Hyperlink"/>
            <w:noProof/>
            <w:lang w:val="en-GB"/>
          </w:rPr>
          <w:t>Data used to estimate therapists for children’s disability services</w:t>
        </w:r>
        <w:r>
          <w:rPr>
            <w:noProof/>
            <w:webHidden/>
          </w:rPr>
          <w:tab/>
        </w:r>
        <w:r>
          <w:rPr>
            <w:noProof/>
            <w:webHidden/>
          </w:rPr>
          <w:fldChar w:fldCharType="begin"/>
        </w:r>
        <w:r>
          <w:rPr>
            <w:noProof/>
            <w:webHidden/>
          </w:rPr>
          <w:instrText xml:space="preserve"> PAGEREF _Toc415733677 \h </w:instrText>
        </w:r>
        <w:r>
          <w:rPr>
            <w:noProof/>
            <w:webHidden/>
          </w:rPr>
        </w:r>
        <w:r>
          <w:rPr>
            <w:noProof/>
            <w:webHidden/>
          </w:rPr>
          <w:fldChar w:fldCharType="separate"/>
        </w:r>
        <w:r w:rsidR="00BD6FC4">
          <w:rPr>
            <w:noProof/>
            <w:webHidden/>
          </w:rPr>
          <w:t>20</w:t>
        </w:r>
        <w:r>
          <w:rPr>
            <w:noProof/>
            <w:webHidden/>
          </w:rPr>
          <w:fldChar w:fldCharType="end"/>
        </w:r>
      </w:hyperlink>
    </w:p>
    <w:p w:rsidR="00193C07" w:rsidRDefault="00193C07">
      <w:pPr>
        <w:pStyle w:val="TOC2"/>
        <w:tabs>
          <w:tab w:val="left" w:pos="1040"/>
          <w:tab w:val="right" w:leader="dot" w:pos="8630"/>
        </w:tabs>
        <w:rPr>
          <w:rFonts w:ascii="Calibri" w:hAnsi="Calibri"/>
          <w:noProof/>
          <w:sz w:val="22"/>
          <w:szCs w:val="22"/>
          <w:lang w:eastAsia="en-IE"/>
        </w:rPr>
      </w:pPr>
      <w:hyperlink w:anchor="_Toc415733678" w:history="1">
        <w:r w:rsidRPr="00C576D7">
          <w:rPr>
            <w:rStyle w:val="Hyperlink"/>
            <w:noProof/>
          </w:rPr>
          <w:t>1.5.</w:t>
        </w:r>
        <w:r>
          <w:rPr>
            <w:rFonts w:ascii="Calibri" w:hAnsi="Calibri"/>
            <w:noProof/>
            <w:sz w:val="22"/>
            <w:szCs w:val="22"/>
            <w:lang w:eastAsia="en-IE"/>
          </w:rPr>
          <w:tab/>
        </w:r>
        <w:r w:rsidRPr="00C576D7">
          <w:rPr>
            <w:rStyle w:val="Hyperlink"/>
            <w:noProof/>
          </w:rPr>
          <w:t>Numbers of therapists needed for children’s disability services</w:t>
        </w:r>
        <w:r>
          <w:rPr>
            <w:noProof/>
            <w:webHidden/>
          </w:rPr>
          <w:tab/>
        </w:r>
        <w:r>
          <w:rPr>
            <w:noProof/>
            <w:webHidden/>
          </w:rPr>
          <w:fldChar w:fldCharType="begin"/>
        </w:r>
        <w:r>
          <w:rPr>
            <w:noProof/>
            <w:webHidden/>
          </w:rPr>
          <w:instrText xml:space="preserve"> PAGEREF _Toc415733678 \h </w:instrText>
        </w:r>
        <w:r>
          <w:rPr>
            <w:noProof/>
            <w:webHidden/>
          </w:rPr>
        </w:r>
        <w:r>
          <w:rPr>
            <w:noProof/>
            <w:webHidden/>
          </w:rPr>
          <w:fldChar w:fldCharType="separate"/>
        </w:r>
        <w:r w:rsidR="00BD6FC4">
          <w:rPr>
            <w:noProof/>
            <w:webHidden/>
          </w:rPr>
          <w:t>21</w:t>
        </w:r>
        <w:r>
          <w:rPr>
            <w:noProof/>
            <w:webHidden/>
          </w:rPr>
          <w:fldChar w:fldCharType="end"/>
        </w:r>
      </w:hyperlink>
    </w:p>
    <w:p w:rsidR="00193C07" w:rsidRDefault="00193C07">
      <w:pPr>
        <w:pStyle w:val="TOC1"/>
        <w:tabs>
          <w:tab w:val="left" w:pos="520"/>
          <w:tab w:val="right" w:leader="dot" w:pos="8630"/>
        </w:tabs>
        <w:rPr>
          <w:rFonts w:ascii="Calibri" w:hAnsi="Calibri"/>
          <w:b w:val="0"/>
          <w:noProof/>
          <w:sz w:val="22"/>
          <w:szCs w:val="22"/>
          <w:lang w:eastAsia="en-IE"/>
        </w:rPr>
      </w:pPr>
      <w:hyperlink w:anchor="_Toc415733679" w:history="1">
        <w:r w:rsidRPr="00C576D7">
          <w:rPr>
            <w:rStyle w:val="Hyperlink"/>
            <w:noProof/>
          </w:rPr>
          <w:t>2.</w:t>
        </w:r>
        <w:r>
          <w:rPr>
            <w:rFonts w:ascii="Calibri" w:hAnsi="Calibri"/>
            <w:b w:val="0"/>
            <w:noProof/>
            <w:sz w:val="22"/>
            <w:szCs w:val="22"/>
            <w:lang w:eastAsia="en-IE"/>
          </w:rPr>
          <w:tab/>
        </w:r>
        <w:r w:rsidRPr="00C576D7">
          <w:rPr>
            <w:rStyle w:val="Hyperlink"/>
            <w:noProof/>
          </w:rPr>
          <w:t>The Research Project</w:t>
        </w:r>
        <w:r>
          <w:rPr>
            <w:noProof/>
            <w:webHidden/>
          </w:rPr>
          <w:tab/>
        </w:r>
        <w:r>
          <w:rPr>
            <w:noProof/>
            <w:webHidden/>
          </w:rPr>
          <w:fldChar w:fldCharType="begin"/>
        </w:r>
        <w:r>
          <w:rPr>
            <w:noProof/>
            <w:webHidden/>
          </w:rPr>
          <w:instrText xml:space="preserve"> PAGEREF _Toc415733679 \h </w:instrText>
        </w:r>
        <w:r>
          <w:rPr>
            <w:noProof/>
            <w:webHidden/>
          </w:rPr>
        </w:r>
        <w:r>
          <w:rPr>
            <w:noProof/>
            <w:webHidden/>
          </w:rPr>
          <w:fldChar w:fldCharType="separate"/>
        </w:r>
        <w:r w:rsidR="00BD6FC4">
          <w:rPr>
            <w:noProof/>
            <w:webHidden/>
          </w:rPr>
          <w:t>23</w:t>
        </w:r>
        <w:r>
          <w:rPr>
            <w:noProof/>
            <w:webHidden/>
          </w:rPr>
          <w:fldChar w:fldCharType="end"/>
        </w:r>
      </w:hyperlink>
    </w:p>
    <w:p w:rsidR="00193C07" w:rsidRDefault="00193C07">
      <w:pPr>
        <w:pStyle w:val="TOC2"/>
        <w:tabs>
          <w:tab w:val="left" w:pos="1040"/>
          <w:tab w:val="right" w:leader="dot" w:pos="8630"/>
        </w:tabs>
        <w:rPr>
          <w:rFonts w:ascii="Calibri" w:hAnsi="Calibri"/>
          <w:noProof/>
          <w:sz w:val="22"/>
          <w:szCs w:val="22"/>
          <w:lang w:eastAsia="en-IE"/>
        </w:rPr>
      </w:pPr>
      <w:hyperlink w:anchor="_Toc415733680" w:history="1">
        <w:r w:rsidRPr="00C576D7">
          <w:rPr>
            <w:rStyle w:val="Hyperlink"/>
            <w:noProof/>
          </w:rPr>
          <w:t>2.1.</w:t>
        </w:r>
        <w:r>
          <w:rPr>
            <w:rFonts w:ascii="Calibri" w:hAnsi="Calibri"/>
            <w:noProof/>
            <w:sz w:val="22"/>
            <w:szCs w:val="22"/>
            <w:lang w:eastAsia="en-IE"/>
          </w:rPr>
          <w:tab/>
        </w:r>
        <w:r w:rsidRPr="00C576D7">
          <w:rPr>
            <w:rStyle w:val="Hyperlink"/>
            <w:noProof/>
          </w:rPr>
          <w:t>Purpose of the research</w:t>
        </w:r>
        <w:r>
          <w:rPr>
            <w:noProof/>
            <w:webHidden/>
          </w:rPr>
          <w:tab/>
        </w:r>
        <w:r>
          <w:rPr>
            <w:noProof/>
            <w:webHidden/>
          </w:rPr>
          <w:fldChar w:fldCharType="begin"/>
        </w:r>
        <w:r>
          <w:rPr>
            <w:noProof/>
            <w:webHidden/>
          </w:rPr>
          <w:instrText xml:space="preserve"> PAGEREF _Toc415733680 \h </w:instrText>
        </w:r>
        <w:r>
          <w:rPr>
            <w:noProof/>
            <w:webHidden/>
          </w:rPr>
        </w:r>
        <w:r>
          <w:rPr>
            <w:noProof/>
            <w:webHidden/>
          </w:rPr>
          <w:fldChar w:fldCharType="separate"/>
        </w:r>
        <w:r w:rsidR="00BD6FC4">
          <w:rPr>
            <w:noProof/>
            <w:webHidden/>
          </w:rPr>
          <w:t>23</w:t>
        </w:r>
        <w:r>
          <w:rPr>
            <w:noProof/>
            <w:webHidden/>
          </w:rPr>
          <w:fldChar w:fldCharType="end"/>
        </w:r>
      </w:hyperlink>
    </w:p>
    <w:p w:rsidR="00193C07" w:rsidRDefault="00193C07">
      <w:pPr>
        <w:pStyle w:val="TOC2"/>
        <w:tabs>
          <w:tab w:val="left" w:pos="1040"/>
          <w:tab w:val="right" w:leader="dot" w:pos="8630"/>
        </w:tabs>
        <w:rPr>
          <w:rFonts w:ascii="Calibri" w:hAnsi="Calibri"/>
          <w:noProof/>
          <w:sz w:val="22"/>
          <w:szCs w:val="22"/>
          <w:lang w:eastAsia="en-IE"/>
        </w:rPr>
      </w:pPr>
      <w:hyperlink w:anchor="_Toc415733681" w:history="1">
        <w:r w:rsidRPr="00C576D7">
          <w:rPr>
            <w:rStyle w:val="Hyperlink"/>
            <w:noProof/>
          </w:rPr>
          <w:t>2.2.</w:t>
        </w:r>
        <w:r>
          <w:rPr>
            <w:rFonts w:ascii="Calibri" w:hAnsi="Calibri"/>
            <w:noProof/>
            <w:sz w:val="22"/>
            <w:szCs w:val="22"/>
            <w:lang w:eastAsia="en-IE"/>
          </w:rPr>
          <w:tab/>
        </w:r>
        <w:r w:rsidRPr="00C576D7">
          <w:rPr>
            <w:rStyle w:val="Hyperlink"/>
            <w:noProof/>
          </w:rPr>
          <w:t>Background</w:t>
        </w:r>
        <w:r>
          <w:rPr>
            <w:noProof/>
            <w:webHidden/>
          </w:rPr>
          <w:tab/>
        </w:r>
        <w:r>
          <w:rPr>
            <w:noProof/>
            <w:webHidden/>
          </w:rPr>
          <w:fldChar w:fldCharType="begin"/>
        </w:r>
        <w:r>
          <w:rPr>
            <w:noProof/>
            <w:webHidden/>
          </w:rPr>
          <w:instrText xml:space="preserve"> PAGEREF _Toc415733681 \h </w:instrText>
        </w:r>
        <w:r>
          <w:rPr>
            <w:noProof/>
            <w:webHidden/>
          </w:rPr>
        </w:r>
        <w:r>
          <w:rPr>
            <w:noProof/>
            <w:webHidden/>
          </w:rPr>
          <w:fldChar w:fldCharType="separate"/>
        </w:r>
        <w:r w:rsidR="00BD6FC4">
          <w:rPr>
            <w:noProof/>
            <w:webHidden/>
          </w:rPr>
          <w:t>23</w:t>
        </w:r>
        <w:r>
          <w:rPr>
            <w:noProof/>
            <w:webHidden/>
          </w:rPr>
          <w:fldChar w:fldCharType="end"/>
        </w:r>
      </w:hyperlink>
    </w:p>
    <w:p w:rsidR="00193C07" w:rsidRDefault="00193C07">
      <w:pPr>
        <w:pStyle w:val="TOC1"/>
        <w:tabs>
          <w:tab w:val="left" w:pos="520"/>
          <w:tab w:val="right" w:leader="dot" w:pos="8630"/>
        </w:tabs>
        <w:rPr>
          <w:rFonts w:ascii="Calibri" w:hAnsi="Calibri"/>
          <w:b w:val="0"/>
          <w:noProof/>
          <w:sz w:val="22"/>
          <w:szCs w:val="22"/>
          <w:lang w:eastAsia="en-IE"/>
        </w:rPr>
      </w:pPr>
      <w:hyperlink w:anchor="_Toc415733682" w:history="1">
        <w:r w:rsidRPr="00C576D7">
          <w:rPr>
            <w:rStyle w:val="Hyperlink"/>
            <w:noProof/>
          </w:rPr>
          <w:t>3.</w:t>
        </w:r>
        <w:r>
          <w:rPr>
            <w:rFonts w:ascii="Calibri" w:hAnsi="Calibri"/>
            <w:b w:val="0"/>
            <w:noProof/>
            <w:sz w:val="22"/>
            <w:szCs w:val="22"/>
            <w:lang w:eastAsia="en-IE"/>
          </w:rPr>
          <w:tab/>
        </w:r>
        <w:r w:rsidRPr="00C576D7">
          <w:rPr>
            <w:rStyle w:val="Hyperlink"/>
            <w:noProof/>
          </w:rPr>
          <w:t>Calculating therapists needed for children’s network disability services in Ireland</w:t>
        </w:r>
        <w:r>
          <w:rPr>
            <w:noProof/>
            <w:webHidden/>
          </w:rPr>
          <w:tab/>
        </w:r>
        <w:r>
          <w:rPr>
            <w:noProof/>
            <w:webHidden/>
          </w:rPr>
          <w:fldChar w:fldCharType="begin"/>
        </w:r>
        <w:r>
          <w:rPr>
            <w:noProof/>
            <w:webHidden/>
          </w:rPr>
          <w:instrText xml:space="preserve"> PAGEREF _Toc415733682 \h </w:instrText>
        </w:r>
        <w:r>
          <w:rPr>
            <w:noProof/>
            <w:webHidden/>
          </w:rPr>
        </w:r>
        <w:r>
          <w:rPr>
            <w:noProof/>
            <w:webHidden/>
          </w:rPr>
          <w:fldChar w:fldCharType="separate"/>
        </w:r>
        <w:r w:rsidR="00BD6FC4">
          <w:rPr>
            <w:noProof/>
            <w:webHidden/>
          </w:rPr>
          <w:t>25</w:t>
        </w:r>
        <w:r>
          <w:rPr>
            <w:noProof/>
            <w:webHidden/>
          </w:rPr>
          <w:fldChar w:fldCharType="end"/>
        </w:r>
      </w:hyperlink>
    </w:p>
    <w:p w:rsidR="00193C07" w:rsidRDefault="00193C07">
      <w:pPr>
        <w:pStyle w:val="TOC2"/>
        <w:tabs>
          <w:tab w:val="left" w:pos="1040"/>
          <w:tab w:val="right" w:leader="dot" w:pos="8630"/>
        </w:tabs>
        <w:rPr>
          <w:rFonts w:ascii="Calibri" w:hAnsi="Calibri"/>
          <w:noProof/>
          <w:sz w:val="22"/>
          <w:szCs w:val="22"/>
          <w:lang w:eastAsia="en-IE"/>
        </w:rPr>
      </w:pPr>
      <w:hyperlink w:anchor="_Toc415733683" w:history="1">
        <w:r w:rsidRPr="00C576D7">
          <w:rPr>
            <w:rStyle w:val="Hyperlink"/>
            <w:noProof/>
          </w:rPr>
          <w:t>3.1.</w:t>
        </w:r>
        <w:r>
          <w:rPr>
            <w:rFonts w:ascii="Calibri" w:hAnsi="Calibri"/>
            <w:noProof/>
            <w:sz w:val="22"/>
            <w:szCs w:val="22"/>
            <w:lang w:eastAsia="en-IE"/>
          </w:rPr>
          <w:tab/>
        </w:r>
        <w:r w:rsidRPr="00C576D7">
          <w:rPr>
            <w:rStyle w:val="Hyperlink"/>
            <w:noProof/>
          </w:rPr>
          <w:t>Current therapy staffing (2012)</w:t>
        </w:r>
        <w:r>
          <w:rPr>
            <w:noProof/>
            <w:webHidden/>
          </w:rPr>
          <w:tab/>
        </w:r>
        <w:r>
          <w:rPr>
            <w:noProof/>
            <w:webHidden/>
          </w:rPr>
          <w:fldChar w:fldCharType="begin"/>
        </w:r>
        <w:r>
          <w:rPr>
            <w:noProof/>
            <w:webHidden/>
          </w:rPr>
          <w:instrText xml:space="preserve"> PAGEREF _Toc415733683 \h </w:instrText>
        </w:r>
        <w:r>
          <w:rPr>
            <w:noProof/>
            <w:webHidden/>
          </w:rPr>
        </w:r>
        <w:r>
          <w:rPr>
            <w:noProof/>
            <w:webHidden/>
          </w:rPr>
          <w:fldChar w:fldCharType="separate"/>
        </w:r>
        <w:r w:rsidR="00BD6FC4">
          <w:rPr>
            <w:noProof/>
            <w:webHidden/>
          </w:rPr>
          <w:t>25</w:t>
        </w:r>
        <w:r>
          <w:rPr>
            <w:noProof/>
            <w:webHidden/>
          </w:rPr>
          <w:fldChar w:fldCharType="end"/>
        </w:r>
      </w:hyperlink>
    </w:p>
    <w:p w:rsidR="00193C07" w:rsidRDefault="00193C07">
      <w:pPr>
        <w:pStyle w:val="TOC2"/>
        <w:tabs>
          <w:tab w:val="left" w:pos="1040"/>
          <w:tab w:val="right" w:leader="dot" w:pos="8630"/>
        </w:tabs>
        <w:rPr>
          <w:rFonts w:ascii="Calibri" w:hAnsi="Calibri"/>
          <w:noProof/>
          <w:sz w:val="22"/>
          <w:szCs w:val="22"/>
          <w:lang w:eastAsia="en-IE"/>
        </w:rPr>
      </w:pPr>
      <w:hyperlink w:anchor="_Toc415733687" w:history="1">
        <w:r w:rsidRPr="00C576D7">
          <w:rPr>
            <w:rStyle w:val="Hyperlink"/>
            <w:noProof/>
          </w:rPr>
          <w:t>3.2.</w:t>
        </w:r>
        <w:r>
          <w:rPr>
            <w:rFonts w:ascii="Calibri" w:hAnsi="Calibri"/>
            <w:noProof/>
            <w:sz w:val="22"/>
            <w:szCs w:val="22"/>
            <w:lang w:eastAsia="en-IE"/>
          </w:rPr>
          <w:tab/>
        </w:r>
        <w:r w:rsidRPr="00C576D7">
          <w:rPr>
            <w:rStyle w:val="Hyperlink"/>
            <w:noProof/>
          </w:rPr>
          <w:t>Responding to demographic change</w:t>
        </w:r>
        <w:r>
          <w:rPr>
            <w:noProof/>
            <w:webHidden/>
          </w:rPr>
          <w:tab/>
        </w:r>
        <w:r>
          <w:rPr>
            <w:noProof/>
            <w:webHidden/>
          </w:rPr>
          <w:fldChar w:fldCharType="begin"/>
        </w:r>
        <w:r>
          <w:rPr>
            <w:noProof/>
            <w:webHidden/>
          </w:rPr>
          <w:instrText xml:space="preserve"> PAGEREF _Toc415733687 \h </w:instrText>
        </w:r>
        <w:r>
          <w:rPr>
            <w:noProof/>
            <w:webHidden/>
          </w:rPr>
        </w:r>
        <w:r>
          <w:rPr>
            <w:noProof/>
            <w:webHidden/>
          </w:rPr>
          <w:fldChar w:fldCharType="separate"/>
        </w:r>
        <w:r w:rsidR="00BD6FC4">
          <w:rPr>
            <w:noProof/>
            <w:webHidden/>
          </w:rPr>
          <w:t>26</w:t>
        </w:r>
        <w:r>
          <w:rPr>
            <w:noProof/>
            <w:webHidden/>
          </w:rPr>
          <w:fldChar w:fldCharType="end"/>
        </w:r>
      </w:hyperlink>
    </w:p>
    <w:p w:rsidR="00193C07" w:rsidRDefault="00193C07">
      <w:pPr>
        <w:pStyle w:val="TOC2"/>
        <w:tabs>
          <w:tab w:val="left" w:pos="1040"/>
          <w:tab w:val="right" w:leader="dot" w:pos="8630"/>
        </w:tabs>
        <w:rPr>
          <w:rFonts w:ascii="Calibri" w:hAnsi="Calibri"/>
          <w:noProof/>
          <w:sz w:val="22"/>
          <w:szCs w:val="22"/>
          <w:lang w:eastAsia="en-IE"/>
        </w:rPr>
      </w:pPr>
      <w:hyperlink w:anchor="_Toc415733688" w:history="1">
        <w:r w:rsidRPr="00C576D7">
          <w:rPr>
            <w:rStyle w:val="Hyperlink"/>
            <w:noProof/>
          </w:rPr>
          <w:t>3.3.</w:t>
        </w:r>
        <w:r>
          <w:rPr>
            <w:rFonts w:ascii="Calibri" w:hAnsi="Calibri"/>
            <w:noProof/>
            <w:sz w:val="22"/>
            <w:szCs w:val="22"/>
            <w:lang w:eastAsia="en-IE"/>
          </w:rPr>
          <w:tab/>
        </w:r>
        <w:r w:rsidRPr="00C576D7">
          <w:rPr>
            <w:rStyle w:val="Hyperlink"/>
            <w:noProof/>
          </w:rPr>
          <w:t>Which children require support from a Disability Network Team</w:t>
        </w:r>
        <w:r>
          <w:rPr>
            <w:noProof/>
            <w:webHidden/>
          </w:rPr>
          <w:tab/>
        </w:r>
        <w:r>
          <w:rPr>
            <w:noProof/>
            <w:webHidden/>
          </w:rPr>
          <w:fldChar w:fldCharType="begin"/>
        </w:r>
        <w:r>
          <w:rPr>
            <w:noProof/>
            <w:webHidden/>
          </w:rPr>
          <w:instrText xml:space="preserve"> PAGEREF _Toc415733688 \h </w:instrText>
        </w:r>
        <w:r>
          <w:rPr>
            <w:noProof/>
            <w:webHidden/>
          </w:rPr>
        </w:r>
        <w:r>
          <w:rPr>
            <w:noProof/>
            <w:webHidden/>
          </w:rPr>
          <w:fldChar w:fldCharType="separate"/>
        </w:r>
        <w:r w:rsidR="00BD6FC4">
          <w:rPr>
            <w:noProof/>
            <w:webHidden/>
          </w:rPr>
          <w:t>27</w:t>
        </w:r>
        <w:r>
          <w:rPr>
            <w:noProof/>
            <w:webHidden/>
          </w:rPr>
          <w:fldChar w:fldCharType="end"/>
        </w:r>
      </w:hyperlink>
    </w:p>
    <w:p w:rsidR="00193C07" w:rsidRDefault="00193C07">
      <w:pPr>
        <w:pStyle w:val="TOC2"/>
        <w:tabs>
          <w:tab w:val="left" w:pos="1040"/>
          <w:tab w:val="right" w:leader="dot" w:pos="8630"/>
        </w:tabs>
        <w:rPr>
          <w:rFonts w:ascii="Calibri" w:hAnsi="Calibri"/>
          <w:noProof/>
          <w:sz w:val="22"/>
          <w:szCs w:val="22"/>
          <w:lang w:eastAsia="en-IE"/>
        </w:rPr>
      </w:pPr>
      <w:hyperlink w:anchor="_Toc415733689" w:history="1">
        <w:r w:rsidRPr="00C576D7">
          <w:rPr>
            <w:rStyle w:val="Hyperlink"/>
            <w:noProof/>
          </w:rPr>
          <w:t>3.4.</w:t>
        </w:r>
        <w:r>
          <w:rPr>
            <w:rFonts w:ascii="Calibri" w:hAnsi="Calibri"/>
            <w:noProof/>
            <w:sz w:val="22"/>
            <w:szCs w:val="22"/>
            <w:lang w:eastAsia="en-IE"/>
          </w:rPr>
          <w:tab/>
        </w:r>
        <w:r w:rsidRPr="00C576D7">
          <w:rPr>
            <w:rStyle w:val="Hyperlink"/>
            <w:noProof/>
          </w:rPr>
          <w:t>Model of service</w:t>
        </w:r>
        <w:r>
          <w:rPr>
            <w:noProof/>
            <w:webHidden/>
          </w:rPr>
          <w:tab/>
        </w:r>
        <w:r>
          <w:rPr>
            <w:noProof/>
            <w:webHidden/>
          </w:rPr>
          <w:fldChar w:fldCharType="begin"/>
        </w:r>
        <w:r>
          <w:rPr>
            <w:noProof/>
            <w:webHidden/>
          </w:rPr>
          <w:instrText xml:space="preserve"> PAGEREF _Toc415733689 \h </w:instrText>
        </w:r>
        <w:r>
          <w:rPr>
            <w:noProof/>
            <w:webHidden/>
          </w:rPr>
        </w:r>
        <w:r>
          <w:rPr>
            <w:noProof/>
            <w:webHidden/>
          </w:rPr>
          <w:fldChar w:fldCharType="separate"/>
        </w:r>
        <w:r w:rsidR="00BD6FC4">
          <w:rPr>
            <w:noProof/>
            <w:webHidden/>
          </w:rPr>
          <w:t>27</w:t>
        </w:r>
        <w:r>
          <w:rPr>
            <w:noProof/>
            <w:webHidden/>
          </w:rPr>
          <w:fldChar w:fldCharType="end"/>
        </w:r>
      </w:hyperlink>
    </w:p>
    <w:p w:rsidR="00193C07" w:rsidRDefault="00193C07">
      <w:pPr>
        <w:pStyle w:val="TOC2"/>
        <w:tabs>
          <w:tab w:val="left" w:pos="1040"/>
          <w:tab w:val="right" w:leader="dot" w:pos="8630"/>
        </w:tabs>
        <w:rPr>
          <w:rFonts w:ascii="Calibri" w:hAnsi="Calibri"/>
          <w:noProof/>
          <w:sz w:val="22"/>
          <w:szCs w:val="22"/>
          <w:lang w:eastAsia="en-IE"/>
        </w:rPr>
      </w:pPr>
      <w:hyperlink w:anchor="_Toc415733690" w:history="1">
        <w:r w:rsidRPr="00C576D7">
          <w:rPr>
            <w:rStyle w:val="Hyperlink"/>
            <w:noProof/>
          </w:rPr>
          <w:t>3.5.</w:t>
        </w:r>
        <w:r>
          <w:rPr>
            <w:rFonts w:ascii="Calibri" w:hAnsi="Calibri"/>
            <w:noProof/>
            <w:sz w:val="22"/>
            <w:szCs w:val="22"/>
            <w:lang w:eastAsia="en-IE"/>
          </w:rPr>
          <w:tab/>
        </w:r>
        <w:r w:rsidRPr="00C576D7">
          <w:rPr>
            <w:rStyle w:val="Hyperlink"/>
            <w:noProof/>
          </w:rPr>
          <w:t>Assessment of need process and NCSE resource allocation</w:t>
        </w:r>
        <w:r>
          <w:rPr>
            <w:noProof/>
            <w:webHidden/>
          </w:rPr>
          <w:tab/>
        </w:r>
        <w:r>
          <w:rPr>
            <w:noProof/>
            <w:webHidden/>
          </w:rPr>
          <w:fldChar w:fldCharType="begin"/>
        </w:r>
        <w:r>
          <w:rPr>
            <w:noProof/>
            <w:webHidden/>
          </w:rPr>
          <w:instrText xml:space="preserve"> PAGEREF _Toc415733690 \h </w:instrText>
        </w:r>
        <w:r>
          <w:rPr>
            <w:noProof/>
            <w:webHidden/>
          </w:rPr>
        </w:r>
        <w:r>
          <w:rPr>
            <w:noProof/>
            <w:webHidden/>
          </w:rPr>
          <w:fldChar w:fldCharType="separate"/>
        </w:r>
        <w:r w:rsidR="00BD6FC4">
          <w:rPr>
            <w:noProof/>
            <w:webHidden/>
          </w:rPr>
          <w:t>28</w:t>
        </w:r>
        <w:r>
          <w:rPr>
            <w:noProof/>
            <w:webHidden/>
          </w:rPr>
          <w:fldChar w:fldCharType="end"/>
        </w:r>
      </w:hyperlink>
    </w:p>
    <w:p w:rsidR="00193C07" w:rsidRDefault="00193C07">
      <w:pPr>
        <w:pStyle w:val="TOC2"/>
        <w:tabs>
          <w:tab w:val="left" w:pos="1040"/>
          <w:tab w:val="right" w:leader="dot" w:pos="8630"/>
        </w:tabs>
        <w:rPr>
          <w:rFonts w:ascii="Calibri" w:hAnsi="Calibri"/>
          <w:noProof/>
          <w:sz w:val="22"/>
          <w:szCs w:val="22"/>
          <w:lang w:eastAsia="en-IE"/>
        </w:rPr>
      </w:pPr>
      <w:hyperlink w:anchor="_Toc415733691" w:history="1">
        <w:r w:rsidRPr="00C576D7">
          <w:rPr>
            <w:rStyle w:val="Hyperlink"/>
            <w:noProof/>
          </w:rPr>
          <w:t>3.6.</w:t>
        </w:r>
        <w:r>
          <w:rPr>
            <w:rFonts w:ascii="Calibri" w:hAnsi="Calibri"/>
            <w:noProof/>
            <w:sz w:val="22"/>
            <w:szCs w:val="22"/>
            <w:lang w:eastAsia="en-IE"/>
          </w:rPr>
          <w:tab/>
        </w:r>
        <w:r w:rsidRPr="00C576D7">
          <w:rPr>
            <w:rStyle w:val="Hyperlink"/>
            <w:noProof/>
          </w:rPr>
          <w:t>Irish and international data used to generate estimates</w:t>
        </w:r>
        <w:r>
          <w:rPr>
            <w:noProof/>
            <w:webHidden/>
          </w:rPr>
          <w:tab/>
        </w:r>
        <w:r>
          <w:rPr>
            <w:noProof/>
            <w:webHidden/>
          </w:rPr>
          <w:fldChar w:fldCharType="begin"/>
        </w:r>
        <w:r>
          <w:rPr>
            <w:noProof/>
            <w:webHidden/>
          </w:rPr>
          <w:instrText xml:space="preserve"> PAGEREF _Toc415733691 \h </w:instrText>
        </w:r>
        <w:r>
          <w:rPr>
            <w:noProof/>
            <w:webHidden/>
          </w:rPr>
        </w:r>
        <w:r>
          <w:rPr>
            <w:noProof/>
            <w:webHidden/>
          </w:rPr>
          <w:fldChar w:fldCharType="separate"/>
        </w:r>
        <w:r w:rsidR="00BD6FC4">
          <w:rPr>
            <w:noProof/>
            <w:webHidden/>
          </w:rPr>
          <w:t>28</w:t>
        </w:r>
        <w:r>
          <w:rPr>
            <w:noProof/>
            <w:webHidden/>
          </w:rPr>
          <w:fldChar w:fldCharType="end"/>
        </w:r>
      </w:hyperlink>
    </w:p>
    <w:p w:rsidR="00193C07" w:rsidRPr="00193C07" w:rsidRDefault="00193C07" w:rsidP="00193C07">
      <w:pPr>
        <w:pStyle w:val="TOC2"/>
        <w:tabs>
          <w:tab w:val="left" w:pos="1040"/>
          <w:tab w:val="right" w:leader="dot" w:pos="8630"/>
        </w:tabs>
        <w:rPr>
          <w:rFonts w:ascii="Calibri" w:hAnsi="Calibri"/>
          <w:noProof/>
          <w:sz w:val="22"/>
          <w:szCs w:val="22"/>
          <w:lang w:eastAsia="en-IE"/>
        </w:rPr>
      </w:pPr>
      <w:hyperlink w:anchor="_Toc415733692" w:history="1">
        <w:r w:rsidRPr="00C576D7">
          <w:rPr>
            <w:rStyle w:val="Hyperlink"/>
            <w:noProof/>
          </w:rPr>
          <w:t>3.7.</w:t>
        </w:r>
        <w:r>
          <w:rPr>
            <w:rFonts w:ascii="Calibri" w:hAnsi="Calibri"/>
            <w:noProof/>
            <w:sz w:val="22"/>
            <w:szCs w:val="22"/>
            <w:lang w:eastAsia="en-IE"/>
          </w:rPr>
          <w:tab/>
        </w:r>
        <w:r w:rsidRPr="00C576D7">
          <w:rPr>
            <w:rStyle w:val="Hyperlink"/>
            <w:noProof/>
          </w:rPr>
          <w:t>Estimated service gaps, from disability databases</w:t>
        </w:r>
        <w:r>
          <w:rPr>
            <w:noProof/>
            <w:webHidden/>
          </w:rPr>
          <w:tab/>
        </w:r>
        <w:r>
          <w:rPr>
            <w:noProof/>
            <w:webHidden/>
          </w:rPr>
          <w:fldChar w:fldCharType="begin"/>
        </w:r>
        <w:r>
          <w:rPr>
            <w:noProof/>
            <w:webHidden/>
          </w:rPr>
          <w:instrText xml:space="preserve"> PAGEREF _Toc415733692 \h </w:instrText>
        </w:r>
        <w:r>
          <w:rPr>
            <w:noProof/>
            <w:webHidden/>
          </w:rPr>
        </w:r>
        <w:r>
          <w:rPr>
            <w:noProof/>
            <w:webHidden/>
          </w:rPr>
          <w:fldChar w:fldCharType="separate"/>
        </w:r>
        <w:r w:rsidR="00BD6FC4">
          <w:rPr>
            <w:noProof/>
            <w:webHidden/>
          </w:rPr>
          <w:t>29</w:t>
        </w:r>
        <w:r>
          <w:rPr>
            <w:noProof/>
            <w:webHidden/>
          </w:rPr>
          <w:fldChar w:fldCharType="end"/>
        </w:r>
      </w:hyperlink>
    </w:p>
    <w:p w:rsidR="00193C07" w:rsidRDefault="00193C07">
      <w:pPr>
        <w:pStyle w:val="TOC2"/>
        <w:tabs>
          <w:tab w:val="left" w:pos="1040"/>
          <w:tab w:val="right" w:leader="dot" w:pos="8630"/>
        </w:tabs>
        <w:rPr>
          <w:rFonts w:ascii="Calibri" w:hAnsi="Calibri"/>
          <w:noProof/>
          <w:sz w:val="22"/>
          <w:szCs w:val="22"/>
          <w:lang w:eastAsia="en-IE"/>
        </w:rPr>
      </w:pPr>
      <w:hyperlink w:anchor="_Toc415733702" w:history="1">
        <w:r w:rsidRPr="00C576D7">
          <w:rPr>
            <w:rStyle w:val="Hyperlink"/>
            <w:noProof/>
          </w:rPr>
          <w:t>3.8.</w:t>
        </w:r>
        <w:r>
          <w:rPr>
            <w:rFonts w:ascii="Calibri" w:hAnsi="Calibri"/>
            <w:noProof/>
            <w:sz w:val="22"/>
            <w:szCs w:val="22"/>
            <w:lang w:eastAsia="en-IE"/>
          </w:rPr>
          <w:tab/>
        </w:r>
        <w:r w:rsidRPr="00C576D7">
          <w:rPr>
            <w:rStyle w:val="Hyperlink"/>
            <w:noProof/>
          </w:rPr>
          <w:t>Census 2011</w:t>
        </w:r>
        <w:r>
          <w:rPr>
            <w:noProof/>
            <w:webHidden/>
          </w:rPr>
          <w:tab/>
        </w:r>
        <w:r>
          <w:rPr>
            <w:noProof/>
            <w:webHidden/>
          </w:rPr>
          <w:fldChar w:fldCharType="begin"/>
        </w:r>
        <w:r>
          <w:rPr>
            <w:noProof/>
            <w:webHidden/>
          </w:rPr>
          <w:instrText xml:space="preserve"> PAGEREF _Toc415733702 \h </w:instrText>
        </w:r>
        <w:r>
          <w:rPr>
            <w:noProof/>
            <w:webHidden/>
          </w:rPr>
        </w:r>
        <w:r>
          <w:rPr>
            <w:noProof/>
            <w:webHidden/>
          </w:rPr>
          <w:fldChar w:fldCharType="separate"/>
        </w:r>
        <w:r w:rsidR="00BD6FC4">
          <w:rPr>
            <w:noProof/>
            <w:webHidden/>
          </w:rPr>
          <w:t>34</w:t>
        </w:r>
        <w:r>
          <w:rPr>
            <w:noProof/>
            <w:webHidden/>
          </w:rPr>
          <w:fldChar w:fldCharType="end"/>
        </w:r>
      </w:hyperlink>
    </w:p>
    <w:p w:rsidR="00193C07" w:rsidRDefault="00193C07">
      <w:pPr>
        <w:pStyle w:val="TOC2"/>
        <w:tabs>
          <w:tab w:val="left" w:pos="1040"/>
          <w:tab w:val="right" w:leader="dot" w:pos="8630"/>
        </w:tabs>
        <w:rPr>
          <w:rFonts w:ascii="Calibri" w:hAnsi="Calibri"/>
          <w:noProof/>
          <w:sz w:val="22"/>
          <w:szCs w:val="22"/>
          <w:lang w:eastAsia="en-IE"/>
        </w:rPr>
      </w:pPr>
      <w:hyperlink w:anchor="_Toc415733705" w:history="1">
        <w:r w:rsidRPr="00C576D7">
          <w:rPr>
            <w:rStyle w:val="Hyperlink"/>
            <w:noProof/>
          </w:rPr>
          <w:t>3.9.</w:t>
        </w:r>
        <w:r>
          <w:rPr>
            <w:rFonts w:ascii="Calibri" w:hAnsi="Calibri"/>
            <w:noProof/>
            <w:sz w:val="22"/>
            <w:szCs w:val="22"/>
            <w:lang w:eastAsia="en-IE"/>
          </w:rPr>
          <w:tab/>
        </w:r>
        <w:r w:rsidRPr="00C576D7">
          <w:rPr>
            <w:rStyle w:val="Hyperlink"/>
            <w:noProof/>
          </w:rPr>
          <w:t>National Disability Survey 2006</w:t>
        </w:r>
        <w:r>
          <w:rPr>
            <w:noProof/>
            <w:webHidden/>
          </w:rPr>
          <w:tab/>
        </w:r>
        <w:r>
          <w:rPr>
            <w:noProof/>
            <w:webHidden/>
          </w:rPr>
          <w:fldChar w:fldCharType="begin"/>
        </w:r>
        <w:r>
          <w:rPr>
            <w:noProof/>
            <w:webHidden/>
          </w:rPr>
          <w:instrText xml:space="preserve"> PAGEREF _Toc415733705 \h </w:instrText>
        </w:r>
        <w:r>
          <w:rPr>
            <w:noProof/>
            <w:webHidden/>
          </w:rPr>
        </w:r>
        <w:r>
          <w:rPr>
            <w:noProof/>
            <w:webHidden/>
          </w:rPr>
          <w:fldChar w:fldCharType="separate"/>
        </w:r>
        <w:r w:rsidR="00BD6FC4">
          <w:rPr>
            <w:noProof/>
            <w:webHidden/>
          </w:rPr>
          <w:t>37</w:t>
        </w:r>
        <w:r>
          <w:rPr>
            <w:noProof/>
            <w:webHidden/>
          </w:rPr>
          <w:fldChar w:fldCharType="end"/>
        </w:r>
      </w:hyperlink>
    </w:p>
    <w:p w:rsidR="00193C07" w:rsidRDefault="00193C07">
      <w:pPr>
        <w:pStyle w:val="TOC2"/>
        <w:tabs>
          <w:tab w:val="left" w:pos="1040"/>
          <w:tab w:val="right" w:leader="dot" w:pos="8630"/>
        </w:tabs>
        <w:rPr>
          <w:rFonts w:ascii="Calibri" w:hAnsi="Calibri"/>
          <w:noProof/>
          <w:sz w:val="22"/>
          <w:szCs w:val="22"/>
          <w:lang w:eastAsia="en-IE"/>
        </w:rPr>
      </w:pPr>
      <w:hyperlink w:anchor="_Toc415733706" w:history="1">
        <w:r w:rsidRPr="00C576D7">
          <w:rPr>
            <w:rStyle w:val="Hyperlink"/>
            <w:noProof/>
          </w:rPr>
          <w:t>3.10.</w:t>
        </w:r>
        <w:r>
          <w:rPr>
            <w:rFonts w:ascii="Calibri" w:hAnsi="Calibri"/>
            <w:noProof/>
            <w:sz w:val="22"/>
            <w:szCs w:val="22"/>
            <w:lang w:eastAsia="en-IE"/>
          </w:rPr>
          <w:tab/>
        </w:r>
        <w:r w:rsidRPr="00C576D7">
          <w:rPr>
            <w:rStyle w:val="Hyperlink"/>
            <w:noProof/>
          </w:rPr>
          <w:t>Growing up in Ireland Survey</w:t>
        </w:r>
        <w:r>
          <w:rPr>
            <w:noProof/>
            <w:webHidden/>
          </w:rPr>
          <w:tab/>
        </w:r>
        <w:r>
          <w:rPr>
            <w:noProof/>
            <w:webHidden/>
          </w:rPr>
          <w:fldChar w:fldCharType="begin"/>
        </w:r>
        <w:r>
          <w:rPr>
            <w:noProof/>
            <w:webHidden/>
          </w:rPr>
          <w:instrText xml:space="preserve"> PAGEREF _Toc415733706 \h </w:instrText>
        </w:r>
        <w:r>
          <w:rPr>
            <w:noProof/>
            <w:webHidden/>
          </w:rPr>
        </w:r>
        <w:r>
          <w:rPr>
            <w:noProof/>
            <w:webHidden/>
          </w:rPr>
          <w:fldChar w:fldCharType="separate"/>
        </w:r>
        <w:r w:rsidR="00BD6FC4">
          <w:rPr>
            <w:noProof/>
            <w:webHidden/>
          </w:rPr>
          <w:t>39</w:t>
        </w:r>
        <w:r>
          <w:rPr>
            <w:noProof/>
            <w:webHidden/>
          </w:rPr>
          <w:fldChar w:fldCharType="end"/>
        </w:r>
      </w:hyperlink>
    </w:p>
    <w:p w:rsidR="00193C07" w:rsidRDefault="00193C07">
      <w:pPr>
        <w:pStyle w:val="TOC2"/>
        <w:tabs>
          <w:tab w:val="left" w:pos="1040"/>
          <w:tab w:val="right" w:leader="dot" w:pos="8630"/>
        </w:tabs>
        <w:rPr>
          <w:rFonts w:ascii="Calibri" w:hAnsi="Calibri"/>
          <w:noProof/>
          <w:sz w:val="22"/>
          <w:szCs w:val="22"/>
          <w:lang w:eastAsia="en-IE"/>
        </w:rPr>
      </w:pPr>
      <w:hyperlink w:anchor="_Toc415733707" w:history="1">
        <w:r w:rsidRPr="00C576D7">
          <w:rPr>
            <w:rStyle w:val="Hyperlink"/>
            <w:noProof/>
          </w:rPr>
          <w:t>3.11.</w:t>
        </w:r>
        <w:r>
          <w:rPr>
            <w:rFonts w:ascii="Calibri" w:hAnsi="Calibri"/>
            <w:noProof/>
            <w:sz w:val="22"/>
            <w:szCs w:val="22"/>
            <w:lang w:eastAsia="en-IE"/>
          </w:rPr>
          <w:tab/>
        </w:r>
        <w:r w:rsidRPr="00C576D7">
          <w:rPr>
            <w:rStyle w:val="Hyperlink"/>
            <w:noProof/>
          </w:rPr>
          <w:t>Data from education system special needs</w:t>
        </w:r>
        <w:r>
          <w:rPr>
            <w:noProof/>
            <w:webHidden/>
          </w:rPr>
          <w:tab/>
        </w:r>
        <w:r>
          <w:rPr>
            <w:noProof/>
            <w:webHidden/>
          </w:rPr>
          <w:fldChar w:fldCharType="begin"/>
        </w:r>
        <w:r>
          <w:rPr>
            <w:noProof/>
            <w:webHidden/>
          </w:rPr>
          <w:instrText xml:space="preserve"> PAGEREF _Toc415733707 \h </w:instrText>
        </w:r>
        <w:r>
          <w:rPr>
            <w:noProof/>
            <w:webHidden/>
          </w:rPr>
        </w:r>
        <w:r>
          <w:rPr>
            <w:noProof/>
            <w:webHidden/>
          </w:rPr>
          <w:fldChar w:fldCharType="separate"/>
        </w:r>
        <w:r w:rsidR="00BD6FC4">
          <w:rPr>
            <w:noProof/>
            <w:webHidden/>
          </w:rPr>
          <w:t>45</w:t>
        </w:r>
        <w:r>
          <w:rPr>
            <w:noProof/>
            <w:webHidden/>
          </w:rPr>
          <w:fldChar w:fldCharType="end"/>
        </w:r>
      </w:hyperlink>
    </w:p>
    <w:p w:rsidR="00193C07" w:rsidRDefault="00193C07">
      <w:pPr>
        <w:pStyle w:val="TOC2"/>
        <w:tabs>
          <w:tab w:val="left" w:pos="1040"/>
          <w:tab w:val="right" w:leader="dot" w:pos="8630"/>
        </w:tabs>
        <w:rPr>
          <w:rFonts w:ascii="Calibri" w:hAnsi="Calibri"/>
          <w:noProof/>
          <w:sz w:val="22"/>
          <w:szCs w:val="22"/>
          <w:lang w:eastAsia="en-IE"/>
        </w:rPr>
      </w:pPr>
      <w:hyperlink w:anchor="_Toc415733708" w:history="1">
        <w:r w:rsidRPr="00C576D7">
          <w:rPr>
            <w:rStyle w:val="Hyperlink"/>
            <w:noProof/>
            <w:lang w:val="en-GB" w:eastAsia="en-GB"/>
          </w:rPr>
          <w:t>3.12.</w:t>
        </w:r>
        <w:r>
          <w:rPr>
            <w:rFonts w:ascii="Calibri" w:hAnsi="Calibri"/>
            <w:noProof/>
            <w:sz w:val="22"/>
            <w:szCs w:val="22"/>
            <w:lang w:eastAsia="en-IE"/>
          </w:rPr>
          <w:tab/>
        </w:r>
        <w:r w:rsidRPr="00C576D7">
          <w:rPr>
            <w:rStyle w:val="Hyperlink"/>
            <w:noProof/>
            <w:lang w:val="en-GB" w:eastAsia="en-GB"/>
          </w:rPr>
          <w:t>GUI data 9-year olds – education perspective</w:t>
        </w:r>
        <w:r>
          <w:rPr>
            <w:noProof/>
            <w:webHidden/>
          </w:rPr>
          <w:tab/>
        </w:r>
        <w:r>
          <w:rPr>
            <w:noProof/>
            <w:webHidden/>
          </w:rPr>
          <w:fldChar w:fldCharType="begin"/>
        </w:r>
        <w:r>
          <w:rPr>
            <w:noProof/>
            <w:webHidden/>
          </w:rPr>
          <w:instrText xml:space="preserve"> PAGEREF _Toc415733708 \h </w:instrText>
        </w:r>
        <w:r>
          <w:rPr>
            <w:noProof/>
            <w:webHidden/>
          </w:rPr>
        </w:r>
        <w:r>
          <w:rPr>
            <w:noProof/>
            <w:webHidden/>
          </w:rPr>
          <w:fldChar w:fldCharType="separate"/>
        </w:r>
        <w:r w:rsidR="00BD6FC4">
          <w:rPr>
            <w:noProof/>
            <w:webHidden/>
          </w:rPr>
          <w:t>47</w:t>
        </w:r>
        <w:r>
          <w:rPr>
            <w:noProof/>
            <w:webHidden/>
          </w:rPr>
          <w:fldChar w:fldCharType="end"/>
        </w:r>
      </w:hyperlink>
    </w:p>
    <w:p w:rsidR="00193C07" w:rsidRDefault="00193C07">
      <w:pPr>
        <w:pStyle w:val="TOC2"/>
        <w:tabs>
          <w:tab w:val="left" w:pos="1040"/>
          <w:tab w:val="right" w:leader="dot" w:pos="8630"/>
        </w:tabs>
        <w:rPr>
          <w:rFonts w:ascii="Calibri" w:hAnsi="Calibri"/>
          <w:noProof/>
          <w:sz w:val="22"/>
          <w:szCs w:val="22"/>
          <w:lang w:eastAsia="en-IE"/>
        </w:rPr>
      </w:pPr>
      <w:hyperlink w:anchor="_Toc415733709" w:history="1">
        <w:r w:rsidRPr="00C576D7">
          <w:rPr>
            <w:rStyle w:val="Hyperlink"/>
            <w:noProof/>
          </w:rPr>
          <w:t>3.11.</w:t>
        </w:r>
        <w:r>
          <w:rPr>
            <w:rFonts w:ascii="Calibri" w:hAnsi="Calibri"/>
            <w:noProof/>
            <w:sz w:val="22"/>
            <w:szCs w:val="22"/>
            <w:lang w:eastAsia="en-IE"/>
          </w:rPr>
          <w:tab/>
        </w:r>
        <w:r w:rsidRPr="00C576D7">
          <w:rPr>
            <w:rStyle w:val="Hyperlink"/>
            <w:noProof/>
          </w:rPr>
          <w:t>Range of estimates of % who need interdisciplinary disability services</w:t>
        </w:r>
        <w:r>
          <w:rPr>
            <w:noProof/>
            <w:webHidden/>
          </w:rPr>
          <w:tab/>
        </w:r>
        <w:r>
          <w:rPr>
            <w:noProof/>
            <w:webHidden/>
          </w:rPr>
          <w:fldChar w:fldCharType="begin"/>
        </w:r>
        <w:r>
          <w:rPr>
            <w:noProof/>
            <w:webHidden/>
          </w:rPr>
          <w:instrText xml:space="preserve"> PAGEREF _Toc415733709 \h </w:instrText>
        </w:r>
        <w:r>
          <w:rPr>
            <w:noProof/>
            <w:webHidden/>
          </w:rPr>
        </w:r>
        <w:r>
          <w:rPr>
            <w:noProof/>
            <w:webHidden/>
          </w:rPr>
          <w:fldChar w:fldCharType="separate"/>
        </w:r>
        <w:r w:rsidR="00BD6FC4">
          <w:rPr>
            <w:noProof/>
            <w:webHidden/>
          </w:rPr>
          <w:t>48</w:t>
        </w:r>
        <w:r>
          <w:rPr>
            <w:noProof/>
            <w:webHidden/>
          </w:rPr>
          <w:fldChar w:fldCharType="end"/>
        </w:r>
      </w:hyperlink>
    </w:p>
    <w:p w:rsidR="00193C07" w:rsidRPr="00193C07" w:rsidRDefault="00193C07" w:rsidP="00193C07">
      <w:pPr>
        <w:pStyle w:val="TOC2"/>
        <w:tabs>
          <w:tab w:val="left" w:pos="1040"/>
          <w:tab w:val="right" w:leader="dot" w:pos="8630"/>
        </w:tabs>
        <w:rPr>
          <w:rFonts w:ascii="Calibri" w:hAnsi="Calibri"/>
          <w:noProof/>
          <w:sz w:val="22"/>
          <w:szCs w:val="22"/>
          <w:lang w:eastAsia="en-IE"/>
        </w:rPr>
      </w:pPr>
      <w:hyperlink w:anchor="_Toc415733710" w:history="1">
        <w:r w:rsidRPr="00C576D7">
          <w:rPr>
            <w:rStyle w:val="Hyperlink"/>
            <w:noProof/>
          </w:rPr>
          <w:t>3.12.</w:t>
        </w:r>
        <w:r>
          <w:rPr>
            <w:rFonts w:ascii="Calibri" w:hAnsi="Calibri"/>
            <w:noProof/>
            <w:sz w:val="22"/>
            <w:szCs w:val="22"/>
            <w:lang w:eastAsia="en-IE"/>
          </w:rPr>
          <w:tab/>
        </w:r>
        <w:r w:rsidRPr="00C576D7">
          <w:rPr>
            <w:rStyle w:val="Hyperlink"/>
            <w:noProof/>
          </w:rPr>
          <w:t>International practice</w:t>
        </w:r>
        <w:r>
          <w:rPr>
            <w:noProof/>
            <w:webHidden/>
          </w:rPr>
          <w:tab/>
        </w:r>
        <w:r>
          <w:rPr>
            <w:noProof/>
            <w:webHidden/>
          </w:rPr>
          <w:fldChar w:fldCharType="begin"/>
        </w:r>
        <w:r>
          <w:rPr>
            <w:noProof/>
            <w:webHidden/>
          </w:rPr>
          <w:instrText xml:space="preserve"> PAGEREF _Toc415733710 \h </w:instrText>
        </w:r>
        <w:r>
          <w:rPr>
            <w:noProof/>
            <w:webHidden/>
          </w:rPr>
        </w:r>
        <w:r>
          <w:rPr>
            <w:noProof/>
            <w:webHidden/>
          </w:rPr>
          <w:fldChar w:fldCharType="separate"/>
        </w:r>
        <w:r w:rsidR="00BD6FC4">
          <w:rPr>
            <w:noProof/>
            <w:webHidden/>
          </w:rPr>
          <w:t>49</w:t>
        </w:r>
        <w:r>
          <w:rPr>
            <w:noProof/>
            <w:webHidden/>
          </w:rPr>
          <w:fldChar w:fldCharType="end"/>
        </w:r>
      </w:hyperlink>
    </w:p>
    <w:p w:rsidR="00193C07" w:rsidRDefault="00193C07">
      <w:pPr>
        <w:pStyle w:val="TOC2"/>
        <w:tabs>
          <w:tab w:val="left" w:pos="1040"/>
          <w:tab w:val="right" w:leader="dot" w:pos="8630"/>
        </w:tabs>
        <w:rPr>
          <w:rFonts w:ascii="Calibri" w:hAnsi="Calibri"/>
          <w:noProof/>
          <w:sz w:val="22"/>
          <w:szCs w:val="22"/>
          <w:lang w:eastAsia="en-IE"/>
        </w:rPr>
      </w:pPr>
      <w:hyperlink w:anchor="_Toc415733713" w:history="1">
        <w:r w:rsidRPr="00C576D7">
          <w:rPr>
            <w:rStyle w:val="Hyperlink"/>
            <w:noProof/>
            <w:lang w:val="en-GB"/>
          </w:rPr>
          <w:t>3.13.</w:t>
        </w:r>
        <w:r>
          <w:rPr>
            <w:rFonts w:ascii="Calibri" w:hAnsi="Calibri"/>
            <w:noProof/>
            <w:sz w:val="22"/>
            <w:szCs w:val="22"/>
            <w:lang w:eastAsia="en-IE"/>
          </w:rPr>
          <w:tab/>
        </w:r>
        <w:r w:rsidRPr="00C576D7">
          <w:rPr>
            <w:rStyle w:val="Hyperlink"/>
            <w:noProof/>
            <w:lang w:val="en-GB"/>
          </w:rPr>
          <w:t>Conclusion</w:t>
        </w:r>
        <w:r>
          <w:rPr>
            <w:noProof/>
            <w:webHidden/>
          </w:rPr>
          <w:tab/>
        </w:r>
        <w:r>
          <w:rPr>
            <w:noProof/>
            <w:webHidden/>
          </w:rPr>
          <w:fldChar w:fldCharType="begin"/>
        </w:r>
        <w:r>
          <w:rPr>
            <w:noProof/>
            <w:webHidden/>
          </w:rPr>
          <w:instrText xml:space="preserve"> PAGEREF _Toc415733713 \h </w:instrText>
        </w:r>
        <w:r>
          <w:rPr>
            <w:noProof/>
            <w:webHidden/>
          </w:rPr>
        </w:r>
        <w:r>
          <w:rPr>
            <w:noProof/>
            <w:webHidden/>
          </w:rPr>
          <w:fldChar w:fldCharType="separate"/>
        </w:r>
        <w:r w:rsidR="00BD6FC4">
          <w:rPr>
            <w:noProof/>
            <w:webHidden/>
          </w:rPr>
          <w:t>53</w:t>
        </w:r>
        <w:r>
          <w:rPr>
            <w:noProof/>
            <w:webHidden/>
          </w:rPr>
          <w:fldChar w:fldCharType="end"/>
        </w:r>
      </w:hyperlink>
    </w:p>
    <w:p w:rsidR="00193C07" w:rsidRDefault="00193C07">
      <w:pPr>
        <w:pStyle w:val="TOC1"/>
        <w:tabs>
          <w:tab w:val="left" w:pos="520"/>
          <w:tab w:val="right" w:leader="dot" w:pos="8630"/>
        </w:tabs>
        <w:rPr>
          <w:rFonts w:ascii="Calibri" w:hAnsi="Calibri"/>
          <w:b w:val="0"/>
          <w:noProof/>
          <w:sz w:val="22"/>
          <w:szCs w:val="22"/>
          <w:lang w:eastAsia="en-IE"/>
        </w:rPr>
      </w:pPr>
      <w:hyperlink w:anchor="_Toc415733717" w:history="1">
        <w:r w:rsidRPr="00C576D7">
          <w:rPr>
            <w:rStyle w:val="Hyperlink"/>
            <w:noProof/>
          </w:rPr>
          <w:t>4.</w:t>
        </w:r>
        <w:r>
          <w:rPr>
            <w:rFonts w:ascii="Calibri" w:hAnsi="Calibri"/>
            <w:b w:val="0"/>
            <w:noProof/>
            <w:sz w:val="22"/>
            <w:szCs w:val="22"/>
            <w:lang w:eastAsia="en-IE"/>
          </w:rPr>
          <w:tab/>
        </w:r>
        <w:r w:rsidRPr="00C576D7">
          <w:rPr>
            <w:rStyle w:val="Hyperlink"/>
            <w:noProof/>
          </w:rPr>
          <w:t>Workforce planning and children’s disability services</w:t>
        </w:r>
        <w:r>
          <w:rPr>
            <w:noProof/>
            <w:webHidden/>
          </w:rPr>
          <w:tab/>
        </w:r>
        <w:r>
          <w:rPr>
            <w:noProof/>
            <w:webHidden/>
          </w:rPr>
          <w:fldChar w:fldCharType="begin"/>
        </w:r>
        <w:r>
          <w:rPr>
            <w:noProof/>
            <w:webHidden/>
          </w:rPr>
          <w:instrText xml:space="preserve"> PAGEREF _Toc415733717 \h </w:instrText>
        </w:r>
        <w:r>
          <w:rPr>
            <w:noProof/>
            <w:webHidden/>
          </w:rPr>
        </w:r>
        <w:r>
          <w:rPr>
            <w:noProof/>
            <w:webHidden/>
          </w:rPr>
          <w:fldChar w:fldCharType="separate"/>
        </w:r>
        <w:r w:rsidR="00BD6FC4">
          <w:rPr>
            <w:noProof/>
            <w:webHidden/>
          </w:rPr>
          <w:t>55</w:t>
        </w:r>
        <w:r>
          <w:rPr>
            <w:noProof/>
            <w:webHidden/>
          </w:rPr>
          <w:fldChar w:fldCharType="end"/>
        </w:r>
      </w:hyperlink>
    </w:p>
    <w:p w:rsidR="00193C07" w:rsidRDefault="00193C07">
      <w:pPr>
        <w:pStyle w:val="TOC2"/>
        <w:tabs>
          <w:tab w:val="left" w:pos="1040"/>
          <w:tab w:val="right" w:leader="dot" w:pos="8630"/>
        </w:tabs>
        <w:rPr>
          <w:rFonts w:ascii="Calibri" w:hAnsi="Calibri"/>
          <w:noProof/>
          <w:sz w:val="22"/>
          <w:szCs w:val="22"/>
          <w:lang w:eastAsia="en-IE"/>
        </w:rPr>
      </w:pPr>
      <w:hyperlink w:anchor="_Toc415733718" w:history="1">
        <w:r w:rsidRPr="00C576D7">
          <w:rPr>
            <w:rStyle w:val="Hyperlink"/>
            <w:noProof/>
          </w:rPr>
          <w:t>4.1.</w:t>
        </w:r>
        <w:r>
          <w:rPr>
            <w:rFonts w:ascii="Calibri" w:hAnsi="Calibri"/>
            <w:noProof/>
            <w:sz w:val="22"/>
            <w:szCs w:val="22"/>
            <w:lang w:eastAsia="en-IE"/>
          </w:rPr>
          <w:tab/>
        </w:r>
        <w:r w:rsidRPr="00C576D7">
          <w:rPr>
            <w:rStyle w:val="Hyperlink"/>
            <w:noProof/>
          </w:rPr>
          <w:t>Defining Workloads/Caseloads and their management</w:t>
        </w:r>
        <w:r>
          <w:rPr>
            <w:noProof/>
            <w:webHidden/>
          </w:rPr>
          <w:tab/>
        </w:r>
        <w:r>
          <w:rPr>
            <w:noProof/>
            <w:webHidden/>
          </w:rPr>
          <w:fldChar w:fldCharType="begin"/>
        </w:r>
        <w:r>
          <w:rPr>
            <w:noProof/>
            <w:webHidden/>
          </w:rPr>
          <w:instrText xml:space="preserve"> PAGEREF _Toc415733718 \h </w:instrText>
        </w:r>
        <w:r>
          <w:rPr>
            <w:noProof/>
            <w:webHidden/>
          </w:rPr>
        </w:r>
        <w:r>
          <w:rPr>
            <w:noProof/>
            <w:webHidden/>
          </w:rPr>
          <w:fldChar w:fldCharType="separate"/>
        </w:r>
        <w:r w:rsidR="00BD6FC4">
          <w:rPr>
            <w:noProof/>
            <w:webHidden/>
          </w:rPr>
          <w:t>55</w:t>
        </w:r>
        <w:r>
          <w:rPr>
            <w:noProof/>
            <w:webHidden/>
          </w:rPr>
          <w:fldChar w:fldCharType="end"/>
        </w:r>
      </w:hyperlink>
    </w:p>
    <w:p w:rsidR="00193C07" w:rsidRDefault="00193C07">
      <w:pPr>
        <w:pStyle w:val="TOC2"/>
        <w:tabs>
          <w:tab w:val="left" w:pos="1040"/>
          <w:tab w:val="right" w:leader="dot" w:pos="8630"/>
        </w:tabs>
        <w:rPr>
          <w:rFonts w:ascii="Calibri" w:hAnsi="Calibri"/>
          <w:noProof/>
          <w:sz w:val="22"/>
          <w:szCs w:val="22"/>
          <w:lang w:eastAsia="en-IE"/>
        </w:rPr>
      </w:pPr>
      <w:hyperlink w:anchor="_Toc415733719" w:history="1">
        <w:r w:rsidRPr="00C576D7">
          <w:rPr>
            <w:rStyle w:val="Hyperlink"/>
            <w:noProof/>
          </w:rPr>
          <w:t>4.2.</w:t>
        </w:r>
        <w:r>
          <w:rPr>
            <w:rFonts w:ascii="Calibri" w:hAnsi="Calibri"/>
            <w:noProof/>
            <w:sz w:val="22"/>
            <w:szCs w:val="22"/>
            <w:lang w:eastAsia="en-IE"/>
          </w:rPr>
          <w:tab/>
        </w:r>
        <w:r w:rsidRPr="00C576D7">
          <w:rPr>
            <w:rStyle w:val="Hyperlink"/>
            <w:noProof/>
          </w:rPr>
          <w:t>Research on Allied Health Workloads and Caseloads</w:t>
        </w:r>
        <w:r>
          <w:rPr>
            <w:noProof/>
            <w:webHidden/>
          </w:rPr>
          <w:tab/>
        </w:r>
        <w:r>
          <w:rPr>
            <w:noProof/>
            <w:webHidden/>
          </w:rPr>
          <w:fldChar w:fldCharType="begin"/>
        </w:r>
        <w:r>
          <w:rPr>
            <w:noProof/>
            <w:webHidden/>
          </w:rPr>
          <w:instrText xml:space="preserve"> PAGEREF _Toc415733719 \h </w:instrText>
        </w:r>
        <w:r>
          <w:rPr>
            <w:noProof/>
            <w:webHidden/>
          </w:rPr>
        </w:r>
        <w:r>
          <w:rPr>
            <w:noProof/>
            <w:webHidden/>
          </w:rPr>
          <w:fldChar w:fldCharType="separate"/>
        </w:r>
        <w:r w:rsidR="00BD6FC4">
          <w:rPr>
            <w:noProof/>
            <w:webHidden/>
          </w:rPr>
          <w:t>57</w:t>
        </w:r>
        <w:r>
          <w:rPr>
            <w:noProof/>
            <w:webHidden/>
          </w:rPr>
          <w:fldChar w:fldCharType="end"/>
        </w:r>
      </w:hyperlink>
    </w:p>
    <w:p w:rsidR="00193C07" w:rsidRDefault="00193C07">
      <w:pPr>
        <w:pStyle w:val="TOC1"/>
        <w:tabs>
          <w:tab w:val="left" w:pos="520"/>
          <w:tab w:val="right" w:leader="dot" w:pos="8630"/>
        </w:tabs>
        <w:rPr>
          <w:rFonts w:ascii="Calibri" w:hAnsi="Calibri"/>
          <w:b w:val="0"/>
          <w:noProof/>
          <w:sz w:val="22"/>
          <w:szCs w:val="22"/>
          <w:lang w:eastAsia="en-IE"/>
        </w:rPr>
      </w:pPr>
      <w:hyperlink w:anchor="_Toc415733728" w:history="1">
        <w:r w:rsidRPr="00C576D7">
          <w:rPr>
            <w:rStyle w:val="Hyperlink"/>
            <w:noProof/>
          </w:rPr>
          <w:t>5.</w:t>
        </w:r>
        <w:r>
          <w:rPr>
            <w:rFonts w:ascii="Calibri" w:hAnsi="Calibri"/>
            <w:b w:val="0"/>
            <w:noProof/>
            <w:sz w:val="22"/>
            <w:szCs w:val="22"/>
            <w:lang w:eastAsia="en-IE"/>
          </w:rPr>
          <w:tab/>
        </w:r>
        <w:r w:rsidRPr="00C576D7">
          <w:rPr>
            <w:rStyle w:val="Hyperlink"/>
            <w:noProof/>
          </w:rPr>
          <w:t>Actual Workloads/Caseloads</w:t>
        </w:r>
        <w:r>
          <w:rPr>
            <w:noProof/>
            <w:webHidden/>
          </w:rPr>
          <w:tab/>
        </w:r>
        <w:r>
          <w:rPr>
            <w:noProof/>
            <w:webHidden/>
          </w:rPr>
          <w:fldChar w:fldCharType="begin"/>
        </w:r>
        <w:r>
          <w:rPr>
            <w:noProof/>
            <w:webHidden/>
          </w:rPr>
          <w:instrText xml:space="preserve"> PAGEREF _Toc415733728 \h </w:instrText>
        </w:r>
        <w:r>
          <w:rPr>
            <w:noProof/>
            <w:webHidden/>
          </w:rPr>
        </w:r>
        <w:r>
          <w:rPr>
            <w:noProof/>
            <w:webHidden/>
          </w:rPr>
          <w:fldChar w:fldCharType="separate"/>
        </w:r>
        <w:r w:rsidR="00BD6FC4">
          <w:rPr>
            <w:noProof/>
            <w:webHidden/>
          </w:rPr>
          <w:t>67</w:t>
        </w:r>
        <w:r>
          <w:rPr>
            <w:noProof/>
            <w:webHidden/>
          </w:rPr>
          <w:fldChar w:fldCharType="end"/>
        </w:r>
      </w:hyperlink>
    </w:p>
    <w:p w:rsidR="00193C07" w:rsidRDefault="00193C07">
      <w:pPr>
        <w:pStyle w:val="TOC2"/>
        <w:tabs>
          <w:tab w:val="left" w:pos="1040"/>
          <w:tab w:val="right" w:leader="dot" w:pos="8630"/>
        </w:tabs>
        <w:rPr>
          <w:rFonts w:ascii="Calibri" w:hAnsi="Calibri"/>
          <w:noProof/>
          <w:sz w:val="22"/>
          <w:szCs w:val="22"/>
          <w:lang w:eastAsia="en-IE"/>
        </w:rPr>
      </w:pPr>
      <w:hyperlink w:anchor="_Toc415733729" w:history="1">
        <w:r w:rsidRPr="00C576D7">
          <w:rPr>
            <w:rStyle w:val="Hyperlink"/>
            <w:noProof/>
          </w:rPr>
          <w:t>5.1.</w:t>
        </w:r>
        <w:r>
          <w:rPr>
            <w:rFonts w:ascii="Calibri" w:hAnsi="Calibri"/>
            <w:noProof/>
            <w:sz w:val="22"/>
            <w:szCs w:val="22"/>
            <w:lang w:eastAsia="en-IE"/>
          </w:rPr>
          <w:tab/>
        </w:r>
        <w:r w:rsidRPr="00C576D7">
          <w:rPr>
            <w:rStyle w:val="Hyperlink"/>
            <w:noProof/>
          </w:rPr>
          <w:t>UK: England and Wales</w:t>
        </w:r>
        <w:r>
          <w:rPr>
            <w:noProof/>
            <w:webHidden/>
          </w:rPr>
          <w:tab/>
        </w:r>
        <w:r>
          <w:rPr>
            <w:noProof/>
            <w:webHidden/>
          </w:rPr>
          <w:fldChar w:fldCharType="begin"/>
        </w:r>
        <w:r>
          <w:rPr>
            <w:noProof/>
            <w:webHidden/>
          </w:rPr>
          <w:instrText xml:space="preserve"> PAGEREF _Toc415733729 \h </w:instrText>
        </w:r>
        <w:r>
          <w:rPr>
            <w:noProof/>
            <w:webHidden/>
          </w:rPr>
        </w:r>
        <w:r>
          <w:rPr>
            <w:noProof/>
            <w:webHidden/>
          </w:rPr>
          <w:fldChar w:fldCharType="separate"/>
        </w:r>
        <w:r w:rsidR="00BD6FC4">
          <w:rPr>
            <w:noProof/>
            <w:webHidden/>
          </w:rPr>
          <w:t>67</w:t>
        </w:r>
        <w:r>
          <w:rPr>
            <w:noProof/>
            <w:webHidden/>
          </w:rPr>
          <w:fldChar w:fldCharType="end"/>
        </w:r>
      </w:hyperlink>
    </w:p>
    <w:p w:rsidR="00193C07" w:rsidRDefault="00193C07">
      <w:pPr>
        <w:pStyle w:val="TOC2"/>
        <w:tabs>
          <w:tab w:val="left" w:pos="1040"/>
          <w:tab w:val="right" w:leader="dot" w:pos="8630"/>
        </w:tabs>
        <w:rPr>
          <w:rFonts w:ascii="Calibri" w:hAnsi="Calibri"/>
          <w:noProof/>
          <w:sz w:val="22"/>
          <w:szCs w:val="22"/>
          <w:lang w:eastAsia="en-IE"/>
        </w:rPr>
      </w:pPr>
      <w:hyperlink w:anchor="_Toc415733730" w:history="1">
        <w:r w:rsidRPr="00C576D7">
          <w:rPr>
            <w:rStyle w:val="Hyperlink"/>
            <w:noProof/>
          </w:rPr>
          <w:t>5.2.</w:t>
        </w:r>
        <w:r>
          <w:rPr>
            <w:rFonts w:ascii="Calibri" w:hAnsi="Calibri"/>
            <w:noProof/>
            <w:sz w:val="22"/>
            <w:szCs w:val="22"/>
            <w:lang w:eastAsia="en-IE"/>
          </w:rPr>
          <w:tab/>
        </w:r>
        <w:r w:rsidRPr="00C576D7">
          <w:rPr>
            <w:rStyle w:val="Hyperlink"/>
            <w:noProof/>
          </w:rPr>
          <w:t>UK: Scotland</w:t>
        </w:r>
        <w:r>
          <w:rPr>
            <w:noProof/>
            <w:webHidden/>
          </w:rPr>
          <w:tab/>
        </w:r>
        <w:r>
          <w:rPr>
            <w:noProof/>
            <w:webHidden/>
          </w:rPr>
          <w:fldChar w:fldCharType="begin"/>
        </w:r>
        <w:r>
          <w:rPr>
            <w:noProof/>
            <w:webHidden/>
          </w:rPr>
          <w:instrText xml:space="preserve"> PAGEREF _Toc415733730 \h </w:instrText>
        </w:r>
        <w:r>
          <w:rPr>
            <w:noProof/>
            <w:webHidden/>
          </w:rPr>
        </w:r>
        <w:r>
          <w:rPr>
            <w:noProof/>
            <w:webHidden/>
          </w:rPr>
          <w:fldChar w:fldCharType="separate"/>
        </w:r>
        <w:r w:rsidR="00BD6FC4">
          <w:rPr>
            <w:noProof/>
            <w:webHidden/>
          </w:rPr>
          <w:t>68</w:t>
        </w:r>
        <w:r>
          <w:rPr>
            <w:noProof/>
            <w:webHidden/>
          </w:rPr>
          <w:fldChar w:fldCharType="end"/>
        </w:r>
      </w:hyperlink>
    </w:p>
    <w:p w:rsidR="00193C07" w:rsidRDefault="00193C07">
      <w:pPr>
        <w:pStyle w:val="TOC2"/>
        <w:tabs>
          <w:tab w:val="left" w:pos="1040"/>
          <w:tab w:val="right" w:leader="dot" w:pos="8630"/>
        </w:tabs>
        <w:rPr>
          <w:rFonts w:ascii="Calibri" w:hAnsi="Calibri"/>
          <w:noProof/>
          <w:sz w:val="22"/>
          <w:szCs w:val="22"/>
          <w:lang w:eastAsia="en-IE"/>
        </w:rPr>
      </w:pPr>
      <w:hyperlink w:anchor="_Toc415733731" w:history="1">
        <w:r w:rsidRPr="00C576D7">
          <w:rPr>
            <w:rStyle w:val="Hyperlink"/>
            <w:noProof/>
          </w:rPr>
          <w:t>5.3.</w:t>
        </w:r>
        <w:r>
          <w:rPr>
            <w:rFonts w:ascii="Calibri" w:hAnsi="Calibri"/>
            <w:noProof/>
            <w:sz w:val="22"/>
            <w:szCs w:val="22"/>
            <w:lang w:eastAsia="en-IE"/>
          </w:rPr>
          <w:tab/>
        </w:r>
        <w:r w:rsidRPr="00C576D7">
          <w:rPr>
            <w:rStyle w:val="Hyperlink"/>
            <w:noProof/>
          </w:rPr>
          <w:t>The USA</w:t>
        </w:r>
        <w:r>
          <w:rPr>
            <w:noProof/>
            <w:webHidden/>
          </w:rPr>
          <w:tab/>
        </w:r>
        <w:r>
          <w:rPr>
            <w:noProof/>
            <w:webHidden/>
          </w:rPr>
          <w:fldChar w:fldCharType="begin"/>
        </w:r>
        <w:r>
          <w:rPr>
            <w:noProof/>
            <w:webHidden/>
          </w:rPr>
          <w:instrText xml:space="preserve"> PAGEREF _Toc415733731 \h </w:instrText>
        </w:r>
        <w:r>
          <w:rPr>
            <w:noProof/>
            <w:webHidden/>
          </w:rPr>
        </w:r>
        <w:r>
          <w:rPr>
            <w:noProof/>
            <w:webHidden/>
          </w:rPr>
          <w:fldChar w:fldCharType="separate"/>
        </w:r>
        <w:r w:rsidR="00BD6FC4">
          <w:rPr>
            <w:noProof/>
            <w:webHidden/>
          </w:rPr>
          <w:t>70</w:t>
        </w:r>
        <w:r>
          <w:rPr>
            <w:noProof/>
            <w:webHidden/>
          </w:rPr>
          <w:fldChar w:fldCharType="end"/>
        </w:r>
      </w:hyperlink>
    </w:p>
    <w:p w:rsidR="00193C07" w:rsidRDefault="00193C07">
      <w:pPr>
        <w:pStyle w:val="TOC2"/>
        <w:tabs>
          <w:tab w:val="left" w:pos="1040"/>
          <w:tab w:val="right" w:leader="dot" w:pos="8630"/>
        </w:tabs>
        <w:rPr>
          <w:rFonts w:ascii="Calibri" w:hAnsi="Calibri"/>
          <w:noProof/>
          <w:sz w:val="22"/>
          <w:szCs w:val="22"/>
          <w:lang w:eastAsia="en-IE"/>
        </w:rPr>
      </w:pPr>
      <w:hyperlink w:anchor="_Toc415733732" w:history="1">
        <w:r w:rsidRPr="00C576D7">
          <w:rPr>
            <w:rStyle w:val="Hyperlink"/>
            <w:noProof/>
          </w:rPr>
          <w:t>5.4.</w:t>
        </w:r>
        <w:r>
          <w:rPr>
            <w:rFonts w:ascii="Calibri" w:hAnsi="Calibri"/>
            <w:noProof/>
            <w:sz w:val="22"/>
            <w:szCs w:val="22"/>
            <w:lang w:eastAsia="en-IE"/>
          </w:rPr>
          <w:tab/>
        </w:r>
        <w:r w:rsidRPr="00C576D7">
          <w:rPr>
            <w:rStyle w:val="Hyperlink"/>
            <w:noProof/>
          </w:rPr>
          <w:t>New Zealand</w:t>
        </w:r>
        <w:r>
          <w:rPr>
            <w:noProof/>
            <w:webHidden/>
          </w:rPr>
          <w:tab/>
        </w:r>
        <w:r>
          <w:rPr>
            <w:noProof/>
            <w:webHidden/>
          </w:rPr>
          <w:fldChar w:fldCharType="begin"/>
        </w:r>
        <w:r>
          <w:rPr>
            <w:noProof/>
            <w:webHidden/>
          </w:rPr>
          <w:instrText xml:space="preserve"> PAGEREF _Toc415733732 \h </w:instrText>
        </w:r>
        <w:r>
          <w:rPr>
            <w:noProof/>
            <w:webHidden/>
          </w:rPr>
        </w:r>
        <w:r>
          <w:rPr>
            <w:noProof/>
            <w:webHidden/>
          </w:rPr>
          <w:fldChar w:fldCharType="separate"/>
        </w:r>
        <w:r w:rsidR="00BD6FC4">
          <w:rPr>
            <w:noProof/>
            <w:webHidden/>
          </w:rPr>
          <w:t>75</w:t>
        </w:r>
        <w:r>
          <w:rPr>
            <w:noProof/>
            <w:webHidden/>
          </w:rPr>
          <w:fldChar w:fldCharType="end"/>
        </w:r>
      </w:hyperlink>
    </w:p>
    <w:p w:rsidR="00193C07" w:rsidRDefault="00193C07">
      <w:pPr>
        <w:pStyle w:val="TOC2"/>
        <w:tabs>
          <w:tab w:val="left" w:pos="1040"/>
          <w:tab w:val="right" w:leader="dot" w:pos="8630"/>
        </w:tabs>
        <w:rPr>
          <w:rFonts w:ascii="Calibri" w:hAnsi="Calibri"/>
          <w:noProof/>
          <w:sz w:val="22"/>
          <w:szCs w:val="22"/>
          <w:lang w:eastAsia="en-IE"/>
        </w:rPr>
      </w:pPr>
      <w:hyperlink w:anchor="_Toc415733733" w:history="1">
        <w:r w:rsidRPr="00C576D7">
          <w:rPr>
            <w:rStyle w:val="Hyperlink"/>
            <w:noProof/>
          </w:rPr>
          <w:t>5.5.</w:t>
        </w:r>
        <w:r>
          <w:rPr>
            <w:rFonts w:ascii="Calibri" w:hAnsi="Calibri"/>
            <w:noProof/>
            <w:sz w:val="22"/>
            <w:szCs w:val="22"/>
            <w:lang w:eastAsia="en-IE"/>
          </w:rPr>
          <w:tab/>
        </w:r>
        <w:r w:rsidRPr="00C576D7">
          <w:rPr>
            <w:rStyle w:val="Hyperlink"/>
            <w:noProof/>
          </w:rPr>
          <w:t>Australia</w:t>
        </w:r>
        <w:r>
          <w:rPr>
            <w:noProof/>
            <w:webHidden/>
          </w:rPr>
          <w:tab/>
        </w:r>
        <w:r>
          <w:rPr>
            <w:noProof/>
            <w:webHidden/>
          </w:rPr>
          <w:fldChar w:fldCharType="begin"/>
        </w:r>
        <w:r>
          <w:rPr>
            <w:noProof/>
            <w:webHidden/>
          </w:rPr>
          <w:instrText xml:space="preserve"> PAGEREF _Toc415733733 \h </w:instrText>
        </w:r>
        <w:r>
          <w:rPr>
            <w:noProof/>
            <w:webHidden/>
          </w:rPr>
        </w:r>
        <w:r>
          <w:rPr>
            <w:noProof/>
            <w:webHidden/>
          </w:rPr>
          <w:fldChar w:fldCharType="separate"/>
        </w:r>
        <w:r w:rsidR="00BD6FC4">
          <w:rPr>
            <w:noProof/>
            <w:webHidden/>
          </w:rPr>
          <w:t>76</w:t>
        </w:r>
        <w:r>
          <w:rPr>
            <w:noProof/>
            <w:webHidden/>
          </w:rPr>
          <w:fldChar w:fldCharType="end"/>
        </w:r>
      </w:hyperlink>
    </w:p>
    <w:p w:rsidR="00193C07" w:rsidRDefault="00193C07">
      <w:pPr>
        <w:pStyle w:val="TOC2"/>
        <w:tabs>
          <w:tab w:val="left" w:pos="1040"/>
          <w:tab w:val="right" w:leader="dot" w:pos="8630"/>
        </w:tabs>
        <w:rPr>
          <w:rFonts w:ascii="Calibri" w:hAnsi="Calibri"/>
          <w:noProof/>
          <w:sz w:val="22"/>
          <w:szCs w:val="22"/>
          <w:lang w:eastAsia="en-IE"/>
        </w:rPr>
      </w:pPr>
      <w:hyperlink w:anchor="_Toc415733734" w:history="1">
        <w:r w:rsidRPr="00C576D7">
          <w:rPr>
            <w:rStyle w:val="Hyperlink"/>
            <w:noProof/>
          </w:rPr>
          <w:t>5.6.</w:t>
        </w:r>
        <w:r>
          <w:rPr>
            <w:rFonts w:ascii="Calibri" w:hAnsi="Calibri"/>
            <w:noProof/>
            <w:sz w:val="22"/>
            <w:szCs w:val="22"/>
            <w:lang w:eastAsia="en-IE"/>
          </w:rPr>
          <w:tab/>
        </w:r>
        <w:r w:rsidRPr="00C576D7">
          <w:rPr>
            <w:rStyle w:val="Hyperlink"/>
            <w:noProof/>
          </w:rPr>
          <w:t>Slovakia</w:t>
        </w:r>
        <w:r>
          <w:rPr>
            <w:noProof/>
            <w:webHidden/>
          </w:rPr>
          <w:tab/>
        </w:r>
        <w:r>
          <w:rPr>
            <w:noProof/>
            <w:webHidden/>
          </w:rPr>
          <w:fldChar w:fldCharType="begin"/>
        </w:r>
        <w:r>
          <w:rPr>
            <w:noProof/>
            <w:webHidden/>
          </w:rPr>
          <w:instrText xml:space="preserve"> PAGEREF _Toc415733734 \h </w:instrText>
        </w:r>
        <w:r>
          <w:rPr>
            <w:noProof/>
            <w:webHidden/>
          </w:rPr>
        </w:r>
        <w:r>
          <w:rPr>
            <w:noProof/>
            <w:webHidden/>
          </w:rPr>
          <w:fldChar w:fldCharType="separate"/>
        </w:r>
        <w:r w:rsidR="00BD6FC4">
          <w:rPr>
            <w:noProof/>
            <w:webHidden/>
          </w:rPr>
          <w:t>77</w:t>
        </w:r>
        <w:r>
          <w:rPr>
            <w:noProof/>
            <w:webHidden/>
          </w:rPr>
          <w:fldChar w:fldCharType="end"/>
        </w:r>
      </w:hyperlink>
    </w:p>
    <w:p w:rsidR="00193C07" w:rsidRDefault="00193C07">
      <w:pPr>
        <w:pStyle w:val="TOC1"/>
        <w:tabs>
          <w:tab w:val="right" w:leader="dot" w:pos="8630"/>
        </w:tabs>
        <w:rPr>
          <w:rFonts w:ascii="Calibri" w:hAnsi="Calibri"/>
          <w:b w:val="0"/>
          <w:noProof/>
          <w:sz w:val="22"/>
          <w:szCs w:val="22"/>
          <w:lang w:eastAsia="en-IE"/>
        </w:rPr>
      </w:pPr>
      <w:hyperlink w:anchor="_Toc415733735" w:history="1">
        <w:r w:rsidRPr="00C576D7">
          <w:rPr>
            <w:rStyle w:val="Hyperlink"/>
            <w:noProof/>
          </w:rPr>
          <w:t>Appendix 1: Disability services for children</w:t>
        </w:r>
        <w:r>
          <w:rPr>
            <w:noProof/>
            <w:webHidden/>
          </w:rPr>
          <w:tab/>
        </w:r>
        <w:r>
          <w:rPr>
            <w:noProof/>
            <w:webHidden/>
          </w:rPr>
          <w:fldChar w:fldCharType="begin"/>
        </w:r>
        <w:r>
          <w:rPr>
            <w:noProof/>
            <w:webHidden/>
          </w:rPr>
          <w:instrText xml:space="preserve"> PAGEREF _Toc415733735 \h </w:instrText>
        </w:r>
        <w:r>
          <w:rPr>
            <w:noProof/>
            <w:webHidden/>
          </w:rPr>
        </w:r>
        <w:r>
          <w:rPr>
            <w:noProof/>
            <w:webHidden/>
          </w:rPr>
          <w:fldChar w:fldCharType="separate"/>
        </w:r>
        <w:r w:rsidR="00BD6FC4">
          <w:rPr>
            <w:noProof/>
            <w:webHidden/>
          </w:rPr>
          <w:t>78</w:t>
        </w:r>
        <w:r>
          <w:rPr>
            <w:noProof/>
            <w:webHidden/>
          </w:rPr>
          <w:fldChar w:fldCharType="end"/>
        </w:r>
      </w:hyperlink>
    </w:p>
    <w:p w:rsidR="00193C07" w:rsidRDefault="00193C07">
      <w:pPr>
        <w:pStyle w:val="TOC2"/>
        <w:tabs>
          <w:tab w:val="right" w:leader="dot" w:pos="8630"/>
        </w:tabs>
        <w:rPr>
          <w:rFonts w:ascii="Calibri" w:hAnsi="Calibri"/>
          <w:noProof/>
          <w:sz w:val="22"/>
          <w:szCs w:val="22"/>
          <w:lang w:eastAsia="en-IE"/>
        </w:rPr>
      </w:pPr>
      <w:hyperlink w:anchor="_Toc415733736" w:history="1">
        <w:r w:rsidRPr="00C576D7">
          <w:rPr>
            <w:rStyle w:val="Hyperlink"/>
            <w:noProof/>
          </w:rPr>
          <w:t>The role of outcomes in developing children’s services</w:t>
        </w:r>
        <w:r>
          <w:rPr>
            <w:noProof/>
            <w:webHidden/>
          </w:rPr>
          <w:tab/>
        </w:r>
        <w:r>
          <w:rPr>
            <w:noProof/>
            <w:webHidden/>
          </w:rPr>
          <w:fldChar w:fldCharType="begin"/>
        </w:r>
        <w:r>
          <w:rPr>
            <w:noProof/>
            <w:webHidden/>
          </w:rPr>
          <w:instrText xml:space="preserve"> PAGEREF _Toc415733736 \h </w:instrText>
        </w:r>
        <w:r>
          <w:rPr>
            <w:noProof/>
            <w:webHidden/>
          </w:rPr>
        </w:r>
        <w:r>
          <w:rPr>
            <w:noProof/>
            <w:webHidden/>
          </w:rPr>
          <w:fldChar w:fldCharType="separate"/>
        </w:r>
        <w:r w:rsidR="00BD6FC4">
          <w:rPr>
            <w:noProof/>
            <w:webHidden/>
          </w:rPr>
          <w:t>78</w:t>
        </w:r>
        <w:r>
          <w:rPr>
            <w:noProof/>
            <w:webHidden/>
          </w:rPr>
          <w:fldChar w:fldCharType="end"/>
        </w:r>
      </w:hyperlink>
    </w:p>
    <w:p w:rsidR="00193C07" w:rsidRDefault="00193C07">
      <w:pPr>
        <w:pStyle w:val="TOC2"/>
        <w:tabs>
          <w:tab w:val="right" w:leader="dot" w:pos="8630"/>
        </w:tabs>
        <w:rPr>
          <w:rFonts w:ascii="Calibri" w:hAnsi="Calibri"/>
          <w:noProof/>
          <w:sz w:val="22"/>
          <w:szCs w:val="22"/>
          <w:lang w:eastAsia="en-IE"/>
        </w:rPr>
      </w:pPr>
      <w:hyperlink w:anchor="_Toc415733737" w:history="1">
        <w:r w:rsidRPr="00C576D7">
          <w:rPr>
            <w:rStyle w:val="Hyperlink"/>
            <w:noProof/>
          </w:rPr>
          <w:t>Suggestions on providing quality care to children with disabilities</w:t>
        </w:r>
        <w:r>
          <w:rPr>
            <w:noProof/>
            <w:webHidden/>
          </w:rPr>
          <w:tab/>
        </w:r>
        <w:r>
          <w:rPr>
            <w:noProof/>
            <w:webHidden/>
          </w:rPr>
          <w:fldChar w:fldCharType="begin"/>
        </w:r>
        <w:r>
          <w:rPr>
            <w:noProof/>
            <w:webHidden/>
          </w:rPr>
          <w:instrText xml:space="preserve"> PAGEREF _Toc415733737 \h </w:instrText>
        </w:r>
        <w:r>
          <w:rPr>
            <w:noProof/>
            <w:webHidden/>
          </w:rPr>
        </w:r>
        <w:r>
          <w:rPr>
            <w:noProof/>
            <w:webHidden/>
          </w:rPr>
          <w:fldChar w:fldCharType="separate"/>
        </w:r>
        <w:r w:rsidR="00BD6FC4">
          <w:rPr>
            <w:noProof/>
            <w:webHidden/>
          </w:rPr>
          <w:t>81</w:t>
        </w:r>
        <w:r>
          <w:rPr>
            <w:noProof/>
            <w:webHidden/>
          </w:rPr>
          <w:fldChar w:fldCharType="end"/>
        </w:r>
      </w:hyperlink>
    </w:p>
    <w:p w:rsidR="00193C07" w:rsidRDefault="00193C07">
      <w:pPr>
        <w:pStyle w:val="TOC2"/>
        <w:tabs>
          <w:tab w:val="right" w:leader="dot" w:pos="8630"/>
        </w:tabs>
        <w:rPr>
          <w:rFonts w:ascii="Calibri" w:hAnsi="Calibri"/>
          <w:noProof/>
          <w:sz w:val="22"/>
          <w:szCs w:val="22"/>
          <w:lang w:eastAsia="en-IE"/>
        </w:rPr>
      </w:pPr>
      <w:hyperlink w:anchor="_Toc415733738" w:history="1">
        <w:r w:rsidRPr="00C576D7">
          <w:rPr>
            <w:rStyle w:val="Hyperlink"/>
            <w:noProof/>
          </w:rPr>
          <w:t>Effective practice for AHP or therapy services</w:t>
        </w:r>
        <w:r>
          <w:rPr>
            <w:noProof/>
            <w:webHidden/>
          </w:rPr>
          <w:tab/>
        </w:r>
        <w:r>
          <w:rPr>
            <w:noProof/>
            <w:webHidden/>
          </w:rPr>
          <w:fldChar w:fldCharType="begin"/>
        </w:r>
        <w:r>
          <w:rPr>
            <w:noProof/>
            <w:webHidden/>
          </w:rPr>
          <w:instrText xml:space="preserve"> PAGEREF _Toc415733738 \h </w:instrText>
        </w:r>
        <w:r>
          <w:rPr>
            <w:noProof/>
            <w:webHidden/>
          </w:rPr>
        </w:r>
        <w:r>
          <w:rPr>
            <w:noProof/>
            <w:webHidden/>
          </w:rPr>
          <w:fldChar w:fldCharType="separate"/>
        </w:r>
        <w:r w:rsidR="00BD6FC4">
          <w:rPr>
            <w:noProof/>
            <w:webHidden/>
          </w:rPr>
          <w:t>83</w:t>
        </w:r>
        <w:r>
          <w:rPr>
            <w:noProof/>
            <w:webHidden/>
          </w:rPr>
          <w:fldChar w:fldCharType="end"/>
        </w:r>
      </w:hyperlink>
    </w:p>
    <w:p w:rsidR="00193C07" w:rsidRDefault="00193C07">
      <w:pPr>
        <w:pStyle w:val="TOC2"/>
        <w:tabs>
          <w:tab w:val="right" w:leader="dot" w:pos="8630"/>
        </w:tabs>
        <w:rPr>
          <w:rFonts w:ascii="Calibri" w:hAnsi="Calibri"/>
          <w:noProof/>
          <w:sz w:val="22"/>
          <w:szCs w:val="22"/>
          <w:lang w:eastAsia="en-IE"/>
        </w:rPr>
      </w:pPr>
      <w:hyperlink w:anchor="_Toc415733739" w:history="1">
        <w:r w:rsidRPr="00C576D7">
          <w:rPr>
            <w:rStyle w:val="Hyperlink"/>
            <w:noProof/>
          </w:rPr>
          <w:t>The changing status of the Allied Health Professions</w:t>
        </w:r>
        <w:r>
          <w:rPr>
            <w:noProof/>
            <w:webHidden/>
          </w:rPr>
          <w:tab/>
        </w:r>
        <w:r>
          <w:rPr>
            <w:noProof/>
            <w:webHidden/>
          </w:rPr>
          <w:fldChar w:fldCharType="begin"/>
        </w:r>
        <w:r>
          <w:rPr>
            <w:noProof/>
            <w:webHidden/>
          </w:rPr>
          <w:instrText xml:space="preserve"> PAGEREF _Toc415733739 \h </w:instrText>
        </w:r>
        <w:r>
          <w:rPr>
            <w:noProof/>
            <w:webHidden/>
          </w:rPr>
        </w:r>
        <w:r>
          <w:rPr>
            <w:noProof/>
            <w:webHidden/>
          </w:rPr>
          <w:fldChar w:fldCharType="separate"/>
        </w:r>
        <w:r w:rsidR="00BD6FC4">
          <w:rPr>
            <w:noProof/>
            <w:webHidden/>
          </w:rPr>
          <w:t>85</w:t>
        </w:r>
        <w:r>
          <w:rPr>
            <w:noProof/>
            <w:webHidden/>
          </w:rPr>
          <w:fldChar w:fldCharType="end"/>
        </w:r>
      </w:hyperlink>
    </w:p>
    <w:p w:rsidR="00193C07" w:rsidRDefault="00193C07">
      <w:pPr>
        <w:pStyle w:val="TOC2"/>
        <w:tabs>
          <w:tab w:val="right" w:leader="dot" w:pos="8630"/>
        </w:tabs>
        <w:rPr>
          <w:rFonts w:ascii="Calibri" w:hAnsi="Calibri"/>
          <w:noProof/>
          <w:sz w:val="22"/>
          <w:szCs w:val="22"/>
          <w:lang w:eastAsia="en-IE"/>
        </w:rPr>
      </w:pPr>
      <w:hyperlink w:anchor="_Toc415733740" w:history="1">
        <w:r w:rsidRPr="00C576D7">
          <w:rPr>
            <w:rStyle w:val="Hyperlink"/>
            <w:noProof/>
          </w:rPr>
          <w:t>Family and child centred early intervention services</w:t>
        </w:r>
        <w:r>
          <w:rPr>
            <w:noProof/>
            <w:webHidden/>
          </w:rPr>
          <w:tab/>
        </w:r>
        <w:r>
          <w:rPr>
            <w:noProof/>
            <w:webHidden/>
          </w:rPr>
          <w:fldChar w:fldCharType="begin"/>
        </w:r>
        <w:r>
          <w:rPr>
            <w:noProof/>
            <w:webHidden/>
          </w:rPr>
          <w:instrText xml:space="preserve"> PAGEREF _Toc415733740 \h </w:instrText>
        </w:r>
        <w:r>
          <w:rPr>
            <w:noProof/>
            <w:webHidden/>
          </w:rPr>
        </w:r>
        <w:r>
          <w:rPr>
            <w:noProof/>
            <w:webHidden/>
          </w:rPr>
          <w:fldChar w:fldCharType="separate"/>
        </w:r>
        <w:r w:rsidR="00BD6FC4">
          <w:rPr>
            <w:noProof/>
            <w:webHidden/>
          </w:rPr>
          <w:t>89</w:t>
        </w:r>
        <w:r>
          <w:rPr>
            <w:noProof/>
            <w:webHidden/>
          </w:rPr>
          <w:fldChar w:fldCharType="end"/>
        </w:r>
      </w:hyperlink>
    </w:p>
    <w:p w:rsidR="00193C07" w:rsidRDefault="00193C07">
      <w:pPr>
        <w:pStyle w:val="TOC1"/>
        <w:tabs>
          <w:tab w:val="right" w:leader="dot" w:pos="8630"/>
        </w:tabs>
        <w:rPr>
          <w:rFonts w:ascii="Calibri" w:hAnsi="Calibri"/>
          <w:b w:val="0"/>
          <w:noProof/>
          <w:sz w:val="22"/>
          <w:szCs w:val="22"/>
          <w:lang w:eastAsia="en-IE"/>
        </w:rPr>
      </w:pPr>
      <w:hyperlink w:anchor="_Toc415733741" w:history="1">
        <w:r w:rsidRPr="00C576D7">
          <w:rPr>
            <w:rStyle w:val="Hyperlink"/>
            <w:noProof/>
          </w:rPr>
          <w:t>Appendix 2:  Teamwork</w:t>
        </w:r>
        <w:r>
          <w:rPr>
            <w:noProof/>
            <w:webHidden/>
          </w:rPr>
          <w:tab/>
        </w:r>
        <w:r>
          <w:rPr>
            <w:noProof/>
            <w:webHidden/>
          </w:rPr>
          <w:fldChar w:fldCharType="begin"/>
        </w:r>
        <w:r>
          <w:rPr>
            <w:noProof/>
            <w:webHidden/>
          </w:rPr>
          <w:instrText xml:space="preserve"> PAGEREF _Toc415733741 \h </w:instrText>
        </w:r>
        <w:r>
          <w:rPr>
            <w:noProof/>
            <w:webHidden/>
          </w:rPr>
        </w:r>
        <w:r>
          <w:rPr>
            <w:noProof/>
            <w:webHidden/>
          </w:rPr>
          <w:fldChar w:fldCharType="separate"/>
        </w:r>
        <w:r w:rsidR="00BD6FC4">
          <w:rPr>
            <w:noProof/>
            <w:webHidden/>
          </w:rPr>
          <w:t>94</w:t>
        </w:r>
        <w:r>
          <w:rPr>
            <w:noProof/>
            <w:webHidden/>
          </w:rPr>
          <w:fldChar w:fldCharType="end"/>
        </w:r>
      </w:hyperlink>
    </w:p>
    <w:p w:rsidR="00193C07" w:rsidRDefault="00193C07">
      <w:pPr>
        <w:pStyle w:val="TOC2"/>
        <w:tabs>
          <w:tab w:val="right" w:leader="dot" w:pos="8630"/>
        </w:tabs>
        <w:rPr>
          <w:rFonts w:ascii="Calibri" w:hAnsi="Calibri"/>
          <w:noProof/>
          <w:sz w:val="22"/>
          <w:szCs w:val="22"/>
          <w:lang w:eastAsia="en-IE"/>
        </w:rPr>
      </w:pPr>
      <w:hyperlink w:anchor="_Toc415733742" w:history="1">
        <w:r w:rsidRPr="00C576D7">
          <w:rPr>
            <w:rStyle w:val="Hyperlink"/>
            <w:noProof/>
          </w:rPr>
          <w:t>Explaining teamwork</w:t>
        </w:r>
        <w:r>
          <w:rPr>
            <w:noProof/>
            <w:webHidden/>
          </w:rPr>
          <w:tab/>
        </w:r>
        <w:r>
          <w:rPr>
            <w:noProof/>
            <w:webHidden/>
          </w:rPr>
          <w:fldChar w:fldCharType="begin"/>
        </w:r>
        <w:r>
          <w:rPr>
            <w:noProof/>
            <w:webHidden/>
          </w:rPr>
          <w:instrText xml:space="preserve"> PAGEREF _Toc415733742 \h </w:instrText>
        </w:r>
        <w:r>
          <w:rPr>
            <w:noProof/>
            <w:webHidden/>
          </w:rPr>
        </w:r>
        <w:r>
          <w:rPr>
            <w:noProof/>
            <w:webHidden/>
          </w:rPr>
          <w:fldChar w:fldCharType="separate"/>
        </w:r>
        <w:r w:rsidR="00BD6FC4">
          <w:rPr>
            <w:noProof/>
            <w:webHidden/>
          </w:rPr>
          <w:t>94</w:t>
        </w:r>
        <w:r>
          <w:rPr>
            <w:noProof/>
            <w:webHidden/>
          </w:rPr>
          <w:fldChar w:fldCharType="end"/>
        </w:r>
      </w:hyperlink>
    </w:p>
    <w:p w:rsidR="00193C07" w:rsidRDefault="00193C07">
      <w:pPr>
        <w:pStyle w:val="TOC2"/>
        <w:tabs>
          <w:tab w:val="right" w:leader="dot" w:pos="8630"/>
        </w:tabs>
        <w:rPr>
          <w:rFonts w:ascii="Calibri" w:hAnsi="Calibri"/>
          <w:noProof/>
          <w:sz w:val="22"/>
          <w:szCs w:val="22"/>
          <w:lang w:eastAsia="en-IE"/>
        </w:rPr>
      </w:pPr>
      <w:hyperlink w:anchor="_Toc415733743" w:history="1">
        <w:r w:rsidRPr="00C576D7">
          <w:rPr>
            <w:rStyle w:val="Hyperlink"/>
            <w:noProof/>
          </w:rPr>
          <w:t>Teamwork: Benefits and barriers</w:t>
        </w:r>
        <w:r>
          <w:rPr>
            <w:noProof/>
            <w:webHidden/>
          </w:rPr>
          <w:tab/>
        </w:r>
        <w:r>
          <w:rPr>
            <w:noProof/>
            <w:webHidden/>
          </w:rPr>
          <w:fldChar w:fldCharType="begin"/>
        </w:r>
        <w:r>
          <w:rPr>
            <w:noProof/>
            <w:webHidden/>
          </w:rPr>
          <w:instrText xml:space="preserve"> PAGEREF _Toc415733743 \h </w:instrText>
        </w:r>
        <w:r>
          <w:rPr>
            <w:noProof/>
            <w:webHidden/>
          </w:rPr>
        </w:r>
        <w:r>
          <w:rPr>
            <w:noProof/>
            <w:webHidden/>
          </w:rPr>
          <w:fldChar w:fldCharType="separate"/>
        </w:r>
        <w:r w:rsidR="00BD6FC4">
          <w:rPr>
            <w:noProof/>
            <w:webHidden/>
          </w:rPr>
          <w:t>96</w:t>
        </w:r>
        <w:r>
          <w:rPr>
            <w:noProof/>
            <w:webHidden/>
          </w:rPr>
          <w:fldChar w:fldCharType="end"/>
        </w:r>
      </w:hyperlink>
    </w:p>
    <w:p w:rsidR="00193C07" w:rsidRDefault="00193C07">
      <w:pPr>
        <w:pStyle w:val="TOC2"/>
        <w:tabs>
          <w:tab w:val="right" w:leader="dot" w:pos="8630"/>
        </w:tabs>
        <w:rPr>
          <w:rFonts w:ascii="Calibri" w:hAnsi="Calibri"/>
          <w:noProof/>
          <w:sz w:val="22"/>
          <w:szCs w:val="22"/>
          <w:lang w:eastAsia="en-IE"/>
        </w:rPr>
      </w:pPr>
      <w:hyperlink w:anchor="_Toc415733749" w:history="1">
        <w:r w:rsidRPr="00C576D7">
          <w:rPr>
            <w:rStyle w:val="Hyperlink"/>
            <w:noProof/>
          </w:rPr>
          <w:t>Types of teams</w:t>
        </w:r>
        <w:r>
          <w:rPr>
            <w:noProof/>
            <w:webHidden/>
          </w:rPr>
          <w:tab/>
        </w:r>
        <w:r>
          <w:rPr>
            <w:noProof/>
            <w:webHidden/>
          </w:rPr>
          <w:fldChar w:fldCharType="begin"/>
        </w:r>
        <w:r>
          <w:rPr>
            <w:noProof/>
            <w:webHidden/>
          </w:rPr>
          <w:instrText xml:space="preserve"> PAGEREF _Toc415733749 \h </w:instrText>
        </w:r>
        <w:r>
          <w:rPr>
            <w:noProof/>
            <w:webHidden/>
          </w:rPr>
        </w:r>
        <w:r>
          <w:rPr>
            <w:noProof/>
            <w:webHidden/>
          </w:rPr>
          <w:fldChar w:fldCharType="separate"/>
        </w:r>
        <w:r w:rsidR="00BD6FC4">
          <w:rPr>
            <w:noProof/>
            <w:webHidden/>
          </w:rPr>
          <w:t>98</w:t>
        </w:r>
        <w:r>
          <w:rPr>
            <w:noProof/>
            <w:webHidden/>
          </w:rPr>
          <w:fldChar w:fldCharType="end"/>
        </w:r>
      </w:hyperlink>
    </w:p>
    <w:p w:rsidR="00193C07" w:rsidRDefault="00193C07">
      <w:pPr>
        <w:pStyle w:val="TOC2"/>
        <w:tabs>
          <w:tab w:val="right" w:leader="dot" w:pos="8630"/>
        </w:tabs>
        <w:rPr>
          <w:rFonts w:ascii="Calibri" w:hAnsi="Calibri"/>
          <w:noProof/>
          <w:sz w:val="22"/>
          <w:szCs w:val="22"/>
          <w:lang w:eastAsia="en-IE"/>
        </w:rPr>
      </w:pPr>
      <w:hyperlink w:anchor="_Toc415733750" w:history="1">
        <w:r w:rsidRPr="00C576D7">
          <w:rPr>
            <w:rStyle w:val="Hyperlink"/>
            <w:noProof/>
          </w:rPr>
          <w:t>Developing services for children with disabilities</w:t>
        </w:r>
        <w:r>
          <w:rPr>
            <w:noProof/>
            <w:webHidden/>
          </w:rPr>
          <w:tab/>
        </w:r>
        <w:r>
          <w:rPr>
            <w:noProof/>
            <w:webHidden/>
          </w:rPr>
          <w:fldChar w:fldCharType="begin"/>
        </w:r>
        <w:r>
          <w:rPr>
            <w:noProof/>
            <w:webHidden/>
          </w:rPr>
          <w:instrText xml:space="preserve"> PAGEREF _Toc415733750 \h </w:instrText>
        </w:r>
        <w:r>
          <w:rPr>
            <w:noProof/>
            <w:webHidden/>
          </w:rPr>
        </w:r>
        <w:r>
          <w:rPr>
            <w:noProof/>
            <w:webHidden/>
          </w:rPr>
          <w:fldChar w:fldCharType="separate"/>
        </w:r>
        <w:r w:rsidR="00BD6FC4">
          <w:rPr>
            <w:noProof/>
            <w:webHidden/>
          </w:rPr>
          <w:t>101</w:t>
        </w:r>
        <w:r>
          <w:rPr>
            <w:noProof/>
            <w:webHidden/>
          </w:rPr>
          <w:fldChar w:fldCharType="end"/>
        </w:r>
      </w:hyperlink>
    </w:p>
    <w:p w:rsidR="00193C07" w:rsidRDefault="00193C07">
      <w:pPr>
        <w:pStyle w:val="TOC2"/>
        <w:tabs>
          <w:tab w:val="right" w:leader="dot" w:pos="8630"/>
        </w:tabs>
        <w:rPr>
          <w:rFonts w:ascii="Calibri" w:hAnsi="Calibri"/>
          <w:noProof/>
          <w:sz w:val="22"/>
          <w:szCs w:val="22"/>
          <w:lang w:eastAsia="en-IE"/>
        </w:rPr>
      </w:pPr>
      <w:hyperlink w:anchor="_Toc415733751" w:history="1">
        <w:r w:rsidRPr="00C576D7">
          <w:rPr>
            <w:rStyle w:val="Hyperlink"/>
            <w:noProof/>
          </w:rPr>
          <w:t>Some research on teams in the health and social care services</w:t>
        </w:r>
        <w:r>
          <w:rPr>
            <w:noProof/>
            <w:webHidden/>
          </w:rPr>
          <w:tab/>
        </w:r>
        <w:r>
          <w:rPr>
            <w:noProof/>
            <w:webHidden/>
          </w:rPr>
          <w:fldChar w:fldCharType="begin"/>
        </w:r>
        <w:r>
          <w:rPr>
            <w:noProof/>
            <w:webHidden/>
          </w:rPr>
          <w:instrText xml:space="preserve"> PAGEREF _Toc415733751 \h </w:instrText>
        </w:r>
        <w:r>
          <w:rPr>
            <w:noProof/>
            <w:webHidden/>
          </w:rPr>
        </w:r>
        <w:r>
          <w:rPr>
            <w:noProof/>
            <w:webHidden/>
          </w:rPr>
          <w:fldChar w:fldCharType="separate"/>
        </w:r>
        <w:r w:rsidR="00BD6FC4">
          <w:rPr>
            <w:noProof/>
            <w:webHidden/>
          </w:rPr>
          <w:t>103</w:t>
        </w:r>
        <w:r>
          <w:rPr>
            <w:noProof/>
            <w:webHidden/>
          </w:rPr>
          <w:fldChar w:fldCharType="end"/>
        </w:r>
      </w:hyperlink>
    </w:p>
    <w:p w:rsidR="00193C07" w:rsidRDefault="00193C07">
      <w:pPr>
        <w:pStyle w:val="TOC2"/>
        <w:tabs>
          <w:tab w:val="right" w:leader="dot" w:pos="8630"/>
        </w:tabs>
        <w:rPr>
          <w:rFonts w:ascii="Calibri" w:hAnsi="Calibri"/>
          <w:noProof/>
          <w:sz w:val="22"/>
          <w:szCs w:val="22"/>
          <w:lang w:eastAsia="en-IE"/>
        </w:rPr>
      </w:pPr>
      <w:hyperlink w:anchor="_Toc415733752" w:history="1">
        <w:r w:rsidRPr="00C576D7">
          <w:rPr>
            <w:rStyle w:val="Hyperlink"/>
            <w:noProof/>
          </w:rPr>
          <w:t>Education/training for inter-professional collaboration (IPC)/teamwork</w:t>
        </w:r>
        <w:r>
          <w:rPr>
            <w:noProof/>
            <w:webHidden/>
          </w:rPr>
          <w:tab/>
        </w:r>
        <w:r>
          <w:rPr>
            <w:noProof/>
            <w:webHidden/>
          </w:rPr>
          <w:fldChar w:fldCharType="begin"/>
        </w:r>
        <w:r>
          <w:rPr>
            <w:noProof/>
            <w:webHidden/>
          </w:rPr>
          <w:instrText xml:space="preserve"> PAGEREF _Toc415733752 \h </w:instrText>
        </w:r>
        <w:r>
          <w:rPr>
            <w:noProof/>
            <w:webHidden/>
          </w:rPr>
        </w:r>
        <w:r>
          <w:rPr>
            <w:noProof/>
            <w:webHidden/>
          </w:rPr>
          <w:fldChar w:fldCharType="separate"/>
        </w:r>
        <w:r w:rsidR="00BD6FC4">
          <w:rPr>
            <w:noProof/>
            <w:webHidden/>
          </w:rPr>
          <w:t>105</w:t>
        </w:r>
        <w:r>
          <w:rPr>
            <w:noProof/>
            <w:webHidden/>
          </w:rPr>
          <w:fldChar w:fldCharType="end"/>
        </w:r>
      </w:hyperlink>
    </w:p>
    <w:p w:rsidR="00193C07" w:rsidRDefault="00193C07">
      <w:pPr>
        <w:pStyle w:val="TOC1"/>
        <w:tabs>
          <w:tab w:val="right" w:leader="dot" w:pos="8630"/>
        </w:tabs>
        <w:rPr>
          <w:rFonts w:ascii="Calibri" w:hAnsi="Calibri"/>
          <w:b w:val="0"/>
          <w:noProof/>
          <w:sz w:val="22"/>
          <w:szCs w:val="22"/>
          <w:lang w:eastAsia="en-IE"/>
        </w:rPr>
      </w:pPr>
      <w:hyperlink w:anchor="_Toc415733754" w:history="1">
        <w:r w:rsidRPr="00C576D7">
          <w:rPr>
            <w:rStyle w:val="Hyperlink"/>
            <w:noProof/>
          </w:rPr>
          <w:t>Appendix 3: Census data 2006 and 2011 compared</w:t>
        </w:r>
        <w:r>
          <w:rPr>
            <w:noProof/>
            <w:webHidden/>
          </w:rPr>
          <w:tab/>
        </w:r>
        <w:r>
          <w:rPr>
            <w:noProof/>
            <w:webHidden/>
          </w:rPr>
          <w:fldChar w:fldCharType="begin"/>
        </w:r>
        <w:r>
          <w:rPr>
            <w:noProof/>
            <w:webHidden/>
          </w:rPr>
          <w:instrText xml:space="preserve"> PAGEREF _Toc415733754 \h </w:instrText>
        </w:r>
        <w:r>
          <w:rPr>
            <w:noProof/>
            <w:webHidden/>
          </w:rPr>
        </w:r>
        <w:r>
          <w:rPr>
            <w:noProof/>
            <w:webHidden/>
          </w:rPr>
          <w:fldChar w:fldCharType="separate"/>
        </w:r>
        <w:r w:rsidR="00BD6FC4">
          <w:rPr>
            <w:noProof/>
            <w:webHidden/>
          </w:rPr>
          <w:t>109</w:t>
        </w:r>
        <w:r>
          <w:rPr>
            <w:noProof/>
            <w:webHidden/>
          </w:rPr>
          <w:fldChar w:fldCharType="end"/>
        </w:r>
      </w:hyperlink>
    </w:p>
    <w:p w:rsidR="00193C07" w:rsidRDefault="00193C07">
      <w:pPr>
        <w:pStyle w:val="TOC1"/>
        <w:tabs>
          <w:tab w:val="right" w:leader="dot" w:pos="8630"/>
        </w:tabs>
        <w:rPr>
          <w:rFonts w:ascii="Calibri" w:hAnsi="Calibri"/>
          <w:b w:val="0"/>
          <w:noProof/>
          <w:sz w:val="22"/>
          <w:szCs w:val="22"/>
          <w:lang w:eastAsia="en-IE"/>
        </w:rPr>
      </w:pPr>
      <w:hyperlink w:anchor="_Toc415733755" w:history="1">
        <w:r w:rsidRPr="00C576D7">
          <w:rPr>
            <w:rStyle w:val="Hyperlink"/>
            <w:noProof/>
          </w:rPr>
          <w:t>Appendix 4: Assessment of individual data sources</w:t>
        </w:r>
        <w:r>
          <w:rPr>
            <w:noProof/>
            <w:webHidden/>
          </w:rPr>
          <w:tab/>
        </w:r>
        <w:r>
          <w:rPr>
            <w:noProof/>
            <w:webHidden/>
          </w:rPr>
          <w:fldChar w:fldCharType="begin"/>
        </w:r>
        <w:r>
          <w:rPr>
            <w:noProof/>
            <w:webHidden/>
          </w:rPr>
          <w:instrText xml:space="preserve"> PAGEREF _Toc415733755 \h </w:instrText>
        </w:r>
        <w:r>
          <w:rPr>
            <w:noProof/>
            <w:webHidden/>
          </w:rPr>
        </w:r>
        <w:r>
          <w:rPr>
            <w:noProof/>
            <w:webHidden/>
          </w:rPr>
          <w:fldChar w:fldCharType="separate"/>
        </w:r>
        <w:r w:rsidR="00BD6FC4">
          <w:rPr>
            <w:noProof/>
            <w:webHidden/>
          </w:rPr>
          <w:t>113</w:t>
        </w:r>
        <w:r>
          <w:rPr>
            <w:noProof/>
            <w:webHidden/>
          </w:rPr>
          <w:fldChar w:fldCharType="end"/>
        </w:r>
      </w:hyperlink>
    </w:p>
    <w:p w:rsidR="00193C07" w:rsidRDefault="00193C07">
      <w:pPr>
        <w:pStyle w:val="TOC2"/>
        <w:tabs>
          <w:tab w:val="right" w:leader="dot" w:pos="8630"/>
        </w:tabs>
        <w:rPr>
          <w:rFonts w:ascii="Calibri" w:hAnsi="Calibri"/>
          <w:noProof/>
          <w:sz w:val="22"/>
          <w:szCs w:val="22"/>
          <w:lang w:eastAsia="en-IE"/>
        </w:rPr>
      </w:pPr>
      <w:hyperlink w:anchor="_Toc415733756" w:history="1">
        <w:r w:rsidRPr="00C576D7">
          <w:rPr>
            <w:rStyle w:val="Hyperlink"/>
            <w:noProof/>
          </w:rPr>
          <w:t>Disability databases – Health</w:t>
        </w:r>
        <w:r w:rsidRPr="00C576D7">
          <w:rPr>
            <w:rStyle w:val="Hyperlink"/>
            <w:noProof/>
          </w:rPr>
          <w:t xml:space="preserve"> </w:t>
        </w:r>
        <w:r w:rsidRPr="00C576D7">
          <w:rPr>
            <w:rStyle w:val="Hyperlink"/>
            <w:noProof/>
          </w:rPr>
          <w:t>Research Board</w:t>
        </w:r>
        <w:r>
          <w:rPr>
            <w:noProof/>
            <w:webHidden/>
          </w:rPr>
          <w:tab/>
        </w:r>
        <w:r>
          <w:rPr>
            <w:noProof/>
            <w:webHidden/>
          </w:rPr>
          <w:fldChar w:fldCharType="begin"/>
        </w:r>
        <w:r>
          <w:rPr>
            <w:noProof/>
            <w:webHidden/>
          </w:rPr>
          <w:instrText xml:space="preserve"> PAGEREF _Toc415733756 \h </w:instrText>
        </w:r>
        <w:r>
          <w:rPr>
            <w:noProof/>
            <w:webHidden/>
          </w:rPr>
        </w:r>
        <w:r>
          <w:rPr>
            <w:noProof/>
            <w:webHidden/>
          </w:rPr>
          <w:fldChar w:fldCharType="separate"/>
        </w:r>
        <w:r w:rsidR="00BD6FC4">
          <w:rPr>
            <w:noProof/>
            <w:webHidden/>
          </w:rPr>
          <w:t>113</w:t>
        </w:r>
        <w:r>
          <w:rPr>
            <w:noProof/>
            <w:webHidden/>
          </w:rPr>
          <w:fldChar w:fldCharType="end"/>
        </w:r>
      </w:hyperlink>
    </w:p>
    <w:p w:rsidR="00193C07" w:rsidRDefault="00193C07">
      <w:pPr>
        <w:pStyle w:val="TOC2"/>
        <w:tabs>
          <w:tab w:val="right" w:leader="dot" w:pos="8630"/>
        </w:tabs>
        <w:rPr>
          <w:rFonts w:ascii="Calibri" w:hAnsi="Calibri"/>
          <w:noProof/>
          <w:sz w:val="22"/>
          <w:szCs w:val="22"/>
          <w:lang w:eastAsia="en-IE"/>
        </w:rPr>
      </w:pPr>
      <w:hyperlink w:anchor="_Toc415733759" w:history="1">
        <w:r w:rsidRPr="00C576D7">
          <w:rPr>
            <w:rStyle w:val="Hyperlink"/>
            <w:noProof/>
          </w:rPr>
          <w:t>Census 2011</w:t>
        </w:r>
        <w:r>
          <w:rPr>
            <w:noProof/>
            <w:webHidden/>
          </w:rPr>
          <w:tab/>
        </w:r>
        <w:r>
          <w:rPr>
            <w:noProof/>
            <w:webHidden/>
          </w:rPr>
          <w:fldChar w:fldCharType="begin"/>
        </w:r>
        <w:r>
          <w:rPr>
            <w:noProof/>
            <w:webHidden/>
          </w:rPr>
          <w:instrText xml:space="preserve"> PAGEREF _Toc415733759 \h </w:instrText>
        </w:r>
        <w:r>
          <w:rPr>
            <w:noProof/>
            <w:webHidden/>
          </w:rPr>
        </w:r>
        <w:r>
          <w:rPr>
            <w:noProof/>
            <w:webHidden/>
          </w:rPr>
          <w:fldChar w:fldCharType="separate"/>
        </w:r>
        <w:r w:rsidR="00BD6FC4">
          <w:rPr>
            <w:noProof/>
            <w:webHidden/>
          </w:rPr>
          <w:t>113</w:t>
        </w:r>
        <w:r>
          <w:rPr>
            <w:noProof/>
            <w:webHidden/>
          </w:rPr>
          <w:fldChar w:fldCharType="end"/>
        </w:r>
      </w:hyperlink>
    </w:p>
    <w:p w:rsidR="00193C07" w:rsidRDefault="00193C07">
      <w:pPr>
        <w:pStyle w:val="TOC2"/>
        <w:tabs>
          <w:tab w:val="right" w:leader="dot" w:pos="8630"/>
        </w:tabs>
        <w:rPr>
          <w:rFonts w:ascii="Calibri" w:hAnsi="Calibri"/>
          <w:noProof/>
          <w:sz w:val="22"/>
          <w:szCs w:val="22"/>
          <w:lang w:eastAsia="en-IE"/>
        </w:rPr>
      </w:pPr>
      <w:hyperlink w:anchor="_Toc415733762" w:history="1">
        <w:r w:rsidRPr="00C576D7">
          <w:rPr>
            <w:rStyle w:val="Hyperlink"/>
            <w:noProof/>
          </w:rPr>
          <w:t>National Disability Survey 2006</w:t>
        </w:r>
        <w:r>
          <w:rPr>
            <w:noProof/>
            <w:webHidden/>
          </w:rPr>
          <w:tab/>
        </w:r>
        <w:r>
          <w:rPr>
            <w:noProof/>
            <w:webHidden/>
          </w:rPr>
          <w:fldChar w:fldCharType="begin"/>
        </w:r>
        <w:r>
          <w:rPr>
            <w:noProof/>
            <w:webHidden/>
          </w:rPr>
          <w:instrText xml:space="preserve"> PAGEREF _Toc415733762 \h </w:instrText>
        </w:r>
        <w:r>
          <w:rPr>
            <w:noProof/>
            <w:webHidden/>
          </w:rPr>
        </w:r>
        <w:r>
          <w:rPr>
            <w:noProof/>
            <w:webHidden/>
          </w:rPr>
          <w:fldChar w:fldCharType="separate"/>
        </w:r>
        <w:r w:rsidR="00BD6FC4">
          <w:rPr>
            <w:noProof/>
            <w:webHidden/>
          </w:rPr>
          <w:t>114</w:t>
        </w:r>
        <w:r>
          <w:rPr>
            <w:noProof/>
            <w:webHidden/>
          </w:rPr>
          <w:fldChar w:fldCharType="end"/>
        </w:r>
      </w:hyperlink>
    </w:p>
    <w:p w:rsidR="00193C07" w:rsidRDefault="00193C07">
      <w:pPr>
        <w:pStyle w:val="TOC2"/>
        <w:tabs>
          <w:tab w:val="right" w:leader="dot" w:pos="8630"/>
        </w:tabs>
        <w:rPr>
          <w:rFonts w:ascii="Calibri" w:hAnsi="Calibri"/>
          <w:noProof/>
          <w:sz w:val="22"/>
          <w:szCs w:val="22"/>
          <w:lang w:eastAsia="en-IE"/>
        </w:rPr>
      </w:pPr>
      <w:hyperlink w:anchor="_Toc415733765" w:history="1">
        <w:r w:rsidRPr="00C576D7">
          <w:rPr>
            <w:rStyle w:val="Hyperlink"/>
            <w:noProof/>
          </w:rPr>
          <w:t>Growing up in Ireland Survey – 9-year old cohort (2007) and 13 year old cohort (2011)</w:t>
        </w:r>
        <w:r>
          <w:rPr>
            <w:noProof/>
            <w:webHidden/>
          </w:rPr>
          <w:tab/>
        </w:r>
        <w:r>
          <w:rPr>
            <w:noProof/>
            <w:webHidden/>
          </w:rPr>
          <w:fldChar w:fldCharType="begin"/>
        </w:r>
        <w:r>
          <w:rPr>
            <w:noProof/>
            <w:webHidden/>
          </w:rPr>
          <w:instrText xml:space="preserve"> PAGEREF _Toc415733765 \h </w:instrText>
        </w:r>
        <w:r>
          <w:rPr>
            <w:noProof/>
            <w:webHidden/>
          </w:rPr>
        </w:r>
        <w:r>
          <w:rPr>
            <w:noProof/>
            <w:webHidden/>
          </w:rPr>
          <w:fldChar w:fldCharType="separate"/>
        </w:r>
        <w:r w:rsidR="00BD6FC4">
          <w:rPr>
            <w:noProof/>
            <w:webHidden/>
          </w:rPr>
          <w:t>114</w:t>
        </w:r>
        <w:r>
          <w:rPr>
            <w:noProof/>
            <w:webHidden/>
          </w:rPr>
          <w:fldChar w:fldCharType="end"/>
        </w:r>
      </w:hyperlink>
    </w:p>
    <w:p w:rsidR="00193C07" w:rsidRDefault="00193C07">
      <w:pPr>
        <w:pStyle w:val="TOC2"/>
        <w:tabs>
          <w:tab w:val="right" w:leader="dot" w:pos="8630"/>
        </w:tabs>
        <w:rPr>
          <w:rFonts w:ascii="Calibri" w:hAnsi="Calibri"/>
          <w:noProof/>
          <w:sz w:val="22"/>
          <w:szCs w:val="22"/>
          <w:lang w:eastAsia="en-IE"/>
        </w:rPr>
      </w:pPr>
      <w:hyperlink w:anchor="_Toc415733768" w:history="1">
        <w:r w:rsidRPr="00C576D7">
          <w:rPr>
            <w:rStyle w:val="Hyperlink"/>
            <w:noProof/>
          </w:rPr>
          <w:t>NCSE data on children with special education needs - 2012</w:t>
        </w:r>
        <w:r>
          <w:rPr>
            <w:noProof/>
            <w:webHidden/>
          </w:rPr>
          <w:tab/>
        </w:r>
        <w:r>
          <w:rPr>
            <w:noProof/>
            <w:webHidden/>
          </w:rPr>
          <w:fldChar w:fldCharType="begin"/>
        </w:r>
        <w:r>
          <w:rPr>
            <w:noProof/>
            <w:webHidden/>
          </w:rPr>
          <w:instrText xml:space="preserve"> PAGEREF _Toc415733768 \h </w:instrText>
        </w:r>
        <w:r>
          <w:rPr>
            <w:noProof/>
            <w:webHidden/>
          </w:rPr>
        </w:r>
        <w:r>
          <w:rPr>
            <w:noProof/>
            <w:webHidden/>
          </w:rPr>
          <w:fldChar w:fldCharType="separate"/>
        </w:r>
        <w:r w:rsidR="00BD6FC4">
          <w:rPr>
            <w:noProof/>
            <w:webHidden/>
          </w:rPr>
          <w:t>115</w:t>
        </w:r>
        <w:r>
          <w:rPr>
            <w:noProof/>
            <w:webHidden/>
          </w:rPr>
          <w:fldChar w:fldCharType="end"/>
        </w:r>
      </w:hyperlink>
    </w:p>
    <w:p w:rsidR="00193C07" w:rsidRDefault="00193C07">
      <w:pPr>
        <w:pStyle w:val="TOC1"/>
        <w:tabs>
          <w:tab w:val="right" w:leader="dot" w:pos="8630"/>
        </w:tabs>
        <w:rPr>
          <w:rFonts w:ascii="Calibri" w:hAnsi="Calibri"/>
          <w:b w:val="0"/>
          <w:noProof/>
          <w:sz w:val="22"/>
          <w:szCs w:val="22"/>
          <w:lang w:eastAsia="en-IE"/>
        </w:rPr>
      </w:pPr>
      <w:hyperlink w:anchor="_Toc415733771" w:history="1">
        <w:r w:rsidRPr="00C576D7">
          <w:rPr>
            <w:rStyle w:val="Hyperlink"/>
            <w:noProof/>
          </w:rPr>
          <w:t>Appendix 5: Forecast change in child population</w:t>
        </w:r>
        <w:r>
          <w:rPr>
            <w:noProof/>
            <w:webHidden/>
          </w:rPr>
          <w:tab/>
        </w:r>
        <w:r>
          <w:rPr>
            <w:noProof/>
            <w:webHidden/>
          </w:rPr>
          <w:fldChar w:fldCharType="begin"/>
        </w:r>
        <w:r>
          <w:rPr>
            <w:noProof/>
            <w:webHidden/>
          </w:rPr>
          <w:instrText xml:space="preserve"> PAGEREF _Toc415733771 \h </w:instrText>
        </w:r>
        <w:r>
          <w:rPr>
            <w:noProof/>
            <w:webHidden/>
          </w:rPr>
        </w:r>
        <w:r>
          <w:rPr>
            <w:noProof/>
            <w:webHidden/>
          </w:rPr>
          <w:fldChar w:fldCharType="separate"/>
        </w:r>
        <w:r w:rsidR="00BD6FC4">
          <w:rPr>
            <w:noProof/>
            <w:webHidden/>
          </w:rPr>
          <w:t>116</w:t>
        </w:r>
        <w:r>
          <w:rPr>
            <w:noProof/>
            <w:webHidden/>
          </w:rPr>
          <w:fldChar w:fldCharType="end"/>
        </w:r>
      </w:hyperlink>
    </w:p>
    <w:p w:rsidR="00193C07" w:rsidRDefault="00193C07">
      <w:pPr>
        <w:pStyle w:val="TOC1"/>
        <w:tabs>
          <w:tab w:val="right" w:leader="dot" w:pos="8630"/>
        </w:tabs>
        <w:rPr>
          <w:rFonts w:ascii="Calibri" w:hAnsi="Calibri"/>
          <w:b w:val="0"/>
          <w:noProof/>
          <w:sz w:val="22"/>
          <w:szCs w:val="22"/>
          <w:lang w:eastAsia="en-IE"/>
        </w:rPr>
      </w:pPr>
      <w:hyperlink w:anchor="_Toc415733772" w:history="1">
        <w:r w:rsidRPr="00C576D7">
          <w:rPr>
            <w:rStyle w:val="Hyperlink"/>
            <w:noProof/>
          </w:rPr>
          <w:t>Appendix 6: Submission from Faculty of Paediatrics on Disability Team Composition by a consultant paediatrics</w:t>
        </w:r>
        <w:r>
          <w:rPr>
            <w:noProof/>
            <w:webHidden/>
          </w:rPr>
          <w:tab/>
        </w:r>
        <w:r>
          <w:rPr>
            <w:noProof/>
            <w:webHidden/>
          </w:rPr>
          <w:fldChar w:fldCharType="begin"/>
        </w:r>
        <w:r>
          <w:rPr>
            <w:noProof/>
            <w:webHidden/>
          </w:rPr>
          <w:instrText xml:space="preserve"> PAGEREF _Toc415733772 \h </w:instrText>
        </w:r>
        <w:r>
          <w:rPr>
            <w:noProof/>
            <w:webHidden/>
          </w:rPr>
        </w:r>
        <w:r>
          <w:rPr>
            <w:noProof/>
            <w:webHidden/>
          </w:rPr>
          <w:fldChar w:fldCharType="separate"/>
        </w:r>
        <w:r w:rsidR="00BD6FC4">
          <w:rPr>
            <w:noProof/>
            <w:webHidden/>
          </w:rPr>
          <w:t>117</w:t>
        </w:r>
        <w:r>
          <w:rPr>
            <w:noProof/>
            <w:webHidden/>
          </w:rPr>
          <w:fldChar w:fldCharType="end"/>
        </w:r>
      </w:hyperlink>
    </w:p>
    <w:p w:rsidR="00193C07" w:rsidRDefault="00193C07">
      <w:pPr>
        <w:pStyle w:val="TOC2"/>
        <w:tabs>
          <w:tab w:val="right" w:leader="dot" w:pos="8630"/>
        </w:tabs>
        <w:rPr>
          <w:rFonts w:ascii="Calibri" w:hAnsi="Calibri"/>
          <w:noProof/>
          <w:sz w:val="22"/>
          <w:szCs w:val="22"/>
          <w:lang w:eastAsia="en-IE"/>
        </w:rPr>
      </w:pPr>
      <w:hyperlink w:anchor="_Toc415733773" w:history="1">
        <w:r w:rsidRPr="00C576D7">
          <w:rPr>
            <w:rStyle w:val="Hyperlink"/>
            <w:noProof/>
          </w:rPr>
          <w:t>Background – The task:</w:t>
        </w:r>
        <w:r>
          <w:rPr>
            <w:noProof/>
            <w:webHidden/>
          </w:rPr>
          <w:tab/>
        </w:r>
        <w:r>
          <w:rPr>
            <w:noProof/>
            <w:webHidden/>
          </w:rPr>
          <w:fldChar w:fldCharType="begin"/>
        </w:r>
        <w:r>
          <w:rPr>
            <w:noProof/>
            <w:webHidden/>
          </w:rPr>
          <w:instrText xml:space="preserve"> PAGEREF _Toc415733773 \h </w:instrText>
        </w:r>
        <w:r>
          <w:rPr>
            <w:noProof/>
            <w:webHidden/>
          </w:rPr>
        </w:r>
        <w:r>
          <w:rPr>
            <w:noProof/>
            <w:webHidden/>
          </w:rPr>
          <w:fldChar w:fldCharType="separate"/>
        </w:r>
        <w:r w:rsidR="00BD6FC4">
          <w:rPr>
            <w:noProof/>
            <w:webHidden/>
          </w:rPr>
          <w:t>117</w:t>
        </w:r>
        <w:r>
          <w:rPr>
            <w:noProof/>
            <w:webHidden/>
          </w:rPr>
          <w:fldChar w:fldCharType="end"/>
        </w:r>
      </w:hyperlink>
    </w:p>
    <w:p w:rsidR="00193C07" w:rsidRDefault="00193C07">
      <w:pPr>
        <w:pStyle w:val="TOC2"/>
        <w:tabs>
          <w:tab w:val="right" w:leader="dot" w:pos="8630"/>
        </w:tabs>
        <w:rPr>
          <w:rFonts w:ascii="Calibri" w:hAnsi="Calibri"/>
          <w:noProof/>
          <w:sz w:val="22"/>
          <w:szCs w:val="22"/>
          <w:lang w:eastAsia="en-IE"/>
        </w:rPr>
      </w:pPr>
      <w:hyperlink w:anchor="_Toc415733774" w:history="1">
        <w:r w:rsidRPr="00C576D7">
          <w:rPr>
            <w:rStyle w:val="Hyperlink"/>
            <w:noProof/>
          </w:rPr>
          <w:t>Core principles:</w:t>
        </w:r>
        <w:r>
          <w:rPr>
            <w:noProof/>
            <w:webHidden/>
          </w:rPr>
          <w:tab/>
        </w:r>
        <w:r>
          <w:rPr>
            <w:noProof/>
            <w:webHidden/>
          </w:rPr>
          <w:fldChar w:fldCharType="begin"/>
        </w:r>
        <w:r>
          <w:rPr>
            <w:noProof/>
            <w:webHidden/>
          </w:rPr>
          <w:instrText xml:space="preserve"> PAGEREF _Toc415733774 \h </w:instrText>
        </w:r>
        <w:r>
          <w:rPr>
            <w:noProof/>
            <w:webHidden/>
          </w:rPr>
        </w:r>
        <w:r>
          <w:rPr>
            <w:noProof/>
            <w:webHidden/>
          </w:rPr>
          <w:fldChar w:fldCharType="separate"/>
        </w:r>
        <w:r w:rsidR="00BD6FC4">
          <w:rPr>
            <w:noProof/>
            <w:webHidden/>
          </w:rPr>
          <w:t>119</w:t>
        </w:r>
        <w:r>
          <w:rPr>
            <w:noProof/>
            <w:webHidden/>
          </w:rPr>
          <w:fldChar w:fldCharType="end"/>
        </w:r>
      </w:hyperlink>
    </w:p>
    <w:p w:rsidR="00193C07" w:rsidRDefault="00193C07">
      <w:pPr>
        <w:pStyle w:val="TOC2"/>
        <w:tabs>
          <w:tab w:val="right" w:leader="dot" w:pos="8630"/>
        </w:tabs>
        <w:rPr>
          <w:rFonts w:ascii="Calibri" w:hAnsi="Calibri"/>
          <w:noProof/>
          <w:sz w:val="22"/>
          <w:szCs w:val="22"/>
          <w:lang w:eastAsia="en-IE"/>
        </w:rPr>
      </w:pPr>
      <w:hyperlink w:anchor="_Toc415733775" w:history="1">
        <w:r w:rsidRPr="00C576D7">
          <w:rPr>
            <w:rStyle w:val="Hyperlink"/>
            <w:noProof/>
          </w:rPr>
          <w:t>Current Practise and Consultant Workforce</w:t>
        </w:r>
        <w:r>
          <w:rPr>
            <w:noProof/>
            <w:webHidden/>
          </w:rPr>
          <w:tab/>
        </w:r>
        <w:r>
          <w:rPr>
            <w:noProof/>
            <w:webHidden/>
          </w:rPr>
          <w:fldChar w:fldCharType="begin"/>
        </w:r>
        <w:r>
          <w:rPr>
            <w:noProof/>
            <w:webHidden/>
          </w:rPr>
          <w:instrText xml:space="preserve"> PAGEREF _Toc415733775 \h </w:instrText>
        </w:r>
        <w:r>
          <w:rPr>
            <w:noProof/>
            <w:webHidden/>
          </w:rPr>
        </w:r>
        <w:r>
          <w:rPr>
            <w:noProof/>
            <w:webHidden/>
          </w:rPr>
          <w:fldChar w:fldCharType="separate"/>
        </w:r>
        <w:r w:rsidR="00BD6FC4">
          <w:rPr>
            <w:noProof/>
            <w:webHidden/>
          </w:rPr>
          <w:t>119</w:t>
        </w:r>
        <w:r>
          <w:rPr>
            <w:noProof/>
            <w:webHidden/>
          </w:rPr>
          <w:fldChar w:fldCharType="end"/>
        </w:r>
      </w:hyperlink>
    </w:p>
    <w:p w:rsidR="00193C07" w:rsidRDefault="00193C07">
      <w:pPr>
        <w:pStyle w:val="TOC2"/>
        <w:tabs>
          <w:tab w:val="right" w:leader="dot" w:pos="8630"/>
        </w:tabs>
        <w:rPr>
          <w:rFonts w:ascii="Calibri" w:hAnsi="Calibri"/>
          <w:noProof/>
          <w:sz w:val="22"/>
          <w:szCs w:val="22"/>
          <w:lang w:eastAsia="en-IE"/>
        </w:rPr>
      </w:pPr>
      <w:hyperlink w:anchor="_Toc415733776" w:history="1">
        <w:r w:rsidRPr="00C576D7">
          <w:rPr>
            <w:rStyle w:val="Hyperlink"/>
            <w:noProof/>
          </w:rPr>
          <w:t>Available Workforce Recommendations</w:t>
        </w:r>
        <w:r>
          <w:rPr>
            <w:noProof/>
            <w:webHidden/>
          </w:rPr>
          <w:tab/>
        </w:r>
        <w:r>
          <w:rPr>
            <w:noProof/>
            <w:webHidden/>
          </w:rPr>
          <w:fldChar w:fldCharType="begin"/>
        </w:r>
        <w:r>
          <w:rPr>
            <w:noProof/>
            <w:webHidden/>
          </w:rPr>
          <w:instrText xml:space="preserve"> PAGEREF _Toc415733776 \h </w:instrText>
        </w:r>
        <w:r>
          <w:rPr>
            <w:noProof/>
            <w:webHidden/>
          </w:rPr>
        </w:r>
        <w:r>
          <w:rPr>
            <w:noProof/>
            <w:webHidden/>
          </w:rPr>
          <w:fldChar w:fldCharType="separate"/>
        </w:r>
        <w:r w:rsidR="00BD6FC4">
          <w:rPr>
            <w:noProof/>
            <w:webHidden/>
          </w:rPr>
          <w:t>120</w:t>
        </w:r>
        <w:r>
          <w:rPr>
            <w:noProof/>
            <w:webHidden/>
          </w:rPr>
          <w:fldChar w:fldCharType="end"/>
        </w:r>
      </w:hyperlink>
    </w:p>
    <w:p w:rsidR="00193C07" w:rsidRDefault="00193C07">
      <w:pPr>
        <w:pStyle w:val="TOC2"/>
        <w:tabs>
          <w:tab w:val="right" w:leader="dot" w:pos="8630"/>
        </w:tabs>
        <w:rPr>
          <w:rFonts w:ascii="Calibri" w:hAnsi="Calibri"/>
          <w:noProof/>
          <w:sz w:val="22"/>
          <w:szCs w:val="22"/>
          <w:lang w:eastAsia="en-IE"/>
        </w:rPr>
      </w:pPr>
      <w:hyperlink w:anchor="_Toc415733777" w:history="1">
        <w:r w:rsidRPr="00C576D7">
          <w:rPr>
            <w:rStyle w:val="Hyperlink"/>
            <w:noProof/>
          </w:rPr>
          <w:t>Summary</w:t>
        </w:r>
        <w:r>
          <w:rPr>
            <w:noProof/>
            <w:webHidden/>
          </w:rPr>
          <w:tab/>
        </w:r>
        <w:r>
          <w:rPr>
            <w:noProof/>
            <w:webHidden/>
          </w:rPr>
          <w:fldChar w:fldCharType="begin"/>
        </w:r>
        <w:r>
          <w:rPr>
            <w:noProof/>
            <w:webHidden/>
          </w:rPr>
          <w:instrText xml:space="preserve"> PAGEREF _Toc415733777 \h </w:instrText>
        </w:r>
        <w:r>
          <w:rPr>
            <w:noProof/>
            <w:webHidden/>
          </w:rPr>
        </w:r>
        <w:r>
          <w:rPr>
            <w:noProof/>
            <w:webHidden/>
          </w:rPr>
          <w:fldChar w:fldCharType="separate"/>
        </w:r>
        <w:r w:rsidR="00BD6FC4">
          <w:rPr>
            <w:noProof/>
            <w:webHidden/>
          </w:rPr>
          <w:t>121</w:t>
        </w:r>
        <w:r>
          <w:rPr>
            <w:noProof/>
            <w:webHidden/>
          </w:rPr>
          <w:fldChar w:fldCharType="end"/>
        </w:r>
      </w:hyperlink>
    </w:p>
    <w:p w:rsidR="00193C07" w:rsidRDefault="00193C07">
      <w:pPr>
        <w:pStyle w:val="TOC1"/>
        <w:tabs>
          <w:tab w:val="right" w:leader="dot" w:pos="8630"/>
        </w:tabs>
        <w:rPr>
          <w:rFonts w:ascii="Calibri" w:hAnsi="Calibri"/>
          <w:b w:val="0"/>
          <w:noProof/>
          <w:sz w:val="22"/>
          <w:szCs w:val="22"/>
          <w:lang w:eastAsia="en-IE"/>
        </w:rPr>
      </w:pPr>
      <w:hyperlink w:anchor="_Toc415733778" w:history="1">
        <w:r w:rsidRPr="00C576D7">
          <w:rPr>
            <w:rStyle w:val="Hyperlink"/>
            <w:noProof/>
          </w:rPr>
          <w:t>Appendix 7: Reconfiguring Disability Services in Ireland</w:t>
        </w:r>
        <w:r>
          <w:rPr>
            <w:noProof/>
            <w:webHidden/>
          </w:rPr>
          <w:tab/>
        </w:r>
        <w:r>
          <w:rPr>
            <w:noProof/>
            <w:webHidden/>
          </w:rPr>
          <w:fldChar w:fldCharType="begin"/>
        </w:r>
        <w:r>
          <w:rPr>
            <w:noProof/>
            <w:webHidden/>
          </w:rPr>
          <w:instrText xml:space="preserve"> PAGEREF _Toc415733778 \h </w:instrText>
        </w:r>
        <w:r>
          <w:rPr>
            <w:noProof/>
            <w:webHidden/>
          </w:rPr>
        </w:r>
        <w:r>
          <w:rPr>
            <w:noProof/>
            <w:webHidden/>
          </w:rPr>
          <w:fldChar w:fldCharType="separate"/>
        </w:r>
        <w:r w:rsidR="00BD6FC4">
          <w:rPr>
            <w:noProof/>
            <w:webHidden/>
          </w:rPr>
          <w:t>122</w:t>
        </w:r>
        <w:r>
          <w:rPr>
            <w:noProof/>
            <w:webHidden/>
          </w:rPr>
          <w:fldChar w:fldCharType="end"/>
        </w:r>
      </w:hyperlink>
    </w:p>
    <w:p w:rsidR="00193C07" w:rsidRDefault="00193C07">
      <w:pPr>
        <w:pStyle w:val="TOC2"/>
        <w:tabs>
          <w:tab w:val="right" w:leader="dot" w:pos="8630"/>
        </w:tabs>
        <w:rPr>
          <w:rFonts w:ascii="Calibri" w:hAnsi="Calibri"/>
          <w:noProof/>
          <w:sz w:val="22"/>
          <w:szCs w:val="22"/>
          <w:lang w:eastAsia="en-IE"/>
        </w:rPr>
      </w:pPr>
      <w:hyperlink w:anchor="_Toc415733779" w:history="1">
        <w:r w:rsidRPr="00C576D7">
          <w:rPr>
            <w:rStyle w:val="Hyperlink"/>
            <w:noProof/>
          </w:rPr>
          <w:t>Reconfiguring health services</w:t>
        </w:r>
        <w:r>
          <w:rPr>
            <w:noProof/>
            <w:webHidden/>
          </w:rPr>
          <w:tab/>
        </w:r>
        <w:r>
          <w:rPr>
            <w:noProof/>
            <w:webHidden/>
          </w:rPr>
          <w:fldChar w:fldCharType="begin"/>
        </w:r>
        <w:r>
          <w:rPr>
            <w:noProof/>
            <w:webHidden/>
          </w:rPr>
          <w:instrText xml:space="preserve"> PAGEREF _Toc415733779 \h </w:instrText>
        </w:r>
        <w:r>
          <w:rPr>
            <w:noProof/>
            <w:webHidden/>
          </w:rPr>
        </w:r>
        <w:r>
          <w:rPr>
            <w:noProof/>
            <w:webHidden/>
          </w:rPr>
          <w:fldChar w:fldCharType="separate"/>
        </w:r>
        <w:r w:rsidR="00BD6FC4">
          <w:rPr>
            <w:noProof/>
            <w:webHidden/>
          </w:rPr>
          <w:t>122</w:t>
        </w:r>
        <w:r>
          <w:rPr>
            <w:noProof/>
            <w:webHidden/>
          </w:rPr>
          <w:fldChar w:fldCharType="end"/>
        </w:r>
      </w:hyperlink>
    </w:p>
    <w:p w:rsidR="00193C07" w:rsidRDefault="00193C07">
      <w:pPr>
        <w:pStyle w:val="TOC2"/>
        <w:tabs>
          <w:tab w:val="right" w:leader="dot" w:pos="8630"/>
        </w:tabs>
        <w:rPr>
          <w:rFonts w:ascii="Calibri" w:hAnsi="Calibri"/>
          <w:noProof/>
          <w:sz w:val="22"/>
          <w:szCs w:val="22"/>
          <w:lang w:eastAsia="en-IE"/>
        </w:rPr>
      </w:pPr>
      <w:hyperlink w:anchor="_Toc415733780" w:history="1">
        <w:r w:rsidRPr="00C576D7">
          <w:rPr>
            <w:rStyle w:val="Hyperlink"/>
            <w:noProof/>
          </w:rPr>
          <w:t>Reconfiguring children’s disability services</w:t>
        </w:r>
        <w:r>
          <w:rPr>
            <w:noProof/>
            <w:webHidden/>
          </w:rPr>
          <w:tab/>
        </w:r>
        <w:r>
          <w:rPr>
            <w:noProof/>
            <w:webHidden/>
          </w:rPr>
          <w:fldChar w:fldCharType="begin"/>
        </w:r>
        <w:r>
          <w:rPr>
            <w:noProof/>
            <w:webHidden/>
          </w:rPr>
          <w:instrText xml:space="preserve"> PAGEREF _Toc415733780 \h </w:instrText>
        </w:r>
        <w:r>
          <w:rPr>
            <w:noProof/>
            <w:webHidden/>
          </w:rPr>
        </w:r>
        <w:r>
          <w:rPr>
            <w:noProof/>
            <w:webHidden/>
          </w:rPr>
          <w:fldChar w:fldCharType="separate"/>
        </w:r>
        <w:r w:rsidR="00BD6FC4">
          <w:rPr>
            <w:noProof/>
            <w:webHidden/>
          </w:rPr>
          <w:t>123</w:t>
        </w:r>
        <w:r>
          <w:rPr>
            <w:noProof/>
            <w:webHidden/>
          </w:rPr>
          <w:fldChar w:fldCharType="end"/>
        </w:r>
      </w:hyperlink>
    </w:p>
    <w:p w:rsidR="00193C07" w:rsidRDefault="00193C07">
      <w:pPr>
        <w:pStyle w:val="TOC1"/>
        <w:tabs>
          <w:tab w:val="right" w:leader="dot" w:pos="8630"/>
        </w:tabs>
        <w:rPr>
          <w:rFonts w:ascii="Calibri" w:hAnsi="Calibri"/>
          <w:b w:val="0"/>
          <w:noProof/>
          <w:sz w:val="22"/>
          <w:szCs w:val="22"/>
          <w:lang w:eastAsia="en-IE"/>
        </w:rPr>
      </w:pPr>
      <w:hyperlink w:anchor="_Toc415733781" w:history="1">
        <w:r w:rsidRPr="00C576D7">
          <w:rPr>
            <w:rStyle w:val="Hyperlink"/>
            <w:noProof/>
          </w:rPr>
          <w:t>Bibliography</w:t>
        </w:r>
        <w:r>
          <w:rPr>
            <w:noProof/>
            <w:webHidden/>
          </w:rPr>
          <w:tab/>
        </w:r>
        <w:r>
          <w:rPr>
            <w:noProof/>
            <w:webHidden/>
          </w:rPr>
          <w:fldChar w:fldCharType="begin"/>
        </w:r>
        <w:r>
          <w:rPr>
            <w:noProof/>
            <w:webHidden/>
          </w:rPr>
          <w:instrText xml:space="preserve"> PAGEREF _Toc415733781 \h </w:instrText>
        </w:r>
        <w:r>
          <w:rPr>
            <w:noProof/>
            <w:webHidden/>
          </w:rPr>
        </w:r>
        <w:r>
          <w:rPr>
            <w:noProof/>
            <w:webHidden/>
          </w:rPr>
          <w:fldChar w:fldCharType="separate"/>
        </w:r>
        <w:r w:rsidR="00BD6FC4">
          <w:rPr>
            <w:noProof/>
            <w:webHidden/>
          </w:rPr>
          <w:t>126</w:t>
        </w:r>
        <w:r>
          <w:rPr>
            <w:noProof/>
            <w:webHidden/>
          </w:rPr>
          <w:fldChar w:fldCharType="end"/>
        </w:r>
      </w:hyperlink>
    </w:p>
    <w:p w:rsidR="001F55B2" w:rsidRPr="005A6C4A" w:rsidRDefault="001F55B2" w:rsidP="005A6C4A">
      <w:pPr>
        <w:rPr>
          <w:b/>
          <w:sz w:val="22"/>
          <w:szCs w:val="22"/>
        </w:rPr>
      </w:pPr>
      <w:r w:rsidRPr="00853F36">
        <w:rPr>
          <w:sz w:val="22"/>
          <w:szCs w:val="22"/>
        </w:rPr>
        <w:fldChar w:fldCharType="end"/>
      </w:r>
      <w:r w:rsidRPr="00853F36">
        <w:br w:type="page"/>
      </w:r>
      <w:r w:rsidRPr="005A6C4A">
        <w:rPr>
          <w:b/>
        </w:rPr>
        <w:t>Tables</w:t>
      </w:r>
      <w:bookmarkEnd w:id="0"/>
      <w:bookmarkEnd w:id="1"/>
    </w:p>
    <w:p w:rsidR="009F7B74" w:rsidRDefault="001F55B2">
      <w:pPr>
        <w:pStyle w:val="TableofFigures"/>
        <w:tabs>
          <w:tab w:val="right" w:leader="dot" w:pos="8630"/>
        </w:tabs>
        <w:rPr>
          <w:rFonts w:ascii="Calibri" w:hAnsi="Calibri"/>
          <w:noProof/>
          <w:sz w:val="22"/>
          <w:szCs w:val="22"/>
          <w:lang w:eastAsia="en-IE"/>
        </w:rPr>
      </w:pPr>
      <w:r w:rsidRPr="00853F36">
        <w:rPr>
          <w:bCs/>
          <w:sz w:val="24"/>
        </w:rPr>
        <w:fldChar w:fldCharType="begin"/>
      </w:r>
      <w:r w:rsidRPr="00853F36">
        <w:rPr>
          <w:bCs/>
          <w:sz w:val="24"/>
        </w:rPr>
        <w:instrText xml:space="preserve"> TOC \h \z \t "Table Title" \c </w:instrText>
      </w:r>
      <w:r w:rsidRPr="00853F36">
        <w:rPr>
          <w:bCs/>
          <w:sz w:val="24"/>
        </w:rPr>
        <w:fldChar w:fldCharType="separate"/>
      </w:r>
      <w:hyperlink w:anchor="_Toc419879404" w:history="1">
        <w:r w:rsidR="009F7B74" w:rsidRPr="004D13B3">
          <w:rPr>
            <w:rStyle w:val="Hyperlink"/>
            <w:noProof/>
          </w:rPr>
          <w:t>Table 1: Nos. employed in children’s disability therapy services 2012</w:t>
        </w:r>
        <w:r w:rsidR="009F7B74">
          <w:rPr>
            <w:noProof/>
            <w:webHidden/>
          </w:rPr>
          <w:tab/>
        </w:r>
        <w:r w:rsidR="009F7B74">
          <w:rPr>
            <w:noProof/>
            <w:webHidden/>
          </w:rPr>
          <w:fldChar w:fldCharType="begin"/>
        </w:r>
        <w:r w:rsidR="009F7B74">
          <w:rPr>
            <w:noProof/>
            <w:webHidden/>
          </w:rPr>
          <w:instrText xml:space="preserve"> PAGEREF _Toc419879404 \h </w:instrText>
        </w:r>
        <w:r w:rsidR="009F7B74">
          <w:rPr>
            <w:noProof/>
            <w:webHidden/>
          </w:rPr>
        </w:r>
        <w:r w:rsidR="009F7B74">
          <w:rPr>
            <w:noProof/>
            <w:webHidden/>
          </w:rPr>
          <w:fldChar w:fldCharType="separate"/>
        </w:r>
        <w:r w:rsidR="00BD6FC4">
          <w:rPr>
            <w:noProof/>
            <w:webHidden/>
          </w:rPr>
          <w:t>25</w:t>
        </w:r>
        <w:r w:rsidR="009F7B74">
          <w:rPr>
            <w:noProof/>
            <w:webHidden/>
          </w:rPr>
          <w:fldChar w:fldCharType="end"/>
        </w:r>
      </w:hyperlink>
    </w:p>
    <w:p w:rsidR="009F7B74" w:rsidRDefault="009F7B74">
      <w:pPr>
        <w:pStyle w:val="TableofFigures"/>
        <w:tabs>
          <w:tab w:val="right" w:leader="dot" w:pos="8630"/>
        </w:tabs>
        <w:rPr>
          <w:rFonts w:ascii="Calibri" w:hAnsi="Calibri"/>
          <w:noProof/>
          <w:sz w:val="22"/>
          <w:szCs w:val="22"/>
          <w:lang w:eastAsia="en-IE"/>
        </w:rPr>
      </w:pPr>
      <w:hyperlink w:anchor="_Toc419879405" w:history="1">
        <w:r w:rsidRPr="004D13B3">
          <w:rPr>
            <w:rStyle w:val="Hyperlink"/>
            <w:noProof/>
          </w:rPr>
          <w:t>Table 2: Children requiring services and percentage expansion required - grossing up NPSDD by 5</w:t>
        </w:r>
        <w:r>
          <w:rPr>
            <w:noProof/>
            <w:webHidden/>
          </w:rPr>
          <w:tab/>
        </w:r>
        <w:r>
          <w:rPr>
            <w:noProof/>
            <w:webHidden/>
          </w:rPr>
          <w:fldChar w:fldCharType="begin"/>
        </w:r>
        <w:r>
          <w:rPr>
            <w:noProof/>
            <w:webHidden/>
          </w:rPr>
          <w:instrText xml:space="preserve"> PAGEREF _Toc419879405 \h </w:instrText>
        </w:r>
        <w:r>
          <w:rPr>
            <w:noProof/>
            <w:webHidden/>
          </w:rPr>
        </w:r>
        <w:r>
          <w:rPr>
            <w:noProof/>
            <w:webHidden/>
          </w:rPr>
          <w:fldChar w:fldCharType="separate"/>
        </w:r>
        <w:r w:rsidR="00BD6FC4">
          <w:rPr>
            <w:noProof/>
            <w:webHidden/>
          </w:rPr>
          <w:t>31</w:t>
        </w:r>
        <w:r>
          <w:rPr>
            <w:noProof/>
            <w:webHidden/>
          </w:rPr>
          <w:fldChar w:fldCharType="end"/>
        </w:r>
      </w:hyperlink>
    </w:p>
    <w:p w:rsidR="009F7B74" w:rsidRDefault="009F7B74">
      <w:pPr>
        <w:pStyle w:val="TableofFigures"/>
        <w:tabs>
          <w:tab w:val="right" w:leader="dot" w:pos="8630"/>
        </w:tabs>
        <w:rPr>
          <w:rFonts w:ascii="Calibri" w:hAnsi="Calibri"/>
          <w:noProof/>
          <w:sz w:val="22"/>
          <w:szCs w:val="22"/>
          <w:lang w:eastAsia="en-IE"/>
        </w:rPr>
      </w:pPr>
      <w:hyperlink w:anchor="_Toc419879406" w:history="1">
        <w:r w:rsidRPr="004D13B3">
          <w:rPr>
            <w:rStyle w:val="Hyperlink"/>
            <w:noProof/>
          </w:rPr>
          <w:t>Table 3: Children requiring services and percentage expansion required – grossing up NPSDD by 6.25</w:t>
        </w:r>
        <w:r>
          <w:rPr>
            <w:noProof/>
            <w:webHidden/>
          </w:rPr>
          <w:tab/>
        </w:r>
        <w:r>
          <w:rPr>
            <w:noProof/>
            <w:webHidden/>
          </w:rPr>
          <w:fldChar w:fldCharType="begin"/>
        </w:r>
        <w:r>
          <w:rPr>
            <w:noProof/>
            <w:webHidden/>
          </w:rPr>
          <w:instrText xml:space="preserve"> PAGEREF _Toc419879406 \h </w:instrText>
        </w:r>
        <w:r>
          <w:rPr>
            <w:noProof/>
            <w:webHidden/>
          </w:rPr>
        </w:r>
        <w:r>
          <w:rPr>
            <w:noProof/>
            <w:webHidden/>
          </w:rPr>
          <w:fldChar w:fldCharType="separate"/>
        </w:r>
        <w:r w:rsidR="00BD6FC4">
          <w:rPr>
            <w:noProof/>
            <w:webHidden/>
          </w:rPr>
          <w:t>32</w:t>
        </w:r>
        <w:r>
          <w:rPr>
            <w:noProof/>
            <w:webHidden/>
          </w:rPr>
          <w:fldChar w:fldCharType="end"/>
        </w:r>
      </w:hyperlink>
    </w:p>
    <w:p w:rsidR="009F7B74" w:rsidRDefault="009F7B74">
      <w:pPr>
        <w:pStyle w:val="TableofFigures"/>
        <w:tabs>
          <w:tab w:val="right" w:leader="dot" w:pos="8630"/>
        </w:tabs>
        <w:rPr>
          <w:rFonts w:ascii="Calibri" w:hAnsi="Calibri"/>
          <w:noProof/>
          <w:sz w:val="22"/>
          <w:szCs w:val="22"/>
          <w:lang w:eastAsia="en-IE"/>
        </w:rPr>
      </w:pPr>
      <w:hyperlink w:anchor="_Toc419879407" w:history="1">
        <w:r w:rsidRPr="004D13B3">
          <w:rPr>
            <w:rStyle w:val="Hyperlink"/>
            <w:noProof/>
          </w:rPr>
          <w:t>Table 4: Expansion required in therapist nos., grossing up NPSDD by 5, and applying varying ratios to existing numbers of therapists</w:t>
        </w:r>
        <w:r>
          <w:rPr>
            <w:noProof/>
            <w:webHidden/>
          </w:rPr>
          <w:tab/>
        </w:r>
        <w:r>
          <w:rPr>
            <w:noProof/>
            <w:webHidden/>
          </w:rPr>
          <w:fldChar w:fldCharType="begin"/>
        </w:r>
        <w:r>
          <w:rPr>
            <w:noProof/>
            <w:webHidden/>
          </w:rPr>
          <w:instrText xml:space="preserve"> PAGEREF _Toc419879407 \h </w:instrText>
        </w:r>
        <w:r>
          <w:rPr>
            <w:noProof/>
            <w:webHidden/>
          </w:rPr>
        </w:r>
        <w:r>
          <w:rPr>
            <w:noProof/>
            <w:webHidden/>
          </w:rPr>
          <w:fldChar w:fldCharType="separate"/>
        </w:r>
        <w:r w:rsidR="00BD6FC4">
          <w:rPr>
            <w:noProof/>
            <w:webHidden/>
          </w:rPr>
          <w:t>32</w:t>
        </w:r>
        <w:r>
          <w:rPr>
            <w:noProof/>
            <w:webHidden/>
          </w:rPr>
          <w:fldChar w:fldCharType="end"/>
        </w:r>
      </w:hyperlink>
    </w:p>
    <w:p w:rsidR="009F7B74" w:rsidRDefault="009F7B74">
      <w:pPr>
        <w:pStyle w:val="TableofFigures"/>
        <w:tabs>
          <w:tab w:val="right" w:leader="dot" w:pos="8630"/>
        </w:tabs>
        <w:rPr>
          <w:rFonts w:ascii="Calibri" w:hAnsi="Calibri"/>
          <w:noProof/>
          <w:sz w:val="22"/>
          <w:szCs w:val="22"/>
          <w:lang w:eastAsia="en-IE"/>
        </w:rPr>
      </w:pPr>
      <w:hyperlink w:anchor="_Toc419879408" w:history="1">
        <w:r w:rsidRPr="004D13B3">
          <w:rPr>
            <w:rStyle w:val="Hyperlink"/>
            <w:noProof/>
          </w:rPr>
          <w:t>Table 5: Ratio for 100 new therapy posts</w:t>
        </w:r>
        <w:r>
          <w:rPr>
            <w:noProof/>
            <w:webHidden/>
          </w:rPr>
          <w:tab/>
        </w:r>
        <w:r>
          <w:rPr>
            <w:noProof/>
            <w:webHidden/>
          </w:rPr>
          <w:fldChar w:fldCharType="begin"/>
        </w:r>
        <w:r>
          <w:rPr>
            <w:noProof/>
            <w:webHidden/>
          </w:rPr>
          <w:instrText xml:space="preserve"> PAGEREF _Toc419879408 \h </w:instrText>
        </w:r>
        <w:r>
          <w:rPr>
            <w:noProof/>
            <w:webHidden/>
          </w:rPr>
        </w:r>
        <w:r>
          <w:rPr>
            <w:noProof/>
            <w:webHidden/>
          </w:rPr>
          <w:fldChar w:fldCharType="separate"/>
        </w:r>
        <w:r w:rsidR="00BD6FC4">
          <w:rPr>
            <w:noProof/>
            <w:webHidden/>
          </w:rPr>
          <w:t>34</w:t>
        </w:r>
        <w:r>
          <w:rPr>
            <w:noProof/>
            <w:webHidden/>
          </w:rPr>
          <w:fldChar w:fldCharType="end"/>
        </w:r>
      </w:hyperlink>
    </w:p>
    <w:p w:rsidR="009F7B74" w:rsidRDefault="009F7B74">
      <w:pPr>
        <w:pStyle w:val="TableofFigures"/>
        <w:tabs>
          <w:tab w:val="right" w:leader="dot" w:pos="8630"/>
        </w:tabs>
        <w:rPr>
          <w:rFonts w:ascii="Calibri" w:hAnsi="Calibri"/>
          <w:noProof/>
          <w:sz w:val="22"/>
          <w:szCs w:val="22"/>
          <w:lang w:eastAsia="en-IE"/>
        </w:rPr>
      </w:pPr>
      <w:hyperlink w:anchor="_Toc419879409" w:history="1">
        <w:r w:rsidRPr="004D13B3">
          <w:rPr>
            <w:rStyle w:val="Hyperlink"/>
            <w:noProof/>
            <w:lang w:val="en-GB"/>
          </w:rPr>
          <w:t>Table 6: Children with a disability by single year of age and more than one form of impairment/disability recorded</w:t>
        </w:r>
        <w:r>
          <w:rPr>
            <w:noProof/>
            <w:webHidden/>
          </w:rPr>
          <w:tab/>
        </w:r>
        <w:r>
          <w:rPr>
            <w:noProof/>
            <w:webHidden/>
          </w:rPr>
          <w:fldChar w:fldCharType="begin"/>
        </w:r>
        <w:r>
          <w:rPr>
            <w:noProof/>
            <w:webHidden/>
          </w:rPr>
          <w:instrText xml:space="preserve"> PAGEREF _Toc419879409 \h </w:instrText>
        </w:r>
        <w:r>
          <w:rPr>
            <w:noProof/>
            <w:webHidden/>
          </w:rPr>
        </w:r>
        <w:r>
          <w:rPr>
            <w:noProof/>
            <w:webHidden/>
          </w:rPr>
          <w:fldChar w:fldCharType="separate"/>
        </w:r>
        <w:r w:rsidR="00BD6FC4">
          <w:rPr>
            <w:noProof/>
            <w:webHidden/>
          </w:rPr>
          <w:t>35</w:t>
        </w:r>
        <w:r>
          <w:rPr>
            <w:noProof/>
            <w:webHidden/>
          </w:rPr>
          <w:fldChar w:fldCharType="end"/>
        </w:r>
      </w:hyperlink>
    </w:p>
    <w:p w:rsidR="009F7B74" w:rsidRDefault="009F7B74">
      <w:pPr>
        <w:pStyle w:val="TableofFigures"/>
        <w:tabs>
          <w:tab w:val="right" w:leader="dot" w:pos="8630"/>
        </w:tabs>
        <w:rPr>
          <w:rFonts w:ascii="Calibri" w:hAnsi="Calibri"/>
          <w:noProof/>
          <w:sz w:val="22"/>
          <w:szCs w:val="22"/>
          <w:lang w:eastAsia="en-IE"/>
        </w:rPr>
      </w:pPr>
      <w:hyperlink w:anchor="_Toc419879410" w:history="1">
        <w:r w:rsidRPr="004D13B3">
          <w:rPr>
            <w:rStyle w:val="Hyperlink"/>
            <w:noProof/>
          </w:rPr>
          <w:t>Table 7: People (all ages) with impaired mobility or dexterity</w:t>
        </w:r>
        <w:r>
          <w:rPr>
            <w:noProof/>
            <w:webHidden/>
          </w:rPr>
          <w:tab/>
        </w:r>
        <w:r>
          <w:rPr>
            <w:noProof/>
            <w:webHidden/>
          </w:rPr>
          <w:fldChar w:fldCharType="begin"/>
        </w:r>
        <w:r>
          <w:rPr>
            <w:noProof/>
            <w:webHidden/>
          </w:rPr>
          <w:instrText xml:space="preserve"> PAGEREF _Toc419879410 \h </w:instrText>
        </w:r>
        <w:r>
          <w:rPr>
            <w:noProof/>
            <w:webHidden/>
          </w:rPr>
        </w:r>
        <w:r>
          <w:rPr>
            <w:noProof/>
            <w:webHidden/>
          </w:rPr>
          <w:fldChar w:fldCharType="separate"/>
        </w:r>
        <w:r w:rsidR="00BD6FC4">
          <w:rPr>
            <w:noProof/>
            <w:webHidden/>
          </w:rPr>
          <w:t>37</w:t>
        </w:r>
        <w:r>
          <w:rPr>
            <w:noProof/>
            <w:webHidden/>
          </w:rPr>
          <w:fldChar w:fldCharType="end"/>
        </w:r>
      </w:hyperlink>
    </w:p>
    <w:p w:rsidR="009F7B74" w:rsidRDefault="009F7B74">
      <w:pPr>
        <w:pStyle w:val="TableofFigures"/>
        <w:tabs>
          <w:tab w:val="right" w:leader="dot" w:pos="8630"/>
        </w:tabs>
        <w:rPr>
          <w:rFonts w:ascii="Calibri" w:hAnsi="Calibri"/>
          <w:noProof/>
          <w:sz w:val="22"/>
          <w:szCs w:val="22"/>
          <w:lang w:eastAsia="en-IE"/>
        </w:rPr>
      </w:pPr>
      <w:hyperlink w:anchor="_Toc419879411" w:history="1">
        <w:r w:rsidRPr="004D13B3">
          <w:rPr>
            <w:rStyle w:val="Hyperlink"/>
            <w:noProof/>
          </w:rPr>
          <w:t>Table 8: People (all ages) with an intellectual or learning disability</w:t>
        </w:r>
        <w:r>
          <w:rPr>
            <w:noProof/>
            <w:webHidden/>
          </w:rPr>
          <w:tab/>
        </w:r>
        <w:r>
          <w:rPr>
            <w:noProof/>
            <w:webHidden/>
          </w:rPr>
          <w:fldChar w:fldCharType="begin"/>
        </w:r>
        <w:r>
          <w:rPr>
            <w:noProof/>
            <w:webHidden/>
          </w:rPr>
          <w:instrText xml:space="preserve"> PAGEREF _Toc419879411 \h </w:instrText>
        </w:r>
        <w:r>
          <w:rPr>
            <w:noProof/>
            <w:webHidden/>
          </w:rPr>
        </w:r>
        <w:r>
          <w:rPr>
            <w:noProof/>
            <w:webHidden/>
          </w:rPr>
          <w:fldChar w:fldCharType="separate"/>
        </w:r>
        <w:r w:rsidR="00BD6FC4">
          <w:rPr>
            <w:noProof/>
            <w:webHidden/>
          </w:rPr>
          <w:t>38</w:t>
        </w:r>
        <w:r>
          <w:rPr>
            <w:noProof/>
            <w:webHidden/>
          </w:rPr>
          <w:fldChar w:fldCharType="end"/>
        </w:r>
      </w:hyperlink>
    </w:p>
    <w:p w:rsidR="009F7B74" w:rsidRDefault="009F7B74">
      <w:pPr>
        <w:pStyle w:val="TableofFigures"/>
        <w:tabs>
          <w:tab w:val="right" w:leader="dot" w:pos="8630"/>
        </w:tabs>
        <w:rPr>
          <w:rFonts w:ascii="Calibri" w:hAnsi="Calibri"/>
          <w:noProof/>
          <w:sz w:val="22"/>
          <w:szCs w:val="22"/>
          <w:lang w:eastAsia="en-IE"/>
        </w:rPr>
      </w:pPr>
      <w:hyperlink w:anchor="_Toc419879412" w:history="1">
        <w:r w:rsidRPr="004D13B3">
          <w:rPr>
            <w:rStyle w:val="Hyperlink"/>
            <w:noProof/>
          </w:rPr>
          <w:t>Table 9: People (all ages) with a mental health condition</w:t>
        </w:r>
        <w:r>
          <w:rPr>
            <w:noProof/>
            <w:webHidden/>
          </w:rPr>
          <w:tab/>
        </w:r>
        <w:r>
          <w:rPr>
            <w:noProof/>
            <w:webHidden/>
          </w:rPr>
          <w:fldChar w:fldCharType="begin"/>
        </w:r>
        <w:r>
          <w:rPr>
            <w:noProof/>
            <w:webHidden/>
          </w:rPr>
          <w:instrText xml:space="preserve"> PAGEREF _Toc419879412 \h </w:instrText>
        </w:r>
        <w:r>
          <w:rPr>
            <w:noProof/>
            <w:webHidden/>
          </w:rPr>
        </w:r>
        <w:r>
          <w:rPr>
            <w:noProof/>
            <w:webHidden/>
          </w:rPr>
          <w:fldChar w:fldCharType="separate"/>
        </w:r>
        <w:r w:rsidR="00BD6FC4">
          <w:rPr>
            <w:noProof/>
            <w:webHidden/>
          </w:rPr>
          <w:t>39</w:t>
        </w:r>
        <w:r>
          <w:rPr>
            <w:noProof/>
            <w:webHidden/>
          </w:rPr>
          <w:fldChar w:fldCharType="end"/>
        </w:r>
      </w:hyperlink>
    </w:p>
    <w:p w:rsidR="009F7B74" w:rsidRDefault="009F7B74">
      <w:pPr>
        <w:pStyle w:val="TableofFigures"/>
        <w:tabs>
          <w:tab w:val="right" w:leader="dot" w:pos="8630"/>
        </w:tabs>
        <w:rPr>
          <w:rFonts w:ascii="Calibri" w:hAnsi="Calibri"/>
          <w:noProof/>
          <w:sz w:val="22"/>
          <w:szCs w:val="22"/>
          <w:lang w:eastAsia="en-IE"/>
        </w:rPr>
      </w:pPr>
      <w:hyperlink w:anchor="_Toc419879413" w:history="1">
        <w:r w:rsidRPr="004D13B3">
          <w:rPr>
            <w:rStyle w:val="Hyperlink"/>
            <w:noProof/>
          </w:rPr>
          <w:t>Table 10: Number of conditions or disabilities</w:t>
        </w:r>
        <w:r>
          <w:rPr>
            <w:noProof/>
            <w:webHidden/>
          </w:rPr>
          <w:tab/>
        </w:r>
        <w:r>
          <w:rPr>
            <w:noProof/>
            <w:webHidden/>
          </w:rPr>
          <w:fldChar w:fldCharType="begin"/>
        </w:r>
        <w:r>
          <w:rPr>
            <w:noProof/>
            <w:webHidden/>
          </w:rPr>
          <w:instrText xml:space="preserve"> PAGEREF _Toc419879413 \h </w:instrText>
        </w:r>
        <w:r>
          <w:rPr>
            <w:noProof/>
            <w:webHidden/>
          </w:rPr>
        </w:r>
        <w:r>
          <w:rPr>
            <w:noProof/>
            <w:webHidden/>
          </w:rPr>
          <w:fldChar w:fldCharType="separate"/>
        </w:r>
        <w:r w:rsidR="00BD6FC4">
          <w:rPr>
            <w:noProof/>
            <w:webHidden/>
          </w:rPr>
          <w:t>40</w:t>
        </w:r>
        <w:r>
          <w:rPr>
            <w:noProof/>
            <w:webHidden/>
          </w:rPr>
          <w:fldChar w:fldCharType="end"/>
        </w:r>
      </w:hyperlink>
    </w:p>
    <w:p w:rsidR="009F7B74" w:rsidRDefault="009F7B74">
      <w:pPr>
        <w:pStyle w:val="TableofFigures"/>
        <w:tabs>
          <w:tab w:val="right" w:leader="dot" w:pos="8630"/>
        </w:tabs>
        <w:rPr>
          <w:rFonts w:ascii="Calibri" w:hAnsi="Calibri"/>
          <w:noProof/>
          <w:sz w:val="22"/>
          <w:szCs w:val="22"/>
          <w:lang w:eastAsia="en-IE"/>
        </w:rPr>
      </w:pPr>
      <w:hyperlink w:anchor="_Toc419879414" w:history="1">
        <w:r w:rsidRPr="004D13B3">
          <w:rPr>
            <w:rStyle w:val="Hyperlink"/>
            <w:noProof/>
          </w:rPr>
          <w:t>Table 11: Is the child hampered in his/her daily activities by this problem, illness or disability? (per cent of total population)</w:t>
        </w:r>
        <w:r>
          <w:rPr>
            <w:noProof/>
            <w:webHidden/>
          </w:rPr>
          <w:tab/>
        </w:r>
        <w:r>
          <w:rPr>
            <w:noProof/>
            <w:webHidden/>
          </w:rPr>
          <w:fldChar w:fldCharType="begin"/>
        </w:r>
        <w:r>
          <w:rPr>
            <w:noProof/>
            <w:webHidden/>
          </w:rPr>
          <w:instrText xml:space="preserve"> PAGEREF _Toc419879414 \h </w:instrText>
        </w:r>
        <w:r>
          <w:rPr>
            <w:noProof/>
            <w:webHidden/>
          </w:rPr>
        </w:r>
        <w:r>
          <w:rPr>
            <w:noProof/>
            <w:webHidden/>
          </w:rPr>
          <w:fldChar w:fldCharType="separate"/>
        </w:r>
        <w:r w:rsidR="00BD6FC4">
          <w:rPr>
            <w:noProof/>
            <w:webHidden/>
          </w:rPr>
          <w:t>41</w:t>
        </w:r>
        <w:r>
          <w:rPr>
            <w:noProof/>
            <w:webHidden/>
          </w:rPr>
          <w:fldChar w:fldCharType="end"/>
        </w:r>
      </w:hyperlink>
    </w:p>
    <w:p w:rsidR="009F7B74" w:rsidRDefault="009F7B74">
      <w:pPr>
        <w:pStyle w:val="TableofFigures"/>
        <w:tabs>
          <w:tab w:val="right" w:leader="dot" w:pos="8630"/>
        </w:tabs>
        <w:rPr>
          <w:rFonts w:ascii="Calibri" w:hAnsi="Calibri"/>
          <w:noProof/>
          <w:sz w:val="22"/>
          <w:szCs w:val="22"/>
          <w:lang w:eastAsia="en-IE"/>
        </w:rPr>
      </w:pPr>
      <w:hyperlink w:anchor="_Toc419879415" w:history="1">
        <w:r w:rsidRPr="004D13B3">
          <w:rPr>
            <w:rStyle w:val="Hyperlink"/>
            <w:noProof/>
          </w:rPr>
          <w:t>Table 12: Is the child hampered in his/her daily activities by this problem, illness or disability, by how many conditions or disabilities does Study Child have?</w:t>
        </w:r>
        <w:r>
          <w:rPr>
            <w:noProof/>
            <w:webHidden/>
          </w:rPr>
          <w:tab/>
        </w:r>
        <w:r>
          <w:rPr>
            <w:noProof/>
            <w:webHidden/>
          </w:rPr>
          <w:fldChar w:fldCharType="begin"/>
        </w:r>
        <w:r>
          <w:rPr>
            <w:noProof/>
            <w:webHidden/>
          </w:rPr>
          <w:instrText xml:space="preserve"> PAGEREF _Toc419879415 \h </w:instrText>
        </w:r>
        <w:r>
          <w:rPr>
            <w:noProof/>
            <w:webHidden/>
          </w:rPr>
        </w:r>
        <w:r>
          <w:rPr>
            <w:noProof/>
            <w:webHidden/>
          </w:rPr>
          <w:fldChar w:fldCharType="separate"/>
        </w:r>
        <w:r w:rsidR="00BD6FC4">
          <w:rPr>
            <w:noProof/>
            <w:webHidden/>
          </w:rPr>
          <w:t>42</w:t>
        </w:r>
        <w:r>
          <w:rPr>
            <w:noProof/>
            <w:webHidden/>
          </w:rPr>
          <w:fldChar w:fldCharType="end"/>
        </w:r>
      </w:hyperlink>
    </w:p>
    <w:p w:rsidR="009F7B74" w:rsidRDefault="009F7B74">
      <w:pPr>
        <w:pStyle w:val="TableofFigures"/>
        <w:tabs>
          <w:tab w:val="right" w:leader="dot" w:pos="8630"/>
        </w:tabs>
        <w:rPr>
          <w:rFonts w:ascii="Calibri" w:hAnsi="Calibri"/>
          <w:noProof/>
          <w:sz w:val="22"/>
          <w:szCs w:val="22"/>
          <w:lang w:eastAsia="en-IE"/>
        </w:rPr>
      </w:pPr>
      <w:hyperlink w:anchor="_Toc419879416" w:history="1">
        <w:r w:rsidRPr="004D13B3">
          <w:rPr>
            <w:rStyle w:val="Hyperlink"/>
            <w:noProof/>
          </w:rPr>
          <w:t>Table 13: Children with multiple disabilities who are hampered + all children with autism + children who are severely hampered</w:t>
        </w:r>
        <w:r>
          <w:rPr>
            <w:noProof/>
            <w:webHidden/>
          </w:rPr>
          <w:tab/>
        </w:r>
        <w:r>
          <w:rPr>
            <w:noProof/>
            <w:webHidden/>
          </w:rPr>
          <w:fldChar w:fldCharType="begin"/>
        </w:r>
        <w:r>
          <w:rPr>
            <w:noProof/>
            <w:webHidden/>
          </w:rPr>
          <w:instrText xml:space="preserve"> PAGEREF _Toc419879416 \h </w:instrText>
        </w:r>
        <w:r>
          <w:rPr>
            <w:noProof/>
            <w:webHidden/>
          </w:rPr>
        </w:r>
        <w:r>
          <w:rPr>
            <w:noProof/>
            <w:webHidden/>
          </w:rPr>
          <w:fldChar w:fldCharType="separate"/>
        </w:r>
        <w:r w:rsidR="00BD6FC4">
          <w:rPr>
            <w:noProof/>
            <w:webHidden/>
          </w:rPr>
          <w:t>43</w:t>
        </w:r>
        <w:r>
          <w:rPr>
            <w:noProof/>
            <w:webHidden/>
          </w:rPr>
          <w:fldChar w:fldCharType="end"/>
        </w:r>
      </w:hyperlink>
    </w:p>
    <w:p w:rsidR="009F7B74" w:rsidRDefault="009F7B74">
      <w:pPr>
        <w:pStyle w:val="TableofFigures"/>
        <w:tabs>
          <w:tab w:val="right" w:leader="dot" w:pos="8630"/>
        </w:tabs>
        <w:rPr>
          <w:rFonts w:ascii="Calibri" w:hAnsi="Calibri"/>
          <w:noProof/>
          <w:sz w:val="22"/>
          <w:szCs w:val="22"/>
          <w:lang w:eastAsia="en-IE"/>
        </w:rPr>
      </w:pPr>
      <w:hyperlink w:anchor="_Toc419879417" w:history="1">
        <w:r w:rsidRPr="004D13B3">
          <w:rPr>
            <w:rStyle w:val="Hyperlink"/>
            <w:noProof/>
          </w:rPr>
          <w:t>Table 14: Alternative estimates of the number of children who need multi-disciplinary disability services from the GUI survey</w:t>
        </w:r>
        <w:r>
          <w:rPr>
            <w:noProof/>
            <w:webHidden/>
          </w:rPr>
          <w:tab/>
        </w:r>
        <w:r>
          <w:rPr>
            <w:noProof/>
            <w:webHidden/>
          </w:rPr>
          <w:fldChar w:fldCharType="begin"/>
        </w:r>
        <w:r>
          <w:rPr>
            <w:noProof/>
            <w:webHidden/>
          </w:rPr>
          <w:instrText xml:space="preserve"> PAGEREF _Toc419879417 \h </w:instrText>
        </w:r>
        <w:r>
          <w:rPr>
            <w:noProof/>
            <w:webHidden/>
          </w:rPr>
        </w:r>
        <w:r>
          <w:rPr>
            <w:noProof/>
            <w:webHidden/>
          </w:rPr>
          <w:fldChar w:fldCharType="separate"/>
        </w:r>
        <w:r w:rsidR="00BD6FC4">
          <w:rPr>
            <w:noProof/>
            <w:webHidden/>
          </w:rPr>
          <w:t>43</w:t>
        </w:r>
        <w:r>
          <w:rPr>
            <w:noProof/>
            <w:webHidden/>
          </w:rPr>
          <w:fldChar w:fldCharType="end"/>
        </w:r>
      </w:hyperlink>
    </w:p>
    <w:p w:rsidR="009F7B74" w:rsidRDefault="009F7B74">
      <w:pPr>
        <w:pStyle w:val="TableofFigures"/>
        <w:tabs>
          <w:tab w:val="right" w:leader="dot" w:pos="8630"/>
        </w:tabs>
        <w:rPr>
          <w:rFonts w:ascii="Calibri" w:hAnsi="Calibri"/>
          <w:noProof/>
          <w:sz w:val="22"/>
          <w:szCs w:val="22"/>
          <w:lang w:eastAsia="en-IE"/>
        </w:rPr>
      </w:pPr>
      <w:hyperlink w:anchor="_Toc419879418" w:history="1">
        <w:r w:rsidRPr="004D13B3">
          <w:rPr>
            <w:rStyle w:val="Hyperlink"/>
            <w:noProof/>
          </w:rPr>
          <w:t>Table 15: Children with a disability by single year of age</w:t>
        </w:r>
        <w:r>
          <w:rPr>
            <w:noProof/>
            <w:webHidden/>
          </w:rPr>
          <w:tab/>
        </w:r>
        <w:r>
          <w:rPr>
            <w:noProof/>
            <w:webHidden/>
          </w:rPr>
          <w:fldChar w:fldCharType="begin"/>
        </w:r>
        <w:r>
          <w:rPr>
            <w:noProof/>
            <w:webHidden/>
          </w:rPr>
          <w:instrText xml:space="preserve"> PAGEREF _Toc419879418 \h </w:instrText>
        </w:r>
        <w:r>
          <w:rPr>
            <w:noProof/>
            <w:webHidden/>
          </w:rPr>
        </w:r>
        <w:r>
          <w:rPr>
            <w:noProof/>
            <w:webHidden/>
          </w:rPr>
          <w:fldChar w:fldCharType="separate"/>
        </w:r>
        <w:r w:rsidR="00BD6FC4">
          <w:rPr>
            <w:noProof/>
            <w:webHidden/>
          </w:rPr>
          <w:t>45</w:t>
        </w:r>
        <w:r>
          <w:rPr>
            <w:noProof/>
            <w:webHidden/>
          </w:rPr>
          <w:fldChar w:fldCharType="end"/>
        </w:r>
      </w:hyperlink>
    </w:p>
    <w:p w:rsidR="009F7B74" w:rsidRDefault="009F7B74">
      <w:pPr>
        <w:pStyle w:val="TableofFigures"/>
        <w:tabs>
          <w:tab w:val="right" w:leader="dot" w:pos="8630"/>
        </w:tabs>
        <w:rPr>
          <w:rFonts w:ascii="Calibri" w:hAnsi="Calibri"/>
          <w:noProof/>
          <w:sz w:val="22"/>
          <w:szCs w:val="22"/>
          <w:lang w:eastAsia="en-IE"/>
        </w:rPr>
      </w:pPr>
      <w:hyperlink w:anchor="_Toc419879419" w:history="1">
        <w:r w:rsidRPr="004D13B3">
          <w:rPr>
            <w:rStyle w:val="Hyperlink"/>
            <w:noProof/>
          </w:rPr>
          <w:t>Table 16: Estimated no. of school children receiving special education supports 2012-2013</w:t>
        </w:r>
        <w:r>
          <w:rPr>
            <w:noProof/>
            <w:webHidden/>
          </w:rPr>
          <w:tab/>
        </w:r>
        <w:r>
          <w:rPr>
            <w:noProof/>
            <w:webHidden/>
          </w:rPr>
          <w:fldChar w:fldCharType="begin"/>
        </w:r>
        <w:r>
          <w:rPr>
            <w:noProof/>
            <w:webHidden/>
          </w:rPr>
          <w:instrText xml:space="preserve"> PAGEREF _Toc419879419 \h </w:instrText>
        </w:r>
        <w:r>
          <w:rPr>
            <w:noProof/>
            <w:webHidden/>
          </w:rPr>
        </w:r>
        <w:r>
          <w:rPr>
            <w:noProof/>
            <w:webHidden/>
          </w:rPr>
          <w:fldChar w:fldCharType="separate"/>
        </w:r>
        <w:r w:rsidR="00BD6FC4">
          <w:rPr>
            <w:noProof/>
            <w:webHidden/>
          </w:rPr>
          <w:t>46</w:t>
        </w:r>
        <w:r>
          <w:rPr>
            <w:noProof/>
            <w:webHidden/>
          </w:rPr>
          <w:fldChar w:fldCharType="end"/>
        </w:r>
      </w:hyperlink>
    </w:p>
    <w:p w:rsidR="009F7B74" w:rsidRDefault="009F7B74">
      <w:pPr>
        <w:pStyle w:val="TableofFigures"/>
        <w:tabs>
          <w:tab w:val="right" w:leader="dot" w:pos="8630"/>
        </w:tabs>
        <w:rPr>
          <w:rFonts w:ascii="Calibri" w:hAnsi="Calibri"/>
          <w:noProof/>
          <w:sz w:val="22"/>
          <w:szCs w:val="22"/>
          <w:lang w:eastAsia="en-IE"/>
        </w:rPr>
      </w:pPr>
      <w:hyperlink w:anchor="_Toc419879420" w:history="1">
        <w:r w:rsidRPr="004D13B3">
          <w:rPr>
            <w:rStyle w:val="Hyperlink"/>
            <w:noProof/>
            <w:lang w:val="en-GB" w:eastAsia="en-GB"/>
          </w:rPr>
          <w:t>Table 17: Children with various special education needs</w:t>
        </w:r>
        <w:r>
          <w:rPr>
            <w:noProof/>
            <w:webHidden/>
          </w:rPr>
          <w:tab/>
        </w:r>
        <w:r>
          <w:rPr>
            <w:noProof/>
            <w:webHidden/>
          </w:rPr>
          <w:fldChar w:fldCharType="begin"/>
        </w:r>
        <w:r>
          <w:rPr>
            <w:noProof/>
            <w:webHidden/>
          </w:rPr>
          <w:instrText xml:space="preserve"> PAGEREF _Toc419879420 \h </w:instrText>
        </w:r>
        <w:r>
          <w:rPr>
            <w:noProof/>
            <w:webHidden/>
          </w:rPr>
        </w:r>
        <w:r>
          <w:rPr>
            <w:noProof/>
            <w:webHidden/>
          </w:rPr>
          <w:fldChar w:fldCharType="separate"/>
        </w:r>
        <w:r w:rsidR="00BD6FC4">
          <w:rPr>
            <w:noProof/>
            <w:webHidden/>
          </w:rPr>
          <w:t>48</w:t>
        </w:r>
        <w:r>
          <w:rPr>
            <w:noProof/>
            <w:webHidden/>
          </w:rPr>
          <w:fldChar w:fldCharType="end"/>
        </w:r>
      </w:hyperlink>
    </w:p>
    <w:p w:rsidR="009F7B74" w:rsidRDefault="009F7B74">
      <w:pPr>
        <w:pStyle w:val="TableofFigures"/>
        <w:tabs>
          <w:tab w:val="right" w:leader="dot" w:pos="8630"/>
        </w:tabs>
        <w:rPr>
          <w:rFonts w:ascii="Calibri" w:hAnsi="Calibri"/>
          <w:noProof/>
          <w:sz w:val="22"/>
          <w:szCs w:val="22"/>
          <w:lang w:eastAsia="en-IE"/>
        </w:rPr>
      </w:pPr>
      <w:hyperlink w:anchor="_Toc419879421" w:history="1">
        <w:r w:rsidRPr="004D13B3">
          <w:rPr>
            <w:rStyle w:val="Hyperlink"/>
            <w:noProof/>
            <w:lang w:val="en-GB"/>
          </w:rPr>
          <w:t>Table 18: Estimates of the proportion of children requiring children’s disability services</w:t>
        </w:r>
        <w:r>
          <w:rPr>
            <w:noProof/>
            <w:webHidden/>
          </w:rPr>
          <w:tab/>
        </w:r>
        <w:r>
          <w:rPr>
            <w:noProof/>
            <w:webHidden/>
          </w:rPr>
          <w:fldChar w:fldCharType="begin"/>
        </w:r>
        <w:r>
          <w:rPr>
            <w:noProof/>
            <w:webHidden/>
          </w:rPr>
          <w:instrText xml:space="preserve"> PAGEREF _Toc419879421 \h </w:instrText>
        </w:r>
        <w:r>
          <w:rPr>
            <w:noProof/>
            <w:webHidden/>
          </w:rPr>
        </w:r>
        <w:r>
          <w:rPr>
            <w:noProof/>
            <w:webHidden/>
          </w:rPr>
          <w:fldChar w:fldCharType="separate"/>
        </w:r>
        <w:r w:rsidR="00BD6FC4">
          <w:rPr>
            <w:noProof/>
            <w:webHidden/>
          </w:rPr>
          <w:t>48</w:t>
        </w:r>
        <w:r>
          <w:rPr>
            <w:noProof/>
            <w:webHidden/>
          </w:rPr>
          <w:fldChar w:fldCharType="end"/>
        </w:r>
      </w:hyperlink>
    </w:p>
    <w:p w:rsidR="009F7B74" w:rsidRDefault="009F7B74">
      <w:pPr>
        <w:pStyle w:val="TableofFigures"/>
        <w:tabs>
          <w:tab w:val="right" w:leader="dot" w:pos="8630"/>
        </w:tabs>
        <w:rPr>
          <w:rFonts w:ascii="Calibri" w:hAnsi="Calibri"/>
          <w:noProof/>
          <w:sz w:val="22"/>
          <w:szCs w:val="22"/>
          <w:lang w:eastAsia="en-IE"/>
        </w:rPr>
      </w:pPr>
      <w:hyperlink w:anchor="_Toc419879422" w:history="1">
        <w:r w:rsidRPr="004D13B3">
          <w:rPr>
            <w:rStyle w:val="Hyperlink"/>
            <w:noProof/>
          </w:rPr>
          <w:t>Table 19: No. of selected therapists per 100,000 population, c 2005</w:t>
        </w:r>
        <w:r>
          <w:rPr>
            <w:noProof/>
            <w:webHidden/>
          </w:rPr>
          <w:tab/>
        </w:r>
        <w:r>
          <w:rPr>
            <w:noProof/>
            <w:webHidden/>
          </w:rPr>
          <w:fldChar w:fldCharType="begin"/>
        </w:r>
        <w:r>
          <w:rPr>
            <w:noProof/>
            <w:webHidden/>
          </w:rPr>
          <w:instrText xml:space="preserve"> PAGEREF _Toc419879422 \h </w:instrText>
        </w:r>
        <w:r>
          <w:rPr>
            <w:noProof/>
            <w:webHidden/>
          </w:rPr>
        </w:r>
        <w:r>
          <w:rPr>
            <w:noProof/>
            <w:webHidden/>
          </w:rPr>
          <w:fldChar w:fldCharType="separate"/>
        </w:r>
        <w:r w:rsidR="00BD6FC4">
          <w:rPr>
            <w:noProof/>
            <w:webHidden/>
          </w:rPr>
          <w:t>50</w:t>
        </w:r>
        <w:r>
          <w:rPr>
            <w:noProof/>
            <w:webHidden/>
          </w:rPr>
          <w:fldChar w:fldCharType="end"/>
        </w:r>
      </w:hyperlink>
    </w:p>
    <w:p w:rsidR="009F7B74" w:rsidRDefault="009F7B74">
      <w:pPr>
        <w:pStyle w:val="TableofFigures"/>
        <w:tabs>
          <w:tab w:val="right" w:leader="dot" w:pos="8630"/>
        </w:tabs>
        <w:rPr>
          <w:rFonts w:ascii="Calibri" w:hAnsi="Calibri"/>
          <w:noProof/>
          <w:sz w:val="22"/>
          <w:szCs w:val="22"/>
          <w:lang w:eastAsia="en-IE"/>
        </w:rPr>
      </w:pPr>
      <w:hyperlink w:anchor="_Toc419879423" w:history="1">
        <w:r w:rsidRPr="004D13B3">
          <w:rPr>
            <w:rStyle w:val="Hyperlink"/>
            <w:noProof/>
          </w:rPr>
          <w:t>Table 20: Therapists per 100,000 population, c 2000</w:t>
        </w:r>
        <w:r>
          <w:rPr>
            <w:noProof/>
            <w:webHidden/>
          </w:rPr>
          <w:tab/>
        </w:r>
        <w:r>
          <w:rPr>
            <w:noProof/>
            <w:webHidden/>
          </w:rPr>
          <w:fldChar w:fldCharType="begin"/>
        </w:r>
        <w:r>
          <w:rPr>
            <w:noProof/>
            <w:webHidden/>
          </w:rPr>
          <w:instrText xml:space="preserve"> PAGEREF _Toc419879423 \h </w:instrText>
        </w:r>
        <w:r>
          <w:rPr>
            <w:noProof/>
            <w:webHidden/>
          </w:rPr>
        </w:r>
        <w:r>
          <w:rPr>
            <w:noProof/>
            <w:webHidden/>
          </w:rPr>
          <w:fldChar w:fldCharType="separate"/>
        </w:r>
        <w:r w:rsidR="00BD6FC4">
          <w:rPr>
            <w:noProof/>
            <w:webHidden/>
          </w:rPr>
          <w:t>50</w:t>
        </w:r>
        <w:r>
          <w:rPr>
            <w:noProof/>
            <w:webHidden/>
          </w:rPr>
          <w:fldChar w:fldCharType="end"/>
        </w:r>
      </w:hyperlink>
    </w:p>
    <w:p w:rsidR="009F7B74" w:rsidRDefault="009F7B74">
      <w:pPr>
        <w:pStyle w:val="TableofFigures"/>
        <w:tabs>
          <w:tab w:val="right" w:leader="dot" w:pos="8630"/>
        </w:tabs>
        <w:rPr>
          <w:rFonts w:ascii="Calibri" w:hAnsi="Calibri"/>
          <w:noProof/>
          <w:sz w:val="22"/>
          <w:szCs w:val="22"/>
          <w:lang w:eastAsia="en-IE"/>
        </w:rPr>
      </w:pPr>
      <w:hyperlink w:anchor="_Toc419879424" w:history="1">
        <w:r w:rsidRPr="004D13B3">
          <w:rPr>
            <w:rStyle w:val="Hyperlink"/>
            <w:noProof/>
          </w:rPr>
          <w:t>Table 21: various therapists per 100 children in different jurisdictions</w:t>
        </w:r>
        <w:r>
          <w:rPr>
            <w:noProof/>
            <w:webHidden/>
          </w:rPr>
          <w:tab/>
        </w:r>
        <w:r>
          <w:rPr>
            <w:noProof/>
            <w:webHidden/>
          </w:rPr>
          <w:fldChar w:fldCharType="begin"/>
        </w:r>
        <w:r>
          <w:rPr>
            <w:noProof/>
            <w:webHidden/>
          </w:rPr>
          <w:instrText xml:space="preserve"> PAGEREF _Toc419879424 \h </w:instrText>
        </w:r>
        <w:r>
          <w:rPr>
            <w:noProof/>
            <w:webHidden/>
          </w:rPr>
        </w:r>
        <w:r>
          <w:rPr>
            <w:noProof/>
            <w:webHidden/>
          </w:rPr>
          <w:fldChar w:fldCharType="separate"/>
        </w:r>
        <w:r w:rsidR="00BD6FC4">
          <w:rPr>
            <w:noProof/>
            <w:webHidden/>
          </w:rPr>
          <w:t>52</w:t>
        </w:r>
        <w:r>
          <w:rPr>
            <w:noProof/>
            <w:webHidden/>
          </w:rPr>
          <w:fldChar w:fldCharType="end"/>
        </w:r>
      </w:hyperlink>
    </w:p>
    <w:p w:rsidR="009F7B74" w:rsidRDefault="009F7B74">
      <w:pPr>
        <w:pStyle w:val="TableofFigures"/>
        <w:tabs>
          <w:tab w:val="right" w:leader="dot" w:pos="8630"/>
        </w:tabs>
        <w:rPr>
          <w:rFonts w:ascii="Calibri" w:hAnsi="Calibri"/>
          <w:noProof/>
          <w:sz w:val="22"/>
          <w:szCs w:val="22"/>
          <w:lang w:eastAsia="en-IE"/>
        </w:rPr>
      </w:pPr>
      <w:hyperlink w:anchor="_Toc419879425" w:history="1">
        <w:r w:rsidRPr="004D13B3">
          <w:rPr>
            <w:rStyle w:val="Hyperlink"/>
            <w:noProof/>
            <w:lang w:val="en-GB"/>
          </w:rPr>
          <w:t>Table 22: Summary of international data on therapists per 100 children</w:t>
        </w:r>
        <w:r>
          <w:rPr>
            <w:noProof/>
            <w:webHidden/>
          </w:rPr>
          <w:tab/>
        </w:r>
        <w:r>
          <w:rPr>
            <w:noProof/>
            <w:webHidden/>
          </w:rPr>
          <w:fldChar w:fldCharType="begin"/>
        </w:r>
        <w:r>
          <w:rPr>
            <w:noProof/>
            <w:webHidden/>
          </w:rPr>
          <w:instrText xml:space="preserve"> PAGEREF _Toc419879425 \h </w:instrText>
        </w:r>
        <w:r>
          <w:rPr>
            <w:noProof/>
            <w:webHidden/>
          </w:rPr>
        </w:r>
        <w:r>
          <w:rPr>
            <w:noProof/>
            <w:webHidden/>
          </w:rPr>
          <w:fldChar w:fldCharType="separate"/>
        </w:r>
        <w:r w:rsidR="00BD6FC4">
          <w:rPr>
            <w:noProof/>
            <w:webHidden/>
          </w:rPr>
          <w:t>53</w:t>
        </w:r>
        <w:r>
          <w:rPr>
            <w:noProof/>
            <w:webHidden/>
          </w:rPr>
          <w:fldChar w:fldCharType="end"/>
        </w:r>
      </w:hyperlink>
    </w:p>
    <w:p w:rsidR="009F7B74" w:rsidRDefault="009F7B74">
      <w:pPr>
        <w:pStyle w:val="TableofFigures"/>
        <w:tabs>
          <w:tab w:val="right" w:leader="dot" w:pos="8630"/>
        </w:tabs>
        <w:rPr>
          <w:rFonts w:ascii="Calibri" w:hAnsi="Calibri"/>
          <w:noProof/>
          <w:sz w:val="22"/>
          <w:szCs w:val="22"/>
          <w:lang w:eastAsia="en-IE"/>
        </w:rPr>
      </w:pPr>
      <w:hyperlink w:anchor="_Toc419879426" w:history="1">
        <w:r w:rsidRPr="004D13B3">
          <w:rPr>
            <w:rStyle w:val="Hyperlink"/>
            <w:noProof/>
          </w:rPr>
          <w:t>Table 23: Workload Ratio and Caseload Size</w:t>
        </w:r>
        <w:r>
          <w:rPr>
            <w:noProof/>
            <w:webHidden/>
          </w:rPr>
          <w:tab/>
        </w:r>
        <w:r>
          <w:rPr>
            <w:noProof/>
            <w:webHidden/>
          </w:rPr>
          <w:fldChar w:fldCharType="begin"/>
        </w:r>
        <w:r>
          <w:rPr>
            <w:noProof/>
            <w:webHidden/>
          </w:rPr>
          <w:instrText xml:space="preserve"> PAGEREF _Toc419879426 \h </w:instrText>
        </w:r>
        <w:r>
          <w:rPr>
            <w:noProof/>
            <w:webHidden/>
          </w:rPr>
        </w:r>
        <w:r>
          <w:rPr>
            <w:noProof/>
            <w:webHidden/>
          </w:rPr>
          <w:fldChar w:fldCharType="separate"/>
        </w:r>
        <w:r w:rsidR="00BD6FC4">
          <w:rPr>
            <w:noProof/>
            <w:webHidden/>
          </w:rPr>
          <w:t>61</w:t>
        </w:r>
        <w:r>
          <w:rPr>
            <w:noProof/>
            <w:webHidden/>
          </w:rPr>
          <w:fldChar w:fldCharType="end"/>
        </w:r>
      </w:hyperlink>
    </w:p>
    <w:p w:rsidR="009F7B74" w:rsidRDefault="009F7B74">
      <w:pPr>
        <w:pStyle w:val="TableofFigures"/>
        <w:tabs>
          <w:tab w:val="right" w:leader="dot" w:pos="8630"/>
        </w:tabs>
        <w:rPr>
          <w:rFonts w:ascii="Calibri" w:hAnsi="Calibri"/>
          <w:noProof/>
          <w:sz w:val="22"/>
          <w:szCs w:val="22"/>
          <w:lang w:eastAsia="en-IE"/>
        </w:rPr>
      </w:pPr>
      <w:hyperlink w:anchor="_Toc419879427" w:history="1">
        <w:r w:rsidRPr="004D13B3">
          <w:rPr>
            <w:rStyle w:val="Hyperlink"/>
            <w:noProof/>
          </w:rPr>
          <w:t>Table 24: Caseloads at April 2002 in Scotland for physiotherapists, occupational therapists and speech and language therapists</w:t>
        </w:r>
        <w:r>
          <w:rPr>
            <w:noProof/>
            <w:webHidden/>
          </w:rPr>
          <w:tab/>
        </w:r>
        <w:r>
          <w:rPr>
            <w:noProof/>
            <w:webHidden/>
          </w:rPr>
          <w:fldChar w:fldCharType="begin"/>
        </w:r>
        <w:r>
          <w:rPr>
            <w:noProof/>
            <w:webHidden/>
          </w:rPr>
          <w:instrText xml:space="preserve"> PAGEREF _Toc419879427 \h </w:instrText>
        </w:r>
        <w:r>
          <w:rPr>
            <w:noProof/>
            <w:webHidden/>
          </w:rPr>
        </w:r>
        <w:r>
          <w:rPr>
            <w:noProof/>
            <w:webHidden/>
          </w:rPr>
          <w:fldChar w:fldCharType="separate"/>
        </w:r>
        <w:r w:rsidR="00BD6FC4">
          <w:rPr>
            <w:noProof/>
            <w:webHidden/>
          </w:rPr>
          <w:t>69</w:t>
        </w:r>
        <w:r>
          <w:rPr>
            <w:noProof/>
            <w:webHidden/>
          </w:rPr>
          <w:fldChar w:fldCharType="end"/>
        </w:r>
      </w:hyperlink>
    </w:p>
    <w:p w:rsidR="009F7B74" w:rsidRDefault="009F7B74">
      <w:pPr>
        <w:pStyle w:val="TableofFigures"/>
        <w:tabs>
          <w:tab w:val="right" w:leader="dot" w:pos="8630"/>
        </w:tabs>
        <w:rPr>
          <w:rFonts w:ascii="Calibri" w:hAnsi="Calibri"/>
          <w:noProof/>
          <w:sz w:val="22"/>
          <w:szCs w:val="22"/>
          <w:lang w:eastAsia="en-IE"/>
        </w:rPr>
      </w:pPr>
      <w:hyperlink w:anchor="_Toc419879428" w:history="1">
        <w:r w:rsidRPr="004D13B3">
          <w:rPr>
            <w:rStyle w:val="Hyperlink"/>
            <w:noProof/>
          </w:rPr>
          <w:t>Table 25: Provision of direct services in accordance with the following ratios</w:t>
        </w:r>
        <w:r>
          <w:rPr>
            <w:noProof/>
            <w:webHidden/>
          </w:rPr>
          <w:tab/>
        </w:r>
        <w:r>
          <w:rPr>
            <w:noProof/>
            <w:webHidden/>
          </w:rPr>
          <w:fldChar w:fldCharType="begin"/>
        </w:r>
        <w:r>
          <w:rPr>
            <w:noProof/>
            <w:webHidden/>
          </w:rPr>
          <w:instrText xml:space="preserve"> PAGEREF _Toc419879428 \h </w:instrText>
        </w:r>
        <w:r>
          <w:rPr>
            <w:noProof/>
            <w:webHidden/>
          </w:rPr>
        </w:r>
        <w:r>
          <w:rPr>
            <w:noProof/>
            <w:webHidden/>
          </w:rPr>
          <w:fldChar w:fldCharType="separate"/>
        </w:r>
        <w:r w:rsidR="00BD6FC4">
          <w:rPr>
            <w:noProof/>
            <w:webHidden/>
          </w:rPr>
          <w:t>71</w:t>
        </w:r>
        <w:r>
          <w:rPr>
            <w:noProof/>
            <w:webHidden/>
          </w:rPr>
          <w:fldChar w:fldCharType="end"/>
        </w:r>
      </w:hyperlink>
    </w:p>
    <w:p w:rsidR="009F7B74" w:rsidRDefault="009F7B74">
      <w:pPr>
        <w:pStyle w:val="TableofFigures"/>
        <w:tabs>
          <w:tab w:val="right" w:leader="dot" w:pos="8630"/>
        </w:tabs>
        <w:rPr>
          <w:rFonts w:ascii="Calibri" w:hAnsi="Calibri"/>
          <w:noProof/>
          <w:sz w:val="22"/>
          <w:szCs w:val="22"/>
          <w:lang w:eastAsia="en-IE"/>
        </w:rPr>
      </w:pPr>
      <w:hyperlink w:anchor="_Toc419879429" w:history="1">
        <w:r w:rsidRPr="004D13B3">
          <w:rPr>
            <w:rStyle w:val="Hyperlink"/>
            <w:noProof/>
          </w:rPr>
          <w:t>Table 26: School-age intervention specialists shall provide direct services in accordance with the following ratios</w:t>
        </w:r>
        <w:r>
          <w:rPr>
            <w:noProof/>
            <w:webHidden/>
          </w:rPr>
          <w:tab/>
        </w:r>
        <w:r>
          <w:rPr>
            <w:noProof/>
            <w:webHidden/>
          </w:rPr>
          <w:fldChar w:fldCharType="begin"/>
        </w:r>
        <w:r>
          <w:rPr>
            <w:noProof/>
            <w:webHidden/>
          </w:rPr>
          <w:instrText xml:space="preserve"> PAGEREF _Toc419879429 \h </w:instrText>
        </w:r>
        <w:r>
          <w:rPr>
            <w:noProof/>
            <w:webHidden/>
          </w:rPr>
        </w:r>
        <w:r>
          <w:rPr>
            <w:noProof/>
            <w:webHidden/>
          </w:rPr>
          <w:fldChar w:fldCharType="separate"/>
        </w:r>
        <w:r w:rsidR="00BD6FC4">
          <w:rPr>
            <w:noProof/>
            <w:webHidden/>
          </w:rPr>
          <w:t>72</w:t>
        </w:r>
        <w:r>
          <w:rPr>
            <w:noProof/>
            <w:webHidden/>
          </w:rPr>
          <w:fldChar w:fldCharType="end"/>
        </w:r>
      </w:hyperlink>
    </w:p>
    <w:p w:rsidR="009F7B74" w:rsidRDefault="009F7B74">
      <w:pPr>
        <w:pStyle w:val="TableofFigures"/>
        <w:tabs>
          <w:tab w:val="right" w:leader="dot" w:pos="8630"/>
        </w:tabs>
        <w:rPr>
          <w:rFonts w:ascii="Calibri" w:hAnsi="Calibri"/>
          <w:noProof/>
          <w:sz w:val="22"/>
          <w:szCs w:val="22"/>
          <w:lang w:eastAsia="en-IE"/>
        </w:rPr>
      </w:pPr>
      <w:hyperlink w:anchor="_Toc419879430" w:history="1">
        <w:r w:rsidRPr="004D13B3">
          <w:rPr>
            <w:rStyle w:val="Hyperlink"/>
            <w:noProof/>
          </w:rPr>
          <w:t>Table 27: Caseloads for specialist staff providing special education services in New Zealand</w:t>
        </w:r>
        <w:r>
          <w:rPr>
            <w:noProof/>
            <w:webHidden/>
          </w:rPr>
          <w:tab/>
        </w:r>
        <w:r>
          <w:rPr>
            <w:noProof/>
            <w:webHidden/>
          </w:rPr>
          <w:fldChar w:fldCharType="begin"/>
        </w:r>
        <w:r>
          <w:rPr>
            <w:noProof/>
            <w:webHidden/>
          </w:rPr>
          <w:instrText xml:space="preserve"> PAGEREF _Toc419879430 \h </w:instrText>
        </w:r>
        <w:r>
          <w:rPr>
            <w:noProof/>
            <w:webHidden/>
          </w:rPr>
        </w:r>
        <w:r>
          <w:rPr>
            <w:noProof/>
            <w:webHidden/>
          </w:rPr>
          <w:fldChar w:fldCharType="separate"/>
        </w:r>
        <w:r w:rsidR="00BD6FC4">
          <w:rPr>
            <w:noProof/>
            <w:webHidden/>
          </w:rPr>
          <w:t>75</w:t>
        </w:r>
        <w:r>
          <w:rPr>
            <w:noProof/>
            <w:webHidden/>
          </w:rPr>
          <w:fldChar w:fldCharType="end"/>
        </w:r>
      </w:hyperlink>
    </w:p>
    <w:p w:rsidR="009F7B74" w:rsidRDefault="009F7B74">
      <w:pPr>
        <w:pStyle w:val="TableofFigures"/>
        <w:tabs>
          <w:tab w:val="right" w:leader="dot" w:pos="8630"/>
        </w:tabs>
        <w:rPr>
          <w:rFonts w:ascii="Calibri" w:hAnsi="Calibri"/>
          <w:noProof/>
          <w:sz w:val="22"/>
          <w:szCs w:val="22"/>
          <w:lang w:eastAsia="en-IE"/>
        </w:rPr>
      </w:pPr>
      <w:hyperlink w:anchor="_Toc419879431" w:history="1">
        <w:r w:rsidRPr="004D13B3">
          <w:rPr>
            <w:rStyle w:val="Hyperlink"/>
            <w:noProof/>
          </w:rPr>
          <w:t xml:space="preserve">Table 28: Caseloads for staff in early intervention and school based services in New Zealand </w:t>
        </w:r>
        <w:r>
          <w:rPr>
            <w:noProof/>
            <w:webHidden/>
          </w:rPr>
          <w:tab/>
        </w:r>
        <w:r>
          <w:rPr>
            <w:noProof/>
            <w:webHidden/>
          </w:rPr>
          <w:fldChar w:fldCharType="begin"/>
        </w:r>
        <w:r>
          <w:rPr>
            <w:noProof/>
            <w:webHidden/>
          </w:rPr>
          <w:instrText xml:space="preserve"> PAGEREF _Toc419879431 \h </w:instrText>
        </w:r>
        <w:r>
          <w:rPr>
            <w:noProof/>
            <w:webHidden/>
          </w:rPr>
        </w:r>
        <w:r>
          <w:rPr>
            <w:noProof/>
            <w:webHidden/>
          </w:rPr>
          <w:fldChar w:fldCharType="separate"/>
        </w:r>
        <w:r w:rsidR="00BD6FC4">
          <w:rPr>
            <w:noProof/>
            <w:webHidden/>
          </w:rPr>
          <w:t>76</w:t>
        </w:r>
        <w:r>
          <w:rPr>
            <w:noProof/>
            <w:webHidden/>
          </w:rPr>
          <w:fldChar w:fldCharType="end"/>
        </w:r>
      </w:hyperlink>
    </w:p>
    <w:p w:rsidR="009F7B74" w:rsidRDefault="009F7B74">
      <w:pPr>
        <w:pStyle w:val="TableofFigures"/>
        <w:tabs>
          <w:tab w:val="right" w:leader="dot" w:pos="8630"/>
        </w:tabs>
        <w:rPr>
          <w:rFonts w:ascii="Calibri" w:hAnsi="Calibri"/>
          <w:noProof/>
          <w:sz w:val="22"/>
          <w:szCs w:val="22"/>
          <w:lang w:eastAsia="en-IE"/>
        </w:rPr>
      </w:pPr>
      <w:hyperlink w:anchor="_Toc419879432" w:history="1">
        <w:r w:rsidRPr="004D13B3">
          <w:rPr>
            <w:rStyle w:val="Hyperlink"/>
            <w:noProof/>
          </w:rPr>
          <w:t>Table 29: Caseloads for case management services in adult and school age community service teams in South Australia</w:t>
        </w:r>
        <w:r>
          <w:rPr>
            <w:noProof/>
            <w:webHidden/>
          </w:rPr>
          <w:tab/>
        </w:r>
        <w:r>
          <w:rPr>
            <w:noProof/>
            <w:webHidden/>
          </w:rPr>
          <w:fldChar w:fldCharType="begin"/>
        </w:r>
        <w:r>
          <w:rPr>
            <w:noProof/>
            <w:webHidden/>
          </w:rPr>
          <w:instrText xml:space="preserve"> PAGEREF _Toc419879432 \h </w:instrText>
        </w:r>
        <w:r>
          <w:rPr>
            <w:noProof/>
            <w:webHidden/>
          </w:rPr>
        </w:r>
        <w:r>
          <w:rPr>
            <w:noProof/>
            <w:webHidden/>
          </w:rPr>
          <w:fldChar w:fldCharType="separate"/>
        </w:r>
        <w:r w:rsidR="00BD6FC4">
          <w:rPr>
            <w:noProof/>
            <w:webHidden/>
          </w:rPr>
          <w:t>76</w:t>
        </w:r>
        <w:r>
          <w:rPr>
            <w:noProof/>
            <w:webHidden/>
          </w:rPr>
          <w:fldChar w:fldCharType="end"/>
        </w:r>
      </w:hyperlink>
    </w:p>
    <w:p w:rsidR="009F7B74" w:rsidRDefault="009F7B74">
      <w:pPr>
        <w:pStyle w:val="TableofFigures"/>
        <w:tabs>
          <w:tab w:val="right" w:leader="dot" w:pos="8630"/>
        </w:tabs>
        <w:rPr>
          <w:rFonts w:ascii="Calibri" w:hAnsi="Calibri"/>
          <w:noProof/>
          <w:sz w:val="22"/>
          <w:szCs w:val="22"/>
          <w:lang w:eastAsia="en-IE"/>
        </w:rPr>
      </w:pPr>
      <w:hyperlink w:anchor="_Toc419879433" w:history="1">
        <w:r w:rsidRPr="004D13B3">
          <w:rPr>
            <w:rStyle w:val="Hyperlink"/>
            <w:noProof/>
          </w:rPr>
          <w:t>Table 30: Some figures for services and therapists in Slovakia</w:t>
        </w:r>
        <w:r>
          <w:rPr>
            <w:noProof/>
            <w:webHidden/>
          </w:rPr>
          <w:tab/>
        </w:r>
        <w:r>
          <w:rPr>
            <w:noProof/>
            <w:webHidden/>
          </w:rPr>
          <w:fldChar w:fldCharType="begin"/>
        </w:r>
        <w:r>
          <w:rPr>
            <w:noProof/>
            <w:webHidden/>
          </w:rPr>
          <w:instrText xml:space="preserve"> PAGEREF _Toc419879433 \h </w:instrText>
        </w:r>
        <w:r>
          <w:rPr>
            <w:noProof/>
            <w:webHidden/>
          </w:rPr>
        </w:r>
        <w:r>
          <w:rPr>
            <w:noProof/>
            <w:webHidden/>
          </w:rPr>
          <w:fldChar w:fldCharType="separate"/>
        </w:r>
        <w:r w:rsidR="00BD6FC4">
          <w:rPr>
            <w:noProof/>
            <w:webHidden/>
          </w:rPr>
          <w:t>77</w:t>
        </w:r>
        <w:r>
          <w:rPr>
            <w:noProof/>
            <w:webHidden/>
          </w:rPr>
          <w:fldChar w:fldCharType="end"/>
        </w:r>
      </w:hyperlink>
    </w:p>
    <w:p w:rsidR="009F7B74" w:rsidRDefault="009F7B74">
      <w:pPr>
        <w:pStyle w:val="TableofFigures"/>
        <w:tabs>
          <w:tab w:val="right" w:leader="dot" w:pos="8630"/>
        </w:tabs>
        <w:rPr>
          <w:rFonts w:ascii="Calibri" w:hAnsi="Calibri"/>
          <w:noProof/>
          <w:sz w:val="22"/>
          <w:szCs w:val="22"/>
          <w:lang w:eastAsia="en-IE"/>
        </w:rPr>
      </w:pPr>
      <w:hyperlink w:anchor="_Toc419879434" w:history="1">
        <w:r w:rsidRPr="004D13B3">
          <w:rPr>
            <w:rStyle w:val="Hyperlink"/>
            <w:noProof/>
          </w:rPr>
          <w:t>Table 31: Comparison between Census 2006 and Census 2011 prevalence of childhood disability by category</w:t>
        </w:r>
        <w:r>
          <w:rPr>
            <w:noProof/>
            <w:webHidden/>
          </w:rPr>
          <w:tab/>
        </w:r>
        <w:r>
          <w:rPr>
            <w:noProof/>
            <w:webHidden/>
          </w:rPr>
          <w:fldChar w:fldCharType="begin"/>
        </w:r>
        <w:r>
          <w:rPr>
            <w:noProof/>
            <w:webHidden/>
          </w:rPr>
          <w:instrText xml:space="preserve"> PAGEREF _Toc419879434 \h </w:instrText>
        </w:r>
        <w:r>
          <w:rPr>
            <w:noProof/>
            <w:webHidden/>
          </w:rPr>
        </w:r>
        <w:r>
          <w:rPr>
            <w:noProof/>
            <w:webHidden/>
          </w:rPr>
          <w:fldChar w:fldCharType="separate"/>
        </w:r>
        <w:r w:rsidR="00BD6FC4">
          <w:rPr>
            <w:noProof/>
            <w:webHidden/>
          </w:rPr>
          <w:t>110</w:t>
        </w:r>
        <w:r>
          <w:rPr>
            <w:noProof/>
            <w:webHidden/>
          </w:rPr>
          <w:fldChar w:fldCharType="end"/>
        </w:r>
      </w:hyperlink>
    </w:p>
    <w:p w:rsidR="009F7B74" w:rsidRDefault="009F7B74">
      <w:pPr>
        <w:pStyle w:val="TableofFigures"/>
        <w:tabs>
          <w:tab w:val="right" w:leader="dot" w:pos="8630"/>
        </w:tabs>
        <w:rPr>
          <w:rFonts w:ascii="Calibri" w:hAnsi="Calibri"/>
          <w:noProof/>
          <w:sz w:val="22"/>
          <w:szCs w:val="22"/>
          <w:lang w:eastAsia="en-IE"/>
        </w:rPr>
      </w:pPr>
      <w:hyperlink w:anchor="_Toc419879435" w:history="1">
        <w:r w:rsidRPr="004D13B3">
          <w:rPr>
            <w:rStyle w:val="Hyperlink"/>
            <w:noProof/>
          </w:rPr>
          <w:t>Table 32: Comparison between Census 2006 and Census 2011 prevalence of childhood disability by category</w:t>
        </w:r>
        <w:r>
          <w:rPr>
            <w:noProof/>
            <w:webHidden/>
          </w:rPr>
          <w:tab/>
        </w:r>
        <w:r>
          <w:rPr>
            <w:noProof/>
            <w:webHidden/>
          </w:rPr>
          <w:fldChar w:fldCharType="begin"/>
        </w:r>
        <w:r>
          <w:rPr>
            <w:noProof/>
            <w:webHidden/>
          </w:rPr>
          <w:instrText xml:space="preserve"> PAGEREF _Toc419879435 \h </w:instrText>
        </w:r>
        <w:r>
          <w:rPr>
            <w:noProof/>
            <w:webHidden/>
          </w:rPr>
        </w:r>
        <w:r>
          <w:rPr>
            <w:noProof/>
            <w:webHidden/>
          </w:rPr>
          <w:fldChar w:fldCharType="separate"/>
        </w:r>
        <w:r w:rsidR="00BD6FC4">
          <w:rPr>
            <w:noProof/>
            <w:webHidden/>
          </w:rPr>
          <w:t>111</w:t>
        </w:r>
        <w:r>
          <w:rPr>
            <w:noProof/>
            <w:webHidden/>
          </w:rPr>
          <w:fldChar w:fldCharType="end"/>
        </w:r>
      </w:hyperlink>
    </w:p>
    <w:p w:rsidR="009F7B74" w:rsidRDefault="009F7B74">
      <w:pPr>
        <w:pStyle w:val="TableofFigures"/>
        <w:tabs>
          <w:tab w:val="right" w:leader="dot" w:pos="8630"/>
        </w:tabs>
        <w:rPr>
          <w:rFonts w:ascii="Calibri" w:hAnsi="Calibri"/>
          <w:noProof/>
          <w:sz w:val="22"/>
          <w:szCs w:val="22"/>
          <w:lang w:eastAsia="en-IE"/>
        </w:rPr>
      </w:pPr>
      <w:hyperlink w:anchor="_Toc419879436" w:history="1">
        <w:r w:rsidRPr="004D13B3">
          <w:rPr>
            <w:rStyle w:val="Hyperlink"/>
            <w:noProof/>
            <w:lang w:val="en-GB"/>
          </w:rPr>
          <w:t>Table 33: Projected % change in no. of children aged 0-4, 2011-2021</w:t>
        </w:r>
        <w:r>
          <w:rPr>
            <w:noProof/>
            <w:webHidden/>
          </w:rPr>
          <w:tab/>
        </w:r>
        <w:r>
          <w:rPr>
            <w:noProof/>
            <w:webHidden/>
          </w:rPr>
          <w:fldChar w:fldCharType="begin"/>
        </w:r>
        <w:r>
          <w:rPr>
            <w:noProof/>
            <w:webHidden/>
          </w:rPr>
          <w:instrText xml:space="preserve"> PAGEREF _Toc419879436 \h </w:instrText>
        </w:r>
        <w:r>
          <w:rPr>
            <w:noProof/>
            <w:webHidden/>
          </w:rPr>
        </w:r>
        <w:r>
          <w:rPr>
            <w:noProof/>
            <w:webHidden/>
          </w:rPr>
          <w:fldChar w:fldCharType="separate"/>
        </w:r>
        <w:r w:rsidR="00BD6FC4">
          <w:rPr>
            <w:noProof/>
            <w:webHidden/>
          </w:rPr>
          <w:t>116</w:t>
        </w:r>
        <w:r>
          <w:rPr>
            <w:noProof/>
            <w:webHidden/>
          </w:rPr>
          <w:fldChar w:fldCharType="end"/>
        </w:r>
      </w:hyperlink>
    </w:p>
    <w:p w:rsidR="009F7B74" w:rsidRDefault="009F7B74">
      <w:pPr>
        <w:pStyle w:val="TableofFigures"/>
        <w:tabs>
          <w:tab w:val="right" w:leader="dot" w:pos="8630"/>
        </w:tabs>
        <w:rPr>
          <w:rFonts w:ascii="Calibri" w:hAnsi="Calibri"/>
          <w:noProof/>
          <w:sz w:val="22"/>
          <w:szCs w:val="22"/>
          <w:lang w:eastAsia="en-IE"/>
        </w:rPr>
      </w:pPr>
      <w:hyperlink w:anchor="_Toc419879437" w:history="1">
        <w:r w:rsidRPr="004D13B3">
          <w:rPr>
            <w:rStyle w:val="Hyperlink"/>
            <w:noProof/>
            <w:lang w:val="en-GB"/>
          </w:rPr>
          <w:t>Table 34: Projected % change in no. of children aged 5-19, 2011-2021</w:t>
        </w:r>
        <w:r>
          <w:rPr>
            <w:noProof/>
            <w:webHidden/>
          </w:rPr>
          <w:tab/>
        </w:r>
        <w:r>
          <w:rPr>
            <w:noProof/>
            <w:webHidden/>
          </w:rPr>
          <w:fldChar w:fldCharType="begin"/>
        </w:r>
        <w:r>
          <w:rPr>
            <w:noProof/>
            <w:webHidden/>
          </w:rPr>
          <w:instrText xml:space="preserve"> PAGEREF _Toc419879437 \h </w:instrText>
        </w:r>
        <w:r>
          <w:rPr>
            <w:noProof/>
            <w:webHidden/>
          </w:rPr>
        </w:r>
        <w:r>
          <w:rPr>
            <w:noProof/>
            <w:webHidden/>
          </w:rPr>
          <w:fldChar w:fldCharType="separate"/>
        </w:r>
        <w:r w:rsidR="00BD6FC4">
          <w:rPr>
            <w:noProof/>
            <w:webHidden/>
          </w:rPr>
          <w:t>116</w:t>
        </w:r>
        <w:r>
          <w:rPr>
            <w:noProof/>
            <w:webHidden/>
          </w:rPr>
          <w:fldChar w:fldCharType="end"/>
        </w:r>
      </w:hyperlink>
    </w:p>
    <w:p w:rsidR="001F55B2" w:rsidRPr="00853F36" w:rsidRDefault="001F55B2" w:rsidP="00787049">
      <w:pPr>
        <w:pStyle w:val="Heading1"/>
      </w:pPr>
      <w:r w:rsidRPr="00853F36">
        <w:fldChar w:fldCharType="end"/>
      </w:r>
      <w:bookmarkStart w:id="14" w:name="_Toc386464532"/>
      <w:bookmarkStart w:id="15" w:name="_Toc386470027"/>
      <w:bookmarkStart w:id="16" w:name="_Toc415733669"/>
      <w:r w:rsidRPr="00853F36">
        <w:t>Summary</w:t>
      </w:r>
      <w:bookmarkEnd w:id="14"/>
      <w:bookmarkEnd w:id="15"/>
      <w:r w:rsidR="00C504AD">
        <w:t xml:space="preserve"> Report</w:t>
      </w:r>
      <w:bookmarkEnd w:id="16"/>
    </w:p>
    <w:p w:rsidR="001F55B2" w:rsidRPr="00853F36" w:rsidRDefault="001F55B2" w:rsidP="004922FB">
      <w:pPr>
        <w:pStyle w:val="Heading2"/>
        <w:numPr>
          <w:ilvl w:val="1"/>
          <w:numId w:val="10"/>
        </w:numPr>
        <w:ind w:hanging="1080"/>
      </w:pPr>
      <w:bookmarkStart w:id="17" w:name="_Toc386464533"/>
      <w:bookmarkStart w:id="18" w:name="_Toc386470028"/>
      <w:bookmarkStart w:id="19" w:name="_Toc415733670"/>
      <w:r w:rsidRPr="00853F36">
        <w:t>Introduction</w:t>
      </w:r>
      <w:bookmarkEnd w:id="17"/>
      <w:bookmarkEnd w:id="18"/>
      <w:bookmarkEnd w:id="19"/>
    </w:p>
    <w:p w:rsidR="001F55B2" w:rsidRPr="00853F36" w:rsidRDefault="001F55B2" w:rsidP="001F55B2">
      <w:r w:rsidRPr="00853F36">
        <w:t xml:space="preserve">The HSE is developing </w:t>
      </w:r>
      <w:r w:rsidR="00511607">
        <w:t xml:space="preserve">a national </w:t>
      </w:r>
      <w:r w:rsidRPr="00853F36">
        <w:t>network</w:t>
      </w:r>
      <w:r w:rsidR="00511607">
        <w:t xml:space="preserve"> of community based </w:t>
      </w:r>
      <w:r w:rsidR="00684F7E" w:rsidRPr="00853F36">
        <w:t>‘</w:t>
      </w:r>
      <w:r w:rsidR="00684F7E">
        <w:t>network</w:t>
      </w:r>
      <w:r w:rsidR="00684F7E" w:rsidRPr="00853F36">
        <w:t>’</w:t>
      </w:r>
      <w:r w:rsidR="00684F7E">
        <w:t xml:space="preserve">, </w:t>
      </w:r>
      <w:r w:rsidR="00511607">
        <w:t xml:space="preserve">early-intervention and school </w:t>
      </w:r>
      <w:r w:rsidRPr="00853F36">
        <w:t>age disability teams.</w:t>
      </w:r>
      <w:r w:rsidR="00F914C6">
        <w:rPr>
          <w:rStyle w:val="FootnoteReference"/>
        </w:rPr>
        <w:footnoteReference w:id="1"/>
      </w:r>
      <w:r w:rsidR="00684F7E">
        <w:t xml:space="preserve"> The aim of this</w:t>
      </w:r>
      <w:r w:rsidRPr="00853F36">
        <w:t xml:space="preserve"> service structure is to:</w:t>
      </w:r>
    </w:p>
    <w:p w:rsidR="001F55B2" w:rsidRPr="00853F36" w:rsidRDefault="001F55B2" w:rsidP="001F55B2">
      <w:pPr>
        <w:pStyle w:val="ListBullet"/>
        <w:numPr>
          <w:ilvl w:val="0"/>
          <w:numId w:val="1"/>
        </w:numPr>
      </w:pPr>
      <w:r w:rsidRPr="00853F36">
        <w:t>Address the health and social care needs of children and young people with disabilities aged 0-18 years</w:t>
      </w:r>
      <w:r w:rsidR="00511607">
        <w:t xml:space="preserve"> in a coherent </w:t>
      </w:r>
      <w:r w:rsidR="00370031">
        <w:t xml:space="preserve">and equitable manner </w:t>
      </w:r>
      <w:r w:rsidR="00511607">
        <w:t>throughout the country</w:t>
      </w:r>
    </w:p>
    <w:p w:rsidR="001F55B2" w:rsidRPr="00853F36" w:rsidRDefault="001F55B2" w:rsidP="001F55B2">
      <w:pPr>
        <w:pStyle w:val="ListBullet"/>
        <w:numPr>
          <w:ilvl w:val="0"/>
          <w:numId w:val="1"/>
        </w:numPr>
      </w:pPr>
      <w:r w:rsidRPr="00853F36">
        <w:t>To achieve better outcomes for both service users and professionals</w:t>
      </w:r>
    </w:p>
    <w:p w:rsidR="001F55B2" w:rsidRPr="00853F36" w:rsidRDefault="001F55B2" w:rsidP="001F55B2">
      <w:pPr>
        <w:pStyle w:val="ListBullet"/>
        <w:numPr>
          <w:ilvl w:val="0"/>
          <w:numId w:val="0"/>
        </w:numPr>
      </w:pPr>
      <w:r w:rsidRPr="00853F36">
        <w:t xml:space="preserve">The </w:t>
      </w:r>
      <w:r w:rsidR="00370031">
        <w:t xml:space="preserve">HSE </w:t>
      </w:r>
      <w:r w:rsidRPr="00853F36">
        <w:t>programme aims to:</w:t>
      </w:r>
    </w:p>
    <w:p w:rsidR="001F55B2" w:rsidRPr="00853F36" w:rsidRDefault="001F55B2" w:rsidP="001F55B2">
      <w:pPr>
        <w:pStyle w:val="ListBullet"/>
        <w:numPr>
          <w:ilvl w:val="0"/>
          <w:numId w:val="1"/>
        </w:numPr>
        <w:ind w:left="357" w:hanging="357"/>
      </w:pPr>
      <w:r w:rsidRPr="00853F36">
        <w:t>Develop cost effective, population based and integrated family and child centred children’s disability services</w:t>
      </w:r>
    </w:p>
    <w:p w:rsidR="001F55B2" w:rsidRPr="00853F36" w:rsidRDefault="00684F7E" w:rsidP="001F55B2">
      <w:pPr>
        <w:pStyle w:val="ListBullet"/>
        <w:numPr>
          <w:ilvl w:val="0"/>
          <w:numId w:val="1"/>
        </w:numPr>
        <w:spacing w:after="240"/>
        <w:ind w:left="357" w:hanging="357"/>
      </w:pPr>
      <w:r>
        <w:t>Consider relevant data in order</w:t>
      </w:r>
      <w:r w:rsidR="001F55B2" w:rsidRPr="00853F36">
        <w:t xml:space="preserve"> to determine </w:t>
      </w:r>
      <w:r>
        <w:t xml:space="preserve">and propose </w:t>
      </w:r>
      <w:r w:rsidR="001F55B2" w:rsidRPr="00853F36">
        <w:t>the number, size and composition of early intervention and school based teams and the number of therapists required</w:t>
      </w:r>
      <w:r w:rsidRPr="00684F7E">
        <w:t xml:space="preserve"> </w:t>
      </w:r>
      <w:r w:rsidRPr="00853F36">
        <w:t>in Ireland</w:t>
      </w:r>
    </w:p>
    <w:p w:rsidR="00370031" w:rsidRDefault="001F55B2" w:rsidP="001F55B2">
      <w:r w:rsidRPr="00853F36">
        <w:t xml:space="preserve">This report is </w:t>
      </w:r>
      <w:r w:rsidR="00511607">
        <w:t>a contribut</w:t>
      </w:r>
      <w:r w:rsidR="00370031">
        <w:t>ion</w:t>
      </w:r>
      <w:r w:rsidR="00684F7E">
        <w:t xml:space="preserve"> to the HSE’s programme of work</w:t>
      </w:r>
      <w:r w:rsidR="00A55125">
        <w:t xml:space="preserve"> on developing community based early intervention and school age disability teams</w:t>
      </w:r>
      <w:r w:rsidR="00F914C6">
        <w:t xml:space="preserve">. The report comprises a </w:t>
      </w:r>
      <w:r w:rsidR="00A55125">
        <w:t xml:space="preserve">literature review on </w:t>
      </w:r>
      <w:r w:rsidR="00A36614">
        <w:t xml:space="preserve">community disability </w:t>
      </w:r>
      <w:r w:rsidR="00A55125">
        <w:t xml:space="preserve">services </w:t>
      </w:r>
      <w:r w:rsidR="00A36614">
        <w:t>for children;</w:t>
      </w:r>
      <w:r w:rsidR="00F914C6">
        <w:t xml:space="preserve"> estimations of </w:t>
      </w:r>
      <w:r w:rsidR="00A55125">
        <w:t xml:space="preserve">the number of children with disabilities who need services and the </w:t>
      </w:r>
      <w:r w:rsidR="00A36614">
        <w:t xml:space="preserve">therapists </w:t>
      </w:r>
      <w:r w:rsidR="00A55125">
        <w:t xml:space="preserve">needed for early intervention </w:t>
      </w:r>
      <w:r w:rsidR="00F914C6">
        <w:t>and school age disability teams</w:t>
      </w:r>
      <w:r w:rsidR="00A36614">
        <w:t>,</w:t>
      </w:r>
      <w:r w:rsidR="00F914C6">
        <w:t xml:space="preserve"> using the following data sources</w:t>
      </w:r>
      <w:r w:rsidRPr="00853F36">
        <w:t xml:space="preserve">: </w:t>
      </w:r>
    </w:p>
    <w:p w:rsidR="00370031" w:rsidRDefault="00370031" w:rsidP="00370031">
      <w:pPr>
        <w:pStyle w:val="ListBullet"/>
      </w:pPr>
      <w:r>
        <w:t>The 2011 Irish Census</w:t>
      </w:r>
      <w:r w:rsidR="001F55B2" w:rsidRPr="00853F36">
        <w:t xml:space="preserve"> </w:t>
      </w:r>
    </w:p>
    <w:p w:rsidR="00370031" w:rsidRDefault="00370031" w:rsidP="00370031">
      <w:pPr>
        <w:pStyle w:val="ListBullet"/>
      </w:pPr>
      <w:r>
        <w:t>The disability databases</w:t>
      </w:r>
    </w:p>
    <w:p w:rsidR="00370031" w:rsidRDefault="00370031" w:rsidP="00370031">
      <w:pPr>
        <w:pStyle w:val="ListBullet"/>
      </w:pPr>
      <w:r>
        <w:t>T</w:t>
      </w:r>
      <w:r w:rsidR="00511607">
        <w:t>he Gro</w:t>
      </w:r>
      <w:r>
        <w:t>wing Up in Ireland (GUI) Survey</w:t>
      </w:r>
      <w:r w:rsidR="00511607">
        <w:t xml:space="preserve"> </w:t>
      </w:r>
    </w:p>
    <w:p w:rsidR="00370031" w:rsidRDefault="00370031" w:rsidP="00370031">
      <w:pPr>
        <w:pStyle w:val="ListBullet"/>
      </w:pPr>
      <w:r>
        <w:t>Waiting lists</w:t>
      </w:r>
      <w:r w:rsidR="001F55B2" w:rsidRPr="00853F36">
        <w:t xml:space="preserve"> </w:t>
      </w:r>
    </w:p>
    <w:p w:rsidR="00370031" w:rsidRDefault="00370031" w:rsidP="00370031">
      <w:pPr>
        <w:pStyle w:val="ListBullet"/>
      </w:pPr>
      <w:r>
        <w:t xml:space="preserve">Population projections </w:t>
      </w:r>
    </w:p>
    <w:p w:rsidR="001F55B2" w:rsidRPr="00853F36" w:rsidRDefault="00370031" w:rsidP="00370031">
      <w:pPr>
        <w:pStyle w:val="ListBullet"/>
        <w:spacing w:after="240"/>
      </w:pPr>
      <w:r>
        <w:t>F</w:t>
      </w:r>
      <w:r w:rsidR="001F55B2" w:rsidRPr="00853F36">
        <w:t>igures fro</w:t>
      </w:r>
      <w:r>
        <w:t>m the research literature</w:t>
      </w:r>
    </w:p>
    <w:p w:rsidR="00963531" w:rsidRDefault="007337B0" w:rsidP="00963531">
      <w:r w:rsidRPr="007337B0">
        <w:t xml:space="preserve">In Ireland, </w:t>
      </w:r>
      <w:r w:rsidR="00FF419A">
        <w:t>statutory and non-governmental agencies deliver disability services</w:t>
      </w:r>
      <w:r w:rsidR="00684F7E">
        <w:t xml:space="preserve">. There is a </w:t>
      </w:r>
      <w:r w:rsidRPr="007337B0">
        <w:t>wide variation in the services available in different parts of the country and for diff</w:t>
      </w:r>
      <w:r w:rsidR="00684F7E">
        <w:t>erent categories of disability</w:t>
      </w:r>
      <w:r w:rsidR="00F914C6">
        <w:t>,</w:t>
      </w:r>
      <w:r w:rsidR="00684F7E">
        <w:t xml:space="preserve"> so while </w:t>
      </w:r>
      <w:r w:rsidR="0096303A" w:rsidRPr="0096303A">
        <w:t xml:space="preserve">there are excellent </w:t>
      </w:r>
      <w:r>
        <w:t>services for some children in one</w:t>
      </w:r>
      <w:r w:rsidR="0096303A" w:rsidRPr="0096303A">
        <w:t xml:space="preserve"> area</w:t>
      </w:r>
      <w:r w:rsidR="00F914C6">
        <w:t>,</w:t>
      </w:r>
      <w:r w:rsidR="0096303A" w:rsidRPr="0096303A">
        <w:t xml:space="preserve"> there</w:t>
      </w:r>
      <w:r>
        <w:t xml:space="preserve"> may be little</w:t>
      </w:r>
      <w:r w:rsidR="00147C50">
        <w:t xml:space="preserve"> or none</w:t>
      </w:r>
      <w:r>
        <w:t xml:space="preserve"> in another area</w:t>
      </w:r>
      <w:r w:rsidR="0096303A" w:rsidRPr="0096303A">
        <w:t>.</w:t>
      </w:r>
      <w:r w:rsidR="0096303A">
        <w:rPr>
          <w:rStyle w:val="FootnoteReference"/>
        </w:rPr>
        <w:footnoteReference w:id="2"/>
      </w:r>
      <w:r w:rsidR="00E273A0">
        <w:t xml:space="preserve"> </w:t>
      </w:r>
      <w:r w:rsidR="00963531">
        <w:t>For a</w:t>
      </w:r>
      <w:r w:rsidR="00684F7E">
        <w:t>n</w:t>
      </w:r>
      <w:r w:rsidR="00963531">
        <w:t xml:space="preserve"> overview of the development of services for children with disability see</w:t>
      </w:r>
      <w:r w:rsidR="00684F7E">
        <w:t xml:space="preserve">, for example, a review </w:t>
      </w:r>
      <w:r w:rsidR="00D36C51">
        <w:t xml:space="preserve">of these services </w:t>
      </w:r>
      <w:r w:rsidR="00963531">
        <w:t>by Carroll et al.</w:t>
      </w:r>
      <w:r w:rsidR="00963531">
        <w:rPr>
          <w:rStyle w:val="FootnoteReference"/>
        </w:rPr>
        <w:footnoteReference w:id="3"/>
      </w:r>
      <w:r w:rsidR="00963531">
        <w:t xml:space="preserve"> </w:t>
      </w:r>
    </w:p>
    <w:p w:rsidR="009E1B39" w:rsidRDefault="00684F7E" w:rsidP="00B3778C">
      <w:r>
        <w:t>In 2010, t</w:t>
      </w:r>
      <w:r w:rsidR="007337B0">
        <w:t xml:space="preserve">he HSE </w:t>
      </w:r>
      <w:r w:rsidR="00FB4F51">
        <w:t>established a National Programme called</w:t>
      </w:r>
      <w:r w:rsidR="007337B0">
        <w:t xml:space="preserve"> ‘Progressing Disability Services</w:t>
      </w:r>
      <w:r w:rsidR="00FB4F51">
        <w:t xml:space="preserve"> for Children and Young People’. </w:t>
      </w:r>
      <w:r>
        <w:t>The programme is based on t</w:t>
      </w:r>
      <w:r w:rsidR="007337B0" w:rsidRPr="007337B0">
        <w:t xml:space="preserve">he recommendations of the </w:t>
      </w:r>
      <w:r>
        <w:t xml:space="preserve">2009 </w:t>
      </w:r>
      <w:r w:rsidR="007337B0" w:rsidRPr="007337B0">
        <w:t>Report of the Reference Group on Multi</w:t>
      </w:r>
      <w:r>
        <w:t>-</w:t>
      </w:r>
      <w:r w:rsidR="007337B0" w:rsidRPr="007337B0">
        <w:t>disciplinary Services for Children aged 5 to 18 Years</w:t>
      </w:r>
      <w:r>
        <w:t>,</w:t>
      </w:r>
      <w:r w:rsidRPr="00684F7E">
        <w:t xml:space="preserve"> </w:t>
      </w:r>
      <w:r>
        <w:t xml:space="preserve">which </w:t>
      </w:r>
      <w:r w:rsidRPr="00F116DC">
        <w:t xml:space="preserve">also </w:t>
      </w:r>
      <w:r>
        <w:t xml:space="preserve">includes </w:t>
      </w:r>
      <w:r w:rsidRPr="00F116DC">
        <w:t>services and supports for children under five years</w:t>
      </w:r>
      <w:r>
        <w:t>.</w:t>
      </w:r>
      <w:r>
        <w:rPr>
          <w:rStyle w:val="FootnoteReference"/>
        </w:rPr>
        <w:footnoteReference w:id="4"/>
      </w:r>
      <w:r>
        <w:t xml:space="preserve"> The aim of the programme is to continue the organizational restructuring of children’s disability services in order to deliver equitable family-centred services for children and young </w:t>
      </w:r>
      <w:r w:rsidR="00182F89">
        <w:t>people</w:t>
      </w:r>
      <w:r>
        <w:t xml:space="preserve"> </w:t>
      </w:r>
      <w:r w:rsidR="009E1B39">
        <w:t xml:space="preserve">with complex disabilities in every part of Ireland. </w:t>
      </w:r>
    </w:p>
    <w:p w:rsidR="001E6506" w:rsidRDefault="001E6506" w:rsidP="00B3778C">
      <w:r>
        <w:t>The implementation of Progressing Disability Services for Children and Young People over recent years had progressed further in some part</w:t>
      </w:r>
      <w:r w:rsidR="002B1614">
        <w:t>s</w:t>
      </w:r>
      <w:r>
        <w:t xml:space="preserve"> of the country than others. </w:t>
      </w:r>
    </w:p>
    <w:p w:rsidR="00E10A03" w:rsidRDefault="009E1B39" w:rsidP="001F55B2">
      <w:r>
        <w:t xml:space="preserve">The HSE </w:t>
      </w:r>
      <w:r w:rsidR="00E10A03">
        <w:t xml:space="preserve">has been </w:t>
      </w:r>
      <w:r>
        <w:t>promoting f</w:t>
      </w:r>
      <w:r w:rsidRPr="00853F36">
        <w:t xml:space="preserve">ormal communication and collaboration within and between </w:t>
      </w:r>
      <w:r w:rsidR="00273340">
        <w:t xml:space="preserve">Children’s Disability Network Teams </w:t>
      </w:r>
      <w:r w:rsidRPr="00853F36">
        <w:t>and other services such as primary care teams (PCT), child and adolescent mental health services (CAMHS), children’s specialist disabi</w:t>
      </w:r>
      <w:r w:rsidR="002B1614">
        <w:t xml:space="preserve">lity services, </w:t>
      </w:r>
      <w:r w:rsidRPr="00853F36">
        <w:t>tertiary and acute service</w:t>
      </w:r>
      <w:r w:rsidR="002B1614">
        <w:t>s</w:t>
      </w:r>
      <w:r w:rsidRPr="00853F36">
        <w:t xml:space="preserve"> and other health and education professionals.</w:t>
      </w:r>
      <w:r>
        <w:t xml:space="preserve"> </w:t>
      </w:r>
      <w:r w:rsidR="00E10A03">
        <w:t xml:space="preserve">The </w:t>
      </w:r>
      <w:r w:rsidR="00E10A03" w:rsidRPr="00C84C3C">
        <w:rPr>
          <w:lang w:val="en-GB"/>
        </w:rPr>
        <w:t>Community Healthcare</w:t>
      </w:r>
      <w:r w:rsidR="00E10A03">
        <w:rPr>
          <w:lang w:val="en-GB"/>
        </w:rPr>
        <w:t xml:space="preserve"> </w:t>
      </w:r>
      <w:r w:rsidR="00E10A03" w:rsidRPr="00C84C3C">
        <w:rPr>
          <w:lang w:val="en-GB"/>
        </w:rPr>
        <w:t>Organisations</w:t>
      </w:r>
      <w:r w:rsidR="00E10A03">
        <w:rPr>
          <w:lang w:val="en-GB"/>
        </w:rPr>
        <w:t xml:space="preserve"> </w:t>
      </w:r>
      <w:r w:rsidR="00E10A03" w:rsidRPr="00C84C3C">
        <w:rPr>
          <w:lang w:val="en-GB"/>
        </w:rPr>
        <w:t>Report</w:t>
      </w:r>
      <w:r w:rsidR="002B1614">
        <w:rPr>
          <w:lang w:val="en-GB"/>
        </w:rPr>
        <w:t xml:space="preserve"> argues </w:t>
      </w:r>
      <w:r w:rsidR="00E10A03">
        <w:rPr>
          <w:lang w:val="en-GB"/>
        </w:rPr>
        <w:t>for a more integrated approach across traditional service areas and recommends that the heads of Social Care, Primary Care, Health and Wellbeing and Mental Health would be part of an integrated management team for the network.</w:t>
      </w:r>
      <w:r w:rsidR="002B1614">
        <w:rPr>
          <w:rStyle w:val="FootnoteReference"/>
          <w:lang w:val="en-GB"/>
        </w:rPr>
        <w:footnoteReference w:id="5"/>
      </w:r>
      <w:r w:rsidR="00E10A03">
        <w:rPr>
          <w:lang w:val="en-GB"/>
        </w:rPr>
        <w:t xml:space="preserve"> </w:t>
      </w:r>
    </w:p>
    <w:p w:rsidR="00F914C6" w:rsidRDefault="009E1B39" w:rsidP="001F55B2">
      <w:r>
        <w:t>In some areas, Children Disability Services have signed memoranda of agreement around the care of c</w:t>
      </w:r>
      <w:r w:rsidR="002B1614">
        <w:t xml:space="preserve">hildren with disabilities with </w:t>
      </w:r>
      <w:r>
        <w:t>PCT and CAMHS services.</w:t>
      </w:r>
      <w:r w:rsidRPr="009E1B39">
        <w:t xml:space="preserve"> </w:t>
      </w:r>
      <w:r>
        <w:t>In June 2013,</w:t>
      </w:r>
      <w:r w:rsidRPr="00853F36">
        <w:t xml:space="preserve"> a sub-group </w:t>
      </w:r>
      <w:r>
        <w:t xml:space="preserve">of the Progressing HSE Disability Services Programme </w:t>
      </w:r>
      <w:r w:rsidRPr="00853F36">
        <w:t>published a framework for collaborative work between education and health professionals</w:t>
      </w:r>
      <w:r w:rsidR="002B1614">
        <w:t>,</w:t>
      </w:r>
      <w:r w:rsidRPr="00853F36">
        <w:t xml:space="preserve"> at national and local level.</w:t>
      </w:r>
      <w:r>
        <w:t xml:space="preserve"> </w:t>
      </w:r>
      <w:r w:rsidR="00E45672">
        <w:t xml:space="preserve">The HSE are </w:t>
      </w:r>
      <w:r w:rsidR="00E45672" w:rsidRPr="00853F36">
        <w:t>develop</w:t>
      </w:r>
      <w:r w:rsidR="00E45672">
        <w:t>ing</w:t>
      </w:r>
      <w:r w:rsidR="00E45672" w:rsidRPr="00853F36">
        <w:t xml:space="preserve"> a</w:t>
      </w:r>
      <w:r w:rsidR="00E45672">
        <w:t>n outcomes-based</w:t>
      </w:r>
      <w:r w:rsidR="00E45672" w:rsidRPr="00853F36">
        <w:t xml:space="preserve"> performance reporting sy</w:t>
      </w:r>
      <w:r w:rsidR="00E45672">
        <w:t>stem for accountability of the</w:t>
      </w:r>
      <w:r w:rsidR="00E45672" w:rsidRPr="00853F36">
        <w:t xml:space="preserve"> </w:t>
      </w:r>
      <w:r w:rsidR="00273340">
        <w:t>Children’s Disability Network Teams</w:t>
      </w:r>
      <w:r w:rsidR="00E45672">
        <w:t xml:space="preserve"> throughout the country. </w:t>
      </w:r>
    </w:p>
    <w:p w:rsidR="00D569A5" w:rsidRDefault="00D569A5" w:rsidP="00A6132E">
      <w:pPr>
        <w:pStyle w:val="Heading2"/>
        <w:numPr>
          <w:ilvl w:val="1"/>
          <w:numId w:val="10"/>
        </w:numPr>
        <w:ind w:left="709" w:hanging="709"/>
      </w:pPr>
      <w:bookmarkStart w:id="20" w:name="_Toc415733671"/>
      <w:r>
        <w:t>General findings on children’s disability services from the literature</w:t>
      </w:r>
      <w:bookmarkEnd w:id="20"/>
    </w:p>
    <w:p w:rsidR="0038161F" w:rsidRPr="00F81439" w:rsidRDefault="002B1614" w:rsidP="00F81439">
      <w:pPr>
        <w:rPr>
          <w:b/>
        </w:rPr>
      </w:pPr>
      <w:r w:rsidRPr="00F81439">
        <w:rPr>
          <w:b/>
        </w:rPr>
        <w:t>Internationally, w</w:t>
      </w:r>
      <w:r w:rsidR="0038161F" w:rsidRPr="00F81439">
        <w:rPr>
          <w:b/>
        </w:rPr>
        <w:t>idely used strategies to maximise children’s disability services within available resources include:</w:t>
      </w:r>
    </w:p>
    <w:p w:rsidR="0038161F" w:rsidRDefault="0038161F" w:rsidP="0038161F">
      <w:pPr>
        <w:pStyle w:val="ListBullet"/>
        <w:numPr>
          <w:ilvl w:val="0"/>
          <w:numId w:val="1"/>
        </w:numPr>
      </w:pPr>
      <w:r>
        <w:t>Establish</w:t>
      </w:r>
      <w:r w:rsidR="002B1614">
        <w:t>ing</w:t>
      </w:r>
      <w:r>
        <w:t xml:space="preserve"> clear pathways for accessing services</w:t>
      </w:r>
    </w:p>
    <w:p w:rsidR="0038161F" w:rsidRPr="00853F36" w:rsidRDefault="0038161F" w:rsidP="0038161F">
      <w:pPr>
        <w:pStyle w:val="ListBullet"/>
        <w:numPr>
          <w:ilvl w:val="0"/>
          <w:numId w:val="1"/>
        </w:numPr>
      </w:pPr>
      <w:r>
        <w:t>Carry</w:t>
      </w:r>
      <w:r w:rsidR="002B1614">
        <w:t>ing</w:t>
      </w:r>
      <w:r>
        <w:t xml:space="preserve"> out i</w:t>
      </w:r>
      <w:r w:rsidRPr="00853F36">
        <w:t>nitial assess</w:t>
      </w:r>
      <w:r>
        <w:t xml:space="preserve">ment of needs and prioritise </w:t>
      </w:r>
      <w:r w:rsidRPr="00853F36">
        <w:t>clients</w:t>
      </w:r>
    </w:p>
    <w:p w:rsidR="0038161F" w:rsidRPr="00853F36" w:rsidRDefault="0038161F" w:rsidP="0038161F">
      <w:pPr>
        <w:pStyle w:val="ListBullet"/>
        <w:numPr>
          <w:ilvl w:val="0"/>
          <w:numId w:val="1"/>
        </w:numPr>
      </w:pPr>
      <w:r>
        <w:t>Establish</w:t>
      </w:r>
      <w:r w:rsidR="002B1614">
        <w:t>ing</w:t>
      </w:r>
      <w:r>
        <w:t xml:space="preserve"> w</w:t>
      </w:r>
      <w:r w:rsidRPr="00853F36">
        <w:t>aiting list procedures such as review and recall</w:t>
      </w:r>
    </w:p>
    <w:p w:rsidR="0038161F" w:rsidRPr="00853F36" w:rsidRDefault="002B1614" w:rsidP="0038161F">
      <w:pPr>
        <w:pStyle w:val="ListBullet"/>
        <w:numPr>
          <w:ilvl w:val="0"/>
          <w:numId w:val="1"/>
        </w:numPr>
      </w:pPr>
      <w:r>
        <w:t>Using</w:t>
      </w:r>
      <w:r w:rsidR="0038161F">
        <w:t xml:space="preserve"> </w:t>
      </w:r>
      <w:r w:rsidR="0038161F" w:rsidRPr="00853F36">
        <w:t xml:space="preserve">group therapy </w:t>
      </w:r>
      <w:r w:rsidR="0038161F">
        <w:t xml:space="preserve">as well as individual </w:t>
      </w:r>
      <w:r w:rsidR="0038161F" w:rsidRPr="00853F36">
        <w:t xml:space="preserve">sessions </w:t>
      </w:r>
    </w:p>
    <w:p w:rsidR="0038161F" w:rsidRPr="00853F36" w:rsidRDefault="002B1614" w:rsidP="0038161F">
      <w:pPr>
        <w:pStyle w:val="ListBullet"/>
        <w:numPr>
          <w:ilvl w:val="0"/>
          <w:numId w:val="1"/>
        </w:numPr>
      </w:pPr>
      <w:r>
        <w:t>Using</w:t>
      </w:r>
      <w:r w:rsidR="0038161F">
        <w:t xml:space="preserve"> caseload management strategically, for example, </w:t>
      </w:r>
      <w:r w:rsidR="0038161F" w:rsidRPr="00853F36">
        <w:t xml:space="preserve">balancing clients with complex/long term needs with clients </w:t>
      </w:r>
      <w:r w:rsidR="0038161F">
        <w:t>with more easily</w:t>
      </w:r>
      <w:r w:rsidR="0038161F" w:rsidRPr="00853F36">
        <w:t xml:space="preserve"> addressed needs</w:t>
      </w:r>
    </w:p>
    <w:p w:rsidR="0038161F" w:rsidRPr="00853F36" w:rsidRDefault="0038161F" w:rsidP="0038161F">
      <w:pPr>
        <w:pStyle w:val="ListBullet"/>
        <w:numPr>
          <w:ilvl w:val="0"/>
          <w:numId w:val="1"/>
        </w:numPr>
        <w:spacing w:after="240"/>
        <w:ind w:left="357" w:hanging="357"/>
      </w:pPr>
      <w:r>
        <w:t>Plan</w:t>
      </w:r>
      <w:r w:rsidR="002B1614">
        <w:t>ning</w:t>
      </w:r>
      <w:r w:rsidR="00F914C6">
        <w:t xml:space="preserve"> for discharge with</w:t>
      </w:r>
      <w:r w:rsidRPr="00853F36">
        <w:t xml:space="preserve"> discharge criteria, policies and procedures</w:t>
      </w:r>
    </w:p>
    <w:p w:rsidR="0038161F" w:rsidRPr="00F81439" w:rsidRDefault="0038161F" w:rsidP="00F81439">
      <w:pPr>
        <w:rPr>
          <w:b/>
        </w:rPr>
      </w:pPr>
      <w:r w:rsidRPr="00F81439">
        <w:rPr>
          <w:b/>
        </w:rPr>
        <w:t>Aspects of service delivery that influence the effectiveness of disability teams include:</w:t>
      </w:r>
    </w:p>
    <w:p w:rsidR="0038161F" w:rsidRPr="00853F36" w:rsidRDefault="0038161F" w:rsidP="0038161F">
      <w:pPr>
        <w:pStyle w:val="ListBullet"/>
      </w:pPr>
      <w:r w:rsidRPr="00853F36">
        <w:t xml:space="preserve">Involvement of </w:t>
      </w:r>
      <w:r w:rsidR="00F914C6">
        <w:t>the family and the quality of the</w:t>
      </w:r>
      <w:r w:rsidRPr="00853F36">
        <w:t xml:space="preserve"> </w:t>
      </w:r>
      <w:r w:rsidR="00F914C6">
        <w:t>family-team partnership</w:t>
      </w:r>
    </w:p>
    <w:p w:rsidR="0038161F" w:rsidRPr="00853F36" w:rsidRDefault="0038161F" w:rsidP="0038161F">
      <w:pPr>
        <w:pStyle w:val="ListBullet"/>
      </w:pPr>
      <w:r w:rsidRPr="00853F36">
        <w:t xml:space="preserve">Involvement of </w:t>
      </w:r>
      <w:r w:rsidR="00F914C6">
        <w:t xml:space="preserve">relevant </w:t>
      </w:r>
      <w:r w:rsidRPr="00853F36">
        <w:t>teachers</w:t>
      </w:r>
      <w:r w:rsidR="002B1614">
        <w:t xml:space="preserve"> and schools</w:t>
      </w:r>
      <w:r w:rsidRPr="00853F36">
        <w:t xml:space="preserve"> and the quality of</w:t>
      </w:r>
      <w:r w:rsidR="00F914C6">
        <w:t xml:space="preserve"> teacher/school-team partnership</w:t>
      </w:r>
    </w:p>
    <w:p w:rsidR="0038161F" w:rsidRDefault="0038161F" w:rsidP="0038161F">
      <w:pPr>
        <w:pStyle w:val="ListBullet"/>
      </w:pPr>
      <w:r>
        <w:t>I</w:t>
      </w:r>
      <w:r w:rsidRPr="00853F36">
        <w:t>nter-disciplinary working versus single disciplinary service delivery</w:t>
      </w:r>
    </w:p>
    <w:p w:rsidR="0038161F" w:rsidRPr="00853F36" w:rsidRDefault="0038161F" w:rsidP="0038161F">
      <w:pPr>
        <w:pStyle w:val="ListBullet"/>
      </w:pPr>
      <w:r w:rsidRPr="00853F36">
        <w:t>Group versus individual therapy</w:t>
      </w:r>
    </w:p>
    <w:p w:rsidR="0038161F" w:rsidRDefault="0038161F" w:rsidP="0038161F">
      <w:pPr>
        <w:pStyle w:val="ListBullet"/>
      </w:pPr>
      <w:r>
        <w:t>Access and discharge criteria</w:t>
      </w:r>
    </w:p>
    <w:p w:rsidR="0038161F" w:rsidRDefault="0038161F" w:rsidP="0038161F">
      <w:pPr>
        <w:pStyle w:val="ListBullet"/>
      </w:pPr>
      <w:r w:rsidRPr="00853F36">
        <w:t>Governance and technology</w:t>
      </w:r>
    </w:p>
    <w:p w:rsidR="0038161F" w:rsidRPr="00853F36" w:rsidRDefault="0038161F" w:rsidP="0038161F">
      <w:pPr>
        <w:pStyle w:val="ListBullet"/>
        <w:spacing w:after="240"/>
      </w:pPr>
      <w:r>
        <w:t>Possible u</w:t>
      </w:r>
      <w:r w:rsidRPr="00853F36">
        <w:t>se of therapy assistants</w:t>
      </w:r>
    </w:p>
    <w:p w:rsidR="0038161F" w:rsidRDefault="0038161F" w:rsidP="0038161F">
      <w:r w:rsidRPr="00461925">
        <w:rPr>
          <w:b/>
        </w:rPr>
        <w:t>Early Intervention Services</w:t>
      </w:r>
      <w:r>
        <w:rPr>
          <w:b/>
        </w:rPr>
        <w:t xml:space="preserve"> and family centred approaches:</w:t>
      </w:r>
      <w:r>
        <w:t xml:space="preserve"> T</w:t>
      </w:r>
      <w:r w:rsidRPr="00853F36">
        <w:t>here are</w:t>
      </w:r>
      <w:r w:rsidR="00F914C6">
        <w:t xml:space="preserve"> many benefits for children who receive</w:t>
      </w:r>
      <w:r w:rsidRPr="00853F36">
        <w:t xml:space="preserve"> early intervention services. Ther</w:t>
      </w:r>
      <w:r>
        <w:t xml:space="preserve">e are also </w:t>
      </w:r>
      <w:r w:rsidR="002B1614">
        <w:t xml:space="preserve">many </w:t>
      </w:r>
      <w:r>
        <w:t>links between family-</w:t>
      </w:r>
      <w:r w:rsidRPr="00853F36">
        <w:t>centred approaches and positive child and family outcomes.</w:t>
      </w:r>
      <w:r>
        <w:t xml:space="preserve"> It is important that policy makers and practitioners do not assume that services are family and child-centred. Measures used to assess whether services are person/</w:t>
      </w:r>
      <w:r w:rsidR="002B1614">
        <w:t xml:space="preserve"> </w:t>
      </w:r>
      <w:r>
        <w:t>child and family centred include Measure of Processes of Care (MOPC)</w:t>
      </w:r>
      <w:r w:rsidRPr="00D778EA">
        <w:rPr>
          <w:rStyle w:val="FootnoteReference"/>
        </w:rPr>
        <w:t xml:space="preserve"> </w:t>
      </w:r>
      <w:r>
        <w:rPr>
          <w:rStyle w:val="FootnoteReference"/>
        </w:rPr>
        <w:footnoteReference w:id="6"/>
      </w:r>
      <w:r>
        <w:t>, Individualised Care Scale (ICS), Person-centred Care Assessment Tool (P-CAT) and Person-centred Climate Questionnaire (PCCQ).</w:t>
      </w:r>
      <w:r>
        <w:rPr>
          <w:rStyle w:val="FootnoteReference"/>
        </w:rPr>
        <w:footnoteReference w:id="7"/>
      </w:r>
      <w:r>
        <w:t xml:space="preserve"> </w:t>
      </w:r>
      <w:r w:rsidR="002B1614">
        <w:t xml:space="preserve">The role of outcomes in developing children’s services and the </w:t>
      </w:r>
      <w:r>
        <w:t>benefits of early intervention services and family centred approa</w:t>
      </w:r>
      <w:r w:rsidR="002B1614">
        <w:t>ches are contained in Appendix 1</w:t>
      </w:r>
      <w:r>
        <w:t xml:space="preserve"> on disability services for children.</w:t>
      </w:r>
    </w:p>
    <w:p w:rsidR="00B536BB" w:rsidRDefault="0038161F" w:rsidP="0038161F">
      <w:r w:rsidRPr="008D2A77">
        <w:rPr>
          <w:b/>
        </w:rPr>
        <w:t>Inter-disciplinary</w:t>
      </w:r>
      <w:r>
        <w:rPr>
          <w:rStyle w:val="FootnoteReference"/>
          <w:b/>
        </w:rPr>
        <w:footnoteReference w:id="8"/>
      </w:r>
      <w:r w:rsidRPr="008D2A77">
        <w:rPr>
          <w:b/>
        </w:rPr>
        <w:t xml:space="preserve"> </w:t>
      </w:r>
      <w:r>
        <w:rPr>
          <w:b/>
        </w:rPr>
        <w:t>team</w:t>
      </w:r>
      <w:r w:rsidRPr="008D2A77">
        <w:rPr>
          <w:b/>
        </w:rPr>
        <w:t>work:</w:t>
      </w:r>
      <w:r>
        <w:t xml:space="preserve"> </w:t>
      </w:r>
      <w:r w:rsidR="002B1614">
        <w:t>T</w:t>
      </w:r>
      <w:r w:rsidRPr="00853F36">
        <w:t xml:space="preserve">he literature in health-related areas </w:t>
      </w:r>
      <w:r w:rsidR="002B1614">
        <w:t xml:space="preserve">demonstrates the considerable </w:t>
      </w:r>
      <w:r w:rsidRPr="00853F36">
        <w:t>benefits</w:t>
      </w:r>
      <w:r w:rsidR="002B1614">
        <w:t>/</w:t>
      </w:r>
      <w:r>
        <w:t>potential benefits</w:t>
      </w:r>
      <w:r w:rsidRPr="00853F36">
        <w:t xml:space="preserve"> of </w:t>
      </w:r>
      <w:r>
        <w:t>interdisciplinary team</w:t>
      </w:r>
      <w:r w:rsidR="002B1614">
        <w:t>work</w:t>
      </w:r>
      <w:r w:rsidRPr="00853F36">
        <w:t xml:space="preserve">. Effective </w:t>
      </w:r>
      <w:r>
        <w:t>inter-</w:t>
      </w:r>
      <w:r w:rsidRPr="00853F36">
        <w:t xml:space="preserve">disciplinary teams make coordinated and coherent decisions and plans with individual clients. Effective partnership working within </w:t>
      </w:r>
      <w:r>
        <w:t>inter-</w:t>
      </w:r>
      <w:r w:rsidRPr="00853F36">
        <w:t>disciplinary teams involves building up an understanding of the different roles each professional plays in supporting the child or young person wi</w:t>
      </w:r>
      <w:r w:rsidR="002B1614">
        <w:t xml:space="preserve">th a disability. There are </w:t>
      </w:r>
      <w:r w:rsidRPr="00853F36">
        <w:t>barriers to developing effective teams</w:t>
      </w:r>
      <w:r>
        <w:t xml:space="preserve"> but</w:t>
      </w:r>
      <w:r w:rsidRPr="00853F36">
        <w:t xml:space="preserve"> training helps in forming effective teams.</w:t>
      </w:r>
      <w:r>
        <w:t xml:space="preserve"> </w:t>
      </w:r>
    </w:p>
    <w:p w:rsidR="0038161F" w:rsidRPr="00853F36" w:rsidRDefault="0038161F" w:rsidP="0038161F">
      <w:r w:rsidRPr="00853F36">
        <w:t>The potential benefits of community-based</w:t>
      </w:r>
      <w:r w:rsidR="00B536BB">
        <w:t>,</w:t>
      </w:r>
      <w:r w:rsidRPr="00853F36">
        <w:t xml:space="preserve"> ea</w:t>
      </w:r>
      <w:r>
        <w:t>rly intervention and school age</w:t>
      </w:r>
      <w:r w:rsidRPr="00853F36">
        <w:t xml:space="preserve"> teams for service </w:t>
      </w:r>
      <w:r w:rsidR="00434BCD" w:rsidRPr="00853F36">
        <w:t>users</w:t>
      </w:r>
      <w:r w:rsidRPr="00853F36">
        <w:t xml:space="preserve"> include:</w:t>
      </w:r>
    </w:p>
    <w:p w:rsidR="0038161F" w:rsidRPr="00853F36" w:rsidRDefault="0038161F" w:rsidP="0038161F">
      <w:pPr>
        <w:pStyle w:val="ListBullet"/>
        <w:numPr>
          <w:ilvl w:val="0"/>
          <w:numId w:val="1"/>
        </w:numPr>
        <w:ind w:left="357" w:hanging="357"/>
      </w:pPr>
      <w:r w:rsidRPr="00853F36">
        <w:t>A comprehensive and equ</w:t>
      </w:r>
      <w:r w:rsidR="002C6945">
        <w:t xml:space="preserve">itable service for children and </w:t>
      </w:r>
      <w:r w:rsidRPr="00853F36">
        <w:t>young people with disabilities</w:t>
      </w:r>
    </w:p>
    <w:p w:rsidR="0038161F" w:rsidRPr="00853F36" w:rsidRDefault="0038161F" w:rsidP="0038161F">
      <w:pPr>
        <w:pStyle w:val="ListBullet"/>
        <w:numPr>
          <w:ilvl w:val="0"/>
          <w:numId w:val="1"/>
        </w:numPr>
        <w:ind w:left="357" w:hanging="357"/>
      </w:pPr>
      <w:r w:rsidRPr="00853F36">
        <w:t>Early intervention and ongoing intervention where required</w:t>
      </w:r>
    </w:p>
    <w:p w:rsidR="0038161F" w:rsidRPr="00853F36" w:rsidRDefault="0038161F" w:rsidP="0038161F">
      <w:pPr>
        <w:pStyle w:val="ListBullet"/>
        <w:numPr>
          <w:ilvl w:val="0"/>
          <w:numId w:val="1"/>
        </w:numPr>
        <w:ind w:left="357" w:hanging="357"/>
      </w:pPr>
      <w:r w:rsidRPr="00853F36">
        <w:t>Team communicating around the child with a holistic approach</w:t>
      </w:r>
    </w:p>
    <w:p w:rsidR="0038161F" w:rsidRPr="00853F36" w:rsidRDefault="0038161F" w:rsidP="0038161F">
      <w:pPr>
        <w:pStyle w:val="ListBullet"/>
        <w:numPr>
          <w:ilvl w:val="0"/>
          <w:numId w:val="1"/>
        </w:numPr>
        <w:ind w:left="357" w:hanging="357"/>
      </w:pPr>
      <w:r w:rsidRPr="00853F36">
        <w:t>Reduced number of appointments</w:t>
      </w:r>
    </w:p>
    <w:p w:rsidR="0038161F" w:rsidRPr="00853F36" w:rsidRDefault="0038161F" w:rsidP="0038161F">
      <w:pPr>
        <w:pStyle w:val="ListBullet"/>
        <w:numPr>
          <w:ilvl w:val="0"/>
          <w:numId w:val="1"/>
        </w:numPr>
        <w:ind w:left="357" w:hanging="357"/>
      </w:pPr>
      <w:r w:rsidRPr="00853F36">
        <w:t>Parents’ awareness of multiple goals incorporated into one activity</w:t>
      </w:r>
    </w:p>
    <w:p w:rsidR="0038161F" w:rsidRPr="00853F36" w:rsidRDefault="0038161F" w:rsidP="0038161F">
      <w:pPr>
        <w:pStyle w:val="ListBullet"/>
        <w:numPr>
          <w:ilvl w:val="0"/>
          <w:numId w:val="1"/>
        </w:numPr>
        <w:spacing w:after="240"/>
        <w:ind w:left="357" w:hanging="357"/>
      </w:pPr>
      <w:r w:rsidRPr="00853F36">
        <w:t xml:space="preserve">The effective management of behavioural difficulties </w:t>
      </w:r>
    </w:p>
    <w:p w:rsidR="0038161F" w:rsidRPr="00853F36" w:rsidRDefault="0038161F" w:rsidP="0038161F">
      <w:pPr>
        <w:spacing w:after="120"/>
      </w:pPr>
      <w:r>
        <w:t>The p</w:t>
      </w:r>
      <w:r w:rsidRPr="00853F36">
        <w:t xml:space="preserve">otential benefits </w:t>
      </w:r>
      <w:r>
        <w:t xml:space="preserve">of interdisciplinary work </w:t>
      </w:r>
      <w:r w:rsidRPr="00853F36">
        <w:t>for therapists/</w:t>
      </w:r>
      <w:r w:rsidR="00B536BB">
        <w:t>Allied Health Professionals (</w:t>
      </w:r>
      <w:r w:rsidRPr="00853F36">
        <w:t>AHPs</w:t>
      </w:r>
      <w:r w:rsidR="00B536BB">
        <w:t>)</w:t>
      </w:r>
      <w:r w:rsidRPr="00853F36">
        <w:t xml:space="preserve"> include:</w:t>
      </w:r>
    </w:p>
    <w:p w:rsidR="0038161F" w:rsidRPr="00853F36" w:rsidRDefault="0038161F" w:rsidP="0038161F">
      <w:pPr>
        <w:pStyle w:val="ListBullet"/>
        <w:numPr>
          <w:ilvl w:val="0"/>
          <w:numId w:val="1"/>
        </w:numPr>
        <w:ind w:left="357" w:hanging="357"/>
      </w:pPr>
      <w:r w:rsidRPr="00853F36">
        <w:t>Awareness of each other’s roles and goals with children</w:t>
      </w:r>
    </w:p>
    <w:p w:rsidR="0038161F" w:rsidRPr="00853F36" w:rsidRDefault="0038161F" w:rsidP="0038161F">
      <w:pPr>
        <w:pStyle w:val="ListBullet"/>
        <w:numPr>
          <w:ilvl w:val="0"/>
          <w:numId w:val="1"/>
        </w:numPr>
        <w:ind w:left="357" w:hanging="357"/>
      </w:pPr>
      <w:r w:rsidRPr="00853F36">
        <w:t>Shared responsibility, planning, evaluation and documentation and reduced number of phone calls, e-m</w:t>
      </w:r>
      <w:r w:rsidR="00B536BB">
        <w:t>ails and correspondence</w:t>
      </w:r>
    </w:p>
    <w:p w:rsidR="0038161F" w:rsidRPr="00853F36" w:rsidRDefault="0038161F" w:rsidP="0038161F">
      <w:pPr>
        <w:pStyle w:val="ListBullet"/>
        <w:numPr>
          <w:ilvl w:val="0"/>
          <w:numId w:val="1"/>
        </w:numPr>
        <w:ind w:left="357" w:hanging="357"/>
      </w:pPr>
      <w:r w:rsidRPr="00853F36">
        <w:t>Holistic approach</w:t>
      </w:r>
      <w:r w:rsidR="00B536BB">
        <w:t>es</w:t>
      </w:r>
      <w:r w:rsidRPr="00853F36">
        <w:t xml:space="preserve"> and positive mutual learning environment</w:t>
      </w:r>
      <w:r w:rsidR="00B536BB">
        <w:t>s</w:t>
      </w:r>
    </w:p>
    <w:p w:rsidR="0038161F" w:rsidRPr="00853F36" w:rsidRDefault="0038161F" w:rsidP="0038161F">
      <w:pPr>
        <w:pStyle w:val="ListBullet"/>
        <w:numPr>
          <w:ilvl w:val="0"/>
          <w:numId w:val="1"/>
        </w:numPr>
        <w:ind w:left="357" w:hanging="357"/>
      </w:pPr>
      <w:r w:rsidRPr="00853F36">
        <w:t xml:space="preserve">Ability to reflect within sessions while other therapist </w:t>
      </w:r>
      <w:r w:rsidR="00B536BB">
        <w:t xml:space="preserve">are </w:t>
      </w:r>
      <w:r w:rsidRPr="00853F36">
        <w:t>engaged with child</w:t>
      </w:r>
    </w:p>
    <w:p w:rsidR="0038161F" w:rsidRPr="00853F36" w:rsidRDefault="0038161F" w:rsidP="0038161F">
      <w:pPr>
        <w:pStyle w:val="ListBullet"/>
        <w:numPr>
          <w:ilvl w:val="0"/>
          <w:numId w:val="1"/>
        </w:numPr>
        <w:spacing w:after="240"/>
        <w:ind w:left="357" w:hanging="357"/>
      </w:pPr>
      <w:r w:rsidRPr="00853F36">
        <w:t xml:space="preserve">Reduced stress levels with effective team working </w:t>
      </w:r>
    </w:p>
    <w:p w:rsidR="0038161F" w:rsidRPr="00853F36" w:rsidRDefault="0038161F" w:rsidP="0038161F">
      <w:pPr>
        <w:pStyle w:val="ListBullet"/>
        <w:numPr>
          <w:ilvl w:val="0"/>
          <w:numId w:val="0"/>
        </w:numPr>
      </w:pPr>
      <w:r>
        <w:t xml:space="preserve">Increasingly, policy makers and practitioners consider </w:t>
      </w:r>
      <w:r w:rsidR="002C6945">
        <w:t xml:space="preserve">the following </w:t>
      </w:r>
      <w:r>
        <w:t xml:space="preserve">three </w:t>
      </w:r>
      <w:r w:rsidRPr="00853F36">
        <w:t xml:space="preserve">roles for </w:t>
      </w:r>
      <w:r>
        <w:t>therapists/</w:t>
      </w:r>
      <w:r w:rsidR="00B536BB">
        <w:t>Allied Health Professionals (</w:t>
      </w:r>
      <w:r>
        <w:t>AHPs</w:t>
      </w:r>
      <w:r w:rsidR="00B536BB">
        <w:t>)</w:t>
      </w:r>
      <w:r w:rsidRPr="00853F36">
        <w:t>:</w:t>
      </w:r>
    </w:p>
    <w:p w:rsidR="0038161F" w:rsidRPr="00853F36" w:rsidRDefault="0038161F" w:rsidP="0038161F">
      <w:pPr>
        <w:pStyle w:val="ListBullet"/>
        <w:numPr>
          <w:ilvl w:val="0"/>
          <w:numId w:val="1"/>
        </w:numPr>
      </w:pPr>
      <w:r w:rsidRPr="00853F36">
        <w:t>Universal provision for all children irrespective of need and including preventative/improvement measures</w:t>
      </w:r>
    </w:p>
    <w:p w:rsidR="0038161F" w:rsidRPr="00853F36" w:rsidRDefault="0038161F" w:rsidP="0038161F">
      <w:pPr>
        <w:pStyle w:val="ListBullet"/>
        <w:numPr>
          <w:ilvl w:val="0"/>
          <w:numId w:val="1"/>
        </w:numPr>
      </w:pPr>
      <w:r w:rsidRPr="00853F36">
        <w:t>Targeted provision for children requiring additional support within mainstream settings, guided by therapists</w:t>
      </w:r>
    </w:p>
    <w:p w:rsidR="00101F84" w:rsidRDefault="0038161F" w:rsidP="00DC6120">
      <w:pPr>
        <w:pStyle w:val="ListBullet"/>
        <w:numPr>
          <w:ilvl w:val="0"/>
          <w:numId w:val="1"/>
        </w:numPr>
        <w:spacing w:after="240"/>
        <w:ind w:left="357" w:hanging="357"/>
      </w:pPr>
      <w:r w:rsidRPr="00853F36">
        <w:t>Specialist support within mainstream or special settings</w:t>
      </w:r>
      <w:r>
        <w:t xml:space="preserve"> can involve </w:t>
      </w:r>
      <w:r w:rsidRPr="00853F36">
        <w:t xml:space="preserve">a high level of direct intervention </w:t>
      </w:r>
      <w:r>
        <w:t xml:space="preserve">by specialists and </w:t>
      </w:r>
      <w:r w:rsidRPr="00853F36">
        <w:t xml:space="preserve">frequent and sustained consultation by specialists with non-specialist staff such as teachers and </w:t>
      </w:r>
      <w:r>
        <w:t>teaching as</w:t>
      </w:r>
      <w:r w:rsidR="00B536BB">
        <w:t>sistants.</w:t>
      </w:r>
      <w:r w:rsidRPr="00853F36">
        <w:t xml:space="preserve"> </w:t>
      </w:r>
      <w:r w:rsidR="00101F84" w:rsidRPr="00853F36">
        <w:t>Specialist work can be individual or group work</w:t>
      </w:r>
      <w:r w:rsidR="00101F84">
        <w:t xml:space="preserve">.  </w:t>
      </w:r>
      <w:r w:rsidRPr="00853F36">
        <w:t>Children should not receive specialist support if universal or targeted support alone</w:t>
      </w:r>
      <w:r w:rsidR="00DC6120">
        <w:t xml:space="preserve"> can meet their needs</w:t>
      </w:r>
      <w:r w:rsidRPr="00853F36">
        <w:t xml:space="preserve"> </w:t>
      </w:r>
    </w:p>
    <w:p w:rsidR="00DC6120" w:rsidRPr="00DC6120" w:rsidRDefault="00DC6120" w:rsidP="00101F84">
      <w:r>
        <w:t xml:space="preserve">Appendix 1 presents findings on the role that outcomes play in developing services; providing quality care for children with disabilities; family and children- centred early intervention services; teamwork in children’s disability services and therapists/allied health professional services. Appendix 2 contains information on teams. </w:t>
      </w:r>
    </w:p>
    <w:p w:rsidR="00982A1C" w:rsidRDefault="0038161F" w:rsidP="00A6132E">
      <w:pPr>
        <w:pStyle w:val="Heading2"/>
        <w:numPr>
          <w:ilvl w:val="1"/>
          <w:numId w:val="10"/>
        </w:numPr>
        <w:ind w:left="709" w:hanging="709"/>
      </w:pPr>
      <w:bookmarkStart w:id="21" w:name="_Toc415733672"/>
      <w:r>
        <w:t xml:space="preserve">Issues to consider when planning </w:t>
      </w:r>
      <w:r w:rsidR="00982A1C" w:rsidRPr="001A2351">
        <w:t>children’s disability services</w:t>
      </w:r>
      <w:bookmarkEnd w:id="21"/>
    </w:p>
    <w:p w:rsidR="009C1F33" w:rsidRDefault="009C1F33" w:rsidP="00982A1C">
      <w:r>
        <w:t>R</w:t>
      </w:r>
      <w:r w:rsidR="00E45672" w:rsidRPr="00982A1C">
        <w:t>esearch conducted by the N</w:t>
      </w:r>
      <w:r>
        <w:t xml:space="preserve">ational </w:t>
      </w:r>
      <w:r w:rsidR="00E45672" w:rsidRPr="00982A1C">
        <w:t>D</w:t>
      </w:r>
      <w:r>
        <w:t xml:space="preserve">isability </w:t>
      </w:r>
      <w:r w:rsidR="00E45672" w:rsidRPr="00982A1C">
        <w:t>A</w:t>
      </w:r>
      <w:r>
        <w:t>uthority (NDA)</w:t>
      </w:r>
      <w:r w:rsidR="00E45672" w:rsidRPr="00982A1C">
        <w:t xml:space="preserve"> </w:t>
      </w:r>
      <w:r w:rsidR="00E45672">
        <w:t>shows</w:t>
      </w:r>
      <w:r w:rsidR="00E45672" w:rsidRPr="00982A1C">
        <w:t xml:space="preserve"> that </w:t>
      </w:r>
      <w:r w:rsidR="00E45672">
        <w:t>there is a need to increase the number of therapists in the disability network</w:t>
      </w:r>
      <w:r>
        <w:t>,</w:t>
      </w:r>
      <w:r w:rsidR="00E45672">
        <w:t xml:space="preserve"> early intervention and school age </w:t>
      </w:r>
      <w:r w:rsidR="00BC2D47">
        <w:t xml:space="preserve">teams. </w:t>
      </w:r>
    </w:p>
    <w:p w:rsidR="009C1F33" w:rsidRDefault="00BC2D47" w:rsidP="009C1F33">
      <w:r>
        <w:t xml:space="preserve">However, the NDA </w:t>
      </w:r>
      <w:r w:rsidR="009C1F33">
        <w:t>also outlines that</w:t>
      </w:r>
      <w:r w:rsidR="00E45672">
        <w:t xml:space="preserve"> p</w:t>
      </w:r>
      <w:r w:rsidR="00982A1C" w:rsidRPr="00982A1C">
        <w:t xml:space="preserve">roposing the composition and size of disability network teams and the </w:t>
      </w:r>
      <w:r w:rsidR="002C6945">
        <w:t xml:space="preserve">required </w:t>
      </w:r>
      <w:r w:rsidR="00982A1C" w:rsidRPr="00982A1C">
        <w:t>number of therapists and team</w:t>
      </w:r>
      <w:r w:rsidR="00E45672">
        <w:t>s</w:t>
      </w:r>
      <w:r w:rsidR="009C1F33">
        <w:t>,</w:t>
      </w:r>
      <w:r w:rsidR="002F5E2F">
        <w:t xml:space="preserve"> is </w:t>
      </w:r>
      <w:r w:rsidR="00982A1C" w:rsidRPr="00982A1C">
        <w:t xml:space="preserve">a complex task and an inexact science. </w:t>
      </w:r>
      <w:r w:rsidR="009C1F33">
        <w:t>It is of note that, i</w:t>
      </w:r>
      <w:r w:rsidR="009C1F33" w:rsidRPr="00853F36">
        <w:t>n Australia in 2010 the ‘Workload Measures for Allied Health Professionals’ (AHP) project</w:t>
      </w:r>
      <w:r w:rsidR="009C1F33" w:rsidRPr="00853F36">
        <w:rPr>
          <w:rStyle w:val="FootnoteReference"/>
          <w:szCs w:val="26"/>
        </w:rPr>
        <w:footnoteReference w:id="9"/>
      </w:r>
      <w:r w:rsidR="009C1F33" w:rsidRPr="00853F36">
        <w:t xml:space="preserve"> explored data sources on workload measures for AHP. The project mapped and summarised data sources and recommended priorities for future data collection. </w:t>
      </w:r>
      <w:r w:rsidR="009C1F33">
        <w:t>However, t</w:t>
      </w:r>
      <w:r w:rsidR="009C1F33" w:rsidRPr="00853F36">
        <w:t>he conclusion of th</w:t>
      </w:r>
      <w:r w:rsidR="009C1F33">
        <w:t xml:space="preserve">e </w:t>
      </w:r>
      <w:r w:rsidR="009C1F33" w:rsidRPr="00853F36">
        <w:t>(AHP) project was that, given the serious caveat</w:t>
      </w:r>
      <w:r w:rsidR="009C1F33">
        <w:t>s that exist, the report could</w:t>
      </w:r>
      <w:r w:rsidR="009C1F33" w:rsidRPr="00853F36">
        <w:t xml:space="preserve"> not present </w:t>
      </w:r>
      <w:r w:rsidR="009C1F33">
        <w:t xml:space="preserve">accurate </w:t>
      </w:r>
      <w:r w:rsidR="009C1F33" w:rsidRPr="00853F36">
        <w:t>estimates of workload</w:t>
      </w:r>
      <w:r w:rsidR="009C1F33">
        <w:t xml:space="preserve"> or make recommendations on workforce numbers.</w:t>
      </w:r>
      <w:r w:rsidR="009C1F33" w:rsidRPr="00853F36">
        <w:rPr>
          <w:rStyle w:val="FootnoteReference"/>
          <w:szCs w:val="26"/>
        </w:rPr>
        <w:footnoteReference w:id="10"/>
      </w:r>
      <w:r w:rsidR="009C1F33">
        <w:t xml:space="preserve"> </w:t>
      </w:r>
    </w:p>
    <w:p w:rsidR="00982A1C" w:rsidRPr="00982A1C" w:rsidRDefault="00982A1C" w:rsidP="00982A1C">
      <w:r w:rsidRPr="00982A1C">
        <w:t>The NDA outline</w:t>
      </w:r>
      <w:r w:rsidR="00E45672">
        <w:t>s</w:t>
      </w:r>
      <w:r w:rsidRPr="00982A1C">
        <w:t xml:space="preserve"> the</w:t>
      </w:r>
      <w:r w:rsidR="00F11F7F">
        <w:t xml:space="preserve"> caveats that illustrate </w:t>
      </w:r>
      <w:r w:rsidR="00E45672">
        <w:t>why it is not possible</w:t>
      </w:r>
      <w:r w:rsidR="00C86C1D">
        <w:t xml:space="preserve"> </w:t>
      </w:r>
      <w:r w:rsidR="00C86C1D" w:rsidRPr="00982A1C">
        <w:t xml:space="preserve">to </w:t>
      </w:r>
      <w:r w:rsidR="00C86C1D">
        <w:t xml:space="preserve">make </w:t>
      </w:r>
      <w:r w:rsidR="00E45672">
        <w:t xml:space="preserve">exact and absolute </w:t>
      </w:r>
      <w:r w:rsidR="00C86C1D">
        <w:t>predictions</w:t>
      </w:r>
      <w:r w:rsidR="009C1F33">
        <w:t xml:space="preserve"> in Ireland and, g</w:t>
      </w:r>
      <w:r w:rsidRPr="00982A1C">
        <w:t>iven the</w:t>
      </w:r>
      <w:r w:rsidR="00E45672">
        <w:t>se caveats</w:t>
      </w:r>
      <w:r w:rsidRPr="00982A1C">
        <w:t xml:space="preserve">, </w:t>
      </w:r>
      <w:r w:rsidR="00C86C1D">
        <w:t xml:space="preserve">the NDA </w:t>
      </w:r>
      <w:r w:rsidRPr="00982A1C">
        <w:t>emphasise</w:t>
      </w:r>
      <w:r>
        <w:t>s</w:t>
      </w:r>
      <w:r w:rsidRPr="00982A1C">
        <w:t xml:space="preserve"> </w:t>
      </w:r>
      <w:r w:rsidRPr="00982A1C">
        <w:rPr>
          <w:lang w:eastAsia="en-GB"/>
        </w:rPr>
        <w:t xml:space="preserve">the </w:t>
      </w:r>
      <w:r w:rsidR="00C86C1D">
        <w:rPr>
          <w:lang w:eastAsia="en-GB"/>
        </w:rPr>
        <w:t>need</w:t>
      </w:r>
      <w:r w:rsidR="009C1F33">
        <w:rPr>
          <w:lang w:eastAsia="en-GB"/>
        </w:rPr>
        <w:t>:</w:t>
      </w:r>
    </w:p>
    <w:p w:rsidR="00982A1C" w:rsidRPr="00C86C1D" w:rsidRDefault="00C86C1D" w:rsidP="00982A1C">
      <w:pPr>
        <w:pStyle w:val="ListBullet"/>
        <w:rPr>
          <w:b/>
        </w:rPr>
      </w:pPr>
      <w:r>
        <w:t>To m</w:t>
      </w:r>
      <w:r w:rsidR="00982A1C">
        <w:t>ak</w:t>
      </w:r>
      <w:r>
        <w:t>e</w:t>
      </w:r>
      <w:r w:rsidR="00982A1C">
        <w:t xml:space="preserve"> explicit</w:t>
      </w:r>
      <w:r w:rsidR="009C1F33">
        <w:t>,</w:t>
      </w:r>
      <w:r w:rsidR="00982A1C">
        <w:t xml:space="preserve"> </w:t>
      </w:r>
      <w:r w:rsidR="00982A1C" w:rsidRPr="00853F36">
        <w:rPr>
          <w:lang w:eastAsia="en-GB"/>
        </w:rPr>
        <w:t xml:space="preserve">the rationale for </w:t>
      </w:r>
      <w:r w:rsidR="00982A1C">
        <w:rPr>
          <w:lang w:eastAsia="en-GB"/>
        </w:rPr>
        <w:t>estimations on</w:t>
      </w:r>
      <w:r w:rsidR="00982A1C" w:rsidRPr="00853F36">
        <w:rPr>
          <w:lang w:eastAsia="en-GB"/>
        </w:rPr>
        <w:t xml:space="preserve"> size, team co</w:t>
      </w:r>
      <w:r w:rsidR="00982A1C">
        <w:rPr>
          <w:lang w:eastAsia="en-GB"/>
        </w:rPr>
        <w:t xml:space="preserve">mposition and core team members </w:t>
      </w:r>
    </w:p>
    <w:p w:rsidR="00C86C1D" w:rsidRPr="00982A1C" w:rsidRDefault="00C86C1D" w:rsidP="00C86C1D">
      <w:pPr>
        <w:pStyle w:val="ListBullet"/>
        <w:rPr>
          <w:b/>
        </w:rPr>
      </w:pPr>
      <w:r>
        <w:rPr>
          <w:lang w:eastAsia="en-GB"/>
        </w:rPr>
        <w:t>To p</w:t>
      </w:r>
      <w:r w:rsidRPr="00853F36">
        <w:rPr>
          <w:lang w:eastAsia="en-GB"/>
        </w:rPr>
        <w:t xml:space="preserve">ut in place </w:t>
      </w:r>
      <w:r>
        <w:rPr>
          <w:lang w:eastAsia="en-GB"/>
        </w:rPr>
        <w:t xml:space="preserve">measures </w:t>
      </w:r>
      <w:r w:rsidRPr="00853F36">
        <w:rPr>
          <w:lang w:eastAsia="en-GB"/>
        </w:rPr>
        <w:t xml:space="preserve">to </w:t>
      </w:r>
      <w:r w:rsidR="009C1F33">
        <w:rPr>
          <w:lang w:eastAsia="en-GB"/>
        </w:rPr>
        <w:t xml:space="preserve">routinely </w:t>
      </w:r>
      <w:r w:rsidRPr="00853F36">
        <w:rPr>
          <w:lang w:eastAsia="en-GB"/>
        </w:rPr>
        <w:t xml:space="preserve">collect robust outcomes </w:t>
      </w:r>
      <w:r>
        <w:rPr>
          <w:lang w:eastAsia="en-GB"/>
        </w:rPr>
        <w:t xml:space="preserve">and workforce data </w:t>
      </w:r>
    </w:p>
    <w:p w:rsidR="002F5E2F" w:rsidRPr="00853F36" w:rsidRDefault="002C6945" w:rsidP="002F5E2F">
      <w:r>
        <w:t xml:space="preserve">The following </w:t>
      </w:r>
      <w:r w:rsidR="009C1F33">
        <w:t xml:space="preserve">are the </w:t>
      </w:r>
      <w:r>
        <w:t xml:space="preserve">issues </w:t>
      </w:r>
      <w:r w:rsidR="009C1F33">
        <w:t xml:space="preserve">that must be </w:t>
      </w:r>
      <w:r>
        <w:t>considered w</w:t>
      </w:r>
      <w:r w:rsidR="002F5E2F">
        <w:t>hen estimating the number of therapists and teams and the composition of teams</w:t>
      </w:r>
      <w:r>
        <w:t>:</w:t>
      </w:r>
    </w:p>
    <w:p w:rsidR="001F55B2" w:rsidRPr="00853F36" w:rsidRDefault="001F55B2" w:rsidP="001E0736">
      <w:pPr>
        <w:pStyle w:val="Heading3"/>
      </w:pPr>
      <w:bookmarkStart w:id="22" w:name="_Toc415666980"/>
      <w:bookmarkStart w:id="23" w:name="_Toc415733673"/>
      <w:r w:rsidRPr="00853F36">
        <w:t>Outcome measurement</w:t>
      </w:r>
      <w:bookmarkEnd w:id="22"/>
      <w:bookmarkEnd w:id="23"/>
    </w:p>
    <w:p w:rsidR="001F55B2" w:rsidRDefault="001F55B2" w:rsidP="001A2351">
      <w:r w:rsidRPr="00853F36">
        <w:t xml:space="preserve">Outcomes measurement is </w:t>
      </w:r>
      <w:r w:rsidR="00BC2D47">
        <w:t xml:space="preserve">a crucial element in </w:t>
      </w:r>
      <w:r w:rsidRPr="00853F36">
        <w:t>determin</w:t>
      </w:r>
      <w:r w:rsidR="00BC2D47">
        <w:t>ing</w:t>
      </w:r>
      <w:r w:rsidRPr="00853F36">
        <w:t xml:space="preserve"> the required composition and size of teams</w:t>
      </w:r>
      <w:r w:rsidR="00F445F2">
        <w:t>. I</w:t>
      </w:r>
      <w:r w:rsidRPr="00853F36">
        <w:t xml:space="preserve">t is essential </w:t>
      </w:r>
      <w:r w:rsidR="00F445F2">
        <w:t xml:space="preserve">that key outcomes are established and </w:t>
      </w:r>
      <w:r w:rsidRPr="00853F36">
        <w:t xml:space="preserve">that </w:t>
      </w:r>
      <w:r w:rsidR="00F445F2">
        <w:t xml:space="preserve">outcome </w:t>
      </w:r>
      <w:r w:rsidRPr="00853F36">
        <w:t>measurement is an integral part of new struct</w:t>
      </w:r>
      <w:r w:rsidR="008C12FA">
        <w:t xml:space="preserve">ures. </w:t>
      </w:r>
      <w:r w:rsidR="002C6945">
        <w:t>C</w:t>
      </w:r>
      <w:r w:rsidR="008C12FA">
        <w:t>urrently, t</w:t>
      </w:r>
      <w:r w:rsidRPr="00853F36">
        <w:t xml:space="preserve">here is little research </w:t>
      </w:r>
      <w:r w:rsidR="008C12FA">
        <w:t>relating</w:t>
      </w:r>
      <w:r w:rsidRPr="00853F36">
        <w:t xml:space="preserve"> team composition and size to outcomes or </w:t>
      </w:r>
      <w:r w:rsidR="002943BF">
        <w:t xml:space="preserve">relating </w:t>
      </w:r>
      <w:r w:rsidRPr="00853F36">
        <w:t>workloads and caseloads to outcomes</w:t>
      </w:r>
      <w:r w:rsidR="001C0CBD">
        <w:t>.</w:t>
      </w:r>
      <w:r w:rsidRPr="00853F36">
        <w:t xml:space="preserve"> There </w:t>
      </w:r>
      <w:r w:rsidR="002C6945">
        <w:t xml:space="preserve">are very few studies of </w:t>
      </w:r>
      <w:r w:rsidRPr="00853F36">
        <w:t xml:space="preserve">AHPs </w:t>
      </w:r>
      <w:r w:rsidR="002C6945">
        <w:t>linking</w:t>
      </w:r>
      <w:r w:rsidR="008C12FA">
        <w:t xml:space="preserve"> </w:t>
      </w:r>
      <w:r w:rsidRPr="00853F36">
        <w:t>staffing ratio to clinical outcomes.</w:t>
      </w:r>
      <w:r w:rsidR="00F445F2">
        <w:rPr>
          <w:rStyle w:val="FootnoteReference"/>
        </w:rPr>
        <w:footnoteReference w:id="11"/>
      </w:r>
    </w:p>
    <w:p w:rsidR="00E471A7" w:rsidRDefault="001A2351" w:rsidP="001A2351">
      <w:r>
        <w:t>I</w:t>
      </w:r>
      <w:r w:rsidR="005B21E6">
        <w:t xml:space="preserve">n Ohio in the USA, the Dept of Education </w:t>
      </w:r>
      <w:r w:rsidR="00E471A7">
        <w:t xml:space="preserve">gave </w:t>
      </w:r>
      <w:r w:rsidR="005B21E6">
        <w:t xml:space="preserve">grants to 21 educational agencies to trial </w:t>
      </w:r>
      <w:r w:rsidR="00D05ECC" w:rsidRPr="00D05ECC">
        <w:t xml:space="preserve">various approaches </w:t>
      </w:r>
      <w:r w:rsidR="005B21E6">
        <w:t xml:space="preserve">to establishing </w:t>
      </w:r>
      <w:r w:rsidR="008C12FA">
        <w:t xml:space="preserve">workload/ caseload ratios. </w:t>
      </w:r>
      <w:r w:rsidR="00E471A7">
        <w:t xml:space="preserve">A report </w:t>
      </w:r>
      <w:r w:rsidR="005D3180">
        <w:t>(</w:t>
      </w:r>
      <w:r w:rsidR="00E471A7" w:rsidRPr="00ED5B61">
        <w:t>October 2014</w:t>
      </w:r>
      <w:r w:rsidR="005D3180">
        <w:t>) outlines</w:t>
      </w:r>
      <w:r w:rsidR="00E471A7">
        <w:t xml:space="preserve"> which </w:t>
      </w:r>
      <w:r w:rsidR="00E471A7" w:rsidRPr="00D05ECC">
        <w:t xml:space="preserve">workload/ caseload </w:t>
      </w:r>
      <w:r w:rsidR="00E471A7">
        <w:t xml:space="preserve">approaches </w:t>
      </w:r>
      <w:r w:rsidR="00E471A7" w:rsidRPr="00D05ECC">
        <w:t>provide</w:t>
      </w:r>
      <w:r w:rsidR="00E471A7">
        <w:t>d</w:t>
      </w:r>
      <w:r w:rsidR="00E471A7" w:rsidRPr="00D05ECC">
        <w:t xml:space="preserve"> t</w:t>
      </w:r>
      <w:r w:rsidR="00F11F7F">
        <w:t>he best outcomes for students.</w:t>
      </w:r>
      <w:r w:rsidR="00E471A7">
        <w:t xml:space="preserve"> </w:t>
      </w:r>
      <w:r w:rsidR="005D3180">
        <w:t>While m</w:t>
      </w:r>
      <w:r w:rsidR="00E471A7" w:rsidRPr="00E471A7">
        <w:t>ethodological limitations prevented the research team from fully recommending one or more of the alternative caseload ratio approac</w:t>
      </w:r>
      <w:r w:rsidR="005D3180">
        <w:t xml:space="preserve">hes and accompanying strategies, </w:t>
      </w:r>
      <w:r w:rsidR="00AA6A79" w:rsidRPr="005D3180">
        <w:t xml:space="preserve">positive outcomes </w:t>
      </w:r>
      <w:r w:rsidR="00AA6A79">
        <w:t xml:space="preserve">were identified </w:t>
      </w:r>
      <w:r w:rsidR="002C6945">
        <w:t xml:space="preserve">when considering the </w:t>
      </w:r>
      <w:r w:rsidR="005D3180" w:rsidRPr="005D3180">
        <w:t>data as a whole</w:t>
      </w:r>
      <w:r w:rsidR="00F11F7F">
        <w:t>.</w:t>
      </w:r>
      <w:r w:rsidR="005D3180">
        <w:rPr>
          <w:rStyle w:val="FootnoteReference"/>
        </w:rPr>
        <w:footnoteReference w:id="12"/>
      </w:r>
    </w:p>
    <w:p w:rsidR="002C6945" w:rsidRDefault="00687C67" w:rsidP="0081196A">
      <w:r>
        <w:t xml:space="preserve">Measuring </w:t>
      </w:r>
      <w:r w:rsidR="005D3180">
        <w:t xml:space="preserve">user </w:t>
      </w:r>
      <w:r w:rsidR="00185181">
        <w:t>experience</w:t>
      </w:r>
      <w:r w:rsidR="009C1F33">
        <w:t>,</w:t>
      </w:r>
      <w:r w:rsidR="00185181">
        <w:t xml:space="preserve"> c</w:t>
      </w:r>
      <w:r w:rsidR="00C504AD">
        <w:t>an guide service improvement because</w:t>
      </w:r>
      <w:r w:rsidR="00185181">
        <w:t xml:space="preserve"> </w:t>
      </w:r>
      <w:r w:rsidR="00F11F7F">
        <w:t xml:space="preserve">research </w:t>
      </w:r>
      <w:r w:rsidR="002C6945">
        <w:t>shows</w:t>
      </w:r>
      <w:r w:rsidR="00F11F7F">
        <w:t xml:space="preserve"> that </w:t>
      </w:r>
      <w:r w:rsidR="00C504AD">
        <w:t xml:space="preserve">clinical outcomes </w:t>
      </w:r>
      <w:r w:rsidR="00946C72">
        <w:t xml:space="preserve">are linked to </w:t>
      </w:r>
      <w:r w:rsidR="00C504AD">
        <w:t>people’s experience of care</w:t>
      </w:r>
      <w:r w:rsidR="00185181">
        <w:t>.</w:t>
      </w:r>
      <w:r w:rsidR="00185181">
        <w:rPr>
          <w:rStyle w:val="FootnoteReference"/>
        </w:rPr>
        <w:footnoteReference w:id="13"/>
      </w:r>
      <w:r w:rsidR="005D3180">
        <w:t xml:space="preserve"> </w:t>
      </w:r>
      <w:r w:rsidR="00185181">
        <w:t xml:space="preserve">A systematic review of </w:t>
      </w:r>
      <w:r>
        <w:t>primary care and hospital studies</w:t>
      </w:r>
      <w:r w:rsidR="00185181">
        <w:t xml:space="preserve"> found consistent posit</w:t>
      </w:r>
      <w:r>
        <w:t xml:space="preserve">ive associations between client experience, </w:t>
      </w:r>
      <w:r w:rsidR="00185181">
        <w:t xml:space="preserve">safety and clinical effectiveness for a wide </w:t>
      </w:r>
      <w:r>
        <w:t>range of conditions</w:t>
      </w:r>
      <w:r w:rsidR="00185181">
        <w:t>, settings, outcome measures and study designs.</w:t>
      </w:r>
      <w:r w:rsidR="00185181">
        <w:rPr>
          <w:rStyle w:val="FootnoteReference"/>
        </w:rPr>
        <w:footnoteReference w:id="14"/>
      </w:r>
      <w:r w:rsidRPr="00687C67">
        <w:t xml:space="preserve"> </w:t>
      </w:r>
      <w:r w:rsidR="0081196A">
        <w:t>However, measuring</w:t>
      </w:r>
      <w:r w:rsidR="00185181">
        <w:t xml:space="preserve"> </w:t>
      </w:r>
      <w:r w:rsidR="00C3621A">
        <w:t xml:space="preserve">patient experience </w:t>
      </w:r>
      <w:r w:rsidR="002C6945">
        <w:t xml:space="preserve">often </w:t>
      </w:r>
      <w:r w:rsidR="0081196A">
        <w:t>require</w:t>
      </w:r>
      <w:r w:rsidR="002C6945">
        <w:t>s</w:t>
      </w:r>
      <w:r w:rsidR="0081196A">
        <w:t xml:space="preserve"> </w:t>
      </w:r>
      <w:r w:rsidR="00185181">
        <w:t xml:space="preserve">a cultural shift from </w:t>
      </w:r>
      <w:r w:rsidR="00C3621A">
        <w:t xml:space="preserve">concentrating </w:t>
      </w:r>
      <w:r w:rsidR="00185181">
        <w:t xml:space="preserve">on gathering feedback </w:t>
      </w:r>
      <w:r w:rsidR="00716E17">
        <w:t xml:space="preserve">to using </w:t>
      </w:r>
      <w:r w:rsidR="00C504AD">
        <w:t xml:space="preserve">it </w:t>
      </w:r>
      <w:r w:rsidR="00C3621A">
        <w:t>effectively</w:t>
      </w:r>
      <w:r w:rsidR="0081196A">
        <w:t>.</w:t>
      </w:r>
      <w:r w:rsidR="00185181" w:rsidRPr="00185181">
        <w:t xml:space="preserve"> </w:t>
      </w:r>
    </w:p>
    <w:p w:rsidR="0081196A" w:rsidRDefault="0081196A" w:rsidP="0081196A">
      <w:r>
        <w:t>A systematic review of instruments for measuring patient experience identified cor</w:t>
      </w:r>
      <w:r w:rsidR="00716E17">
        <w:t xml:space="preserve">e components </w:t>
      </w:r>
      <w:r w:rsidR="00FF419A">
        <w:t>as follows</w:t>
      </w:r>
      <w:r>
        <w:t>:</w:t>
      </w:r>
      <w:r>
        <w:rPr>
          <w:rStyle w:val="FootnoteReference"/>
        </w:rPr>
        <w:footnoteReference w:id="15"/>
      </w:r>
    </w:p>
    <w:p w:rsidR="00185181" w:rsidRDefault="0081196A" w:rsidP="0081196A">
      <w:pPr>
        <w:pStyle w:val="ListBullet"/>
      </w:pPr>
      <w:r>
        <w:t>Characteristics of interactions (</w:t>
      </w:r>
      <w:r w:rsidR="009C1F33">
        <w:t>p</w:t>
      </w:r>
      <w:r w:rsidR="00185181">
        <w:t>atient–professional relationship</w:t>
      </w:r>
      <w:r>
        <w:t>, p</w:t>
      </w:r>
      <w:r w:rsidR="00185181">
        <w:t>rofessional care</w:t>
      </w:r>
      <w:r>
        <w:t>, i</w:t>
      </w:r>
      <w:r w:rsidR="00185181">
        <w:t>nformation and advice</w:t>
      </w:r>
      <w:r>
        <w:t>, c</w:t>
      </w:r>
      <w:r w:rsidR="00185181">
        <w:t>ommunication skills</w:t>
      </w:r>
      <w:r>
        <w:t>, trust)</w:t>
      </w:r>
    </w:p>
    <w:p w:rsidR="00185181" w:rsidRDefault="0081196A" w:rsidP="0081196A">
      <w:pPr>
        <w:pStyle w:val="ListBullet"/>
      </w:pPr>
      <w:r>
        <w:t>Organisational aspects (</w:t>
      </w:r>
      <w:r w:rsidR="009C1F33">
        <w:t>a</w:t>
      </w:r>
      <w:r w:rsidR="00185181">
        <w:t>ccessibility/availability</w:t>
      </w:r>
      <w:r>
        <w:t>, office characteristics, office organisation/waiting time,</w:t>
      </w:r>
      <w:r w:rsidRPr="0081196A">
        <w:t xml:space="preserve"> </w:t>
      </w:r>
      <w:r>
        <w:t>office staff, m</w:t>
      </w:r>
      <w:r w:rsidR="00185181">
        <w:t>edical and technical facilities</w:t>
      </w:r>
      <w:r>
        <w:t>)</w:t>
      </w:r>
    </w:p>
    <w:p w:rsidR="00185181" w:rsidRDefault="00185181" w:rsidP="0081196A">
      <w:pPr>
        <w:pStyle w:val="ListBullet"/>
      </w:pPr>
      <w:r>
        <w:t>Ove</w:t>
      </w:r>
      <w:r w:rsidR="0081196A">
        <w:t>rarching assessm</w:t>
      </w:r>
      <w:r w:rsidR="009C1F33">
        <w:t>ents (s</w:t>
      </w:r>
      <w:r w:rsidR="0081196A">
        <w:t>uccess of outcome, general satisfaction and w</w:t>
      </w:r>
      <w:r>
        <w:t>illingness to recommend service</w:t>
      </w:r>
      <w:r w:rsidR="0081196A">
        <w:t>)</w:t>
      </w:r>
    </w:p>
    <w:p w:rsidR="00C504AD" w:rsidRPr="009C1F33" w:rsidRDefault="00C504AD" w:rsidP="00C504AD">
      <w:r w:rsidRPr="009C1F33">
        <w:t>In Ireland, the Department of Health asked the National Co-ordinating Group of the HSE Progressing Disability Services for Children and Young People programme</w:t>
      </w:r>
      <w:r w:rsidR="009C1F33">
        <w:t>,</w:t>
      </w:r>
      <w:r w:rsidRPr="009C1F33">
        <w:t xml:space="preserve"> to develop a performance reporting system for accountability of the network inter-disciplinary children’s disability teams throughout the country. </w:t>
      </w:r>
      <w:r w:rsidR="009C1F33">
        <w:rPr>
          <w:rFonts w:ascii="Gill Sans MT" w:hAnsi="Gill Sans MT"/>
        </w:rPr>
        <w:t>‘</w:t>
      </w:r>
      <w:r w:rsidRPr="009C1F33">
        <w:t>Outcomes for Children and Their Families</w:t>
      </w:r>
      <w:r w:rsidR="009C1F33">
        <w:rPr>
          <w:rFonts w:ascii="Gill Sans MT" w:hAnsi="Gill Sans MT"/>
        </w:rPr>
        <w:t>’</w:t>
      </w:r>
      <w:r w:rsidRPr="009C1F33">
        <w:t xml:space="preserve"> is the name of the proposed system and is based on:</w:t>
      </w:r>
    </w:p>
    <w:p w:rsidR="00C504AD" w:rsidRPr="00853F36" w:rsidRDefault="00C504AD" w:rsidP="00C504AD">
      <w:pPr>
        <w:pStyle w:val="ListBullet"/>
        <w:numPr>
          <w:ilvl w:val="0"/>
          <w:numId w:val="1"/>
        </w:numPr>
      </w:pPr>
      <w:r>
        <w:t>I</w:t>
      </w:r>
      <w:r w:rsidRPr="00853F36">
        <w:t>nternati</w:t>
      </w:r>
      <w:r>
        <w:t>onal best practice and evidence</w:t>
      </w:r>
    </w:p>
    <w:p w:rsidR="00C504AD" w:rsidRPr="00853F36" w:rsidRDefault="00C504AD" w:rsidP="00C504AD">
      <w:pPr>
        <w:pStyle w:val="ListBullet"/>
        <w:numPr>
          <w:ilvl w:val="0"/>
          <w:numId w:val="1"/>
        </w:numPr>
      </w:pPr>
      <w:r>
        <w:t>C</w:t>
      </w:r>
      <w:r w:rsidRPr="00853F36">
        <w:t>onsultation with service users, families and staff</w:t>
      </w:r>
    </w:p>
    <w:p w:rsidR="00C504AD" w:rsidRPr="00853F36" w:rsidRDefault="00C504AD" w:rsidP="00C504AD">
      <w:pPr>
        <w:pStyle w:val="ListBullet"/>
        <w:numPr>
          <w:ilvl w:val="0"/>
          <w:numId w:val="1"/>
        </w:numPr>
        <w:spacing w:after="240"/>
        <w:ind w:left="357" w:hanging="357"/>
      </w:pPr>
      <w:r>
        <w:t>Consultation with researchers</w:t>
      </w:r>
    </w:p>
    <w:p w:rsidR="00C6485F" w:rsidRDefault="00C504AD" w:rsidP="00C504AD">
      <w:r w:rsidRPr="00853F36">
        <w:t xml:space="preserve">The </w:t>
      </w:r>
      <w:r w:rsidR="00644680" w:rsidRPr="009C1F33">
        <w:t>National Co-ordinating Group of the HSE Progressing Disability Services for Children and Young People programme</w:t>
      </w:r>
      <w:r w:rsidR="00644680" w:rsidRPr="00853F36">
        <w:t xml:space="preserve"> </w:t>
      </w:r>
      <w:r w:rsidR="00BC2D47">
        <w:t>has recommended</w:t>
      </w:r>
      <w:r w:rsidRPr="00853F36">
        <w:t xml:space="preserve"> </w:t>
      </w:r>
      <w:r>
        <w:t xml:space="preserve">the phasing in of </w:t>
      </w:r>
      <w:r w:rsidRPr="00853F36">
        <w:t>the Outcomes for Children and Their F</w:t>
      </w:r>
      <w:r>
        <w:t xml:space="preserve">amilies system over </w:t>
      </w:r>
      <w:r w:rsidR="00644680">
        <w:t xml:space="preserve">a number of </w:t>
      </w:r>
      <w:r>
        <w:t>years.</w:t>
      </w:r>
      <w:r w:rsidRPr="00853F36">
        <w:t xml:space="preserve"> </w:t>
      </w:r>
      <w:r>
        <w:t>This</w:t>
      </w:r>
      <w:r w:rsidR="00273340">
        <w:t xml:space="preserve"> will commence in 2015</w:t>
      </w:r>
      <w:r w:rsidRPr="00853F36">
        <w:t xml:space="preserve"> with demonstration sites across the fifty-six already reconfigured </w:t>
      </w:r>
      <w:r>
        <w:t xml:space="preserve">network </w:t>
      </w:r>
      <w:r w:rsidRPr="00853F36">
        <w:t xml:space="preserve">teams. Outcome measurement </w:t>
      </w:r>
      <w:r>
        <w:t xml:space="preserve">is crucial, as it </w:t>
      </w:r>
      <w:r w:rsidRPr="00853F36">
        <w:t>will demonstrate whether early intervention and</w:t>
      </w:r>
      <w:r>
        <w:t xml:space="preserve"> school age</w:t>
      </w:r>
      <w:r w:rsidRPr="00853F36">
        <w:t xml:space="preserve"> disability teams are achieving the desired outcomes for children and young people with disabilities. </w:t>
      </w:r>
      <w:r w:rsidR="002C6945">
        <w:t>The</w:t>
      </w:r>
      <w:r w:rsidR="00764C44">
        <w:t xml:space="preserve"> first part of Appendix 1 </w:t>
      </w:r>
      <w:r w:rsidR="002C6945">
        <w:t xml:space="preserve">contains </w:t>
      </w:r>
      <w:r w:rsidR="00644680">
        <w:t xml:space="preserve">more </w:t>
      </w:r>
      <w:r w:rsidR="00764C44">
        <w:t xml:space="preserve">information on </w:t>
      </w:r>
      <w:r w:rsidR="00C6485F">
        <w:t>outcomes</w:t>
      </w:r>
      <w:r w:rsidR="002C6945">
        <w:t>.</w:t>
      </w:r>
    </w:p>
    <w:p w:rsidR="001F55B2" w:rsidRPr="00853F36" w:rsidRDefault="001F55B2" w:rsidP="001E0736">
      <w:pPr>
        <w:pStyle w:val="Heading3"/>
      </w:pPr>
      <w:bookmarkStart w:id="24" w:name="_Toc415666981"/>
      <w:bookmarkStart w:id="25" w:name="_Toc415733674"/>
      <w:r w:rsidRPr="00853F36">
        <w:t xml:space="preserve">Team </w:t>
      </w:r>
      <w:r w:rsidR="00BC2D47">
        <w:t xml:space="preserve">composition and </w:t>
      </w:r>
      <w:r w:rsidRPr="00853F36">
        <w:t>size</w:t>
      </w:r>
      <w:bookmarkEnd w:id="24"/>
      <w:bookmarkEnd w:id="25"/>
      <w:r w:rsidRPr="00853F36">
        <w:t xml:space="preserve"> </w:t>
      </w:r>
    </w:p>
    <w:p w:rsidR="00BC2D47" w:rsidRDefault="00BC2D47" w:rsidP="00BC2D47">
      <w:r>
        <w:t xml:space="preserve">Across jurisdictions, research evidence or good practice is not always the basis for determining </w:t>
      </w:r>
      <w:r w:rsidRPr="00853F36">
        <w:t xml:space="preserve">healthcare team </w:t>
      </w:r>
      <w:r>
        <w:t>composition and size.</w:t>
      </w:r>
      <w:r w:rsidRPr="00853F36">
        <w:t xml:space="preserve"> For example, a national survey on multi-disciplinary mental health teams in England</w:t>
      </w:r>
      <w:r w:rsidR="00644680">
        <w:t>,</w:t>
      </w:r>
      <w:r w:rsidRPr="00853F36">
        <w:t xml:space="preserve"> found that there was a shortage of several therapists on teams, compared to policy targets and previous research. However, the numbers of nurses greatly exceeded target numbers. </w:t>
      </w:r>
      <w:r>
        <w:t>E</w:t>
      </w:r>
      <w:r w:rsidRPr="00853F36">
        <w:t>xisting supplies of</w:t>
      </w:r>
      <w:r>
        <w:t xml:space="preserve"> different professionals and </w:t>
      </w:r>
      <w:r w:rsidRPr="00853F36">
        <w:t xml:space="preserve">disjointed workforce planning </w:t>
      </w:r>
      <w:r>
        <w:t>is often the basis for determining a</w:t>
      </w:r>
      <w:r w:rsidRPr="00853F36">
        <w:t xml:space="preserve"> workforce </w:t>
      </w:r>
      <w:r>
        <w:t>rather than organising the workforce</w:t>
      </w:r>
      <w:r w:rsidRPr="00853F36">
        <w:t xml:space="preserve"> in a way that addresses needs.</w:t>
      </w:r>
      <w:r w:rsidRPr="00853F36">
        <w:rPr>
          <w:rStyle w:val="FootnoteReference"/>
        </w:rPr>
        <w:footnoteReference w:id="16"/>
      </w:r>
    </w:p>
    <w:p w:rsidR="00BC2D47" w:rsidRDefault="002C6945" w:rsidP="00BC2D47">
      <w:r>
        <w:t>Currently</w:t>
      </w:r>
      <w:r w:rsidR="00644680">
        <w:t>,</w:t>
      </w:r>
      <w:r>
        <w:t xml:space="preserve"> t</w:t>
      </w:r>
      <w:r w:rsidR="00BC2D47" w:rsidRPr="00853F36">
        <w:t xml:space="preserve">here is no explicit rationale for deciding which </w:t>
      </w:r>
      <w:r w:rsidR="00644680">
        <w:t xml:space="preserve">AHPs </w:t>
      </w:r>
      <w:r w:rsidR="00BC2D47" w:rsidRPr="00853F36">
        <w:t xml:space="preserve">and other professionals are core to early intervention and school-age teams. Would, for instance, input from an educational psychologist/educator on school aged </w:t>
      </w:r>
      <w:r w:rsidR="00434BCD" w:rsidRPr="00853F36">
        <w:t>team</w:t>
      </w:r>
      <w:r w:rsidR="00434BCD">
        <w:t>s</w:t>
      </w:r>
      <w:r>
        <w:t xml:space="preserve"> improve child outcomes or </w:t>
      </w:r>
      <w:r w:rsidR="002D0996">
        <w:t xml:space="preserve">would improved structures for collaboration between teams and professionals </w:t>
      </w:r>
      <w:r>
        <w:t>with</w:t>
      </w:r>
      <w:r w:rsidR="002D0996">
        <w:t>in the health sector</w:t>
      </w:r>
      <w:r>
        <w:t>,</w:t>
      </w:r>
      <w:r w:rsidR="002D0996">
        <w:t xml:space="preserve"> </w:t>
      </w:r>
      <w:r w:rsidR="0004058F">
        <w:t>and between the health and education sectors</w:t>
      </w:r>
      <w:r>
        <w:t>,</w:t>
      </w:r>
      <w:r w:rsidR="0004058F">
        <w:t xml:space="preserve"> </w:t>
      </w:r>
      <w:r>
        <w:t xml:space="preserve">deliver better outcomes? </w:t>
      </w:r>
      <w:r w:rsidR="00BC2D47">
        <w:t xml:space="preserve">Is the same composition of </w:t>
      </w:r>
      <w:r w:rsidR="00BC2D47" w:rsidRPr="00853F36">
        <w:t xml:space="preserve">professionals </w:t>
      </w:r>
      <w:r w:rsidR="00BC2D47">
        <w:t xml:space="preserve">required on both the early intervention and school age disability </w:t>
      </w:r>
      <w:r w:rsidR="00BC2D47" w:rsidRPr="00853F36">
        <w:t>teams?</w:t>
      </w:r>
      <w:r w:rsidR="00BC2D47">
        <w:t xml:space="preserve"> </w:t>
      </w:r>
    </w:p>
    <w:p w:rsidR="00644680" w:rsidRDefault="00644680" w:rsidP="001E0736">
      <w:pPr>
        <w:pStyle w:val="Heading3"/>
      </w:pPr>
      <w:bookmarkStart w:id="26" w:name="_Toc415666982"/>
      <w:bookmarkStart w:id="27" w:name="_Toc415733675"/>
      <w:r>
        <w:t>D</w:t>
      </w:r>
      <w:r w:rsidR="00C504AD" w:rsidRPr="00853F36">
        <w:t xml:space="preserve">ata on </w:t>
      </w:r>
      <w:r w:rsidR="00BC2D47">
        <w:t>therapists/</w:t>
      </w:r>
      <w:r w:rsidR="00C504AD" w:rsidRPr="00853F36">
        <w:t xml:space="preserve">allied health service </w:t>
      </w:r>
      <w:r w:rsidR="00BC2D47">
        <w:t>professionals</w:t>
      </w:r>
      <w:r>
        <w:t>’</w:t>
      </w:r>
      <w:r w:rsidR="00BC2D47">
        <w:t xml:space="preserve"> </w:t>
      </w:r>
      <w:r w:rsidR="00C504AD" w:rsidRPr="00853F36">
        <w:t>activity</w:t>
      </w:r>
      <w:bookmarkEnd w:id="26"/>
      <w:bookmarkEnd w:id="27"/>
      <w:r w:rsidR="00C504AD" w:rsidRPr="00853F36">
        <w:t xml:space="preserve"> </w:t>
      </w:r>
    </w:p>
    <w:p w:rsidR="00C504AD" w:rsidRPr="00644680" w:rsidRDefault="00C504AD" w:rsidP="00644680">
      <w:pPr>
        <w:rPr>
          <w:rStyle w:val="FootnoteReference"/>
          <w:b/>
          <w:bCs/>
          <w:vertAlign w:val="baseline"/>
        </w:rPr>
      </w:pPr>
      <w:r w:rsidRPr="00644680">
        <w:rPr>
          <w:bCs/>
        </w:rPr>
        <w:t>In Ireland, recommendations in the 2001 Bacon Report on the labour market and some of the allied health professions (physiotherapists, occupational therapists and speech and language therapists) are still pertinent. Recommendations include the need to improve the database of statistics in relation to the supply and demand for these professions (to know how many people are working at any time, the manner in which funding of these therapists take place, and to develop methodologies for the estimation of demand).</w:t>
      </w:r>
      <w:r w:rsidRPr="00644680">
        <w:rPr>
          <w:rStyle w:val="FootnoteReference"/>
          <w:b/>
          <w:bCs/>
        </w:rPr>
        <w:footnoteReference w:id="17"/>
      </w:r>
    </w:p>
    <w:p w:rsidR="00946C72" w:rsidRDefault="00946C72" w:rsidP="00644680">
      <w:r w:rsidRPr="00644680">
        <w:t>Comprehensive and accurate data on therapists/</w:t>
      </w:r>
      <w:r>
        <w:t>AHPs</w:t>
      </w:r>
      <w:r w:rsidRPr="00644680">
        <w:t xml:space="preserve"> activity is poor, particularly in community settings</w:t>
      </w:r>
      <w:r>
        <w:t xml:space="preserve">. </w:t>
      </w:r>
      <w:r w:rsidRPr="00644680">
        <w:rPr>
          <w:bCs/>
        </w:rPr>
        <w:t>Data currently available nationally and internationally</w:t>
      </w:r>
      <w:r>
        <w:rPr>
          <w:bCs/>
        </w:rPr>
        <w:t>,</w:t>
      </w:r>
      <w:r w:rsidRPr="00644680">
        <w:rPr>
          <w:bCs/>
        </w:rPr>
        <w:t xml:space="preserve"> is not sufficiently robust to make firm recommendations on the required number of teams and therapists and </w:t>
      </w:r>
      <w:r>
        <w:rPr>
          <w:bCs/>
        </w:rPr>
        <w:t xml:space="preserve">on </w:t>
      </w:r>
      <w:r w:rsidRPr="00644680">
        <w:rPr>
          <w:bCs/>
        </w:rPr>
        <w:t>the ideal composition of teams.</w:t>
      </w:r>
    </w:p>
    <w:p w:rsidR="00C504AD" w:rsidRPr="00853F36" w:rsidRDefault="00C504AD" w:rsidP="00644680">
      <w:r w:rsidRPr="00853F36">
        <w:t>There is a scarcity of research into staffing ratios for therapists/ allied health professions (AHPs), some of whom are c</w:t>
      </w:r>
      <w:r>
        <w:t xml:space="preserve">ore to </w:t>
      </w:r>
      <w:r w:rsidR="006B7E5E">
        <w:t>Children’s Disability Network Teams</w:t>
      </w:r>
      <w:r w:rsidRPr="00853F36">
        <w:t xml:space="preserve">. This contrasts with </w:t>
      </w:r>
      <w:r>
        <w:t xml:space="preserve">the successful use of </w:t>
      </w:r>
      <w:r w:rsidRPr="00853F36">
        <w:t>staffing ratios in nursing and medicine.</w:t>
      </w:r>
      <w:r w:rsidRPr="00853F36">
        <w:rPr>
          <w:rStyle w:val="FootnoteReference"/>
        </w:rPr>
        <w:footnoteReference w:id="18"/>
      </w:r>
    </w:p>
    <w:p w:rsidR="00C504AD" w:rsidRDefault="00946C72" w:rsidP="00C504AD">
      <w:r>
        <w:t>T</w:t>
      </w:r>
      <w:r w:rsidR="00C504AD">
        <w:t xml:space="preserve">here </w:t>
      </w:r>
      <w:r>
        <w:t xml:space="preserve">is no </w:t>
      </w:r>
      <w:r w:rsidR="00C504AD" w:rsidRPr="00853F36">
        <w:t xml:space="preserve">consensus in the literature on the correct approach to develop ratios. </w:t>
      </w:r>
      <w:r w:rsidR="00C504AD">
        <w:t>A</w:t>
      </w:r>
      <w:r w:rsidR="00C504AD" w:rsidRPr="00853F36">
        <w:t>pproaches used</w:t>
      </w:r>
      <w:r w:rsidR="00C504AD">
        <w:t xml:space="preserve"> to agree workforce ratios for therapists include</w:t>
      </w:r>
      <w:r w:rsidR="00C504AD" w:rsidRPr="00853F36">
        <w:t xml:space="preserve">: </w:t>
      </w:r>
    </w:p>
    <w:p w:rsidR="00C504AD" w:rsidRDefault="00C504AD" w:rsidP="00AA6A79">
      <w:pPr>
        <w:pStyle w:val="ListBullet"/>
      </w:pPr>
      <w:r>
        <w:t>Experimental trial</w:t>
      </w:r>
    </w:p>
    <w:p w:rsidR="00C504AD" w:rsidRDefault="00C504AD" w:rsidP="00AA6A79">
      <w:pPr>
        <w:pStyle w:val="ListBullet"/>
      </w:pPr>
      <w:r>
        <w:t xml:space="preserve">Current clinical practice </w:t>
      </w:r>
    </w:p>
    <w:p w:rsidR="00AA6A79" w:rsidRDefault="00C504AD" w:rsidP="00AA6A79">
      <w:pPr>
        <w:pStyle w:val="ListBullet"/>
      </w:pPr>
      <w:r>
        <w:t>Using staff classifications</w:t>
      </w:r>
    </w:p>
    <w:p w:rsidR="00946C72" w:rsidRDefault="00946C72" w:rsidP="00AA6A79">
      <w:pPr>
        <w:pStyle w:val="ListBullet"/>
      </w:pPr>
      <w:r>
        <w:t>Consensus</w:t>
      </w:r>
      <w:r w:rsidRPr="00853F36">
        <w:t xml:space="preserve"> </w:t>
      </w:r>
    </w:p>
    <w:p w:rsidR="00BC2D47" w:rsidRPr="00853F36" w:rsidRDefault="00BC2D47" w:rsidP="00DA7FC0">
      <w:r>
        <w:t xml:space="preserve">In addition, the </w:t>
      </w:r>
      <w:r w:rsidRPr="00853F36">
        <w:t xml:space="preserve">status of the allied health professions </w:t>
      </w:r>
      <w:r>
        <w:t xml:space="preserve">varies </w:t>
      </w:r>
      <w:r w:rsidRPr="00853F36">
        <w:t>across jurisdictions. In Scotland, allied health professionals are ‘agents of change in health and social care’. In New Zealand</w:t>
      </w:r>
      <w:r>
        <w:t>,</w:t>
      </w:r>
      <w:r w:rsidRPr="00853F36">
        <w:t xml:space="preserve"> front-line allied health professionals manage budgets, service provision, planning</w:t>
      </w:r>
      <w:r>
        <w:t xml:space="preserve"> </w:t>
      </w:r>
      <w:r w:rsidRPr="00853F36">
        <w:t>outcomes</w:t>
      </w:r>
      <w:r>
        <w:t>,</w:t>
      </w:r>
      <w:r w:rsidRPr="00853F36">
        <w:t xml:space="preserve"> and accountability and auditing. In Ireland, </w:t>
      </w:r>
      <w:r w:rsidR="002D0996">
        <w:t>at present</w:t>
      </w:r>
      <w:r w:rsidR="00EF4A19">
        <w:t>,</w:t>
      </w:r>
      <w:r w:rsidR="002D0996">
        <w:t xml:space="preserve"> </w:t>
      </w:r>
      <w:r w:rsidRPr="00853F36">
        <w:t>allied health professionals do not have clinical representation at service and regional level</w:t>
      </w:r>
      <w:r>
        <w:t>,</w:t>
      </w:r>
      <w:r w:rsidRPr="00853F36">
        <w:t xml:space="preserve"> </w:t>
      </w:r>
      <w:r>
        <w:t xml:space="preserve">nor are they </w:t>
      </w:r>
      <w:r w:rsidRPr="00853F36">
        <w:t>represented in an advisory capacity in the Depa</w:t>
      </w:r>
      <w:r>
        <w:t>rtment of Health</w:t>
      </w:r>
      <w:r w:rsidRPr="00853F36">
        <w:t>.</w:t>
      </w:r>
      <w:r w:rsidRPr="00853F36">
        <w:rPr>
          <w:rStyle w:val="FootnoteReference"/>
        </w:rPr>
        <w:footnoteReference w:id="19"/>
      </w:r>
      <w:r w:rsidR="002D0996">
        <w:t xml:space="preserve"> The structures recommended by </w:t>
      </w:r>
      <w:r w:rsidR="00EF4A19">
        <w:t xml:space="preserve">the </w:t>
      </w:r>
      <w:r w:rsidR="00946C72">
        <w:rPr>
          <w:rFonts w:ascii="Gill Sans MT" w:hAnsi="Gill Sans MT"/>
          <w:lang w:val="en-GB"/>
        </w:rPr>
        <w:t>‘</w:t>
      </w:r>
      <w:r w:rsidR="002D0996" w:rsidRPr="00C84C3C">
        <w:rPr>
          <w:lang w:val="en-GB"/>
        </w:rPr>
        <w:t>Community Healthcare</w:t>
      </w:r>
      <w:r w:rsidR="002D0996">
        <w:rPr>
          <w:lang w:val="en-GB"/>
        </w:rPr>
        <w:t xml:space="preserve"> </w:t>
      </w:r>
      <w:r w:rsidR="002D0996" w:rsidRPr="00C84C3C">
        <w:rPr>
          <w:lang w:val="en-GB"/>
        </w:rPr>
        <w:t>Organisations</w:t>
      </w:r>
      <w:r w:rsidR="002D0996">
        <w:rPr>
          <w:lang w:val="en-GB"/>
        </w:rPr>
        <w:t xml:space="preserve"> </w:t>
      </w:r>
      <w:r w:rsidR="002D0996" w:rsidRPr="00C84C3C">
        <w:rPr>
          <w:lang w:val="en-GB"/>
        </w:rPr>
        <w:t>Report</w:t>
      </w:r>
      <w:r w:rsidR="00946C72">
        <w:rPr>
          <w:rFonts w:ascii="Gill Sans MT" w:hAnsi="Gill Sans MT"/>
        </w:rPr>
        <w:t>’</w:t>
      </w:r>
      <w:r w:rsidR="002D0996">
        <w:t xml:space="preserve"> </w:t>
      </w:r>
      <w:r w:rsidR="00DA7FC0">
        <w:t xml:space="preserve">strengthen clinical leadership </w:t>
      </w:r>
      <w:r w:rsidR="00946C72">
        <w:t xml:space="preserve">by including </w:t>
      </w:r>
      <w:r w:rsidR="00DA7FC0">
        <w:t xml:space="preserve">a Lead </w:t>
      </w:r>
      <w:r w:rsidR="00946C72">
        <w:t xml:space="preserve">(leader) </w:t>
      </w:r>
      <w:r w:rsidR="00DA7FC0">
        <w:t>for Quality and Professional Development as part of the management team</w:t>
      </w:r>
      <w:r w:rsidR="00946C72">
        <w:t>,</w:t>
      </w:r>
      <w:r w:rsidR="00DA7FC0">
        <w:t xml:space="preserve"> to whom a medical lead, nursing lead and AHP lead</w:t>
      </w:r>
      <w:r w:rsidR="00946C72">
        <w:t>,</w:t>
      </w:r>
      <w:r w:rsidR="00DA7FC0">
        <w:t xml:space="preserve"> report. </w:t>
      </w:r>
    </w:p>
    <w:p w:rsidR="001F55B2" w:rsidRPr="00853F36" w:rsidRDefault="0064447A" w:rsidP="001E0736">
      <w:pPr>
        <w:pStyle w:val="Heading3"/>
      </w:pPr>
      <w:bookmarkStart w:id="28" w:name="_Toc415666983"/>
      <w:bookmarkStart w:id="29" w:name="_Toc415733676"/>
      <w:r>
        <w:t>W</w:t>
      </w:r>
      <w:r w:rsidR="00C20F11">
        <w:t>orkload/caseload</w:t>
      </w:r>
      <w:bookmarkEnd w:id="28"/>
      <w:bookmarkEnd w:id="29"/>
      <w:r>
        <w:t xml:space="preserve"> </w:t>
      </w:r>
    </w:p>
    <w:p w:rsidR="00397A22" w:rsidRDefault="00397A22" w:rsidP="001D11F2">
      <w:r>
        <w:t>F</w:t>
      </w:r>
      <w:r w:rsidRPr="00397A22">
        <w:t>or professionals to be effective in their role, they must have sufficient time to do their work and receive quality support and advice</w:t>
      </w:r>
      <w:r>
        <w:t xml:space="preserve">. When this is not the case, </w:t>
      </w:r>
      <w:r w:rsidR="00EF4A19">
        <w:t xml:space="preserve">research shows that </w:t>
      </w:r>
      <w:r>
        <w:t xml:space="preserve">consequences include high turnover rates, absenteeism, </w:t>
      </w:r>
      <w:r w:rsidR="00EF4A19">
        <w:t>increased sick leave and levels of stress</w:t>
      </w:r>
      <w:r w:rsidR="00BC2D47">
        <w:t xml:space="preserve"> as well as </w:t>
      </w:r>
      <w:r>
        <w:t>a reduction in the q</w:t>
      </w:r>
      <w:r w:rsidR="00BC2D47">
        <w:t>uality of practice and outcomes</w:t>
      </w:r>
      <w:r>
        <w:t>.</w:t>
      </w:r>
    </w:p>
    <w:p w:rsidR="00C20F11" w:rsidRDefault="003818DC" w:rsidP="006D4B32">
      <w:r>
        <w:t xml:space="preserve">A caseload approach </w:t>
      </w:r>
      <w:r w:rsidR="005F1EFE">
        <w:t xml:space="preserve">considers </w:t>
      </w:r>
      <w:r w:rsidR="001D11F2">
        <w:t xml:space="preserve">the number of clients served </w:t>
      </w:r>
      <w:r w:rsidR="00397A22">
        <w:t>by a therapist or team</w:t>
      </w:r>
      <w:r w:rsidR="00946C72">
        <w:t>,</w:t>
      </w:r>
      <w:r w:rsidR="00397A22">
        <w:t xml:space="preserve"> </w:t>
      </w:r>
      <w:r w:rsidR="001D11F2">
        <w:t>while a</w:t>
      </w:r>
      <w:r>
        <w:t xml:space="preserve"> workload approach considers the numbers of clients </w:t>
      </w:r>
      <w:r w:rsidR="00DE424F">
        <w:t>and all</w:t>
      </w:r>
      <w:r w:rsidR="005F1EFE">
        <w:t xml:space="preserve"> other </w:t>
      </w:r>
      <w:r>
        <w:t>duties</w:t>
      </w:r>
      <w:r w:rsidR="00177DBA">
        <w:t xml:space="preserve"> of the therapist</w:t>
      </w:r>
      <w:r w:rsidR="00397A22">
        <w:t xml:space="preserve"> or team</w:t>
      </w:r>
      <w:r>
        <w:t xml:space="preserve">. </w:t>
      </w:r>
    </w:p>
    <w:p w:rsidR="006D4B32" w:rsidRDefault="00C20F11" w:rsidP="006D4B32">
      <w:r>
        <w:t>The American Speech Language and Hearing Association (ASHA)</w:t>
      </w:r>
      <w:r w:rsidR="00946C72">
        <w:t>,</w:t>
      </w:r>
      <w:r>
        <w:t xml:space="preserve"> defines workload as</w:t>
      </w:r>
      <w:r w:rsidR="00946C72">
        <w:t>,</w:t>
      </w:r>
      <w:r>
        <w:t xml:space="preserve"> </w:t>
      </w:r>
      <w:r w:rsidRPr="00C20F11">
        <w:t xml:space="preserve">all activities required and performed by school-based </w:t>
      </w:r>
      <w:r w:rsidR="00B5516A">
        <w:t>Speech and Language Pathologists (</w:t>
      </w:r>
      <w:r w:rsidRPr="00C20F11">
        <w:t>SLPs</w:t>
      </w:r>
      <w:r w:rsidR="00B5516A">
        <w:t>)</w:t>
      </w:r>
      <w:r w:rsidRPr="00C20F11">
        <w:t xml:space="preserve"> and other professionals.</w:t>
      </w:r>
      <w:r>
        <w:t xml:space="preserve"> </w:t>
      </w:r>
      <w:r w:rsidR="00B5516A">
        <w:t>ASHA defines c</w:t>
      </w:r>
      <w:r w:rsidRPr="00C20F11">
        <w:t xml:space="preserve">aseload </w:t>
      </w:r>
      <w:r>
        <w:t xml:space="preserve">as </w:t>
      </w:r>
      <w:r w:rsidRPr="00C20F11">
        <w:t>the number of students with Individualized Education Programs (IEPs), Individualized Family Service Plans (IFSPs), and 504 Plans served by school-based SLPs and other professionals through direct and/or indirect service delivery options.</w:t>
      </w:r>
      <w:r>
        <w:rPr>
          <w:rStyle w:val="FootnoteReference"/>
        </w:rPr>
        <w:footnoteReference w:id="20"/>
      </w:r>
      <w:r w:rsidR="00B5516A">
        <w:t xml:space="preserve"> In Australia, a</w:t>
      </w:r>
      <w:r w:rsidR="00BC03CE">
        <w:t xml:space="preserve">n optimal and safe workload </w:t>
      </w:r>
      <w:r w:rsidR="00B5516A">
        <w:t xml:space="preserve">for social workers </w:t>
      </w:r>
      <w:r w:rsidR="00BC03CE">
        <w:t>is one that matches the cases that have the greatest urgency with the number, type and mix of cases and other duties, experience and competence of the practitioner.</w:t>
      </w:r>
      <w:r w:rsidR="00BC03CE">
        <w:rPr>
          <w:rStyle w:val="FootnoteReference"/>
        </w:rPr>
        <w:footnoteReference w:id="21"/>
      </w:r>
      <w:r w:rsidR="00B5516A">
        <w:t xml:space="preserve"> One</w:t>
      </w:r>
      <w:r w:rsidR="00BC03CE">
        <w:t xml:space="preserve"> definition for the “workload” of a special education teacher in the US is “the total number </w:t>
      </w:r>
      <w:r w:rsidR="00EF4A19">
        <w:t xml:space="preserve">of </w:t>
      </w:r>
      <w:r w:rsidR="00BC03CE">
        <w:t>minutes required for all responsibilities including direct and indirect services, evaluation time, IEPs managed, travel time, parental contact and other services in the IEPs of eligible students receiving direct special education services.”</w:t>
      </w:r>
      <w:r w:rsidR="00BC03CE">
        <w:rPr>
          <w:rStyle w:val="FootnoteReference"/>
        </w:rPr>
        <w:footnoteReference w:id="22"/>
      </w:r>
      <w:r w:rsidR="006D4B32" w:rsidRPr="006D4B32">
        <w:t xml:space="preserve"> </w:t>
      </w:r>
    </w:p>
    <w:p w:rsidR="006D4B32" w:rsidRDefault="006D4B32" w:rsidP="006D4B32">
      <w:r>
        <w:t>In 2014, a survey of speech and language therapists in schools in the USA found that 79% of clinical service providers used a caseload approach, 16% used a workload approach and 5% used both approaches.</w:t>
      </w:r>
      <w:r>
        <w:rPr>
          <w:rStyle w:val="FootnoteReference"/>
        </w:rPr>
        <w:footnoteReference w:id="23"/>
      </w:r>
    </w:p>
    <w:p w:rsidR="001F55B2" w:rsidRDefault="00946C72" w:rsidP="001A2351">
      <w:r>
        <w:t>A</w:t>
      </w:r>
      <w:r w:rsidR="0035228C">
        <w:t xml:space="preserve">n appropriate caseload/workload depends on a number of factors.  </w:t>
      </w:r>
      <w:r w:rsidR="00BC03CE">
        <w:t>Firstly</w:t>
      </w:r>
      <w:r w:rsidR="0035228C">
        <w:t xml:space="preserve">, it depends on whether </w:t>
      </w:r>
      <w:r w:rsidR="006D4B32">
        <w:t xml:space="preserve">one is considering </w:t>
      </w:r>
      <w:r w:rsidR="0035228C">
        <w:t>individual or team caseload</w:t>
      </w:r>
      <w:r w:rsidR="006D4B32">
        <w:t>/ workload</w:t>
      </w:r>
      <w:r w:rsidR="0035228C">
        <w:t xml:space="preserve">. </w:t>
      </w:r>
      <w:r w:rsidR="001F55B2" w:rsidRPr="00853F36">
        <w:t xml:space="preserve">Most research on workloads and </w:t>
      </w:r>
      <w:r w:rsidR="00434BCD" w:rsidRPr="00853F36">
        <w:t>caseloads</w:t>
      </w:r>
      <w:r w:rsidR="001F55B2" w:rsidRPr="00853F36">
        <w:t xml:space="preserve"> </w:t>
      </w:r>
      <w:r w:rsidR="00397A22">
        <w:t>centres</w:t>
      </w:r>
      <w:r w:rsidR="001F55B2" w:rsidRPr="00853F36">
        <w:t xml:space="preserve"> on service models where health professionals work individually. However, </w:t>
      </w:r>
      <w:r w:rsidR="00177DBA">
        <w:t xml:space="preserve">increasingly, </w:t>
      </w:r>
      <w:r w:rsidR="00400EE2">
        <w:t xml:space="preserve">children’s services are using </w:t>
      </w:r>
      <w:r w:rsidR="00B5516A">
        <w:t>inter</w:t>
      </w:r>
      <w:r w:rsidR="005F1EFE">
        <w:t>disciplinary team</w:t>
      </w:r>
      <w:r w:rsidR="005F1EFE" w:rsidRPr="00853F36">
        <w:t>work</w:t>
      </w:r>
      <w:r w:rsidR="001F55B2" w:rsidRPr="00853F36">
        <w:t xml:space="preserve">. </w:t>
      </w:r>
      <w:r w:rsidR="00F11F7F">
        <w:t>R</w:t>
      </w:r>
      <w:r w:rsidR="00CD209A">
        <w:t xml:space="preserve">esearch on individual </w:t>
      </w:r>
      <w:r w:rsidR="005F1EFE">
        <w:t xml:space="preserve">caseload and </w:t>
      </w:r>
      <w:r w:rsidR="00CD209A">
        <w:t>workload has been a source of inquiry since the early 20</w:t>
      </w:r>
      <w:r w:rsidR="00CD209A" w:rsidRPr="00CD209A">
        <w:rPr>
          <w:vertAlign w:val="superscript"/>
        </w:rPr>
        <w:t>th</w:t>
      </w:r>
      <w:r w:rsidR="00F11F7F">
        <w:t xml:space="preserve"> Century</w:t>
      </w:r>
      <w:r w:rsidR="00CD209A">
        <w:t xml:space="preserve"> </w:t>
      </w:r>
      <w:r w:rsidR="00397A22">
        <w:t xml:space="preserve">and there is </w:t>
      </w:r>
      <w:r w:rsidR="00F11F7F">
        <w:t>a considerable body of research. However,</w:t>
      </w:r>
      <w:r w:rsidR="00397A22">
        <w:t xml:space="preserve"> </w:t>
      </w:r>
      <w:r w:rsidR="00CD209A">
        <w:t xml:space="preserve">there is </w:t>
      </w:r>
      <w:r w:rsidR="00DE424F">
        <w:t xml:space="preserve">relatively </w:t>
      </w:r>
      <w:r w:rsidR="00A60E5D">
        <w:t xml:space="preserve">little </w:t>
      </w:r>
      <w:r w:rsidR="00CD209A">
        <w:t xml:space="preserve">research on </w:t>
      </w:r>
      <w:r w:rsidR="00B5516A">
        <w:t xml:space="preserve">team caseload and workload or </w:t>
      </w:r>
      <w:r w:rsidR="005F1EFE">
        <w:t xml:space="preserve">the impact of </w:t>
      </w:r>
      <w:r w:rsidR="00CD209A">
        <w:t>teamwork</w:t>
      </w:r>
      <w:r w:rsidR="00B5516A">
        <w:t xml:space="preserve"> on workload/</w:t>
      </w:r>
      <w:r w:rsidR="005F1EFE">
        <w:t>caseload</w:t>
      </w:r>
      <w:r w:rsidR="00CD209A">
        <w:t>.</w:t>
      </w:r>
      <w:r w:rsidR="00B770B0">
        <w:rPr>
          <w:rStyle w:val="FootnoteReference"/>
        </w:rPr>
        <w:footnoteReference w:id="24"/>
      </w:r>
      <w:r w:rsidR="00CD209A">
        <w:t xml:space="preserve"> </w:t>
      </w:r>
      <w:r w:rsidR="005F1EFE">
        <w:t>I</w:t>
      </w:r>
      <w:r w:rsidR="001F55B2" w:rsidRPr="00853F36">
        <w:t>t will be some time</w:t>
      </w:r>
      <w:r>
        <w:t>,</w:t>
      </w:r>
      <w:r w:rsidR="001F55B2" w:rsidRPr="00853F36">
        <w:t xml:space="preserve"> before a robust body of research is available that </w:t>
      </w:r>
      <w:r w:rsidR="00B5516A">
        <w:t xml:space="preserve">shows </w:t>
      </w:r>
      <w:r w:rsidR="001F55B2" w:rsidRPr="00853F36">
        <w:t xml:space="preserve">the </w:t>
      </w:r>
      <w:r w:rsidR="00A60E5D">
        <w:t xml:space="preserve">links between outcomes and teamwork and </w:t>
      </w:r>
      <w:r w:rsidR="005F1EFE">
        <w:t>the links between teamwork and workloads/</w:t>
      </w:r>
      <w:r w:rsidR="00397A22">
        <w:t xml:space="preserve"> </w:t>
      </w:r>
      <w:r w:rsidR="001F55B2" w:rsidRPr="00853F36">
        <w:t>caselo</w:t>
      </w:r>
      <w:r w:rsidR="005F1EFE">
        <w:t>ad</w:t>
      </w:r>
      <w:r w:rsidR="00CD209A">
        <w:t>.</w:t>
      </w:r>
      <w:r w:rsidR="005F1EFE">
        <w:t xml:space="preserve"> In addition</w:t>
      </w:r>
      <w:r w:rsidR="001F55B2" w:rsidRPr="00853F36">
        <w:t>, similar to the findings for staff ratios, “caseload/</w:t>
      </w:r>
      <w:r w:rsidR="0060736E">
        <w:t xml:space="preserve"> </w:t>
      </w:r>
      <w:r w:rsidR="001F55B2" w:rsidRPr="00853F36">
        <w:t xml:space="preserve">workload management continues to be determined primarily </w:t>
      </w:r>
      <w:r w:rsidR="005F1EFE">
        <w:t>by factors such as</w:t>
      </w:r>
      <w:r w:rsidR="001F55B2" w:rsidRPr="00853F36">
        <w:t xml:space="preserve"> funding allocations available for occupational therapists, physiotherapists and speech and language </w:t>
      </w:r>
      <w:r w:rsidR="005F1EFE">
        <w:t xml:space="preserve">therapist </w:t>
      </w:r>
      <w:r w:rsidR="001F55B2" w:rsidRPr="00853F36">
        <w:t>positions</w:t>
      </w:r>
      <w:r w:rsidR="0064447A">
        <w:t>”</w:t>
      </w:r>
      <w:r w:rsidR="00A60E5D">
        <w:t>.</w:t>
      </w:r>
      <w:r w:rsidR="001F55B2" w:rsidRPr="00853F36">
        <w:rPr>
          <w:rStyle w:val="FootnoteReference"/>
        </w:rPr>
        <w:footnoteReference w:id="25"/>
      </w:r>
    </w:p>
    <w:p w:rsidR="006D4B32" w:rsidRDefault="006D4B32" w:rsidP="001A2351">
      <w:r>
        <w:t>Secondly, the literature shows that effective leadership</w:t>
      </w:r>
      <w:r w:rsidR="003A6A04">
        <w:t>,</w:t>
      </w:r>
      <w:r>
        <w:t xml:space="preserve"> </w:t>
      </w:r>
      <w:r w:rsidRPr="006D4B32">
        <w:t>system</w:t>
      </w:r>
      <w:r>
        <w:t xml:space="preserve">s and processes </w:t>
      </w:r>
      <w:r w:rsidRPr="006D4B32">
        <w:t>mak</w:t>
      </w:r>
      <w:r>
        <w:t xml:space="preserve">e a significant difference to therapists’ </w:t>
      </w:r>
      <w:r w:rsidRPr="006D4B32">
        <w:t>ability t</w:t>
      </w:r>
      <w:r>
        <w:t xml:space="preserve">o deliver high quality practice. </w:t>
      </w:r>
      <w:r w:rsidRPr="006D4B32">
        <w:t xml:space="preserve"> </w:t>
      </w:r>
      <w:r>
        <w:t>O</w:t>
      </w:r>
      <w:r w:rsidRPr="006D4B32">
        <w:t xml:space="preserve">rganisational systems and processes </w:t>
      </w:r>
      <w:r>
        <w:t xml:space="preserve">that support </w:t>
      </w:r>
      <w:r w:rsidRPr="006D4B32">
        <w:t xml:space="preserve">the </w:t>
      </w:r>
      <w:r>
        <w:t>management of therapists</w:t>
      </w:r>
      <w:r w:rsidR="003A6A04">
        <w:t>’ caseloads/</w:t>
      </w:r>
      <w:r w:rsidRPr="006D4B32">
        <w:t>workloads</w:t>
      </w:r>
      <w:r>
        <w:t xml:space="preserve"> include robust information systems. </w:t>
      </w:r>
      <w:r w:rsidR="003A6A04">
        <w:t>Good data is crucial</w:t>
      </w:r>
      <w:r w:rsidR="003A6A04" w:rsidRPr="003A6A04">
        <w:t xml:space="preserve"> to managing workloads and caseloads</w:t>
      </w:r>
      <w:r w:rsidR="003A6A04">
        <w:t xml:space="preserve">. </w:t>
      </w:r>
      <w:r w:rsidR="003A6A04" w:rsidRPr="003A6A04">
        <w:t>High quality, relevant, integrated, usable data and information</w:t>
      </w:r>
      <w:r w:rsidR="00946C72">
        <w:t>,</w:t>
      </w:r>
      <w:r w:rsidR="003A6A04" w:rsidRPr="003A6A04">
        <w:t xml:space="preserve"> supports strategic oversight and decisio</w:t>
      </w:r>
      <w:r w:rsidR="003A6A04">
        <w:t>n-making.</w:t>
      </w:r>
      <w:r w:rsidR="003A6A04">
        <w:rPr>
          <w:rStyle w:val="FootnoteReference"/>
        </w:rPr>
        <w:footnoteReference w:id="26"/>
      </w:r>
      <w:r w:rsidR="003A6A04">
        <w:t xml:space="preserve"> </w:t>
      </w:r>
    </w:p>
    <w:p w:rsidR="009E14AF" w:rsidRPr="00853F36" w:rsidRDefault="00B5516A" w:rsidP="009E14AF">
      <w:r>
        <w:t>In the literature, s</w:t>
      </w:r>
      <w:r w:rsidRPr="001D11F2">
        <w:t>ys</w:t>
      </w:r>
      <w:r>
        <w:t>tems for managing caseloads/workloads fall</w:t>
      </w:r>
      <w:r w:rsidRPr="001D11F2">
        <w:t xml:space="preserve"> into two mai</w:t>
      </w:r>
      <w:r>
        <w:t>n categories. The first requires</w:t>
      </w:r>
      <w:r w:rsidRPr="001D11F2">
        <w:t xml:space="preserve"> managers to manage workloads using their understanding of the individual strengths and skills</w:t>
      </w:r>
      <w:r>
        <w:t xml:space="preserve"> of their teams. The second uses</w:t>
      </w:r>
      <w:r w:rsidRPr="001D11F2">
        <w:t xml:space="preserve"> a formal and systematic approach to case measurement, considering complexity, risk and </w:t>
      </w:r>
      <w:r w:rsidR="00EF4A19">
        <w:t xml:space="preserve">therapist </w:t>
      </w:r>
      <w:r w:rsidRPr="001D11F2">
        <w:t>cap</w:t>
      </w:r>
      <w:r w:rsidR="00EF4A19">
        <w:t>ability. Both methods consider</w:t>
      </w:r>
      <w:r w:rsidRPr="001D11F2">
        <w:t xml:space="preserve"> similar types of factors, with the primary difference being individual professional judgement versus an actuarial model.</w:t>
      </w:r>
      <w:r>
        <w:rPr>
          <w:rStyle w:val="FootnoteReference"/>
        </w:rPr>
        <w:footnoteReference w:id="27"/>
      </w:r>
      <w:r w:rsidR="0038161F">
        <w:t xml:space="preserve"> </w:t>
      </w:r>
      <w:r w:rsidR="009E14AF">
        <w:t xml:space="preserve">When establishing </w:t>
      </w:r>
      <w:r w:rsidR="009E14AF" w:rsidRPr="00853F36">
        <w:t>workload or caseload size</w:t>
      </w:r>
      <w:r w:rsidR="00EF4A19">
        <w:t>,</w:t>
      </w:r>
      <w:r w:rsidR="009E14AF" w:rsidRPr="00853F36">
        <w:t xml:space="preserve"> one </w:t>
      </w:r>
      <w:r w:rsidR="009E14AF">
        <w:t xml:space="preserve">needs to </w:t>
      </w:r>
      <w:r w:rsidR="009E14AF" w:rsidRPr="00853F36">
        <w:t>consi</w:t>
      </w:r>
      <w:r w:rsidR="009E14AF">
        <w:t>der the following variables</w:t>
      </w:r>
      <w:r w:rsidR="009E14AF" w:rsidRPr="00853F36">
        <w:t>:</w:t>
      </w:r>
    </w:p>
    <w:p w:rsidR="009E14AF" w:rsidRPr="00853F36" w:rsidRDefault="009E14AF" w:rsidP="009E14AF">
      <w:pPr>
        <w:pStyle w:val="ListBullet"/>
      </w:pPr>
      <w:r w:rsidRPr="00853F36">
        <w:t>Child and family factors - the range and complexity of needs of individual children and their families</w:t>
      </w:r>
    </w:p>
    <w:p w:rsidR="009E14AF" w:rsidRPr="00853F36" w:rsidRDefault="009E14AF" w:rsidP="009E14AF">
      <w:pPr>
        <w:pStyle w:val="ListBullet"/>
      </w:pPr>
      <w:r w:rsidRPr="00853F36">
        <w:t>Service model factors – for example, if the service delivery model adopted by the agency emphasised prevention services, this would increase the percentage of time spent on non-client related activities</w:t>
      </w:r>
    </w:p>
    <w:p w:rsidR="009E14AF" w:rsidRPr="00853F36" w:rsidRDefault="009E14AF" w:rsidP="009E14AF">
      <w:pPr>
        <w:pStyle w:val="ListBullet"/>
      </w:pPr>
      <w:r w:rsidRPr="00853F36">
        <w:t>Service delivery environment factors – for example, the number and distance between community settings where therapy services are to be provided</w:t>
      </w:r>
    </w:p>
    <w:p w:rsidR="009E14AF" w:rsidRPr="00853F36" w:rsidRDefault="009E14AF" w:rsidP="009E14AF">
      <w:pPr>
        <w:pStyle w:val="ListBullet"/>
      </w:pPr>
      <w:r w:rsidRPr="00853F36">
        <w:t>Therapists skills and experience</w:t>
      </w:r>
    </w:p>
    <w:p w:rsidR="009E14AF" w:rsidRPr="00853F36" w:rsidRDefault="009E14AF" w:rsidP="009E14AF">
      <w:pPr>
        <w:pStyle w:val="ListBullet"/>
      </w:pPr>
      <w:r w:rsidRPr="00853F36">
        <w:t>Team factors</w:t>
      </w:r>
    </w:p>
    <w:p w:rsidR="009E14AF" w:rsidRPr="00853F36" w:rsidRDefault="009E14AF" w:rsidP="009E14AF">
      <w:pPr>
        <w:pStyle w:val="ListBullet"/>
      </w:pPr>
      <w:r w:rsidRPr="00853F36">
        <w:t>Administration factors</w:t>
      </w:r>
    </w:p>
    <w:p w:rsidR="001D11F2" w:rsidRDefault="00FA1780" w:rsidP="001D11F2">
      <w:pPr>
        <w:spacing w:after="120"/>
      </w:pPr>
      <w:r>
        <w:t>M</w:t>
      </w:r>
      <w:r w:rsidRPr="00FA1780">
        <w:t>easurements for wo</w:t>
      </w:r>
      <w:r>
        <w:t>rk, staffing and caseload vary</w:t>
      </w:r>
      <w:r w:rsidRPr="00FA1780">
        <w:t xml:space="preserve"> sig</w:t>
      </w:r>
      <w:r>
        <w:t xml:space="preserve">nificantly across jurisdictions and across professions. </w:t>
      </w:r>
      <w:r w:rsidR="001D11F2" w:rsidRPr="00853F36">
        <w:t>In 2008</w:t>
      </w:r>
      <w:r w:rsidR="001D11F2">
        <w:t xml:space="preserve">, </w:t>
      </w:r>
      <w:r w:rsidR="001D11F2" w:rsidRPr="00853F36">
        <w:t>B</w:t>
      </w:r>
      <w:r w:rsidR="001D11F2">
        <w:t xml:space="preserve">ritish </w:t>
      </w:r>
      <w:r w:rsidR="001D11F2" w:rsidRPr="00853F36">
        <w:t>C</w:t>
      </w:r>
      <w:r w:rsidR="001D11F2">
        <w:t>olumbia produced</w:t>
      </w:r>
      <w:r w:rsidR="001D11F2" w:rsidRPr="00853F36">
        <w:t xml:space="preserve"> </w:t>
      </w:r>
      <w:r w:rsidR="001D11F2">
        <w:t xml:space="preserve">preferred </w:t>
      </w:r>
      <w:r w:rsidR="001D11F2" w:rsidRPr="00853F36">
        <w:t>paediatric therapy practice guidelines based on the literature on therapy workload</w:t>
      </w:r>
      <w:r w:rsidR="001D11F2">
        <w:t xml:space="preserve"> and the input of the </w:t>
      </w:r>
      <w:r w:rsidR="001D11F2" w:rsidRPr="00853F36">
        <w:t>paediatric therapy community</w:t>
      </w:r>
      <w:r w:rsidR="001D11F2">
        <w:t xml:space="preserve">. </w:t>
      </w:r>
      <w:r w:rsidR="001D11F2" w:rsidRPr="00853F36">
        <w:t xml:space="preserve">The practice guidelines are applicable to </w:t>
      </w:r>
      <w:r w:rsidR="001D11F2">
        <w:t xml:space="preserve">Early Intervention and School </w:t>
      </w:r>
      <w:r w:rsidR="001D11F2" w:rsidRPr="00853F36">
        <w:t>programs and could inform</w:t>
      </w:r>
      <w:r w:rsidR="003A6A04">
        <w:t>,</w:t>
      </w:r>
      <w:r w:rsidR="001D11F2" w:rsidRPr="00853F36">
        <w:t xml:space="preserve"> </w:t>
      </w:r>
      <w:r>
        <w:t>to some extent</w:t>
      </w:r>
      <w:r w:rsidR="003A6A04">
        <w:t>,</w:t>
      </w:r>
      <w:r>
        <w:t xml:space="preserve"> </w:t>
      </w:r>
      <w:r w:rsidR="001D11F2" w:rsidRPr="00853F36">
        <w:t>paediatric therapy services in other settings.</w:t>
      </w:r>
      <w:r w:rsidR="001D11F2" w:rsidRPr="00853F36">
        <w:rPr>
          <w:rStyle w:val="FootnoteReference"/>
        </w:rPr>
        <w:t xml:space="preserve"> </w:t>
      </w:r>
      <w:r w:rsidR="001D11F2" w:rsidRPr="00853F36">
        <w:rPr>
          <w:rStyle w:val="FootnoteReference"/>
        </w:rPr>
        <w:footnoteReference w:id="28"/>
      </w:r>
      <w:r w:rsidR="001D11F2" w:rsidRPr="00853F36">
        <w:t xml:space="preserve"> The Preferred Practice Guidelines for BC Paediatric Therapists </w:t>
      </w:r>
      <w:r w:rsidR="001D11F2">
        <w:t>is a tool to support</w:t>
      </w:r>
      <w:r w:rsidR="001D11F2" w:rsidRPr="00853F36">
        <w:t xml:space="preserve"> manageable workloads within the context of a variety of</w:t>
      </w:r>
      <w:r w:rsidR="001D11F2">
        <w:t xml:space="preserve"> caseload management strategies including:</w:t>
      </w:r>
    </w:p>
    <w:p w:rsidR="001D11F2" w:rsidRDefault="001D11F2" w:rsidP="001D11F2">
      <w:pPr>
        <w:pStyle w:val="ListBullet"/>
      </w:pPr>
      <w:r>
        <w:t>W</w:t>
      </w:r>
      <w:r w:rsidRPr="00853F36">
        <w:t>aitlist and caseload prioriti</w:t>
      </w:r>
      <w:r>
        <w:t>zation tools</w:t>
      </w:r>
      <w:r w:rsidRPr="00853F36">
        <w:t xml:space="preserve"> </w:t>
      </w:r>
    </w:p>
    <w:p w:rsidR="001D11F2" w:rsidRDefault="001D11F2" w:rsidP="001D11F2">
      <w:pPr>
        <w:pStyle w:val="ListBullet"/>
      </w:pPr>
      <w:r>
        <w:t>T</w:t>
      </w:r>
      <w:r w:rsidRPr="00853F36">
        <w:t>he effective use of therapist assist</w:t>
      </w:r>
      <w:r>
        <w:t>ants and administrative support</w:t>
      </w:r>
      <w:r w:rsidRPr="00853F36">
        <w:t xml:space="preserve"> </w:t>
      </w:r>
    </w:p>
    <w:p w:rsidR="001D11F2" w:rsidRDefault="001D11F2" w:rsidP="001D11F2">
      <w:pPr>
        <w:pStyle w:val="ListBullet"/>
      </w:pPr>
      <w:r>
        <w:t>E</w:t>
      </w:r>
      <w:r w:rsidRPr="00853F36">
        <w:t xml:space="preserve">fficient documentation methods </w:t>
      </w:r>
    </w:p>
    <w:p w:rsidR="001D11F2" w:rsidRDefault="001D11F2" w:rsidP="001D11F2">
      <w:pPr>
        <w:pStyle w:val="ListBullet"/>
        <w:spacing w:after="240"/>
      </w:pPr>
      <w:r>
        <w:t>T</w:t>
      </w:r>
      <w:r w:rsidRPr="00853F36">
        <w:t>he u</w:t>
      </w:r>
      <w:r>
        <w:t xml:space="preserve">se of technology to support </w:t>
      </w:r>
      <w:r w:rsidRPr="00853F36">
        <w:t>client an</w:t>
      </w:r>
      <w:r>
        <w:t xml:space="preserve">d non-client related activities </w:t>
      </w:r>
    </w:p>
    <w:p w:rsidR="00A660ED" w:rsidRDefault="00A660ED" w:rsidP="00A660ED">
      <w:pPr>
        <w:rPr>
          <w:lang w:val="en-GB"/>
        </w:rPr>
      </w:pPr>
      <w:bookmarkStart w:id="30" w:name="_Toc386464536"/>
      <w:bookmarkStart w:id="31" w:name="_Toc386470031"/>
      <w:r>
        <w:rPr>
          <w:lang w:val="en-GB"/>
        </w:rPr>
        <w:t xml:space="preserve">In summary, the important issues </w:t>
      </w:r>
      <w:r w:rsidR="00101F84">
        <w:rPr>
          <w:lang w:val="en-GB"/>
        </w:rPr>
        <w:t>in determining</w:t>
      </w:r>
      <w:r w:rsidR="00AA6A79" w:rsidRPr="00982A1C">
        <w:t xml:space="preserve"> the composition and size of disability network teams and the </w:t>
      </w:r>
      <w:r w:rsidR="00AA6A79">
        <w:t xml:space="preserve">required </w:t>
      </w:r>
      <w:r w:rsidR="00AA6A79" w:rsidRPr="00982A1C">
        <w:t>number of therapists and team</w:t>
      </w:r>
      <w:r w:rsidR="00AA6A79">
        <w:t xml:space="preserve">s, </w:t>
      </w:r>
      <w:r>
        <w:rPr>
          <w:lang w:val="en-GB"/>
        </w:rPr>
        <w:t>as outlined above</w:t>
      </w:r>
      <w:r w:rsidR="00101F84">
        <w:rPr>
          <w:lang w:val="en-GB"/>
        </w:rPr>
        <w:t>,</w:t>
      </w:r>
      <w:r>
        <w:rPr>
          <w:lang w:val="en-GB"/>
        </w:rPr>
        <w:t xml:space="preserve"> include:</w:t>
      </w:r>
    </w:p>
    <w:p w:rsidR="00A660ED" w:rsidRDefault="00A660ED" w:rsidP="00A660ED">
      <w:pPr>
        <w:pStyle w:val="ListBullet"/>
        <w:rPr>
          <w:lang w:val="en-GB"/>
        </w:rPr>
      </w:pPr>
      <w:r>
        <w:rPr>
          <w:lang w:val="en-GB"/>
        </w:rPr>
        <w:t>Lack of robust data on the number of children requiring network level interventions</w:t>
      </w:r>
    </w:p>
    <w:p w:rsidR="00A660ED" w:rsidRDefault="00A660ED" w:rsidP="00A660ED">
      <w:pPr>
        <w:pStyle w:val="ListBullet"/>
        <w:rPr>
          <w:lang w:val="en-GB"/>
        </w:rPr>
      </w:pPr>
      <w:r>
        <w:rPr>
          <w:lang w:val="en-GB"/>
        </w:rPr>
        <w:t>Lack of evidence of the impact of teamwork and group work on workload/caseload and staffing requirements</w:t>
      </w:r>
    </w:p>
    <w:p w:rsidR="00A660ED" w:rsidRDefault="00A660ED" w:rsidP="00A660ED">
      <w:pPr>
        <w:pStyle w:val="ListBullet"/>
        <w:rPr>
          <w:lang w:val="en-GB"/>
        </w:rPr>
      </w:pPr>
      <w:r>
        <w:rPr>
          <w:lang w:val="en-GB"/>
        </w:rPr>
        <w:t>Lack of evidence of effect of greater parent involvement in therapy delivery on staffing levels</w:t>
      </w:r>
    </w:p>
    <w:p w:rsidR="00A660ED" w:rsidRDefault="00A660ED" w:rsidP="00A660ED">
      <w:pPr>
        <w:pStyle w:val="ListBullet"/>
        <w:rPr>
          <w:lang w:val="en-GB"/>
        </w:rPr>
      </w:pPr>
      <w:r w:rsidRPr="003D6DFB">
        <w:rPr>
          <w:lang w:val="en-GB"/>
        </w:rPr>
        <w:t xml:space="preserve">Lack of clear evidence on team composition and size </w:t>
      </w:r>
    </w:p>
    <w:p w:rsidR="00A660ED" w:rsidRPr="003D6DFB" w:rsidRDefault="00A660ED" w:rsidP="00A660ED">
      <w:pPr>
        <w:pStyle w:val="ListBullet"/>
        <w:rPr>
          <w:lang w:val="en-GB"/>
        </w:rPr>
      </w:pPr>
      <w:r w:rsidRPr="003D6DFB">
        <w:rPr>
          <w:lang w:val="en-GB"/>
        </w:rPr>
        <w:t>Lack of information on what works best for children – outcomes data</w:t>
      </w:r>
    </w:p>
    <w:p w:rsidR="00A660ED" w:rsidRPr="00AA126B" w:rsidRDefault="00A660ED" w:rsidP="00A660ED">
      <w:pPr>
        <w:pStyle w:val="ListBullet"/>
        <w:rPr>
          <w:lang w:val="en-GB"/>
        </w:rPr>
      </w:pPr>
      <w:r w:rsidRPr="00AA126B">
        <w:rPr>
          <w:lang w:val="en-GB"/>
        </w:rPr>
        <w:t xml:space="preserve">Lack of integrated IT systems – it is of note that early intervention and school-age teams could benefit enormously from the judicious use of robust IT systems. </w:t>
      </w:r>
    </w:p>
    <w:p w:rsidR="00A660ED" w:rsidRDefault="00A660ED" w:rsidP="00A660ED">
      <w:pPr>
        <w:pStyle w:val="ListBullet"/>
        <w:rPr>
          <w:lang w:val="en-GB"/>
        </w:rPr>
      </w:pPr>
      <w:r>
        <w:rPr>
          <w:lang w:val="en-GB"/>
        </w:rPr>
        <w:t>Lack of evidence of the roles of assistant therapists</w:t>
      </w:r>
    </w:p>
    <w:p w:rsidR="00A660ED" w:rsidRDefault="00A660ED" w:rsidP="00A660ED">
      <w:pPr>
        <w:pStyle w:val="ListBullet"/>
        <w:rPr>
          <w:lang w:val="en-GB"/>
        </w:rPr>
      </w:pPr>
      <w:r>
        <w:rPr>
          <w:lang w:val="en-GB"/>
        </w:rPr>
        <w:t>Lack of clear evidence on team composition</w:t>
      </w:r>
    </w:p>
    <w:p w:rsidR="00A660ED" w:rsidRDefault="00A660ED" w:rsidP="00AA6A79">
      <w:pPr>
        <w:rPr>
          <w:lang w:val="en-GB"/>
        </w:rPr>
      </w:pPr>
      <w:r>
        <w:rPr>
          <w:lang w:val="en-GB"/>
        </w:rPr>
        <w:t>In addition, these teams cannot work efficiently without th</w:t>
      </w:r>
      <w:r w:rsidRPr="00BC7DF6">
        <w:rPr>
          <w:lang w:val="en-GB"/>
        </w:rPr>
        <w:t>e necessary admin</w:t>
      </w:r>
      <w:r>
        <w:rPr>
          <w:lang w:val="en-GB"/>
        </w:rPr>
        <w:t>istration</w:t>
      </w:r>
      <w:r w:rsidRPr="00BC7DF6">
        <w:rPr>
          <w:lang w:val="en-GB"/>
        </w:rPr>
        <w:t xml:space="preserve">, management and coordination staff </w:t>
      </w:r>
      <w:r>
        <w:rPr>
          <w:lang w:val="en-GB"/>
        </w:rPr>
        <w:t xml:space="preserve">and but estimating the requirements for these staff and systems was beyond the remit of this research </w:t>
      </w:r>
    </w:p>
    <w:p w:rsidR="00A660ED" w:rsidRPr="00A660ED" w:rsidRDefault="00847243" w:rsidP="00A6132E">
      <w:pPr>
        <w:pStyle w:val="Heading2"/>
        <w:numPr>
          <w:ilvl w:val="1"/>
          <w:numId w:val="10"/>
        </w:numPr>
        <w:ind w:left="709" w:hanging="709"/>
        <w:rPr>
          <w:lang w:val="en-GB"/>
        </w:rPr>
      </w:pPr>
      <w:bookmarkStart w:id="32" w:name="_Toc415733677"/>
      <w:r>
        <w:rPr>
          <w:lang w:val="en-GB"/>
        </w:rPr>
        <w:t>Data used to estimate</w:t>
      </w:r>
      <w:r w:rsidR="00A660ED">
        <w:rPr>
          <w:lang w:val="en-GB"/>
        </w:rPr>
        <w:t xml:space="preserve"> therapists for children’s disability </w:t>
      </w:r>
      <w:r>
        <w:rPr>
          <w:lang w:val="en-GB"/>
        </w:rPr>
        <w:t>services</w:t>
      </w:r>
      <w:bookmarkEnd w:id="32"/>
      <w:r>
        <w:rPr>
          <w:lang w:val="en-GB"/>
        </w:rPr>
        <w:t xml:space="preserve"> </w:t>
      </w:r>
    </w:p>
    <w:p w:rsidR="00847243" w:rsidRDefault="00847243" w:rsidP="00A660ED">
      <w:bookmarkStart w:id="33" w:name="_Toc386464537"/>
      <w:bookmarkStart w:id="34" w:name="_Toc386470032"/>
      <w:bookmarkEnd w:id="30"/>
      <w:bookmarkEnd w:id="31"/>
      <w:r>
        <w:t>Regardless of the</w:t>
      </w:r>
      <w:r w:rsidR="00A660ED" w:rsidRPr="00406BE9">
        <w:t xml:space="preserve"> problems</w:t>
      </w:r>
      <w:r>
        <w:t xml:space="preserve"> </w:t>
      </w:r>
      <w:r w:rsidR="00AA6A79">
        <w:t>in</w:t>
      </w:r>
      <w:r w:rsidR="00AA6A79" w:rsidRPr="00AA6A79">
        <w:rPr>
          <w:lang w:val="en-GB"/>
        </w:rPr>
        <w:t xml:space="preserve"> </w:t>
      </w:r>
      <w:r w:rsidR="00AA6A79">
        <w:rPr>
          <w:lang w:val="en-GB"/>
        </w:rPr>
        <w:t xml:space="preserve">estimating </w:t>
      </w:r>
      <w:r w:rsidR="00AA6A79" w:rsidRPr="00982A1C">
        <w:t xml:space="preserve">the </w:t>
      </w:r>
      <w:r w:rsidR="00AA6A79">
        <w:t xml:space="preserve">composition of teams and the required </w:t>
      </w:r>
      <w:r w:rsidR="00AA6A79" w:rsidRPr="00982A1C">
        <w:t>number</w:t>
      </w:r>
      <w:r w:rsidR="00AA6A79">
        <w:t>s</w:t>
      </w:r>
      <w:r w:rsidR="00AA6A79" w:rsidRPr="00982A1C">
        <w:t xml:space="preserve"> of therapists and team</w:t>
      </w:r>
      <w:r w:rsidR="00AA6A79">
        <w:t xml:space="preserve">s, </w:t>
      </w:r>
      <w:r w:rsidR="00AA6A79">
        <w:rPr>
          <w:lang w:val="en-GB"/>
        </w:rPr>
        <w:t xml:space="preserve">as outlined above, </w:t>
      </w:r>
      <w:r w:rsidR="00A660ED" w:rsidRPr="00406BE9">
        <w:t>it is clear that there is a need to increase the number of therapists.</w:t>
      </w:r>
      <w:r w:rsidR="00A660ED" w:rsidRPr="00A660ED">
        <w:t xml:space="preserve"> </w:t>
      </w:r>
    </w:p>
    <w:p w:rsidR="00847243" w:rsidRDefault="00847243" w:rsidP="00847243">
      <w:pPr>
        <w:spacing w:after="120"/>
      </w:pPr>
      <w:r>
        <w:t xml:space="preserve">The National Disability Authority examined a number of different data sources on children with disabilities or special needs in the 0-18 age group </w:t>
      </w:r>
      <w:r w:rsidR="00D569A5">
        <w:t xml:space="preserve">in Ireland </w:t>
      </w:r>
      <w:r>
        <w:t xml:space="preserve">to produce a range of estimates of the number of children who may need the service of a multidisciplinary disability team and therapists that could be required for those teams. </w:t>
      </w:r>
    </w:p>
    <w:p w:rsidR="00A660ED" w:rsidRDefault="00AA6A79" w:rsidP="00A660ED">
      <w:r>
        <w:t>Data sources examined</w:t>
      </w:r>
      <w:r w:rsidR="00A660ED">
        <w:t xml:space="preserve"> included:</w:t>
      </w:r>
    </w:p>
    <w:p w:rsidR="00A660ED" w:rsidRDefault="00A660ED" w:rsidP="00A660ED">
      <w:pPr>
        <w:pStyle w:val="ListBullet"/>
      </w:pPr>
      <w:r w:rsidRPr="008B3D28">
        <w:t xml:space="preserve">National Intellectual Disability Database and the National Physical </w:t>
      </w:r>
      <w:r>
        <w:t xml:space="preserve">and Sensory Disability Database </w:t>
      </w:r>
      <w:r w:rsidRPr="008B3D28">
        <w:t>– Health Research Board (2012)</w:t>
      </w:r>
      <w:r w:rsidRPr="00B80120">
        <w:t xml:space="preserve"> </w:t>
      </w:r>
    </w:p>
    <w:p w:rsidR="00A660ED" w:rsidRDefault="00A660ED" w:rsidP="00A660ED">
      <w:pPr>
        <w:pStyle w:val="ListBullet"/>
      </w:pPr>
      <w:r w:rsidRPr="00B80120">
        <w:t xml:space="preserve">Census </w:t>
      </w:r>
      <w:r w:rsidR="00AA6A79">
        <w:t>(</w:t>
      </w:r>
      <w:r w:rsidRPr="00B80120">
        <w:t>2011</w:t>
      </w:r>
      <w:r w:rsidR="00AA6A79">
        <w:t>)</w:t>
      </w:r>
    </w:p>
    <w:p w:rsidR="00A660ED" w:rsidRDefault="00A660ED" w:rsidP="00A660ED">
      <w:pPr>
        <w:pStyle w:val="ListBullet"/>
      </w:pPr>
      <w:r w:rsidRPr="00B80120">
        <w:t xml:space="preserve">National Disability Survey </w:t>
      </w:r>
      <w:r w:rsidR="00AA6A79">
        <w:t>(</w:t>
      </w:r>
      <w:r w:rsidRPr="00B80120">
        <w:t>2006</w:t>
      </w:r>
      <w:r w:rsidR="00AA6A79">
        <w:t>)</w:t>
      </w:r>
    </w:p>
    <w:p w:rsidR="00A660ED" w:rsidRDefault="00A660ED" w:rsidP="00A660ED">
      <w:pPr>
        <w:pStyle w:val="ListBullet"/>
      </w:pPr>
      <w:r w:rsidRPr="00B80120">
        <w:t>Growing up in Ireland Survey – 9-year old cohort (2007)</w:t>
      </w:r>
    </w:p>
    <w:p w:rsidR="00A660ED" w:rsidRDefault="00A660ED" w:rsidP="00A660ED">
      <w:pPr>
        <w:pStyle w:val="ListBullet"/>
      </w:pPr>
      <w:r w:rsidRPr="00B80120">
        <w:t xml:space="preserve">NCSE data on children with special education needs </w:t>
      </w:r>
      <w:r>
        <w:t>–</w:t>
      </w:r>
      <w:r w:rsidRPr="00B80120">
        <w:t xml:space="preserve"> 2012</w:t>
      </w:r>
    </w:p>
    <w:p w:rsidR="00A660ED" w:rsidRDefault="00A660ED" w:rsidP="00A660ED">
      <w:pPr>
        <w:pStyle w:val="ListBullet"/>
      </w:pPr>
      <w:r>
        <w:t>Limited i</w:t>
      </w:r>
      <w:r w:rsidRPr="00B80120">
        <w:t>nternational data on therapists per head of population</w:t>
      </w:r>
    </w:p>
    <w:p w:rsidR="00847243" w:rsidRDefault="00847243" w:rsidP="00847243">
      <w:pPr>
        <w:spacing w:after="120"/>
      </w:pPr>
      <w:r>
        <w:t>While no single data source is perfect, when the different data sources are looked at together, the picture obtained is more consistent. The data sources help set boundaries to the range in which the true level of therapy need would lie. While it is difficult to get a precise picture of the totality of need and unmet need, the data offer</w:t>
      </w:r>
      <w:r w:rsidR="00AA6A79">
        <w:t>s</w:t>
      </w:r>
      <w:r>
        <w:t xml:space="preserve"> a firmer guide as to</w:t>
      </w:r>
      <w:r w:rsidR="00AA6A79">
        <w:t>:</w:t>
      </w:r>
    </w:p>
    <w:p w:rsidR="00847243" w:rsidRDefault="00847243" w:rsidP="00847243">
      <w:pPr>
        <w:pStyle w:val="ListBullet"/>
        <w:numPr>
          <w:ilvl w:val="0"/>
          <w:numId w:val="1"/>
        </w:numPr>
        <w:ind w:left="357" w:hanging="357"/>
      </w:pPr>
      <w:r>
        <w:t>the therapy mix required</w:t>
      </w:r>
    </w:p>
    <w:p w:rsidR="00847243" w:rsidRDefault="00847243" w:rsidP="00847243">
      <w:pPr>
        <w:pStyle w:val="ListBullet"/>
        <w:numPr>
          <w:ilvl w:val="0"/>
          <w:numId w:val="1"/>
        </w:numPr>
        <w:ind w:left="357" w:hanging="357"/>
      </w:pPr>
      <w:r>
        <w:t>the relative shorta</w:t>
      </w:r>
      <w:r w:rsidR="00AA6A79">
        <w:t>ges of different therapy skills</w:t>
      </w:r>
    </w:p>
    <w:p w:rsidR="00847243" w:rsidRDefault="00847243" w:rsidP="00847243">
      <w:pPr>
        <w:pStyle w:val="ListBullet"/>
        <w:numPr>
          <w:ilvl w:val="0"/>
          <w:numId w:val="1"/>
        </w:numPr>
        <w:spacing w:after="240"/>
        <w:ind w:left="357" w:hanging="357"/>
      </w:pPr>
      <w:r>
        <w:t>how any increase in the number of therapy posts might be planned</w:t>
      </w:r>
    </w:p>
    <w:p w:rsidR="00A660ED" w:rsidRDefault="00AA7990" w:rsidP="00A6132E">
      <w:pPr>
        <w:pStyle w:val="Heading2"/>
        <w:numPr>
          <w:ilvl w:val="1"/>
          <w:numId w:val="10"/>
        </w:numPr>
        <w:ind w:left="709" w:hanging="709"/>
      </w:pPr>
      <w:bookmarkStart w:id="35" w:name="_Toc415733678"/>
      <w:r>
        <w:t xml:space="preserve">Numbers of therapists </w:t>
      </w:r>
      <w:r w:rsidR="00A660ED">
        <w:t xml:space="preserve">needed for children’s </w:t>
      </w:r>
      <w:r w:rsidR="00847243">
        <w:t>disability services</w:t>
      </w:r>
      <w:bookmarkEnd w:id="35"/>
      <w:r w:rsidR="00847243">
        <w:t xml:space="preserve"> </w:t>
      </w:r>
    </w:p>
    <w:p w:rsidR="00847243" w:rsidRDefault="00847243" w:rsidP="00847243">
      <w:r>
        <w:t xml:space="preserve">The National Disability Authority concludes that available data sources on children with disabilities </w:t>
      </w:r>
      <w:r w:rsidRPr="00DA4B2E">
        <w:t xml:space="preserve">point to a proportion of </w:t>
      </w:r>
      <w:r w:rsidR="00F50ACF" w:rsidRPr="00DA4B2E">
        <w:t>2.7% to 4.1</w:t>
      </w:r>
      <w:r w:rsidRPr="00DA4B2E">
        <w:t>% of</w:t>
      </w:r>
      <w:r>
        <w:t xml:space="preserve"> children aged 0-18 who need access to children’s </w:t>
      </w:r>
      <w:r w:rsidR="00AA6A79">
        <w:t>inter</w:t>
      </w:r>
      <w:r>
        <w:t xml:space="preserve">disciplinary </w:t>
      </w:r>
      <w:r w:rsidR="00AA6A79">
        <w:t xml:space="preserve">disability </w:t>
      </w:r>
      <w:r>
        <w:t xml:space="preserve">therapy services. </w:t>
      </w:r>
    </w:p>
    <w:p w:rsidR="00847243" w:rsidRDefault="00AA6A79" w:rsidP="00847243">
      <w:r>
        <w:t>E</w:t>
      </w:r>
      <w:r w:rsidR="00847243">
        <w:t xml:space="preserve">stimates all point to a significant shortfall in therapy provision, exacerbated by </w:t>
      </w:r>
      <w:r w:rsidR="00DA4B2E">
        <w:t xml:space="preserve">the </w:t>
      </w:r>
      <w:r w:rsidR="00847243">
        <w:t>non-filling of the significant proportion of regular vacancies (about 10%) due to maternity and other leave. The figures are less precise in predicting the exact scale of expansion needed, as different assumptions using Irish data provide a range of estimates, and international ratios vary widely. The figures</w:t>
      </w:r>
      <w:r w:rsidR="009C459F">
        <w:t>,</w:t>
      </w:r>
      <w:r w:rsidR="00847243">
        <w:t xml:space="preserve"> however</w:t>
      </w:r>
      <w:r w:rsidR="009C459F">
        <w:t>,</w:t>
      </w:r>
      <w:r w:rsidR="00847243">
        <w:t xml:space="preserve"> provide a solid basis for estimating the composition of any expansion in therapy numbers across different specialties. The largest deficits are in speech and language therapy, psychology and occupational therapy. </w:t>
      </w:r>
    </w:p>
    <w:p w:rsidR="00847243" w:rsidRDefault="00847243" w:rsidP="00847243">
      <w:pPr>
        <w:pStyle w:val="NormalBeforeList"/>
      </w:pPr>
      <w:r>
        <w:t>The National Disability Authority advises</w:t>
      </w:r>
      <w:r w:rsidR="009C459F">
        <w:t>:</w:t>
      </w:r>
    </w:p>
    <w:p w:rsidR="00847243" w:rsidRDefault="00847243" w:rsidP="00847243">
      <w:pPr>
        <w:pStyle w:val="ListBullet"/>
        <w:numPr>
          <w:ilvl w:val="0"/>
          <w:numId w:val="1"/>
        </w:numPr>
        <w:ind w:left="357" w:hanging="357"/>
      </w:pPr>
      <w:r>
        <w:t xml:space="preserve">A policy of filling of vacancies due to maternity and parental leave be introduced </w:t>
      </w:r>
      <w:r w:rsidR="009C459F">
        <w:t>– estimated annual cost c €5.5m</w:t>
      </w:r>
      <w:r>
        <w:t xml:space="preserve"> </w:t>
      </w:r>
    </w:p>
    <w:p w:rsidR="00847243" w:rsidRDefault="00847243" w:rsidP="00847243">
      <w:pPr>
        <w:pStyle w:val="ListBullet"/>
        <w:numPr>
          <w:ilvl w:val="0"/>
          <w:numId w:val="1"/>
        </w:numPr>
        <w:ind w:left="357" w:hanging="357"/>
      </w:pPr>
      <w:r>
        <w:t xml:space="preserve">That 100 additional posts be provided in 2015. The cost in a full year would be about €5.5m but less in calendar </w:t>
      </w:r>
      <w:r w:rsidR="00DA4B2E">
        <w:t xml:space="preserve">year </w:t>
      </w:r>
      <w:r>
        <w:t>2015 depending on when recruitment starts and how long it takes</w:t>
      </w:r>
    </w:p>
    <w:p w:rsidR="00847243" w:rsidRDefault="00847243" w:rsidP="00847243">
      <w:pPr>
        <w:pStyle w:val="ListBullet"/>
        <w:numPr>
          <w:ilvl w:val="0"/>
          <w:numId w:val="1"/>
        </w:numPr>
        <w:ind w:left="357" w:hanging="357"/>
      </w:pPr>
      <w:r>
        <w:t xml:space="preserve">These </w:t>
      </w:r>
      <w:r w:rsidR="009C459F">
        <w:t xml:space="preserve">posts </w:t>
      </w:r>
      <w:r>
        <w:t>should be divided in the following proportion</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3F" w:firstRow="1" w:lastRow="0" w:firstColumn="0" w:lastColumn="0" w:noHBand="0" w:noVBand="0"/>
      </w:tblPr>
      <w:tblGrid>
        <w:gridCol w:w="2918"/>
        <w:gridCol w:w="931"/>
      </w:tblGrid>
      <w:tr w:rsidR="00A5627D" w:rsidRPr="0003737D" w:rsidTr="00A5627D">
        <w:trPr>
          <w:tblHeader/>
          <w:jc w:val="center"/>
        </w:trPr>
        <w:tc>
          <w:tcPr>
            <w:tcW w:w="0" w:type="auto"/>
            <w:shd w:val="clear" w:color="auto" w:fill="auto"/>
          </w:tcPr>
          <w:p w:rsidR="00A5627D" w:rsidRPr="0003737D" w:rsidRDefault="00A5627D" w:rsidP="00A5627D">
            <w:pPr>
              <w:pStyle w:val="TableHead"/>
            </w:pPr>
            <w:r>
              <w:t>Post</w:t>
            </w:r>
          </w:p>
        </w:tc>
        <w:tc>
          <w:tcPr>
            <w:tcW w:w="931" w:type="dxa"/>
            <w:shd w:val="clear" w:color="auto" w:fill="auto"/>
          </w:tcPr>
          <w:p w:rsidR="00A5627D" w:rsidRPr="0003737D" w:rsidRDefault="00A5627D" w:rsidP="00A5627D">
            <w:pPr>
              <w:pStyle w:val="TableHead"/>
            </w:pPr>
            <w:r>
              <w:t>No:</w:t>
            </w:r>
          </w:p>
        </w:tc>
      </w:tr>
      <w:tr w:rsidR="00A5627D" w:rsidRPr="0003737D" w:rsidTr="00A5627D">
        <w:trPr>
          <w:jc w:val="center"/>
        </w:trPr>
        <w:tc>
          <w:tcPr>
            <w:tcW w:w="0" w:type="auto"/>
            <w:shd w:val="clear" w:color="auto" w:fill="auto"/>
          </w:tcPr>
          <w:p w:rsidR="00A5627D" w:rsidRPr="00E8718A" w:rsidRDefault="00A5627D" w:rsidP="00183905">
            <w:pPr>
              <w:pStyle w:val="TableCell"/>
              <w:jc w:val="left"/>
            </w:pPr>
            <w:r w:rsidRPr="00E8718A">
              <w:t>Speech/language therapist</w:t>
            </w:r>
          </w:p>
        </w:tc>
        <w:tc>
          <w:tcPr>
            <w:tcW w:w="931" w:type="dxa"/>
            <w:shd w:val="clear" w:color="auto" w:fill="auto"/>
          </w:tcPr>
          <w:p w:rsidR="00A5627D" w:rsidRPr="005C4568" w:rsidRDefault="00A5627D" w:rsidP="00183905">
            <w:pPr>
              <w:pStyle w:val="TableCell"/>
              <w:rPr>
                <w:lang w:eastAsia="en-IE"/>
              </w:rPr>
            </w:pPr>
            <w:r>
              <w:rPr>
                <w:lang w:eastAsia="en-IE"/>
              </w:rPr>
              <w:t>27</w:t>
            </w:r>
          </w:p>
        </w:tc>
      </w:tr>
      <w:tr w:rsidR="00A5627D" w:rsidRPr="0003737D" w:rsidTr="00A5627D">
        <w:trPr>
          <w:jc w:val="center"/>
        </w:trPr>
        <w:tc>
          <w:tcPr>
            <w:tcW w:w="0" w:type="auto"/>
            <w:shd w:val="clear" w:color="auto" w:fill="auto"/>
          </w:tcPr>
          <w:p w:rsidR="00A5627D" w:rsidRPr="00E8718A" w:rsidRDefault="00A5627D" w:rsidP="00183905">
            <w:pPr>
              <w:pStyle w:val="TableCell"/>
              <w:jc w:val="left"/>
            </w:pPr>
            <w:r w:rsidRPr="00E8718A">
              <w:t>Occupational therapist</w:t>
            </w:r>
          </w:p>
        </w:tc>
        <w:tc>
          <w:tcPr>
            <w:tcW w:w="931" w:type="dxa"/>
            <w:shd w:val="clear" w:color="auto" w:fill="auto"/>
          </w:tcPr>
          <w:p w:rsidR="00A5627D" w:rsidRPr="005C4568" w:rsidRDefault="00A5627D" w:rsidP="00183905">
            <w:pPr>
              <w:pStyle w:val="TableCell"/>
              <w:rPr>
                <w:lang w:eastAsia="en-IE"/>
              </w:rPr>
            </w:pPr>
            <w:r>
              <w:rPr>
                <w:lang w:eastAsia="en-IE"/>
              </w:rPr>
              <w:t>27</w:t>
            </w:r>
          </w:p>
        </w:tc>
      </w:tr>
      <w:tr w:rsidR="00A5627D" w:rsidRPr="0003737D" w:rsidTr="00A5627D">
        <w:trPr>
          <w:jc w:val="center"/>
        </w:trPr>
        <w:tc>
          <w:tcPr>
            <w:tcW w:w="0" w:type="auto"/>
            <w:shd w:val="clear" w:color="auto" w:fill="auto"/>
          </w:tcPr>
          <w:p w:rsidR="00A5627D" w:rsidRPr="00E8718A" w:rsidRDefault="00A5627D" w:rsidP="00183905">
            <w:pPr>
              <w:pStyle w:val="TableCell"/>
              <w:jc w:val="left"/>
            </w:pPr>
            <w:r w:rsidRPr="00E8718A">
              <w:t>Physiotherapist</w:t>
            </w:r>
          </w:p>
        </w:tc>
        <w:tc>
          <w:tcPr>
            <w:tcW w:w="931" w:type="dxa"/>
            <w:shd w:val="clear" w:color="auto" w:fill="auto"/>
          </w:tcPr>
          <w:p w:rsidR="00A5627D" w:rsidRPr="005C4568" w:rsidRDefault="00A5627D" w:rsidP="00183905">
            <w:pPr>
              <w:pStyle w:val="TableCell"/>
              <w:rPr>
                <w:lang w:eastAsia="en-IE"/>
              </w:rPr>
            </w:pPr>
            <w:r>
              <w:rPr>
                <w:lang w:eastAsia="en-IE"/>
              </w:rPr>
              <w:t>6</w:t>
            </w:r>
          </w:p>
        </w:tc>
      </w:tr>
      <w:tr w:rsidR="00A5627D" w:rsidRPr="0003737D" w:rsidTr="00A5627D">
        <w:trPr>
          <w:jc w:val="center"/>
        </w:trPr>
        <w:tc>
          <w:tcPr>
            <w:tcW w:w="0" w:type="auto"/>
            <w:shd w:val="clear" w:color="auto" w:fill="auto"/>
          </w:tcPr>
          <w:p w:rsidR="00A5627D" w:rsidRPr="00E8718A" w:rsidRDefault="00A5627D" w:rsidP="00183905">
            <w:pPr>
              <w:pStyle w:val="TableCell"/>
              <w:jc w:val="left"/>
            </w:pPr>
            <w:r w:rsidRPr="00E8718A">
              <w:t>Social worker</w:t>
            </w:r>
          </w:p>
        </w:tc>
        <w:tc>
          <w:tcPr>
            <w:tcW w:w="931" w:type="dxa"/>
            <w:shd w:val="clear" w:color="auto" w:fill="auto"/>
          </w:tcPr>
          <w:p w:rsidR="00A5627D" w:rsidRPr="005C4568" w:rsidRDefault="00A5627D" w:rsidP="00183905">
            <w:pPr>
              <w:pStyle w:val="TableCell"/>
              <w:rPr>
                <w:lang w:eastAsia="en-IE"/>
              </w:rPr>
            </w:pPr>
            <w:r>
              <w:rPr>
                <w:lang w:eastAsia="en-IE"/>
              </w:rPr>
              <w:t>7</w:t>
            </w:r>
          </w:p>
        </w:tc>
      </w:tr>
      <w:tr w:rsidR="00A5627D" w:rsidRPr="0003737D" w:rsidTr="00A5627D">
        <w:trPr>
          <w:jc w:val="center"/>
        </w:trPr>
        <w:tc>
          <w:tcPr>
            <w:tcW w:w="0" w:type="auto"/>
            <w:shd w:val="clear" w:color="auto" w:fill="auto"/>
          </w:tcPr>
          <w:p w:rsidR="00A5627D" w:rsidRPr="00E8718A" w:rsidRDefault="00A5627D" w:rsidP="00183905">
            <w:pPr>
              <w:pStyle w:val="TableCell"/>
              <w:jc w:val="left"/>
            </w:pPr>
            <w:r w:rsidRPr="00E8718A">
              <w:t>Psychologist</w:t>
            </w:r>
          </w:p>
        </w:tc>
        <w:tc>
          <w:tcPr>
            <w:tcW w:w="931" w:type="dxa"/>
            <w:shd w:val="clear" w:color="auto" w:fill="auto"/>
          </w:tcPr>
          <w:p w:rsidR="00A5627D" w:rsidRPr="005C4568" w:rsidRDefault="00A5627D" w:rsidP="00183905">
            <w:pPr>
              <w:pStyle w:val="TableCell"/>
              <w:rPr>
                <w:lang w:eastAsia="en-IE"/>
              </w:rPr>
            </w:pPr>
            <w:r>
              <w:rPr>
                <w:lang w:eastAsia="en-IE"/>
              </w:rPr>
              <w:t>25</w:t>
            </w:r>
          </w:p>
        </w:tc>
      </w:tr>
      <w:tr w:rsidR="00A5627D" w:rsidRPr="0003737D" w:rsidTr="00A5627D">
        <w:trPr>
          <w:jc w:val="center"/>
        </w:trPr>
        <w:tc>
          <w:tcPr>
            <w:tcW w:w="0" w:type="auto"/>
            <w:shd w:val="clear" w:color="auto" w:fill="auto"/>
          </w:tcPr>
          <w:p w:rsidR="00A5627D" w:rsidRPr="00E8718A" w:rsidRDefault="00A5627D" w:rsidP="00183905">
            <w:pPr>
              <w:pStyle w:val="TableCell"/>
              <w:jc w:val="left"/>
            </w:pPr>
            <w:r w:rsidRPr="00E8718A">
              <w:t>Public health nurse</w:t>
            </w:r>
          </w:p>
        </w:tc>
        <w:tc>
          <w:tcPr>
            <w:tcW w:w="931" w:type="dxa"/>
            <w:shd w:val="clear" w:color="auto" w:fill="auto"/>
          </w:tcPr>
          <w:p w:rsidR="00A5627D" w:rsidRPr="005C4568" w:rsidRDefault="00A5627D" w:rsidP="00183905">
            <w:pPr>
              <w:pStyle w:val="TableCell"/>
              <w:rPr>
                <w:lang w:eastAsia="en-IE"/>
              </w:rPr>
            </w:pPr>
            <w:r>
              <w:rPr>
                <w:lang w:eastAsia="en-IE"/>
              </w:rPr>
              <w:t>8</w:t>
            </w:r>
          </w:p>
        </w:tc>
      </w:tr>
      <w:tr w:rsidR="00A5627D" w:rsidRPr="0003737D" w:rsidTr="00A5627D">
        <w:trPr>
          <w:jc w:val="center"/>
        </w:trPr>
        <w:tc>
          <w:tcPr>
            <w:tcW w:w="0" w:type="auto"/>
            <w:shd w:val="clear" w:color="auto" w:fill="auto"/>
          </w:tcPr>
          <w:p w:rsidR="00A5627D" w:rsidRDefault="00A5627D" w:rsidP="00183905">
            <w:pPr>
              <w:pStyle w:val="TableCell"/>
              <w:jc w:val="left"/>
            </w:pPr>
            <w:r w:rsidRPr="00E8718A">
              <w:t>Dietician</w:t>
            </w:r>
          </w:p>
        </w:tc>
        <w:tc>
          <w:tcPr>
            <w:tcW w:w="931" w:type="dxa"/>
            <w:shd w:val="clear" w:color="auto" w:fill="auto"/>
          </w:tcPr>
          <w:p w:rsidR="00A5627D" w:rsidRPr="005C4568" w:rsidRDefault="00A5627D" w:rsidP="00183905">
            <w:pPr>
              <w:pStyle w:val="TableCell"/>
              <w:rPr>
                <w:lang w:eastAsia="en-IE"/>
              </w:rPr>
            </w:pPr>
            <w:r>
              <w:rPr>
                <w:lang w:eastAsia="en-IE"/>
              </w:rPr>
              <w:t>1</w:t>
            </w:r>
          </w:p>
        </w:tc>
      </w:tr>
      <w:tr w:rsidR="00A5627D" w:rsidRPr="0003737D" w:rsidTr="00A5627D">
        <w:trPr>
          <w:jc w:val="center"/>
        </w:trPr>
        <w:tc>
          <w:tcPr>
            <w:tcW w:w="0" w:type="auto"/>
            <w:shd w:val="clear" w:color="auto" w:fill="auto"/>
          </w:tcPr>
          <w:p w:rsidR="00A5627D" w:rsidRPr="00E8718A" w:rsidRDefault="00A5627D" w:rsidP="00183905">
            <w:pPr>
              <w:pStyle w:val="TableCell"/>
              <w:jc w:val="left"/>
            </w:pPr>
            <w:r w:rsidRPr="00E8718A">
              <w:t>Speech/language therapist</w:t>
            </w:r>
          </w:p>
        </w:tc>
        <w:tc>
          <w:tcPr>
            <w:tcW w:w="931" w:type="dxa"/>
            <w:shd w:val="clear" w:color="auto" w:fill="auto"/>
          </w:tcPr>
          <w:p w:rsidR="00A5627D" w:rsidRPr="005C4568" w:rsidRDefault="00A5627D" w:rsidP="00183905">
            <w:pPr>
              <w:pStyle w:val="TableCell"/>
              <w:rPr>
                <w:lang w:eastAsia="en-IE"/>
              </w:rPr>
            </w:pPr>
            <w:r>
              <w:rPr>
                <w:lang w:eastAsia="en-IE"/>
              </w:rPr>
              <w:t>27</w:t>
            </w:r>
          </w:p>
        </w:tc>
      </w:tr>
      <w:tr w:rsidR="00A5627D" w:rsidRPr="0003737D" w:rsidTr="00A5627D">
        <w:trPr>
          <w:jc w:val="center"/>
        </w:trPr>
        <w:tc>
          <w:tcPr>
            <w:tcW w:w="0" w:type="auto"/>
            <w:shd w:val="clear" w:color="auto" w:fill="auto"/>
          </w:tcPr>
          <w:p w:rsidR="00A5627D" w:rsidRPr="00A5627D" w:rsidRDefault="00A5627D" w:rsidP="00183905">
            <w:pPr>
              <w:pStyle w:val="TableCell"/>
              <w:jc w:val="left"/>
              <w:rPr>
                <w:b/>
              </w:rPr>
            </w:pPr>
            <w:r w:rsidRPr="00A5627D">
              <w:rPr>
                <w:b/>
              </w:rPr>
              <w:t>Total</w:t>
            </w:r>
          </w:p>
        </w:tc>
        <w:tc>
          <w:tcPr>
            <w:tcW w:w="931" w:type="dxa"/>
            <w:shd w:val="clear" w:color="auto" w:fill="auto"/>
          </w:tcPr>
          <w:p w:rsidR="00A5627D" w:rsidRPr="00A5627D" w:rsidRDefault="00A5627D" w:rsidP="00183905">
            <w:pPr>
              <w:pStyle w:val="TableCell"/>
              <w:rPr>
                <w:b/>
                <w:lang w:eastAsia="en-IE"/>
              </w:rPr>
            </w:pPr>
            <w:r w:rsidRPr="00A5627D">
              <w:rPr>
                <w:b/>
                <w:lang w:eastAsia="en-IE"/>
              </w:rPr>
              <w:t>100</w:t>
            </w:r>
          </w:p>
        </w:tc>
      </w:tr>
    </w:tbl>
    <w:p w:rsidR="00847243" w:rsidRDefault="00847243" w:rsidP="00A313F9"/>
    <w:p w:rsidR="00847243" w:rsidRDefault="00847243" w:rsidP="00847243">
      <w:pPr>
        <w:pStyle w:val="ListBullet"/>
        <w:numPr>
          <w:ilvl w:val="0"/>
          <w:numId w:val="1"/>
        </w:numPr>
        <w:ind w:left="357" w:hanging="357"/>
      </w:pPr>
      <w:r>
        <w:t xml:space="preserve">The geographical distribution of any new posts should encourage the reconfiguration of children’s disability services and </w:t>
      </w:r>
      <w:r w:rsidR="009C459F">
        <w:t xml:space="preserve">the </w:t>
      </w:r>
      <w:r>
        <w:t>creation of broadly similar ratios of therapists to children in different regions and geographical areas</w:t>
      </w:r>
    </w:p>
    <w:p w:rsidR="00847243" w:rsidRDefault="00847243" w:rsidP="00847243">
      <w:pPr>
        <w:pStyle w:val="ListBullet"/>
        <w:numPr>
          <w:ilvl w:val="0"/>
          <w:numId w:val="1"/>
        </w:numPr>
        <w:ind w:left="357" w:hanging="357"/>
      </w:pPr>
      <w:r>
        <w:t>However, where there are high concentrations of social disadvantage, a higher ratio of therapists to population would be required</w:t>
      </w:r>
    </w:p>
    <w:p w:rsidR="00847243" w:rsidRDefault="00847243" w:rsidP="00847243">
      <w:pPr>
        <w:pStyle w:val="ListBullet"/>
        <w:numPr>
          <w:ilvl w:val="0"/>
          <w:numId w:val="1"/>
        </w:numPr>
        <w:ind w:left="357" w:hanging="357"/>
      </w:pPr>
      <w:r>
        <w:t xml:space="preserve">Additional ancillary supports such as a targeted </w:t>
      </w:r>
      <w:r w:rsidR="009C459F">
        <w:rPr>
          <w:rFonts w:ascii="Gill Sans MT" w:hAnsi="Gill Sans MT"/>
        </w:rPr>
        <w:t>‘</w:t>
      </w:r>
      <w:r>
        <w:t>community mothers programme</w:t>
      </w:r>
      <w:r w:rsidR="009C459F">
        <w:rPr>
          <w:rFonts w:ascii="Gill Sans MT" w:hAnsi="Gill Sans MT"/>
        </w:rPr>
        <w:t>’</w:t>
      </w:r>
      <w:r>
        <w:t xml:space="preserve"> or similar additional supports for vulnerable families</w:t>
      </w:r>
      <w:r w:rsidR="009C459F">
        <w:t>,</w:t>
      </w:r>
      <w:r>
        <w:t xml:space="preserve"> should be considered to enhance the family’s capacity to follow the programme recommended by the therapy team</w:t>
      </w:r>
    </w:p>
    <w:p w:rsidR="009C459F" w:rsidRDefault="00847243" w:rsidP="00847243">
      <w:pPr>
        <w:pStyle w:val="ListBullet"/>
        <w:numPr>
          <w:ilvl w:val="0"/>
          <w:numId w:val="1"/>
        </w:numPr>
        <w:spacing w:after="240"/>
        <w:ind w:left="357" w:hanging="357"/>
      </w:pPr>
      <w:r>
        <w:t>As child development and early learning are intrinsically intertwined, consideration should be given to the employment of early education specialists on early intervention teams (there were 9 of these employed in early intervention teams in 2012)</w:t>
      </w:r>
    </w:p>
    <w:p w:rsidR="00847243" w:rsidRDefault="00847243" w:rsidP="00847243">
      <w:pPr>
        <w:pStyle w:val="ListBullet"/>
        <w:numPr>
          <w:ilvl w:val="0"/>
          <w:numId w:val="1"/>
        </w:numPr>
        <w:spacing w:after="240"/>
        <w:ind w:left="357" w:hanging="357"/>
      </w:pPr>
      <w:r>
        <w:t>Future planning should build-in provision for the impact of demographic change</w:t>
      </w:r>
    </w:p>
    <w:p w:rsidR="001F55B2" w:rsidRPr="00AA7990" w:rsidRDefault="00847243" w:rsidP="00A6132E">
      <w:pPr>
        <w:pStyle w:val="Heading1"/>
        <w:numPr>
          <w:ilvl w:val="0"/>
          <w:numId w:val="10"/>
        </w:numPr>
        <w:ind w:hanging="720"/>
      </w:pPr>
      <w:r>
        <w:br w:type="page"/>
      </w:r>
      <w:bookmarkStart w:id="36" w:name="_Toc415733679"/>
      <w:bookmarkEnd w:id="33"/>
      <w:bookmarkEnd w:id="34"/>
      <w:r w:rsidR="00AA126B" w:rsidRPr="00AA7990">
        <w:t>The Research Project</w:t>
      </w:r>
      <w:bookmarkEnd w:id="36"/>
    </w:p>
    <w:p w:rsidR="001F55B2" w:rsidRPr="00853F36" w:rsidRDefault="001F55B2" w:rsidP="00A6132E">
      <w:pPr>
        <w:pStyle w:val="Heading2"/>
        <w:numPr>
          <w:ilvl w:val="1"/>
          <w:numId w:val="10"/>
        </w:numPr>
        <w:ind w:hanging="1080"/>
      </w:pPr>
      <w:bookmarkStart w:id="37" w:name="_Toc386464540"/>
      <w:bookmarkStart w:id="38" w:name="_Toc386470035"/>
      <w:bookmarkStart w:id="39" w:name="_Toc415733680"/>
      <w:r w:rsidRPr="00853F36">
        <w:t>Purpose of the research</w:t>
      </w:r>
      <w:bookmarkEnd w:id="37"/>
      <w:bookmarkEnd w:id="38"/>
      <w:bookmarkEnd w:id="39"/>
    </w:p>
    <w:p w:rsidR="001F55B2" w:rsidRPr="00853F36" w:rsidRDefault="001F55B2" w:rsidP="001E0736">
      <w:r w:rsidRPr="00853F36">
        <w:t>The purpose of this project is to contribute to the HSE Programme ‘Progressing Disability Services for Children and Young People’ by undertaking the following tasks:</w:t>
      </w:r>
    </w:p>
    <w:p w:rsidR="001F55B2" w:rsidRPr="00853F36" w:rsidRDefault="001F55B2" w:rsidP="001F55B2">
      <w:pPr>
        <w:pStyle w:val="ListBullet"/>
        <w:numPr>
          <w:ilvl w:val="0"/>
          <w:numId w:val="1"/>
        </w:numPr>
      </w:pPr>
      <w:r w:rsidRPr="00853F36">
        <w:t xml:space="preserve">Conduct a literature review on the development of disability services for children including the composition, configuration and outcomes of early intervention and school age disability teams and recommended caseloads for therapists. It is important to note that </w:t>
      </w:r>
      <w:r w:rsidR="009C459F">
        <w:t xml:space="preserve">while </w:t>
      </w:r>
      <w:r w:rsidRPr="00853F36">
        <w:t xml:space="preserve">there </w:t>
      </w:r>
      <w:r w:rsidR="009C459F">
        <w:t xml:space="preserve">is </w:t>
      </w:r>
      <w:r w:rsidRPr="00853F36">
        <w:t>some literature on caseloads for individual therapists</w:t>
      </w:r>
      <w:r w:rsidR="009C459F">
        <w:t>,</w:t>
      </w:r>
      <w:r w:rsidRPr="00853F36">
        <w:t xml:space="preserve"> there is a limit</w:t>
      </w:r>
      <w:r w:rsidR="00495A89">
        <w:t>ed literature on team caseloads</w:t>
      </w:r>
    </w:p>
    <w:p w:rsidR="001F55B2" w:rsidRPr="00853F36" w:rsidRDefault="001F55B2" w:rsidP="001F55B2">
      <w:pPr>
        <w:pStyle w:val="ListBullet"/>
        <w:numPr>
          <w:ilvl w:val="0"/>
          <w:numId w:val="1"/>
        </w:numPr>
      </w:pPr>
      <w:r w:rsidRPr="00853F36">
        <w:t>Consider pertinent data that might contribute to determining the number, size and composition o</w:t>
      </w:r>
      <w:r w:rsidR="009C459F">
        <w:t>f early intervention and school-age</w:t>
      </w:r>
      <w:r w:rsidRPr="00853F36">
        <w:t xml:space="preserve"> teams in Ireland. This includes considering the functioning of the already established Ea</w:t>
      </w:r>
      <w:r w:rsidR="009C459F">
        <w:t>rly Intervention and School Age</w:t>
      </w:r>
      <w:r w:rsidRPr="00853F36">
        <w:t xml:space="preserve"> Disability Teams for their strengths, weaknesses, size, composi</w:t>
      </w:r>
      <w:r w:rsidR="00495A89">
        <w:t>tion, structure and functioning</w:t>
      </w:r>
    </w:p>
    <w:p w:rsidR="001F55B2" w:rsidRPr="00853F36" w:rsidRDefault="001F55B2" w:rsidP="001F55B2">
      <w:pPr>
        <w:pStyle w:val="ListBullet"/>
        <w:numPr>
          <w:ilvl w:val="0"/>
          <w:numId w:val="1"/>
        </w:numPr>
      </w:pPr>
      <w:r w:rsidRPr="00853F36">
        <w:t>Examine the size and distribution of the 0-5 and 6-18 year old populations in Ireland</w:t>
      </w:r>
      <w:r w:rsidR="00495A89">
        <w:t xml:space="preserve"> from the 2011 census</w:t>
      </w:r>
      <w:r w:rsidR="0004058F">
        <w:t xml:space="preserve"> and from the Growing Up in Ireland Survey</w:t>
      </w:r>
    </w:p>
    <w:p w:rsidR="0028687C" w:rsidRDefault="001F55B2" w:rsidP="0028687C">
      <w:pPr>
        <w:pStyle w:val="ListBullet"/>
        <w:numPr>
          <w:ilvl w:val="0"/>
          <w:numId w:val="1"/>
        </w:numPr>
        <w:spacing w:after="240"/>
        <w:ind w:left="357" w:hanging="357"/>
      </w:pPr>
      <w:r w:rsidRPr="00853F36">
        <w:t xml:space="preserve">Examine the </w:t>
      </w:r>
      <w:r w:rsidR="0028687C">
        <w:t xml:space="preserve">current </w:t>
      </w:r>
      <w:r w:rsidRPr="00853F36">
        <w:t xml:space="preserve">ratio of therapists </w:t>
      </w:r>
      <w:r w:rsidR="0028687C">
        <w:t xml:space="preserve">to children </w:t>
      </w:r>
      <w:r w:rsidRPr="00853F36">
        <w:t xml:space="preserve">in children's disability services </w:t>
      </w:r>
      <w:r w:rsidR="0028687C">
        <w:t>and propose ratios based on the literature and on calculations from available data sources</w:t>
      </w:r>
      <w:r w:rsidR="009C459F">
        <w:t>.</w:t>
      </w:r>
    </w:p>
    <w:p w:rsidR="001F55B2" w:rsidRPr="00853F36" w:rsidRDefault="001F55B2" w:rsidP="0028687C">
      <w:r w:rsidRPr="00853F36">
        <w:t>Based on the above tasks</w:t>
      </w:r>
      <w:r w:rsidR="009C459F">
        <w:t>:</w:t>
      </w:r>
    </w:p>
    <w:p w:rsidR="001F55B2" w:rsidRPr="00853F36" w:rsidRDefault="001F55B2" w:rsidP="001F55B2">
      <w:pPr>
        <w:pStyle w:val="ListBullet"/>
        <w:numPr>
          <w:ilvl w:val="0"/>
          <w:numId w:val="1"/>
        </w:numPr>
      </w:pPr>
      <w:r w:rsidRPr="00853F36">
        <w:t xml:space="preserve">Outline </w:t>
      </w:r>
      <w:r w:rsidR="00495A89">
        <w:t xml:space="preserve">the </w:t>
      </w:r>
      <w:r w:rsidRPr="00853F36">
        <w:t>issues in developing population based, integrated child (and family) centred, cost effective and efficient d</w:t>
      </w:r>
      <w:r w:rsidR="00495A89">
        <w:t>isability services for children</w:t>
      </w:r>
    </w:p>
    <w:p w:rsidR="001F55B2" w:rsidRPr="00853F36" w:rsidRDefault="001F55B2" w:rsidP="001F55B2">
      <w:pPr>
        <w:pStyle w:val="ListBullet"/>
        <w:numPr>
          <w:ilvl w:val="0"/>
          <w:numId w:val="1"/>
        </w:numPr>
        <w:spacing w:after="240"/>
        <w:ind w:left="357" w:hanging="357"/>
      </w:pPr>
      <w:r w:rsidRPr="00853F36">
        <w:t xml:space="preserve">Estimate the composition, size and number of early intervention and school age disability teams and regional sub-specialist teams </w:t>
      </w:r>
      <w:r w:rsidR="00847243">
        <w:t xml:space="preserve">that are required to provide </w:t>
      </w:r>
      <w:r w:rsidRPr="00853F36">
        <w:t xml:space="preserve">a nationwide service </w:t>
      </w:r>
      <w:r w:rsidR="00495A89">
        <w:t xml:space="preserve">for </w:t>
      </w:r>
      <w:r w:rsidRPr="00853F36">
        <w:t>children with disabilities in Ireland. The sub-specialist teams are to provide local teams with direct specialist interven</w:t>
      </w:r>
      <w:r w:rsidR="00495A89">
        <w:t>tion, consultation and training</w:t>
      </w:r>
      <w:r w:rsidR="009C459F">
        <w:t>.</w:t>
      </w:r>
    </w:p>
    <w:p w:rsidR="001F55B2" w:rsidRPr="00853F36" w:rsidRDefault="001F55B2" w:rsidP="00DA1A61">
      <w:pPr>
        <w:pStyle w:val="Heading2"/>
        <w:numPr>
          <w:ilvl w:val="1"/>
          <w:numId w:val="10"/>
        </w:numPr>
        <w:ind w:hanging="1080"/>
      </w:pPr>
      <w:bookmarkStart w:id="40" w:name="_Toc386464541"/>
      <w:bookmarkStart w:id="41" w:name="_Toc386470036"/>
      <w:bookmarkStart w:id="42" w:name="_Toc415733681"/>
      <w:r w:rsidRPr="00853F36">
        <w:t>Background</w:t>
      </w:r>
      <w:bookmarkEnd w:id="40"/>
      <w:bookmarkEnd w:id="41"/>
      <w:bookmarkEnd w:id="42"/>
    </w:p>
    <w:p w:rsidR="00340642" w:rsidRDefault="00340642" w:rsidP="00340642">
      <w:r>
        <w:t>Disability health services for children are organised and delivered differently across the country because of the way they have been initiated and developed. Some organisations provide services for a specific group of children who have a particular kind of disability, or they only operate in one part of the country. This means</w:t>
      </w:r>
      <w:r w:rsidR="009C459F">
        <w:t>,</w:t>
      </w:r>
      <w:r>
        <w:t xml:space="preserve"> that while there are excellent </w:t>
      </w:r>
      <w:r w:rsidR="009C459F">
        <w:t>services for some children in one</w:t>
      </w:r>
      <w:r>
        <w:t xml:space="preserve"> area</w:t>
      </w:r>
      <w:r w:rsidR="009C459F">
        <w:t>, there may be little or no service at all for other children in other areas</w:t>
      </w:r>
      <w:r>
        <w:t xml:space="preserve">.  </w:t>
      </w:r>
    </w:p>
    <w:p w:rsidR="001F55B2" w:rsidRPr="00853F36" w:rsidRDefault="00340642" w:rsidP="00862F55">
      <w:r>
        <w:t>The aim of  the ‘Progressing Disability Services for Children and Young People’ programme</w:t>
      </w:r>
      <w:r w:rsidR="009C459F">
        <w:t>,</w:t>
      </w:r>
      <w:r>
        <w:t xml:space="preserve"> is to achieve a national unified approach to delivering disability health services, so that there is a clear pathway to the services they need</w:t>
      </w:r>
      <w:r w:rsidR="009C459F">
        <w:t>,</w:t>
      </w:r>
      <w:r>
        <w:t xml:space="preserve"> for all children</w:t>
      </w:r>
      <w:r w:rsidR="009C459F">
        <w:t>,</w:t>
      </w:r>
      <w:r>
        <w:t xml:space="preserve"> regardless of where they live, what school they go to or the nature</w:t>
      </w:r>
      <w:r w:rsidR="00183905">
        <w:t xml:space="preserve"> of their disability or delay</w:t>
      </w:r>
      <w:r>
        <w:t>”</w:t>
      </w:r>
      <w:r>
        <w:rPr>
          <w:rStyle w:val="FootnoteReference"/>
        </w:rPr>
        <w:footnoteReference w:id="29"/>
      </w:r>
      <w:r w:rsidR="00183905">
        <w:t xml:space="preserve">. </w:t>
      </w:r>
      <w:r w:rsidR="00E43614">
        <w:t>To develop</w:t>
      </w:r>
      <w:r w:rsidR="001F55B2" w:rsidRPr="00853F36">
        <w:t xml:space="preserve"> effective children’s disability services</w:t>
      </w:r>
      <w:r w:rsidR="009C459F">
        <w:t>,</w:t>
      </w:r>
      <w:r w:rsidR="00E43614">
        <w:t xml:space="preserve"> that</w:t>
      </w:r>
      <w:r w:rsidR="001F55B2" w:rsidRPr="00853F36">
        <w:t xml:space="preserve"> address the health, social and educational issues of children with dis</w:t>
      </w:r>
      <w:r w:rsidR="00E43614">
        <w:t xml:space="preserve">abilities, </w:t>
      </w:r>
      <w:r w:rsidR="001F55B2" w:rsidRPr="00853F36">
        <w:t>we need</w:t>
      </w:r>
      <w:r w:rsidR="009C459F">
        <w:t xml:space="preserve"> to address the following</w:t>
      </w:r>
      <w:r w:rsidR="001F55B2" w:rsidRPr="00853F36">
        <w:t>:</w:t>
      </w:r>
    </w:p>
    <w:p w:rsidR="001F55B2" w:rsidRPr="00853F36" w:rsidRDefault="001F55B2" w:rsidP="001F55B2">
      <w:pPr>
        <w:pStyle w:val="ListBullet"/>
        <w:numPr>
          <w:ilvl w:val="0"/>
          <w:numId w:val="1"/>
        </w:numPr>
      </w:pPr>
      <w:r w:rsidRPr="00853F36">
        <w:t xml:space="preserve">Development of coherent pathways for children with disabilities for referral and access to services and </w:t>
      </w:r>
      <w:r w:rsidR="009C459F">
        <w:t xml:space="preserve">the development of </w:t>
      </w:r>
      <w:r w:rsidRPr="00853F36">
        <w:t>portable standardised and streamlined assessments of need</w:t>
      </w:r>
    </w:p>
    <w:p w:rsidR="001F55B2" w:rsidRPr="00853F36" w:rsidRDefault="009C459F" w:rsidP="001F55B2">
      <w:pPr>
        <w:pStyle w:val="ListBullet"/>
        <w:numPr>
          <w:ilvl w:val="0"/>
          <w:numId w:val="1"/>
        </w:numPr>
      </w:pPr>
      <w:r>
        <w:t>E</w:t>
      </w:r>
      <w:r w:rsidR="001F55B2" w:rsidRPr="00853F36">
        <w:t xml:space="preserve">ligibility criteria </w:t>
      </w:r>
      <w:r>
        <w:t xml:space="preserve">to </w:t>
      </w:r>
      <w:r w:rsidR="001F55B2" w:rsidRPr="00853F36">
        <w:t>be used for accessing services: “There is some tension between the perception of a need for a medical diagnosis as a trigger to accessing support and a service delivery model that addresses the needs of children and young people with a disability”</w:t>
      </w:r>
      <w:r w:rsidR="001F55B2" w:rsidRPr="00853F36">
        <w:rPr>
          <w:rStyle w:val="FootnoteReference"/>
        </w:rPr>
        <w:footnoteReference w:id="30"/>
      </w:r>
    </w:p>
    <w:p w:rsidR="001F55B2" w:rsidRPr="00853F36" w:rsidRDefault="001F55B2" w:rsidP="001F55B2">
      <w:pPr>
        <w:pStyle w:val="ListBullet"/>
        <w:numPr>
          <w:ilvl w:val="0"/>
          <w:numId w:val="1"/>
        </w:numPr>
        <w:spacing w:after="240"/>
        <w:ind w:left="357" w:hanging="357"/>
      </w:pPr>
      <w:r w:rsidRPr="00853F36">
        <w:t>Decide between excellent provision to a limited number of children</w:t>
      </w:r>
      <w:r w:rsidR="00495A89">
        <w:t>,</w:t>
      </w:r>
      <w:r w:rsidRPr="00853F36">
        <w:t xml:space="preserve"> or good pro</w:t>
      </w:r>
      <w:r w:rsidR="00495A89">
        <w:t>vision to everyone who needs it</w:t>
      </w:r>
    </w:p>
    <w:p w:rsidR="001F55B2" w:rsidRPr="00853F36" w:rsidRDefault="001F55B2" w:rsidP="001F55B2">
      <w:pPr>
        <w:pStyle w:val="ListBullet"/>
        <w:numPr>
          <w:ilvl w:val="0"/>
          <w:numId w:val="1"/>
        </w:numPr>
      </w:pPr>
      <w:r w:rsidRPr="00853F36">
        <w:t xml:space="preserve">Establish what the composition of early intervention and school based disability teams should be </w:t>
      </w:r>
    </w:p>
    <w:p w:rsidR="001F55B2" w:rsidRPr="00853F36" w:rsidRDefault="001F55B2" w:rsidP="001F55B2">
      <w:pPr>
        <w:pStyle w:val="ListBullet"/>
        <w:numPr>
          <w:ilvl w:val="0"/>
          <w:numId w:val="1"/>
        </w:numPr>
      </w:pPr>
      <w:r w:rsidRPr="00853F36">
        <w:t>Determine how therapists and other professionals can best be supported to develop effective and efficient team working skills</w:t>
      </w:r>
    </w:p>
    <w:p w:rsidR="001F55B2" w:rsidRPr="00853F36" w:rsidRDefault="001F55B2" w:rsidP="001F55B2">
      <w:pPr>
        <w:pStyle w:val="ListBullet"/>
        <w:numPr>
          <w:ilvl w:val="0"/>
          <w:numId w:val="1"/>
        </w:numPr>
      </w:pPr>
      <w:r w:rsidRPr="00853F36">
        <w:t>Provide guidance for the local development of services which include collaboration between disability services and other children’s services</w:t>
      </w:r>
    </w:p>
    <w:p w:rsidR="001F55B2" w:rsidRPr="00853F36" w:rsidRDefault="001F55B2" w:rsidP="001F55B2">
      <w:pPr>
        <w:pStyle w:val="ListBullet"/>
        <w:numPr>
          <w:ilvl w:val="0"/>
          <w:numId w:val="1"/>
        </w:numPr>
      </w:pPr>
      <w:r w:rsidRPr="00853F36">
        <w:t>Choose cost effective IT solutions for use in early intervention and school based disability services</w:t>
      </w:r>
    </w:p>
    <w:p w:rsidR="00D569A5" w:rsidRDefault="001F55B2" w:rsidP="00DF2819">
      <w:pPr>
        <w:pStyle w:val="ListBullet"/>
        <w:numPr>
          <w:ilvl w:val="0"/>
          <w:numId w:val="1"/>
        </w:numPr>
      </w:pPr>
      <w:r w:rsidRPr="00853F36">
        <w:t>Effective management of autism, including diagnosis and provision of the required early intervention and school disability services</w:t>
      </w:r>
    </w:p>
    <w:p w:rsidR="00B008E9" w:rsidRDefault="00B008E9" w:rsidP="00DA1A61">
      <w:pPr>
        <w:pStyle w:val="Heading1"/>
        <w:numPr>
          <w:ilvl w:val="0"/>
          <w:numId w:val="10"/>
        </w:numPr>
        <w:ind w:hanging="720"/>
      </w:pPr>
      <w:bookmarkStart w:id="43" w:name="_Toc403573110"/>
      <w:bookmarkStart w:id="44" w:name="_Toc415733682"/>
      <w:r>
        <w:t xml:space="preserve">Calculating </w:t>
      </w:r>
      <w:r w:rsidRPr="00853F36">
        <w:t>therapists needed for children’s network disability services in Ireland</w:t>
      </w:r>
      <w:bookmarkEnd w:id="43"/>
      <w:bookmarkEnd w:id="44"/>
    </w:p>
    <w:p w:rsidR="00B008E9" w:rsidRDefault="00B008E9" w:rsidP="00DA1A61">
      <w:pPr>
        <w:pStyle w:val="Heading2"/>
        <w:numPr>
          <w:ilvl w:val="1"/>
          <w:numId w:val="10"/>
        </w:numPr>
        <w:ind w:hanging="1080"/>
      </w:pPr>
      <w:bookmarkStart w:id="45" w:name="_Toc403573112"/>
      <w:bookmarkStart w:id="46" w:name="_Toc415733683"/>
      <w:r>
        <w:t>Current therapy staffing</w:t>
      </w:r>
      <w:bookmarkEnd w:id="45"/>
      <w:r>
        <w:t xml:space="preserve"> (2012)</w:t>
      </w:r>
      <w:bookmarkEnd w:id="46"/>
    </w:p>
    <w:p w:rsidR="00B008E9" w:rsidRDefault="00B008E9" w:rsidP="00B008E9">
      <w:r>
        <w:t>The HSE provided data on the number of whole-time equivalent therapy posts by category and grade, from a data collection exercise they carried out in 2012. In that year, the HSE employed just over 1,700 people in children’s disability services, including about 1,100 in therapy grades, as well as medical, social care</w:t>
      </w:r>
      <w:r w:rsidR="009C459F">
        <w:t>,</w:t>
      </w:r>
      <w:r>
        <w:t xml:space="preserve"> pre-school staff and ancillary staff. </w:t>
      </w:r>
    </w:p>
    <w:p w:rsidR="00B008E9" w:rsidRPr="00B5650B" w:rsidRDefault="00B008E9" w:rsidP="00B008E9">
      <w:pPr>
        <w:pStyle w:val="TableTitle"/>
      </w:pPr>
      <w:bookmarkStart w:id="47" w:name="_Toc419879404"/>
      <w:r>
        <w:t>Table 1: Nos. employed in children’s disability therapy services 2012</w:t>
      </w:r>
      <w:bookmarkEnd w:id="4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3F" w:firstRow="1" w:lastRow="0" w:firstColumn="0" w:lastColumn="0" w:noHBand="0" w:noVBand="0"/>
      </w:tblPr>
      <w:tblGrid>
        <w:gridCol w:w="4325"/>
        <w:gridCol w:w="983"/>
      </w:tblGrid>
      <w:tr w:rsidR="00DF2819" w:rsidRPr="0003737D" w:rsidTr="00C208EC">
        <w:trPr>
          <w:cantSplit/>
          <w:tblHeader/>
          <w:jc w:val="center"/>
        </w:trPr>
        <w:tc>
          <w:tcPr>
            <w:tcW w:w="0" w:type="auto"/>
            <w:shd w:val="clear" w:color="auto" w:fill="auto"/>
            <w:vAlign w:val="center"/>
          </w:tcPr>
          <w:p w:rsidR="00DF2819" w:rsidRPr="009A10B9" w:rsidRDefault="00DF2819" w:rsidP="00DF2819">
            <w:pPr>
              <w:pStyle w:val="TableHead"/>
            </w:pPr>
            <w:r w:rsidRPr="009A10B9">
              <w:t>Specialty</w:t>
            </w:r>
          </w:p>
        </w:tc>
        <w:tc>
          <w:tcPr>
            <w:tcW w:w="0" w:type="auto"/>
            <w:shd w:val="clear" w:color="auto" w:fill="auto"/>
            <w:vAlign w:val="center"/>
          </w:tcPr>
          <w:p w:rsidR="00DF2819" w:rsidRPr="009A10B9" w:rsidRDefault="00DF2819" w:rsidP="00DF2819">
            <w:pPr>
              <w:pStyle w:val="TableHead"/>
            </w:pPr>
            <w:r w:rsidRPr="009A10B9">
              <w:t>WTEs</w:t>
            </w:r>
          </w:p>
        </w:tc>
      </w:tr>
      <w:tr w:rsidR="00DF2819" w:rsidRPr="0003737D" w:rsidTr="00C208EC">
        <w:trPr>
          <w:cantSplit/>
          <w:jc w:val="center"/>
        </w:trPr>
        <w:tc>
          <w:tcPr>
            <w:tcW w:w="0" w:type="auto"/>
            <w:shd w:val="clear" w:color="auto" w:fill="auto"/>
            <w:vAlign w:val="center"/>
          </w:tcPr>
          <w:p w:rsidR="00DF2819" w:rsidRPr="006F0601" w:rsidRDefault="00DF2819" w:rsidP="00DF2819">
            <w:pPr>
              <w:pStyle w:val="TableCell"/>
              <w:jc w:val="left"/>
            </w:pPr>
            <w:r w:rsidRPr="006F0601">
              <w:t>Speech and language therapists</w:t>
            </w:r>
          </w:p>
        </w:tc>
        <w:tc>
          <w:tcPr>
            <w:tcW w:w="0" w:type="auto"/>
            <w:shd w:val="clear" w:color="auto" w:fill="auto"/>
            <w:vAlign w:val="center"/>
          </w:tcPr>
          <w:p w:rsidR="00DF2819" w:rsidRPr="006F0601" w:rsidRDefault="00DF2819" w:rsidP="00DF2819">
            <w:pPr>
              <w:pStyle w:val="TableCell"/>
            </w:pPr>
            <w:r w:rsidRPr="006F0601">
              <w:t>253.3</w:t>
            </w:r>
          </w:p>
        </w:tc>
      </w:tr>
      <w:tr w:rsidR="00DF2819" w:rsidRPr="0003737D" w:rsidTr="00C208EC">
        <w:trPr>
          <w:cantSplit/>
          <w:jc w:val="center"/>
        </w:trPr>
        <w:tc>
          <w:tcPr>
            <w:tcW w:w="0" w:type="auto"/>
            <w:shd w:val="clear" w:color="auto" w:fill="auto"/>
            <w:vAlign w:val="center"/>
          </w:tcPr>
          <w:p w:rsidR="00DF2819" w:rsidRPr="006F0601" w:rsidRDefault="00DF2819" w:rsidP="00DF2819">
            <w:pPr>
              <w:pStyle w:val="TableCell"/>
              <w:jc w:val="left"/>
            </w:pPr>
            <w:r w:rsidRPr="006F0601">
              <w:t>Occupational therapists</w:t>
            </w:r>
          </w:p>
        </w:tc>
        <w:tc>
          <w:tcPr>
            <w:tcW w:w="0" w:type="auto"/>
            <w:shd w:val="clear" w:color="auto" w:fill="auto"/>
            <w:vAlign w:val="center"/>
          </w:tcPr>
          <w:p w:rsidR="00DF2819" w:rsidRPr="006F0601" w:rsidRDefault="00DF2819" w:rsidP="00DF2819">
            <w:pPr>
              <w:pStyle w:val="TableCell"/>
            </w:pPr>
            <w:r w:rsidRPr="006F0601">
              <w:t>234.3</w:t>
            </w:r>
          </w:p>
        </w:tc>
      </w:tr>
      <w:tr w:rsidR="00DF2819" w:rsidRPr="0003737D" w:rsidTr="00C208EC">
        <w:trPr>
          <w:cantSplit/>
          <w:jc w:val="center"/>
        </w:trPr>
        <w:tc>
          <w:tcPr>
            <w:tcW w:w="0" w:type="auto"/>
            <w:shd w:val="clear" w:color="auto" w:fill="auto"/>
            <w:vAlign w:val="center"/>
          </w:tcPr>
          <w:p w:rsidR="00DF2819" w:rsidRPr="006F0601" w:rsidRDefault="00DF2819" w:rsidP="00DF2819">
            <w:pPr>
              <w:pStyle w:val="TableCell"/>
              <w:jc w:val="left"/>
            </w:pPr>
            <w:r w:rsidRPr="006F0601">
              <w:t>Physiotherapists</w:t>
            </w:r>
          </w:p>
        </w:tc>
        <w:tc>
          <w:tcPr>
            <w:tcW w:w="0" w:type="auto"/>
            <w:shd w:val="clear" w:color="auto" w:fill="auto"/>
            <w:vAlign w:val="center"/>
          </w:tcPr>
          <w:p w:rsidR="00DF2819" w:rsidRPr="006F0601" w:rsidRDefault="00DF2819" w:rsidP="00DF2819">
            <w:pPr>
              <w:pStyle w:val="TableCell"/>
            </w:pPr>
            <w:r w:rsidRPr="006F0601">
              <w:t>173.6</w:t>
            </w:r>
          </w:p>
        </w:tc>
      </w:tr>
      <w:tr w:rsidR="00DF2819" w:rsidRPr="0003737D" w:rsidTr="00C208EC">
        <w:trPr>
          <w:cantSplit/>
          <w:jc w:val="center"/>
        </w:trPr>
        <w:tc>
          <w:tcPr>
            <w:tcW w:w="0" w:type="auto"/>
            <w:shd w:val="clear" w:color="auto" w:fill="auto"/>
            <w:vAlign w:val="center"/>
          </w:tcPr>
          <w:p w:rsidR="00DF2819" w:rsidRPr="006F0601" w:rsidRDefault="00DF2819" w:rsidP="00DF2819">
            <w:pPr>
              <w:pStyle w:val="TableCell"/>
              <w:jc w:val="left"/>
            </w:pPr>
            <w:r w:rsidRPr="006F0601">
              <w:t>Psychologists</w:t>
            </w:r>
          </w:p>
        </w:tc>
        <w:tc>
          <w:tcPr>
            <w:tcW w:w="0" w:type="auto"/>
            <w:shd w:val="clear" w:color="auto" w:fill="auto"/>
            <w:vAlign w:val="center"/>
          </w:tcPr>
          <w:p w:rsidR="00DF2819" w:rsidRPr="006F0601" w:rsidRDefault="00DF2819" w:rsidP="00DF2819">
            <w:pPr>
              <w:pStyle w:val="TableCell"/>
            </w:pPr>
            <w:r w:rsidRPr="006F0601">
              <w:t>160.8</w:t>
            </w:r>
          </w:p>
        </w:tc>
      </w:tr>
      <w:tr w:rsidR="00DF2819" w:rsidRPr="0003737D" w:rsidTr="00C208EC">
        <w:trPr>
          <w:cantSplit/>
          <w:jc w:val="center"/>
        </w:trPr>
        <w:tc>
          <w:tcPr>
            <w:tcW w:w="0" w:type="auto"/>
            <w:shd w:val="clear" w:color="auto" w:fill="auto"/>
            <w:vAlign w:val="center"/>
          </w:tcPr>
          <w:p w:rsidR="00DF2819" w:rsidRPr="006F0601" w:rsidRDefault="00DF2819" w:rsidP="00DF2819">
            <w:pPr>
              <w:pStyle w:val="TableCell"/>
              <w:jc w:val="left"/>
            </w:pPr>
            <w:r w:rsidRPr="006F0601">
              <w:t>Social workers</w:t>
            </w:r>
          </w:p>
        </w:tc>
        <w:tc>
          <w:tcPr>
            <w:tcW w:w="0" w:type="auto"/>
            <w:shd w:val="clear" w:color="auto" w:fill="auto"/>
            <w:vAlign w:val="center"/>
          </w:tcPr>
          <w:p w:rsidR="00DF2819" w:rsidRPr="006F0601" w:rsidRDefault="00DF2819" w:rsidP="00DF2819">
            <w:pPr>
              <w:pStyle w:val="TableCell"/>
            </w:pPr>
            <w:r w:rsidRPr="006F0601">
              <w:t>98.8</w:t>
            </w:r>
          </w:p>
        </w:tc>
      </w:tr>
      <w:tr w:rsidR="00DF2819" w:rsidRPr="0003737D" w:rsidTr="00C208EC">
        <w:trPr>
          <w:cantSplit/>
          <w:jc w:val="center"/>
        </w:trPr>
        <w:tc>
          <w:tcPr>
            <w:tcW w:w="0" w:type="auto"/>
            <w:shd w:val="clear" w:color="auto" w:fill="auto"/>
            <w:vAlign w:val="center"/>
          </w:tcPr>
          <w:p w:rsidR="00DF2819" w:rsidRPr="006F0601" w:rsidRDefault="00DF2819" w:rsidP="00DF2819">
            <w:pPr>
              <w:pStyle w:val="TableCell"/>
              <w:jc w:val="left"/>
            </w:pPr>
            <w:r w:rsidRPr="006F0601">
              <w:t>Nurses</w:t>
            </w:r>
          </w:p>
        </w:tc>
        <w:tc>
          <w:tcPr>
            <w:tcW w:w="0" w:type="auto"/>
            <w:shd w:val="clear" w:color="auto" w:fill="auto"/>
            <w:vAlign w:val="center"/>
          </w:tcPr>
          <w:p w:rsidR="00DF2819" w:rsidRPr="006F0601" w:rsidRDefault="00DF2819" w:rsidP="00DF2819">
            <w:pPr>
              <w:pStyle w:val="TableCell"/>
            </w:pPr>
            <w:r w:rsidRPr="006F0601">
              <w:t>174.1</w:t>
            </w:r>
          </w:p>
        </w:tc>
      </w:tr>
      <w:tr w:rsidR="00DF2819" w:rsidRPr="0003737D" w:rsidTr="00C208EC">
        <w:trPr>
          <w:cantSplit/>
          <w:jc w:val="center"/>
        </w:trPr>
        <w:tc>
          <w:tcPr>
            <w:tcW w:w="0" w:type="auto"/>
            <w:shd w:val="clear" w:color="auto" w:fill="auto"/>
            <w:vAlign w:val="center"/>
          </w:tcPr>
          <w:p w:rsidR="00DF2819" w:rsidRPr="006F0601" w:rsidRDefault="00DF2819" w:rsidP="00DF2819">
            <w:pPr>
              <w:pStyle w:val="TableCell"/>
              <w:jc w:val="left"/>
            </w:pPr>
            <w:r w:rsidRPr="006F0601">
              <w:t>Dieticians</w:t>
            </w:r>
          </w:p>
        </w:tc>
        <w:tc>
          <w:tcPr>
            <w:tcW w:w="0" w:type="auto"/>
            <w:shd w:val="clear" w:color="auto" w:fill="auto"/>
            <w:vAlign w:val="center"/>
          </w:tcPr>
          <w:p w:rsidR="00DF2819" w:rsidRPr="006F0601" w:rsidRDefault="00DF2819" w:rsidP="00DF2819">
            <w:pPr>
              <w:pStyle w:val="TableCell"/>
            </w:pPr>
            <w:r w:rsidRPr="006F0601">
              <w:t>4.9</w:t>
            </w:r>
          </w:p>
        </w:tc>
      </w:tr>
      <w:tr w:rsidR="00DF2819" w:rsidRPr="0003737D" w:rsidTr="00C208EC">
        <w:trPr>
          <w:cantSplit/>
          <w:jc w:val="center"/>
        </w:trPr>
        <w:tc>
          <w:tcPr>
            <w:tcW w:w="0" w:type="auto"/>
            <w:shd w:val="clear" w:color="auto" w:fill="auto"/>
            <w:vAlign w:val="center"/>
          </w:tcPr>
          <w:p w:rsidR="00DF2819" w:rsidRPr="006F0601" w:rsidRDefault="00DF2819" w:rsidP="00DF2819">
            <w:pPr>
              <w:pStyle w:val="TableCell"/>
              <w:jc w:val="left"/>
            </w:pPr>
            <w:r w:rsidRPr="006F0601">
              <w:t>Social care workers and care assistants</w:t>
            </w:r>
          </w:p>
        </w:tc>
        <w:tc>
          <w:tcPr>
            <w:tcW w:w="0" w:type="auto"/>
            <w:shd w:val="clear" w:color="auto" w:fill="auto"/>
            <w:vAlign w:val="center"/>
          </w:tcPr>
          <w:p w:rsidR="00DF2819" w:rsidRPr="006F0601" w:rsidRDefault="00DF2819" w:rsidP="00DF2819">
            <w:pPr>
              <w:pStyle w:val="TableCell"/>
            </w:pPr>
            <w:r w:rsidRPr="006F0601">
              <w:t>211.7</w:t>
            </w:r>
          </w:p>
        </w:tc>
      </w:tr>
      <w:tr w:rsidR="00DF2819" w:rsidRPr="0003737D" w:rsidTr="00C208EC">
        <w:trPr>
          <w:cantSplit/>
          <w:jc w:val="center"/>
        </w:trPr>
        <w:tc>
          <w:tcPr>
            <w:tcW w:w="0" w:type="auto"/>
            <w:shd w:val="clear" w:color="auto" w:fill="auto"/>
            <w:vAlign w:val="center"/>
          </w:tcPr>
          <w:p w:rsidR="00DF2819" w:rsidRPr="006F0601" w:rsidRDefault="00DF2819" w:rsidP="00DF2819">
            <w:pPr>
              <w:pStyle w:val="TableCell"/>
              <w:jc w:val="left"/>
            </w:pPr>
            <w:r w:rsidRPr="006F0601">
              <w:t>Paediatricians</w:t>
            </w:r>
          </w:p>
        </w:tc>
        <w:tc>
          <w:tcPr>
            <w:tcW w:w="0" w:type="auto"/>
            <w:shd w:val="clear" w:color="auto" w:fill="auto"/>
            <w:vAlign w:val="center"/>
          </w:tcPr>
          <w:p w:rsidR="00DF2819" w:rsidRPr="006F0601" w:rsidRDefault="00DF2819" w:rsidP="00DF2819">
            <w:pPr>
              <w:pStyle w:val="TableCell"/>
            </w:pPr>
            <w:r w:rsidRPr="006F0601">
              <w:t>10.2</w:t>
            </w:r>
          </w:p>
        </w:tc>
      </w:tr>
      <w:tr w:rsidR="00DF2819" w:rsidRPr="0003737D" w:rsidTr="00C208EC">
        <w:trPr>
          <w:cantSplit/>
          <w:jc w:val="center"/>
        </w:trPr>
        <w:tc>
          <w:tcPr>
            <w:tcW w:w="0" w:type="auto"/>
            <w:shd w:val="clear" w:color="auto" w:fill="auto"/>
            <w:vAlign w:val="center"/>
          </w:tcPr>
          <w:p w:rsidR="00DF2819" w:rsidRPr="006F0601" w:rsidRDefault="00DF2819" w:rsidP="00DF2819">
            <w:pPr>
              <w:pStyle w:val="TableCell"/>
              <w:jc w:val="left"/>
            </w:pPr>
            <w:r w:rsidRPr="006F0601">
              <w:t>Psychiatrists</w:t>
            </w:r>
          </w:p>
        </w:tc>
        <w:tc>
          <w:tcPr>
            <w:tcW w:w="0" w:type="auto"/>
            <w:shd w:val="clear" w:color="auto" w:fill="auto"/>
            <w:vAlign w:val="center"/>
          </w:tcPr>
          <w:p w:rsidR="00DF2819" w:rsidRPr="006F0601" w:rsidRDefault="00DF2819" w:rsidP="00DF2819">
            <w:pPr>
              <w:pStyle w:val="TableCell"/>
            </w:pPr>
            <w:r w:rsidRPr="006F0601">
              <w:t>5.2</w:t>
            </w:r>
          </w:p>
        </w:tc>
      </w:tr>
      <w:tr w:rsidR="00DF2819" w:rsidRPr="0003737D" w:rsidTr="00C208EC">
        <w:trPr>
          <w:cantSplit/>
          <w:jc w:val="center"/>
        </w:trPr>
        <w:tc>
          <w:tcPr>
            <w:tcW w:w="0" w:type="auto"/>
            <w:shd w:val="clear" w:color="auto" w:fill="auto"/>
            <w:vAlign w:val="center"/>
          </w:tcPr>
          <w:p w:rsidR="00DF2819" w:rsidRPr="006F0601" w:rsidRDefault="00DF2819" w:rsidP="00DF2819">
            <w:pPr>
              <w:pStyle w:val="TableCell"/>
              <w:jc w:val="left"/>
            </w:pPr>
            <w:r w:rsidRPr="006F0601">
              <w:t>Other frontline</w:t>
            </w:r>
          </w:p>
        </w:tc>
        <w:tc>
          <w:tcPr>
            <w:tcW w:w="0" w:type="auto"/>
            <w:shd w:val="clear" w:color="auto" w:fill="auto"/>
            <w:vAlign w:val="center"/>
          </w:tcPr>
          <w:p w:rsidR="00DF2819" w:rsidRPr="006F0601" w:rsidRDefault="00DF2819" w:rsidP="00DF2819">
            <w:pPr>
              <w:pStyle w:val="TableCell"/>
            </w:pPr>
            <w:r w:rsidRPr="006F0601">
              <w:t>347.7</w:t>
            </w:r>
          </w:p>
        </w:tc>
      </w:tr>
      <w:tr w:rsidR="00DF2819" w:rsidRPr="0003737D" w:rsidTr="00DF2819">
        <w:trPr>
          <w:jc w:val="center"/>
        </w:trPr>
        <w:tc>
          <w:tcPr>
            <w:tcW w:w="0" w:type="auto"/>
            <w:shd w:val="clear" w:color="auto" w:fill="auto"/>
            <w:vAlign w:val="center"/>
          </w:tcPr>
          <w:p w:rsidR="00DF2819" w:rsidRPr="006F0601" w:rsidRDefault="00DF2819" w:rsidP="00DF2819">
            <w:pPr>
              <w:pStyle w:val="TableCell"/>
              <w:jc w:val="left"/>
            </w:pPr>
            <w:r w:rsidRPr="008E31C9">
              <w:t>Management, admin and support</w:t>
            </w:r>
          </w:p>
        </w:tc>
        <w:tc>
          <w:tcPr>
            <w:tcW w:w="0" w:type="auto"/>
            <w:shd w:val="clear" w:color="auto" w:fill="auto"/>
            <w:vAlign w:val="center"/>
          </w:tcPr>
          <w:p w:rsidR="00DF2819" w:rsidRPr="006F0601" w:rsidRDefault="00DF2819" w:rsidP="00DF2819">
            <w:pPr>
              <w:pStyle w:val="TableCell"/>
            </w:pPr>
            <w:r w:rsidRPr="006F0601">
              <w:t>43.0</w:t>
            </w:r>
          </w:p>
        </w:tc>
      </w:tr>
      <w:tr w:rsidR="00DF2819" w:rsidRPr="0003737D" w:rsidTr="00C208EC">
        <w:trPr>
          <w:cantSplit/>
          <w:jc w:val="center"/>
        </w:trPr>
        <w:tc>
          <w:tcPr>
            <w:tcW w:w="0" w:type="auto"/>
            <w:shd w:val="clear" w:color="auto" w:fill="auto"/>
          </w:tcPr>
          <w:p w:rsidR="00DF2819" w:rsidRPr="00DF2819" w:rsidRDefault="00DF2819" w:rsidP="00DF2819">
            <w:pPr>
              <w:pStyle w:val="TableCell"/>
              <w:jc w:val="left"/>
              <w:rPr>
                <w:b/>
              </w:rPr>
            </w:pPr>
            <w:r w:rsidRPr="00DF2819">
              <w:rPr>
                <w:b/>
              </w:rPr>
              <w:t>Total</w:t>
            </w:r>
          </w:p>
        </w:tc>
        <w:tc>
          <w:tcPr>
            <w:tcW w:w="0" w:type="auto"/>
            <w:shd w:val="clear" w:color="auto" w:fill="auto"/>
            <w:vAlign w:val="center"/>
          </w:tcPr>
          <w:p w:rsidR="00DF2819" w:rsidRPr="00DF2819" w:rsidRDefault="00DF2819" w:rsidP="00DF2819">
            <w:pPr>
              <w:pStyle w:val="TableCell"/>
              <w:rPr>
                <w:b/>
                <w:bCs/>
                <w:sz w:val="22"/>
                <w:szCs w:val="22"/>
              </w:rPr>
            </w:pPr>
            <w:r w:rsidRPr="00DF2819">
              <w:rPr>
                <w:b/>
                <w:bCs/>
                <w:sz w:val="22"/>
                <w:szCs w:val="22"/>
              </w:rPr>
              <w:t>1,717.5</w:t>
            </w:r>
          </w:p>
        </w:tc>
      </w:tr>
    </w:tbl>
    <w:p w:rsidR="00B008E9" w:rsidRPr="00BD789A" w:rsidRDefault="00B008E9" w:rsidP="00A313F9">
      <w:pPr>
        <w:pStyle w:val="TableNote"/>
      </w:pPr>
      <w:r w:rsidRPr="00BD789A">
        <w:t xml:space="preserve">Source: HSE </w:t>
      </w:r>
      <w:r w:rsidR="009C459F">
        <w:t>(Does not account for losses due to maternity leave)</w:t>
      </w:r>
    </w:p>
    <w:p w:rsidR="00B008E9" w:rsidRDefault="009C459F" w:rsidP="00B008E9">
      <w:pPr>
        <w:spacing w:before="240"/>
      </w:pPr>
      <w:r>
        <w:t>Since this</w:t>
      </w:r>
      <w:r w:rsidR="00B008E9">
        <w:t xml:space="preserve"> 2012 data, further reductions in staff took place</w:t>
      </w:r>
      <w:r>
        <w:t>,</w:t>
      </w:r>
      <w:r w:rsidR="00B008E9">
        <w:t xml:space="preserve"> as some HSE therapy staff transferred from children’s specialist services into primary care, and there was an embargo in place on filling vacancies, e.g. on retirements. Unlike the area of education, the embargo also disregarded demographic growth in the child population. However, in 2014, </w:t>
      </w:r>
      <w:r>
        <w:t xml:space="preserve">there was </w:t>
      </w:r>
      <w:r w:rsidR="00B008E9">
        <w:t>an allocation of €4m to recruit an additional 80 therapy posts in child</w:t>
      </w:r>
      <w:r w:rsidR="00234FC8">
        <w:t>ren’s disability services. The c</w:t>
      </w:r>
      <w:r w:rsidR="00B008E9">
        <w:t xml:space="preserve">alculations of shortfall in </w:t>
      </w:r>
      <w:r w:rsidR="00234FC8">
        <w:t>therapy posts in this report have</w:t>
      </w:r>
      <w:r w:rsidR="00B008E9">
        <w:t xml:space="preserve"> been made from the 2012 bas</w:t>
      </w:r>
      <w:r w:rsidR="00234FC8">
        <w:t>eline in the survey, and have not</w:t>
      </w:r>
      <w:r w:rsidR="00B008E9">
        <w:t xml:space="preserve"> factored in the net effect of losses to primary care or retirements, nor the gains from the additional therapy posts approved during 2014. </w:t>
      </w:r>
    </w:p>
    <w:p w:rsidR="00B008E9" w:rsidRDefault="00B008E9" w:rsidP="00B008E9">
      <w:pPr>
        <w:spacing w:before="240"/>
      </w:pPr>
      <w:r>
        <w:t>In addition to HSE-funded posts, a number of disability organisations, such as Down Syndrome Ireland, fundraise to supplement official provision of children’s therapies.</w:t>
      </w:r>
      <w:r>
        <w:rPr>
          <w:rStyle w:val="FootnoteReference"/>
        </w:rPr>
        <w:footnoteReference w:id="31"/>
      </w:r>
    </w:p>
    <w:p w:rsidR="00B008E9" w:rsidRDefault="00B008E9" w:rsidP="001E0736">
      <w:pPr>
        <w:pStyle w:val="Heading3"/>
      </w:pPr>
      <w:bookmarkStart w:id="48" w:name="_Toc415666991"/>
      <w:bookmarkStart w:id="49" w:name="_Toc415733684"/>
      <w:r>
        <w:t>Almost one in ten staff on leave at any one time</w:t>
      </w:r>
      <w:bookmarkEnd w:id="48"/>
      <w:bookmarkEnd w:id="49"/>
    </w:p>
    <w:p w:rsidR="00B008E9" w:rsidRDefault="00B008E9" w:rsidP="00B008E9">
      <w:r>
        <w:t>HSE-funded therapy staff</w:t>
      </w:r>
      <w:r w:rsidR="00101F84">
        <w:t>,</w:t>
      </w:r>
      <w:r>
        <w:t xml:space="preserve"> </w:t>
      </w:r>
      <w:r w:rsidR="00101F84">
        <w:t xml:space="preserve">who are </w:t>
      </w:r>
      <w:r>
        <w:t xml:space="preserve">on maternity, parental or sick </w:t>
      </w:r>
      <w:r w:rsidR="00434BCD">
        <w:t>leave,</w:t>
      </w:r>
      <w:r>
        <w:t xml:space="preserve"> are not generally replaced.</w:t>
      </w:r>
      <w:r>
        <w:rPr>
          <w:rStyle w:val="FootnoteReference"/>
        </w:rPr>
        <w:footnoteReference w:id="32"/>
      </w:r>
      <w:r>
        <w:t xml:space="preserve"> This is in contrast to the position in education, where the norm is to replace teachers or special needs assistants who are on maternity leave and</w:t>
      </w:r>
      <w:r w:rsidR="00101F84">
        <w:t>, similarly,</w:t>
      </w:r>
      <w:r>
        <w:t xml:space="preserve"> in the National Advocacy Service for People with Disabilities, </w:t>
      </w:r>
      <w:r w:rsidR="00312C21">
        <w:t>replacement</w:t>
      </w:r>
      <w:r>
        <w:t xml:space="preserve"> cover has generally been sanctioned for maternity and long-term sick leave absences. </w:t>
      </w:r>
    </w:p>
    <w:p w:rsidR="00B008E9" w:rsidRDefault="00B008E9" w:rsidP="001E0736">
      <w:pPr>
        <w:pStyle w:val="Heading3"/>
      </w:pPr>
      <w:bookmarkStart w:id="50" w:name="_Toc403573113"/>
      <w:bookmarkStart w:id="51" w:name="_Toc415666992"/>
      <w:bookmarkStart w:id="52" w:name="_Toc415733685"/>
      <w:r>
        <w:t>Random distribution of unfilled vacancies</w:t>
      </w:r>
      <w:bookmarkEnd w:id="50"/>
      <w:bookmarkEnd w:id="51"/>
      <w:bookmarkEnd w:id="52"/>
      <w:r>
        <w:t xml:space="preserve"> </w:t>
      </w:r>
    </w:p>
    <w:p w:rsidR="00234FC8" w:rsidRDefault="00B008E9" w:rsidP="00B008E9">
      <w:r>
        <w:t>There is a high incidence of maternity and parental leave in children’s multidisciplinary disability teams, as it is a service predominantly staffed by women. HSE figures for 2012 show that almost one in ten staff (9.6%) is not available at any given time, primarily due to maternity or parental leave absences. This level of absence has a significant impact on the volume of service available, and on the adequate functioning of multidisciplinary teams. These absences will occur randomly across different geographic areas and different specialties. So</w:t>
      </w:r>
      <w:r w:rsidR="00234FC8">
        <w:t>,</w:t>
      </w:r>
      <w:r>
        <w:t xml:space="preserve"> it can happen that a team in one area will have no speech and language therapists available for a year, with a consequent </w:t>
      </w:r>
      <w:r w:rsidR="00234FC8">
        <w:t>increase in the waiting list</w:t>
      </w:r>
      <w:r>
        <w:t xml:space="preserve">. </w:t>
      </w:r>
    </w:p>
    <w:p w:rsidR="00B008E9" w:rsidRDefault="00B008E9" w:rsidP="00B008E9">
      <w:r>
        <w:t>Even if the underlying staff complement in multidisciplinary services were adequate to address needs, the high level and random pattern of staff absences weaken</w:t>
      </w:r>
      <w:r w:rsidR="00234FC8">
        <w:t>s</w:t>
      </w:r>
      <w:r>
        <w:t xml:space="preserve"> the ability to deliver services. When non-replacement during leave is added to a system where teams are already </w:t>
      </w:r>
      <w:r w:rsidR="00234FC8">
        <w:t xml:space="preserve">too small </w:t>
      </w:r>
      <w:r>
        <w:t xml:space="preserve">to meet needs, it compounds the difficulties experienced by children and families in accessing appropriate supports. </w:t>
      </w:r>
    </w:p>
    <w:p w:rsidR="00B008E9" w:rsidRDefault="00B008E9" w:rsidP="001E0736">
      <w:pPr>
        <w:pStyle w:val="Heading3"/>
      </w:pPr>
      <w:bookmarkStart w:id="53" w:name="_Toc415666993"/>
      <w:bookmarkStart w:id="54" w:name="_Toc415733686"/>
      <w:r>
        <w:t>A policy of filling of maternity leave etc. leave should be a priority</w:t>
      </w:r>
      <w:bookmarkEnd w:id="53"/>
      <w:bookmarkEnd w:id="54"/>
    </w:p>
    <w:p w:rsidR="00B008E9" w:rsidRDefault="00B008E9" w:rsidP="00B008E9">
      <w:r w:rsidRPr="00EF1B6E">
        <w:t xml:space="preserve">The National Disability Authority advises that </w:t>
      </w:r>
      <w:r w:rsidR="00234FC8">
        <w:t xml:space="preserve">a policy </w:t>
      </w:r>
      <w:r w:rsidRPr="00EF1B6E">
        <w:t>of replacing therapy staff on leave should be a priority for development of multidisciplinary services for children with disabilities.</w:t>
      </w:r>
      <w:r>
        <w:t xml:space="preserve"> </w:t>
      </w:r>
    </w:p>
    <w:p w:rsidR="00B008E9" w:rsidRDefault="00B008E9" w:rsidP="00DA1A61">
      <w:pPr>
        <w:pStyle w:val="Heading2"/>
        <w:numPr>
          <w:ilvl w:val="1"/>
          <w:numId w:val="10"/>
        </w:numPr>
        <w:ind w:hanging="1080"/>
      </w:pPr>
      <w:bookmarkStart w:id="55" w:name="_Toc403573114"/>
      <w:bookmarkStart w:id="56" w:name="_Toc415733687"/>
      <w:r>
        <w:t>Responding to demographic change</w:t>
      </w:r>
      <w:bookmarkEnd w:id="55"/>
      <w:bookmarkEnd w:id="56"/>
    </w:p>
    <w:p w:rsidR="00B008E9" w:rsidRDefault="00B008E9" w:rsidP="00B008E9">
      <w:r>
        <w:t>The underlying population aged 0-18 years is growing by about 1.8% a year. In the mid-</w:t>
      </w:r>
      <w:r w:rsidR="00234FC8">
        <w:t>19</w:t>
      </w:r>
      <w:r>
        <w:t>90s, when today’s 18 year olds were born, the number of births was around 50,000 a year, and now births are running at about 70,000 a year</w:t>
      </w:r>
      <w:r w:rsidRPr="00EF1B6E">
        <w:t>. To maintain a stable ratio of therapy staff to the child population, the overall staff complement would need to keep pace with the underlying</w:t>
      </w:r>
      <w:r w:rsidR="00234FC8">
        <w:t xml:space="preserve"> growth in the child population (40% per year).</w:t>
      </w:r>
    </w:p>
    <w:p w:rsidR="00B008E9" w:rsidRDefault="00B008E9" w:rsidP="00B008E9">
      <w:r>
        <w:t>The CSO’s population forecasts of the growth in the number of children of school age (5 to 19) between 2011 and 2021 covers a narrow range, with a growth ranging from 16.3% to 18.7%</w:t>
      </w:r>
      <w:r w:rsidR="00234FC8">
        <w:t>. T</w:t>
      </w:r>
      <w:r>
        <w:t xml:space="preserve">hese forecasts are </w:t>
      </w:r>
      <w:r w:rsidR="00234FC8">
        <w:t>reliable</w:t>
      </w:r>
      <w:r>
        <w:t>, as most of the children involved are already born, while migration may give rise to a small degree of variation. Forecasts of the child population in the early intervention age groups are more difficult to make</w:t>
      </w:r>
      <w:r w:rsidR="00234FC8">
        <w:t>,</w:t>
      </w:r>
      <w:r>
        <w:t xml:space="preserve"> as these children are not yet born, and the trajectory of birth rates over time is uncertain, and can be influenced by future economic conditions which are also uncertain. Central Statistics Office assumptions underlying their population projections</w:t>
      </w:r>
      <w:r w:rsidR="00234FC8">
        <w:t>,</w:t>
      </w:r>
      <w:r>
        <w:t xml:space="preserve"> give a range for the 0-4 age group that range from a fall of 3% to a fall of 13%.</w:t>
      </w:r>
      <w:r>
        <w:rPr>
          <w:rStyle w:val="FootnoteReference"/>
        </w:rPr>
        <w:footnoteReference w:id="33"/>
      </w:r>
      <w:r w:rsidR="00234FC8">
        <w:t xml:space="preserve"> See Appendix 3</w:t>
      </w:r>
      <w:r>
        <w:t>.</w:t>
      </w:r>
    </w:p>
    <w:p w:rsidR="00B008E9" w:rsidRPr="00A070FF" w:rsidRDefault="00BA3396" w:rsidP="00DA1A61">
      <w:pPr>
        <w:pStyle w:val="Heading2"/>
        <w:numPr>
          <w:ilvl w:val="1"/>
          <w:numId w:val="10"/>
        </w:numPr>
        <w:ind w:left="709" w:hanging="709"/>
      </w:pPr>
      <w:bookmarkStart w:id="57" w:name="_Toc415733688"/>
      <w:r>
        <w:t>Which children require</w:t>
      </w:r>
      <w:r w:rsidR="00B008E9">
        <w:t xml:space="preserve"> support from a </w:t>
      </w:r>
      <w:r w:rsidR="00F20C4C">
        <w:t>Disability Network Team</w:t>
      </w:r>
      <w:bookmarkEnd w:id="57"/>
    </w:p>
    <w:p w:rsidR="00B008E9" w:rsidRDefault="00B008E9" w:rsidP="00B008E9">
      <w:pPr>
        <w:pStyle w:val="NormalBeforeList"/>
      </w:pPr>
      <w:r>
        <w:t>The HSE’s new model for children’s therapy services</w:t>
      </w:r>
      <w:r w:rsidR="00185C92">
        <w:t>,</w:t>
      </w:r>
      <w:r>
        <w:t xml:space="preserve"> envisages children with less complex needs availing of therapy servi</w:t>
      </w:r>
      <w:r w:rsidR="00185C92">
        <w:t>ces via their primary care team;</w:t>
      </w:r>
      <w:r>
        <w:t xml:space="preserve"> with children with more complex needs availing of the services of a</w:t>
      </w:r>
      <w:r w:rsidR="00185C92">
        <w:t>n inter</w:t>
      </w:r>
      <w:r>
        <w:t>disciplinary disability team</w:t>
      </w:r>
      <w:r w:rsidR="00185C92">
        <w:t xml:space="preserve"> (serving children with complex need whatever their diagnosis)</w:t>
      </w:r>
      <w:r>
        <w:t xml:space="preserve"> within the geographical area. Key underlying factors in estimating the demand for therapists are</w:t>
      </w:r>
      <w:r w:rsidR="00185C92">
        <w:t>:</w:t>
      </w:r>
    </w:p>
    <w:p w:rsidR="00B008E9" w:rsidRDefault="00B008E9" w:rsidP="00B008E9">
      <w:pPr>
        <w:pStyle w:val="ListBullet"/>
        <w:numPr>
          <w:ilvl w:val="0"/>
          <w:numId w:val="1"/>
        </w:numPr>
        <w:ind w:left="357" w:hanging="357"/>
      </w:pPr>
      <w:r>
        <w:t>What proportion of children require multidisciplinary therapy supports</w:t>
      </w:r>
    </w:p>
    <w:p w:rsidR="00B008E9" w:rsidRDefault="00B008E9" w:rsidP="00B008E9">
      <w:pPr>
        <w:pStyle w:val="ListBullet"/>
        <w:numPr>
          <w:ilvl w:val="0"/>
          <w:numId w:val="1"/>
        </w:numPr>
        <w:ind w:left="357" w:hanging="357"/>
      </w:pPr>
      <w:r>
        <w:t xml:space="preserve">What proportion of </w:t>
      </w:r>
      <w:r w:rsidR="00185C92">
        <w:t xml:space="preserve">children </w:t>
      </w:r>
      <w:r>
        <w:t>require these supports from a disability team</w:t>
      </w:r>
    </w:p>
    <w:p w:rsidR="00B008E9" w:rsidRDefault="00B008E9" w:rsidP="00B008E9">
      <w:pPr>
        <w:pStyle w:val="ListBullet"/>
        <w:numPr>
          <w:ilvl w:val="0"/>
          <w:numId w:val="1"/>
        </w:numPr>
        <w:spacing w:after="240"/>
        <w:ind w:left="357" w:hanging="357"/>
      </w:pPr>
      <w:r>
        <w:t>Which therapy supports are required</w:t>
      </w:r>
    </w:p>
    <w:p w:rsidR="00B008E9" w:rsidRDefault="00B008E9" w:rsidP="00DA1A61">
      <w:pPr>
        <w:pStyle w:val="Heading2"/>
        <w:numPr>
          <w:ilvl w:val="1"/>
          <w:numId w:val="10"/>
        </w:numPr>
        <w:ind w:hanging="1080"/>
      </w:pPr>
      <w:bookmarkStart w:id="58" w:name="_Toc415733689"/>
      <w:r>
        <w:t>Model of service</w:t>
      </w:r>
      <w:bookmarkEnd w:id="58"/>
    </w:p>
    <w:p w:rsidR="00B008E9" w:rsidRDefault="00B008E9" w:rsidP="005C2EE3">
      <w:r>
        <w:t xml:space="preserve">The model of service applied will influence how many therapists are required for a given level of need. </w:t>
      </w:r>
      <w:r w:rsidR="001B248F">
        <w:t>I</w:t>
      </w:r>
      <w:r>
        <w:t>nterdisciplinary ap</w:t>
      </w:r>
      <w:r w:rsidR="001B248F">
        <w:t>proaches might be expected to provide</w:t>
      </w:r>
      <w:r>
        <w:t xml:space="preserve"> more efficient ser</w:t>
      </w:r>
      <w:r w:rsidR="00BA3396">
        <w:t>vice model</w:t>
      </w:r>
      <w:r w:rsidR="001B248F">
        <w:t>s</w:t>
      </w:r>
      <w:r w:rsidR="00BA3396">
        <w:t xml:space="preserve"> than independent </w:t>
      </w:r>
      <w:r>
        <w:t xml:space="preserve">disciplinary interventions. </w:t>
      </w:r>
    </w:p>
    <w:p w:rsidR="00B008E9" w:rsidRDefault="00B008E9" w:rsidP="005C2EE3">
      <w:r>
        <w:t>A model of practice</w:t>
      </w:r>
      <w:r w:rsidR="001B248F">
        <w:t xml:space="preserve"> focusing</w:t>
      </w:r>
      <w:r>
        <w:t xml:space="preserve"> primarily on one-to-one work with children would require a higher </w:t>
      </w:r>
      <w:r w:rsidR="001B248F">
        <w:t>ratio of therapists to children</w:t>
      </w:r>
      <w:r>
        <w:t xml:space="preserve"> than a service model that works with parents</w:t>
      </w:r>
      <w:r w:rsidR="00F81329">
        <w:t>,</w:t>
      </w:r>
      <w:r w:rsidR="001B248F">
        <w:t xml:space="preserve"> helping them to build</w:t>
      </w:r>
      <w:r>
        <w:t xml:space="preserve"> practices</w:t>
      </w:r>
      <w:r w:rsidR="001B248F">
        <w:t xml:space="preserve"> into the child’s daily routine and</w:t>
      </w:r>
      <w:r>
        <w:t xml:space="preserve"> </w:t>
      </w:r>
      <w:r w:rsidR="001B248F">
        <w:t xml:space="preserve">reinforcing therapy sessions in this way. </w:t>
      </w:r>
      <w:r>
        <w:t>Families vary in their capacity to support a child with a disability and engage with therapeutic routines, so a higher degree of professional input may</w:t>
      </w:r>
      <w:r w:rsidR="001B248F">
        <w:t xml:space="preserve"> be required in some cases. This</w:t>
      </w:r>
      <w:r>
        <w:t xml:space="preserve"> may </w:t>
      </w:r>
      <w:r w:rsidR="001B248F">
        <w:t>mean</w:t>
      </w:r>
      <w:r>
        <w:t xml:space="preserve"> that in areas with a concentration of social disadvantage, a higher therapist to child ratio may be required. Indices of geographical disadvantage such as the HP index could be used to identify areas where a higher ratio of therapists to children </w:t>
      </w:r>
      <w:r w:rsidR="00F81329">
        <w:t xml:space="preserve">might </w:t>
      </w:r>
      <w:r>
        <w:t>be required</w:t>
      </w:r>
      <w:r w:rsidR="00F81329">
        <w:t>.</w:t>
      </w:r>
      <w:r>
        <w:rPr>
          <w:rStyle w:val="FootnoteReference"/>
        </w:rPr>
        <w:footnoteReference w:id="34"/>
      </w:r>
      <w:r>
        <w:t xml:space="preserve"> Additional lay supports</w:t>
      </w:r>
      <w:r w:rsidR="00F81329">
        <w:t>,</w:t>
      </w:r>
      <w:r>
        <w:t xml:space="preserve"> targeted t</w:t>
      </w:r>
      <w:r w:rsidR="00F81329">
        <w:t>o assist vulnerable families, along</w:t>
      </w:r>
      <w:r>
        <w:t xml:space="preserve"> the lines of t</w:t>
      </w:r>
      <w:r w:rsidR="00F81329">
        <w:t>he community mothers</w:t>
      </w:r>
      <w:r w:rsidR="001B248F">
        <w:t>’</w:t>
      </w:r>
      <w:r w:rsidR="00F81329">
        <w:t xml:space="preserve"> scheme, could</w:t>
      </w:r>
      <w:r>
        <w:t xml:space="preserve"> also enhance </w:t>
      </w:r>
      <w:r w:rsidR="00F81329">
        <w:t xml:space="preserve">a </w:t>
      </w:r>
      <w:r>
        <w:t xml:space="preserve">family’s capacity to follow through a recommended therapy programme with the child.  </w:t>
      </w:r>
    </w:p>
    <w:p w:rsidR="00B008E9" w:rsidRDefault="00B008E9" w:rsidP="00DA1A61">
      <w:pPr>
        <w:pStyle w:val="Heading2"/>
        <w:numPr>
          <w:ilvl w:val="1"/>
          <w:numId w:val="10"/>
        </w:numPr>
        <w:ind w:hanging="1080"/>
      </w:pPr>
      <w:bookmarkStart w:id="59" w:name="_Toc415733690"/>
      <w:r>
        <w:t>Assessment of need process and NCSE resource allocation</w:t>
      </w:r>
      <w:bookmarkEnd w:id="59"/>
      <w:r>
        <w:t xml:space="preserve"> </w:t>
      </w:r>
    </w:p>
    <w:p w:rsidR="00B008E9" w:rsidRDefault="00B008E9" w:rsidP="00B008E9">
      <w:r>
        <w:t>Statutory assessments of need under the Disability Act 2005</w:t>
      </w:r>
      <w:r w:rsidR="00F81329">
        <w:t>,</w:t>
      </w:r>
      <w:r>
        <w:t xml:space="preserve"> began in 2007 for children then aged under 5</w:t>
      </w:r>
      <w:r w:rsidR="001B248F">
        <w:t>years</w:t>
      </w:r>
      <w:r>
        <w:t>, but continue to apply to any child born since 2002. HS</w:t>
      </w:r>
      <w:r w:rsidR="00F81329">
        <w:t>E reports issued under s</w:t>
      </w:r>
      <w:r>
        <w:t>13 of that Act, which are designed to quantify the extent of need and any shortfall, have consistently drawn attention to the significant proportion of therapy time</w:t>
      </w:r>
      <w:r w:rsidR="00F81329">
        <w:t>,</w:t>
      </w:r>
      <w:r>
        <w:t xml:space="preserve"> devoted to conducting statutory assessments, which has the capacity to draw resources away from therapeutic interventions and building parental competence. The National Disability Authority’s research on assessment of need</w:t>
      </w:r>
      <w:r w:rsidR="00F81329">
        <w:t>,</w:t>
      </w:r>
      <w:r>
        <w:t xml:space="preserve"> showed that one of the factors driving labour-intensive assessments</w:t>
      </w:r>
      <w:r w:rsidR="00F81329">
        <w:t>,</w:t>
      </w:r>
      <w:r>
        <w:t xml:space="preserve"> was the link between specific diagnoses and entitlement to specific levels of resource teaching and other school supports.</w:t>
      </w:r>
      <w:r>
        <w:rPr>
          <w:rStyle w:val="FootnoteReference"/>
        </w:rPr>
        <w:footnoteReference w:id="35"/>
      </w:r>
      <w:r>
        <w:t xml:space="preserve"> The National Council for Special Education has recommended a new model of allocation of special teaching resources to schools, based on the school’s profile rather than individual diagnoses.</w:t>
      </w:r>
      <w:r>
        <w:rPr>
          <w:rStyle w:val="FootnoteReference"/>
        </w:rPr>
        <w:footnoteReference w:id="36"/>
      </w:r>
      <w:r>
        <w:t xml:space="preserve"> </w:t>
      </w:r>
      <w:r w:rsidR="00F81329">
        <w:t>I</w:t>
      </w:r>
      <w:r>
        <w:t xml:space="preserve">f this new model is accepted and introduced, </w:t>
      </w:r>
      <w:r w:rsidR="00F81329">
        <w:t xml:space="preserve">it remains to be seen, whether, </w:t>
      </w:r>
      <w:r>
        <w:t xml:space="preserve">the pressure to secure assessments for particular diagnoses, particularly for autism, could diminish. </w:t>
      </w:r>
    </w:p>
    <w:p w:rsidR="00B008E9" w:rsidRDefault="00B008E9" w:rsidP="00DA1A61">
      <w:pPr>
        <w:pStyle w:val="Heading2"/>
        <w:numPr>
          <w:ilvl w:val="1"/>
          <w:numId w:val="10"/>
        </w:numPr>
        <w:ind w:hanging="1080"/>
      </w:pPr>
      <w:bookmarkStart w:id="60" w:name="_Toc403573115"/>
      <w:bookmarkStart w:id="61" w:name="_Toc415733691"/>
      <w:r w:rsidRPr="00BA3396">
        <w:rPr>
          <w:rStyle w:val="Heading2Char"/>
        </w:rPr>
        <w:t xml:space="preserve">Irish and international data </w:t>
      </w:r>
      <w:r w:rsidR="00BA3396">
        <w:rPr>
          <w:rStyle w:val="Heading2Char"/>
        </w:rPr>
        <w:t xml:space="preserve">used </w:t>
      </w:r>
      <w:r w:rsidRPr="00BA3396">
        <w:rPr>
          <w:rStyle w:val="Heading2Char"/>
        </w:rPr>
        <w:t>to generate</w:t>
      </w:r>
      <w:r>
        <w:t xml:space="preserve"> estimates</w:t>
      </w:r>
      <w:bookmarkEnd w:id="61"/>
      <w:r>
        <w:t xml:space="preserve"> </w:t>
      </w:r>
      <w:bookmarkEnd w:id="60"/>
    </w:p>
    <w:p w:rsidR="00B008E9" w:rsidRDefault="00BA3396" w:rsidP="006D3757">
      <w:r>
        <w:t>This report</w:t>
      </w:r>
      <w:r w:rsidR="00B008E9">
        <w:t xml:space="preserve"> uses different Irish statistical sources of information on children with a disability</w:t>
      </w:r>
      <w:r w:rsidR="00F81329">
        <w:t>,</w:t>
      </w:r>
      <w:r w:rsidR="00B008E9">
        <w:t xml:space="preserve"> to try and identify what the service gaps</w:t>
      </w:r>
      <w:r w:rsidR="00F81329">
        <w:t xml:space="preserve"> are</w:t>
      </w:r>
      <w:r w:rsidR="00B008E9">
        <w:t xml:space="preserve">, and what proportion of </w:t>
      </w:r>
      <w:r w:rsidR="00F81329">
        <w:t xml:space="preserve">children in </w:t>
      </w:r>
      <w:r w:rsidR="00B008E9">
        <w:t xml:space="preserve">each age group may require multi-disciplinary services. The data sources used include the Disability Databases, the Census, the </w:t>
      </w:r>
      <w:r w:rsidR="00F81329">
        <w:t xml:space="preserve">National Disability Survey, </w:t>
      </w:r>
      <w:r w:rsidR="00B008E9">
        <w:t>National Council for Special Education, and a special analysis of the micro-data from the Growing Up In Ireland Survey of 13 year olds. The individual data sources and their strengths and weakne</w:t>
      </w:r>
      <w:r w:rsidR="00F81329">
        <w:t>sses are discussed in Appendix 4</w:t>
      </w:r>
      <w:r w:rsidR="00B008E9">
        <w:t xml:space="preserve">. </w:t>
      </w:r>
    </w:p>
    <w:p w:rsidR="00B008E9" w:rsidRPr="005440F9" w:rsidRDefault="00E20F6B" w:rsidP="00B008E9">
      <w:r>
        <w:t>We also looked at the available</w:t>
      </w:r>
      <w:r w:rsidR="00B008E9">
        <w:t xml:space="preserve"> international data </w:t>
      </w:r>
      <w:r>
        <w:t>on therapist-to-</w:t>
      </w:r>
      <w:r w:rsidR="00B008E9">
        <w:t>population ratios, and on therapist caseloads. Estimates of the proportion and number of children likely to need multidisciplinary disability services can be linked to therapist caseloads</w:t>
      </w:r>
      <w:r>
        <w:t>,</w:t>
      </w:r>
      <w:r w:rsidR="00B008E9">
        <w:t xml:space="preserve"> to generate alternative estimates of therapist numbers required. </w:t>
      </w:r>
    </w:p>
    <w:p w:rsidR="00B008E9" w:rsidRDefault="00B008E9" w:rsidP="006D3757">
      <w:r>
        <w:t>For the purposes of estimation, the sections that follow assume that early intervention teams</w:t>
      </w:r>
      <w:r w:rsidR="00E20F6B">
        <w:t>,</w:t>
      </w:r>
      <w:r>
        <w:t xml:space="preserve"> cover children aged </w:t>
      </w:r>
      <w:r w:rsidR="00434BCD">
        <w:t>0-6</w:t>
      </w:r>
      <w:r>
        <w:t xml:space="preserve"> and school-age teams cover those aged 7 to 18.</w:t>
      </w:r>
      <w:r>
        <w:rPr>
          <w:rStyle w:val="FootnoteReference"/>
        </w:rPr>
        <w:footnoteReference w:id="37"/>
      </w:r>
    </w:p>
    <w:p w:rsidR="00B008E9" w:rsidRDefault="00B008E9" w:rsidP="00DA1A61">
      <w:pPr>
        <w:pStyle w:val="Heading2"/>
        <w:numPr>
          <w:ilvl w:val="1"/>
          <w:numId w:val="10"/>
        </w:numPr>
        <w:ind w:hanging="1080"/>
      </w:pPr>
      <w:bookmarkStart w:id="62" w:name="_Toc403573116"/>
      <w:bookmarkStart w:id="63" w:name="_Toc415733692"/>
      <w:r>
        <w:t>Estimated service gaps, from disability databases</w:t>
      </w:r>
      <w:bookmarkEnd w:id="62"/>
      <w:bookmarkEnd w:id="63"/>
    </w:p>
    <w:p w:rsidR="00B008E9" w:rsidRDefault="00B008E9" w:rsidP="00B008E9">
      <w:r>
        <w:t>The National Intellectual Disability Database</w:t>
      </w:r>
      <w:r w:rsidR="00E20F6B">
        <w:t xml:space="preserve"> (NIDD)</w:t>
      </w:r>
      <w:r>
        <w:t xml:space="preserve"> and the National Physical and Sensory Disability Databases </w:t>
      </w:r>
      <w:r w:rsidR="00E20F6B">
        <w:t xml:space="preserve">(NPSDD) </w:t>
      </w:r>
      <w:r>
        <w:t xml:space="preserve">collect information on the number of children registered on the particular databases. </w:t>
      </w:r>
    </w:p>
    <w:p w:rsidR="00B008E9" w:rsidRDefault="00B008E9" w:rsidP="001E0736">
      <w:pPr>
        <w:pStyle w:val="Heading3"/>
      </w:pPr>
      <w:bookmarkStart w:id="64" w:name="_Toc415667000"/>
      <w:bookmarkStart w:id="65" w:name="_Toc415733693"/>
      <w:r>
        <w:t>Coverage</w:t>
      </w:r>
      <w:bookmarkEnd w:id="64"/>
      <w:bookmarkEnd w:id="65"/>
    </w:p>
    <w:p w:rsidR="00B008E9" w:rsidRDefault="00B008E9" w:rsidP="00B008E9">
      <w:r>
        <w:t>Participation in the databases is voluntary. It may also be the case that children are more likely to be recorded where a defin</w:t>
      </w:r>
      <w:r w:rsidR="00E20F6B">
        <w:t xml:space="preserve">ite diagnosis has emerged, than recording of </w:t>
      </w:r>
      <w:r>
        <w:t>younger children experiencing some developmental delay or other issues but without a firm diagnosis. Coverage of the NIDD is regarded as excellent – over 99% up to date collection rate</w:t>
      </w:r>
      <w:r w:rsidR="00E20F6B">
        <w:t>,</w:t>
      </w:r>
      <w:r>
        <w:t xml:space="preserve"> from disability service providers. However, collection of data for the NSPDD is patchy, and it is not clear to what extent non-registration might be skewed or whether those who are registered are a reasonably representative sample of the population of interest. The 2012 and 2013 reports</w:t>
      </w:r>
      <w:r w:rsidR="00E20F6B">
        <w:t>,</w:t>
      </w:r>
      <w:r>
        <w:t xml:space="preserve"> concentrate on the data in respect of the number of recently-updated records, and estimates that about one in five of potential r</w:t>
      </w:r>
      <w:r w:rsidR="00E20F6B">
        <w:t>egistrants is registered and up-to-</w:t>
      </w:r>
      <w:r>
        <w:t>date.</w:t>
      </w:r>
      <w:r>
        <w:rPr>
          <w:rStyle w:val="FootnoteReference"/>
        </w:rPr>
        <w:footnoteReference w:id="38"/>
      </w:r>
      <w:r>
        <w:t xml:space="preserve"> In the calculations that follow, we have assumed that this scale-up factor applies equally to adults and children. We also tested use of a scale-up factor of 6.25</w:t>
      </w:r>
      <w:r w:rsidR="00E20F6B">
        <w:t xml:space="preserve">, reflecting estimates </w:t>
      </w:r>
      <w:r>
        <w:t>the Health Research Board had made in earlier years</w:t>
      </w:r>
      <w:r w:rsidR="00E20F6B">
        <w:t>,</w:t>
      </w:r>
      <w:r>
        <w:t xml:space="preserve"> that the underlying registrable population was about 42,000. </w:t>
      </w:r>
      <w:r w:rsidR="00E20F6B">
        <w:t xml:space="preserve">However, scaling by 5 or 6.25 made </w:t>
      </w:r>
      <w:r>
        <w:t>negligible difference</w:t>
      </w:r>
      <w:r w:rsidR="00E20F6B">
        <w:t>s</w:t>
      </w:r>
      <w:r>
        <w:t xml:space="preserve"> to the calculations. </w:t>
      </w:r>
    </w:p>
    <w:p w:rsidR="00B008E9" w:rsidRDefault="00B008E9" w:rsidP="001E0736">
      <w:pPr>
        <w:pStyle w:val="Heading3"/>
      </w:pPr>
      <w:bookmarkStart w:id="66" w:name="_Toc415667001"/>
      <w:bookmarkStart w:id="67" w:name="_Toc415733694"/>
      <w:r>
        <w:t>Autism</w:t>
      </w:r>
      <w:r w:rsidR="00E20F6B">
        <w:t xml:space="preserve"> Spectrum Disorder (ASD)</w:t>
      </w:r>
      <w:bookmarkEnd w:id="66"/>
      <w:bookmarkEnd w:id="67"/>
    </w:p>
    <w:p w:rsidR="00B008E9" w:rsidRPr="00913112" w:rsidRDefault="00E20F6B" w:rsidP="00B008E9">
      <w:r>
        <w:t xml:space="preserve">ASD </w:t>
      </w:r>
      <w:r w:rsidR="00B008E9">
        <w:t>is not recorded as a category as such in the databases, but those with autism and an intellectual disability would be recorded in the NIDD, while the NSP</w:t>
      </w:r>
      <w:r>
        <w:t>DD would have people with ASD</w:t>
      </w:r>
      <w:r w:rsidR="00B008E9">
        <w:t xml:space="preserve"> captured under headings such as emotional behavioural disorder, speech and language difficulty, and dyspraxia, although this coverage may not be fully complete. It is estimated that about 1% of children have an</w:t>
      </w:r>
      <w:r>
        <w:t xml:space="preserve"> ASD</w:t>
      </w:r>
      <w:r w:rsidR="00B008E9">
        <w:t>. The degree of therapy support required</w:t>
      </w:r>
      <w:r>
        <w:t>,</w:t>
      </w:r>
      <w:r w:rsidR="00B008E9">
        <w:t xml:space="preserve"> may vary</w:t>
      </w:r>
      <w:r>
        <w:t xml:space="preserve">, depending on where the child is </w:t>
      </w:r>
      <w:r w:rsidR="00B008E9">
        <w:t xml:space="preserve">on the spectrum, and on the number and extent of any co-morbidities. </w:t>
      </w:r>
    </w:p>
    <w:p w:rsidR="00B008E9" w:rsidRDefault="00B008E9" w:rsidP="001E0736">
      <w:pPr>
        <w:pStyle w:val="Heading3"/>
      </w:pPr>
      <w:bookmarkStart w:id="68" w:name="_Toc415667002"/>
      <w:bookmarkStart w:id="69" w:name="_Toc415733695"/>
      <w:r>
        <w:t>Recorded gaps in service – need service or enhanced service</w:t>
      </w:r>
      <w:bookmarkEnd w:id="68"/>
      <w:bookmarkEnd w:id="69"/>
    </w:p>
    <w:p w:rsidR="00B008E9" w:rsidRDefault="00B008E9" w:rsidP="00B008E9">
      <w:pPr>
        <w:pStyle w:val="NormalBeforeList"/>
      </w:pPr>
      <w:r>
        <w:t xml:space="preserve">The national disability databases ask information on </w:t>
      </w:r>
      <w:r w:rsidR="00E20F6B">
        <w:t xml:space="preserve">children and adults </w:t>
      </w:r>
      <w:r>
        <w:t>who are</w:t>
      </w:r>
    </w:p>
    <w:p w:rsidR="00B008E9" w:rsidRDefault="00B008E9" w:rsidP="00B008E9">
      <w:pPr>
        <w:pStyle w:val="ListBullet"/>
        <w:numPr>
          <w:ilvl w:val="0"/>
          <w:numId w:val="1"/>
        </w:numPr>
        <w:ind w:left="357" w:hanging="357"/>
      </w:pPr>
      <w:r>
        <w:t>Receiving a therapy service</w:t>
      </w:r>
    </w:p>
    <w:p w:rsidR="00B008E9" w:rsidRDefault="00B008E9" w:rsidP="00B008E9">
      <w:pPr>
        <w:pStyle w:val="ListBullet"/>
        <w:numPr>
          <w:ilvl w:val="0"/>
          <w:numId w:val="1"/>
        </w:numPr>
        <w:ind w:left="357" w:hanging="357"/>
      </w:pPr>
      <w:r>
        <w:t>Receiving a service but requiring an enhanced service</w:t>
      </w:r>
    </w:p>
    <w:p w:rsidR="00B008E9" w:rsidRDefault="00B008E9" w:rsidP="00B008E9">
      <w:pPr>
        <w:pStyle w:val="ListBullet"/>
        <w:numPr>
          <w:ilvl w:val="0"/>
          <w:numId w:val="1"/>
        </w:numPr>
        <w:spacing w:after="240"/>
        <w:ind w:left="357" w:hanging="357"/>
      </w:pPr>
      <w:r>
        <w:t>Not receiving but requiring a service</w:t>
      </w:r>
    </w:p>
    <w:p w:rsidR="00B008E9" w:rsidRDefault="00B008E9" w:rsidP="00B008E9">
      <w:r>
        <w:t xml:space="preserve">This data for 2012, along with data supplied by the HSE on the number of </w:t>
      </w:r>
      <w:r w:rsidR="00E20F6B">
        <w:t>Whole Time Equivalent (</w:t>
      </w:r>
      <w:r>
        <w:t>WTE</w:t>
      </w:r>
      <w:r w:rsidR="00E20F6B">
        <w:t>)</w:t>
      </w:r>
      <w:r>
        <w:t xml:space="preserve"> therapy posts in children’s disability services, has been used to provide estimates of the number of additional therapy posts that might be required. While there are important caveats around this data, these calculations offer a reasonable guide to inform the </w:t>
      </w:r>
      <w:r>
        <w:rPr>
          <w:b/>
        </w:rPr>
        <w:t xml:space="preserve">mix </w:t>
      </w:r>
      <w:r>
        <w:t xml:space="preserve">of therapy professionals in any expansion of provision. </w:t>
      </w:r>
    </w:p>
    <w:p w:rsidR="00B008E9" w:rsidRDefault="00B008E9" w:rsidP="001E0736">
      <w:pPr>
        <w:pStyle w:val="Heading3"/>
      </w:pPr>
      <w:bookmarkStart w:id="70" w:name="_Toc415667003"/>
      <w:bookmarkStart w:id="71" w:name="_Toc415733696"/>
      <w:r>
        <w:t>Approach</w:t>
      </w:r>
      <w:bookmarkEnd w:id="70"/>
      <w:bookmarkEnd w:id="71"/>
      <w:r>
        <w:t xml:space="preserve"> </w:t>
      </w:r>
    </w:p>
    <w:p w:rsidR="00B008E9" w:rsidRDefault="00B008E9" w:rsidP="00B008E9">
      <w:r>
        <w:t xml:space="preserve">Both the </w:t>
      </w:r>
      <w:r w:rsidR="00E20F6B">
        <w:t>NIDD</w:t>
      </w:r>
      <w:r>
        <w:t xml:space="preserve"> and the </w:t>
      </w:r>
      <w:r w:rsidR="00E20F6B">
        <w:t>NPSDD databases</w:t>
      </w:r>
      <w:r>
        <w:t xml:space="preserve"> collect information on the number of people receiving specialist disability therapy services, the numbers who require their existing service enhanced, and the numbers who require a service, but do not get it. While the published data for 2012 for the NIDD does not give a breakdown as between adults and children, this was supplied by the Health Research Board which manages the two databases.</w:t>
      </w:r>
      <w:r>
        <w:rPr>
          <w:rStyle w:val="FootnoteReference"/>
        </w:rPr>
        <w:footnoteReference w:id="39"/>
      </w:r>
      <w:r>
        <w:t xml:space="preserve"> These data were used to estimate the percentage increase in the current service required. </w:t>
      </w:r>
    </w:p>
    <w:p w:rsidR="00B008E9" w:rsidRDefault="00E20F6B" w:rsidP="00B008E9">
      <w:r>
        <w:t>The NDA t</w:t>
      </w:r>
      <w:r w:rsidR="00B008E9" w:rsidRPr="00CD1559">
        <w:t>ook</w:t>
      </w:r>
      <w:r>
        <w:t>,</w:t>
      </w:r>
      <w:r w:rsidR="00B008E9" w:rsidRPr="00CD1559">
        <w:t xml:space="preserve"> as a starting point</w:t>
      </w:r>
      <w:r>
        <w:t>,</w:t>
      </w:r>
      <w:r w:rsidR="00B008E9" w:rsidRPr="00CD1559">
        <w:t xml:space="preserve"> an assumption that children who needed an enhanced service were just getting half of th</w:t>
      </w:r>
      <w:r w:rsidR="00B008E9">
        <w:t xml:space="preserve">e therapy support they needed. </w:t>
      </w:r>
      <w:r w:rsidR="00B008E9" w:rsidRPr="00CD1559">
        <w:t>We assumed that the shortfall in each specialty would be the same. This approach sidestepped the question of caseload - for each specialty, it took a pro-rata approach to exi</w:t>
      </w:r>
      <w:r w:rsidR="00B008E9">
        <w:t xml:space="preserve">sting workload and potential workload to be undertaken. For the baseline calculations, the percentage increase in services required was thus estimated as (½ those requiring enhanced services + all those requiring new services) as a percentage of those currently receiving each individual form of therapy. </w:t>
      </w:r>
    </w:p>
    <w:p w:rsidR="00B008E9" w:rsidRPr="00CD1559" w:rsidRDefault="00B008E9" w:rsidP="00B008E9">
      <w:r w:rsidRPr="00CD1559">
        <w:t xml:space="preserve">We also tested whether it made any difference if we assumed the 'need an enhanced service' children needed 33% more service (were already getting two thirds of what they needed) or needed 66% more service (were currently only getting a third of what they needed). </w:t>
      </w:r>
      <w:r>
        <w:t xml:space="preserve">In each case the calculations assumed that the proportionate shortfall for those needing enhanced therapy services was the same across all different therapies. </w:t>
      </w:r>
      <w:r w:rsidRPr="00CD1559">
        <w:t>While changing this made a difference to projected overall therapist need, it made no d</w:t>
      </w:r>
      <w:r>
        <w:t>ifference to how the estimated shortfall w</w:t>
      </w:r>
      <w:r w:rsidRPr="00CD1559">
        <w:t xml:space="preserve">as </w:t>
      </w:r>
      <w:r>
        <w:t xml:space="preserve">apportioned </w:t>
      </w:r>
      <w:r w:rsidRPr="00CD1559">
        <w:t xml:space="preserve">between different specialties. </w:t>
      </w:r>
    </w:p>
    <w:p w:rsidR="00B008E9" w:rsidRDefault="00B008E9" w:rsidP="001E0736">
      <w:pPr>
        <w:pStyle w:val="Heading3"/>
      </w:pPr>
      <w:bookmarkStart w:id="72" w:name="_Toc415667004"/>
      <w:bookmarkStart w:id="73" w:name="_Toc415733697"/>
      <w:r>
        <w:t>Shortfall as percentage of current provision</w:t>
      </w:r>
      <w:bookmarkEnd w:id="72"/>
      <w:bookmarkEnd w:id="73"/>
    </w:p>
    <w:p w:rsidR="00B008E9" w:rsidRDefault="00B008E9" w:rsidP="00B008E9">
      <w:r>
        <w:t xml:space="preserve">The calculations took the recorded shortfall (no service + proportion of enhanced service need) as a proportion of current provision for each therapy category, aggregated across the weighted mix from the NIDD and NPSDD. This percentage increase was then applied to the number of each type of therapist employed in disability services, from data supplied by the HSE to the NDA. </w:t>
      </w:r>
    </w:p>
    <w:p w:rsidR="00B008E9" w:rsidRPr="00B10B77" w:rsidRDefault="00B008E9" w:rsidP="00B008E9">
      <w:pPr>
        <w:pStyle w:val="TableTitle"/>
      </w:pPr>
      <w:bookmarkStart w:id="74" w:name="_Toc403572502"/>
      <w:bookmarkStart w:id="75" w:name="_Toc419879405"/>
      <w:r>
        <w:t xml:space="preserve">Table 2: Children requiring services and </w:t>
      </w:r>
      <w:r w:rsidRPr="00B10B77">
        <w:t>percentage expansion required</w:t>
      </w:r>
      <w:r>
        <w:t xml:space="preserve"> - grossing up NPSDD by 5</w:t>
      </w:r>
      <w:bookmarkEnd w:id="74"/>
      <w:bookmarkEnd w:id="75"/>
    </w:p>
    <w:tbl>
      <w:tblPr>
        <w:tblW w:w="7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960"/>
        <w:gridCol w:w="960"/>
        <w:gridCol w:w="924"/>
        <w:gridCol w:w="807"/>
        <w:gridCol w:w="807"/>
        <w:gridCol w:w="807"/>
      </w:tblGrid>
      <w:tr w:rsidR="00B008E9" w:rsidRPr="00C66B23" w:rsidTr="00C208EC">
        <w:trPr>
          <w:cantSplit/>
          <w:trHeight w:val="450"/>
          <w:jc w:val="center"/>
        </w:trPr>
        <w:tc>
          <w:tcPr>
            <w:tcW w:w="2794" w:type="dxa"/>
            <w:hideMark/>
          </w:tcPr>
          <w:p w:rsidR="00B008E9" w:rsidRPr="00184473" w:rsidRDefault="00B008E9" w:rsidP="00C773CD">
            <w:pPr>
              <w:pStyle w:val="TableHead"/>
              <w:keepNext/>
              <w:rPr>
                <w:lang w:eastAsia="en-IE"/>
              </w:rPr>
            </w:pPr>
          </w:p>
        </w:tc>
        <w:tc>
          <w:tcPr>
            <w:tcW w:w="960" w:type="dxa"/>
            <w:hideMark/>
          </w:tcPr>
          <w:p w:rsidR="00B008E9" w:rsidRPr="00184473" w:rsidRDefault="00B008E9" w:rsidP="00C773CD">
            <w:pPr>
              <w:pStyle w:val="TableHead"/>
              <w:keepNext/>
              <w:rPr>
                <w:lang w:eastAsia="en-IE"/>
              </w:rPr>
            </w:pPr>
            <w:r w:rsidRPr="00184473">
              <w:rPr>
                <w:lang w:eastAsia="en-IE"/>
              </w:rPr>
              <w:t xml:space="preserve">need + </w:t>
            </w:r>
            <w:proofErr w:type="spellStart"/>
            <w:r w:rsidRPr="00184473">
              <w:rPr>
                <w:lang w:eastAsia="en-IE"/>
              </w:rPr>
              <w:t>enh</w:t>
            </w:r>
            <w:proofErr w:type="spellEnd"/>
            <w:r w:rsidRPr="00184473">
              <w:rPr>
                <w:lang w:eastAsia="en-IE"/>
              </w:rPr>
              <w:t xml:space="preserve"> x .5</w:t>
            </w:r>
          </w:p>
        </w:tc>
        <w:tc>
          <w:tcPr>
            <w:tcW w:w="960" w:type="dxa"/>
            <w:hideMark/>
          </w:tcPr>
          <w:p w:rsidR="00B008E9" w:rsidRPr="00184473" w:rsidRDefault="00B008E9" w:rsidP="00C773CD">
            <w:pPr>
              <w:pStyle w:val="TableHead"/>
              <w:keepNext/>
              <w:rPr>
                <w:lang w:eastAsia="en-IE"/>
              </w:rPr>
            </w:pPr>
            <w:r w:rsidRPr="00184473">
              <w:rPr>
                <w:lang w:eastAsia="en-IE"/>
              </w:rPr>
              <w:t xml:space="preserve">need + </w:t>
            </w:r>
            <w:proofErr w:type="spellStart"/>
            <w:r w:rsidRPr="00184473">
              <w:rPr>
                <w:lang w:eastAsia="en-IE"/>
              </w:rPr>
              <w:t>enh</w:t>
            </w:r>
            <w:proofErr w:type="spellEnd"/>
            <w:r w:rsidRPr="00184473">
              <w:rPr>
                <w:lang w:eastAsia="en-IE"/>
              </w:rPr>
              <w:t xml:space="preserve"> x .33</w:t>
            </w:r>
          </w:p>
        </w:tc>
        <w:tc>
          <w:tcPr>
            <w:tcW w:w="880" w:type="dxa"/>
            <w:hideMark/>
          </w:tcPr>
          <w:p w:rsidR="00B008E9" w:rsidRPr="00184473" w:rsidRDefault="00B008E9" w:rsidP="00C773CD">
            <w:pPr>
              <w:pStyle w:val="TableHead"/>
              <w:keepNext/>
              <w:rPr>
                <w:lang w:eastAsia="en-IE"/>
              </w:rPr>
            </w:pPr>
            <w:r w:rsidRPr="00184473">
              <w:rPr>
                <w:lang w:eastAsia="en-IE"/>
              </w:rPr>
              <w:t xml:space="preserve">need + </w:t>
            </w:r>
            <w:proofErr w:type="spellStart"/>
            <w:r w:rsidRPr="00184473">
              <w:rPr>
                <w:lang w:eastAsia="en-IE"/>
              </w:rPr>
              <w:t>enh</w:t>
            </w:r>
            <w:proofErr w:type="spellEnd"/>
            <w:r w:rsidRPr="00184473">
              <w:rPr>
                <w:lang w:eastAsia="en-IE"/>
              </w:rPr>
              <w:t xml:space="preserve"> x .66</w:t>
            </w:r>
          </w:p>
        </w:tc>
        <w:tc>
          <w:tcPr>
            <w:tcW w:w="785" w:type="dxa"/>
          </w:tcPr>
          <w:p w:rsidR="00B008E9" w:rsidRPr="00184473" w:rsidRDefault="00B008E9" w:rsidP="00C773CD">
            <w:pPr>
              <w:pStyle w:val="TableHead"/>
              <w:keepNext/>
            </w:pPr>
            <w:r w:rsidRPr="00184473">
              <w:t xml:space="preserve">need + </w:t>
            </w:r>
            <w:proofErr w:type="spellStart"/>
            <w:r w:rsidRPr="00184473">
              <w:t>enh</w:t>
            </w:r>
            <w:proofErr w:type="spellEnd"/>
            <w:r w:rsidRPr="00184473">
              <w:t xml:space="preserve"> x .5</w:t>
            </w:r>
          </w:p>
        </w:tc>
        <w:tc>
          <w:tcPr>
            <w:tcW w:w="785" w:type="dxa"/>
          </w:tcPr>
          <w:p w:rsidR="00B008E9" w:rsidRPr="00184473" w:rsidRDefault="00B008E9" w:rsidP="00C773CD">
            <w:pPr>
              <w:pStyle w:val="TableHead"/>
              <w:keepNext/>
            </w:pPr>
            <w:r w:rsidRPr="00184473">
              <w:t xml:space="preserve">need + </w:t>
            </w:r>
            <w:proofErr w:type="spellStart"/>
            <w:r w:rsidRPr="00184473">
              <w:t>enh</w:t>
            </w:r>
            <w:proofErr w:type="spellEnd"/>
            <w:r w:rsidRPr="00184473">
              <w:t xml:space="preserve"> x .33</w:t>
            </w:r>
          </w:p>
        </w:tc>
        <w:tc>
          <w:tcPr>
            <w:tcW w:w="785" w:type="dxa"/>
          </w:tcPr>
          <w:p w:rsidR="00B008E9" w:rsidRPr="00184473" w:rsidRDefault="00B008E9" w:rsidP="00C773CD">
            <w:pPr>
              <w:pStyle w:val="TableHead"/>
              <w:keepNext/>
            </w:pPr>
            <w:r w:rsidRPr="00184473">
              <w:t xml:space="preserve">need + </w:t>
            </w:r>
            <w:proofErr w:type="spellStart"/>
            <w:r w:rsidRPr="00184473">
              <w:t>enh</w:t>
            </w:r>
            <w:proofErr w:type="spellEnd"/>
            <w:r w:rsidRPr="00184473">
              <w:t xml:space="preserve"> x .66</w:t>
            </w:r>
          </w:p>
        </w:tc>
      </w:tr>
      <w:tr w:rsidR="00B008E9" w:rsidRPr="00C66B23" w:rsidTr="00C208EC">
        <w:trPr>
          <w:cantSplit/>
          <w:trHeight w:val="255"/>
          <w:jc w:val="center"/>
        </w:trPr>
        <w:tc>
          <w:tcPr>
            <w:tcW w:w="2794" w:type="dxa"/>
            <w:noWrap/>
            <w:hideMark/>
          </w:tcPr>
          <w:p w:rsidR="00B008E9" w:rsidRPr="00610E37" w:rsidRDefault="00B008E9" w:rsidP="00C773CD">
            <w:pPr>
              <w:pStyle w:val="TableCell"/>
              <w:keepNext/>
              <w:jc w:val="left"/>
              <w:rPr>
                <w:lang w:eastAsia="en-IE"/>
              </w:rPr>
            </w:pPr>
            <w:r w:rsidRPr="00610E37">
              <w:rPr>
                <w:lang w:eastAsia="en-IE"/>
              </w:rPr>
              <w:t>Speech/language therapist</w:t>
            </w:r>
          </w:p>
        </w:tc>
        <w:tc>
          <w:tcPr>
            <w:tcW w:w="960" w:type="dxa"/>
            <w:noWrap/>
            <w:hideMark/>
          </w:tcPr>
          <w:p w:rsidR="00B008E9" w:rsidRPr="00610E37" w:rsidRDefault="00B008E9" w:rsidP="00C773CD">
            <w:pPr>
              <w:pStyle w:val="TableCell"/>
              <w:keepNext/>
              <w:rPr>
                <w:lang w:eastAsia="en-IE"/>
              </w:rPr>
            </w:pPr>
            <w:r w:rsidRPr="00610E37">
              <w:rPr>
                <w:lang w:eastAsia="en-IE"/>
              </w:rPr>
              <w:t>10,052</w:t>
            </w:r>
          </w:p>
        </w:tc>
        <w:tc>
          <w:tcPr>
            <w:tcW w:w="960" w:type="dxa"/>
            <w:noWrap/>
            <w:hideMark/>
          </w:tcPr>
          <w:p w:rsidR="00B008E9" w:rsidRPr="00610E37" w:rsidRDefault="00B008E9" w:rsidP="00C773CD">
            <w:pPr>
              <w:pStyle w:val="TableCell"/>
              <w:keepNext/>
              <w:rPr>
                <w:lang w:eastAsia="en-IE"/>
              </w:rPr>
            </w:pPr>
            <w:r w:rsidRPr="00610E37">
              <w:rPr>
                <w:lang w:eastAsia="en-IE"/>
              </w:rPr>
              <w:t>9,136</w:t>
            </w:r>
          </w:p>
        </w:tc>
        <w:tc>
          <w:tcPr>
            <w:tcW w:w="880" w:type="dxa"/>
            <w:noWrap/>
            <w:hideMark/>
          </w:tcPr>
          <w:p w:rsidR="00B008E9" w:rsidRPr="00610E37" w:rsidRDefault="00B008E9" w:rsidP="00C773CD">
            <w:pPr>
              <w:pStyle w:val="TableCell"/>
              <w:keepNext/>
              <w:rPr>
                <w:lang w:eastAsia="en-IE"/>
              </w:rPr>
            </w:pPr>
            <w:r w:rsidRPr="00610E37">
              <w:rPr>
                <w:lang w:eastAsia="en-IE"/>
              </w:rPr>
              <w:t>10,914</w:t>
            </w:r>
          </w:p>
        </w:tc>
        <w:tc>
          <w:tcPr>
            <w:tcW w:w="0" w:type="auto"/>
          </w:tcPr>
          <w:p w:rsidR="00B008E9" w:rsidRPr="00610E37" w:rsidRDefault="00B008E9" w:rsidP="00C773CD">
            <w:pPr>
              <w:pStyle w:val="TableCell"/>
              <w:keepNext/>
            </w:pPr>
            <w:r w:rsidRPr="00610E37">
              <w:t>63%</w:t>
            </w:r>
          </w:p>
        </w:tc>
        <w:tc>
          <w:tcPr>
            <w:tcW w:w="0" w:type="auto"/>
          </w:tcPr>
          <w:p w:rsidR="00B008E9" w:rsidRPr="00610E37" w:rsidRDefault="00B008E9" w:rsidP="00C773CD">
            <w:pPr>
              <w:pStyle w:val="TableCell"/>
              <w:keepNext/>
            </w:pPr>
            <w:r w:rsidRPr="00610E37">
              <w:t>57%</w:t>
            </w:r>
          </w:p>
        </w:tc>
        <w:tc>
          <w:tcPr>
            <w:tcW w:w="0" w:type="auto"/>
          </w:tcPr>
          <w:p w:rsidR="00B008E9" w:rsidRPr="00610E37" w:rsidRDefault="00B008E9" w:rsidP="00C773CD">
            <w:pPr>
              <w:pStyle w:val="TableCell"/>
              <w:keepNext/>
            </w:pPr>
            <w:r w:rsidRPr="00610E37">
              <w:t>68%</w:t>
            </w:r>
          </w:p>
        </w:tc>
      </w:tr>
      <w:tr w:rsidR="00B008E9" w:rsidRPr="00C66B23" w:rsidTr="00C208EC">
        <w:trPr>
          <w:cantSplit/>
          <w:trHeight w:val="255"/>
          <w:jc w:val="center"/>
        </w:trPr>
        <w:tc>
          <w:tcPr>
            <w:tcW w:w="2794" w:type="dxa"/>
            <w:noWrap/>
            <w:hideMark/>
          </w:tcPr>
          <w:p w:rsidR="00B008E9" w:rsidRPr="00610E37" w:rsidRDefault="00B008E9" w:rsidP="00C773CD">
            <w:pPr>
              <w:pStyle w:val="TableCell"/>
              <w:keepNext/>
              <w:jc w:val="left"/>
              <w:rPr>
                <w:lang w:eastAsia="en-IE"/>
              </w:rPr>
            </w:pPr>
            <w:r w:rsidRPr="00610E37">
              <w:rPr>
                <w:lang w:eastAsia="en-IE"/>
              </w:rPr>
              <w:t>Occupational therapist</w:t>
            </w:r>
          </w:p>
        </w:tc>
        <w:tc>
          <w:tcPr>
            <w:tcW w:w="960" w:type="dxa"/>
            <w:noWrap/>
            <w:hideMark/>
          </w:tcPr>
          <w:p w:rsidR="00B008E9" w:rsidRPr="00610E37" w:rsidRDefault="00B008E9" w:rsidP="00C773CD">
            <w:pPr>
              <w:pStyle w:val="TableCell"/>
              <w:keepNext/>
              <w:rPr>
                <w:lang w:eastAsia="en-IE"/>
              </w:rPr>
            </w:pPr>
            <w:r w:rsidRPr="00610E37">
              <w:rPr>
                <w:lang w:eastAsia="en-IE"/>
              </w:rPr>
              <w:t>7,993</w:t>
            </w:r>
          </w:p>
        </w:tc>
        <w:tc>
          <w:tcPr>
            <w:tcW w:w="960" w:type="dxa"/>
            <w:noWrap/>
            <w:hideMark/>
          </w:tcPr>
          <w:p w:rsidR="00B008E9" w:rsidRPr="00610E37" w:rsidRDefault="00B008E9" w:rsidP="00C773CD">
            <w:pPr>
              <w:pStyle w:val="TableCell"/>
              <w:keepNext/>
              <w:rPr>
                <w:lang w:eastAsia="en-IE"/>
              </w:rPr>
            </w:pPr>
            <w:r w:rsidRPr="00610E37">
              <w:rPr>
                <w:lang w:eastAsia="en-IE"/>
              </w:rPr>
              <w:t>7,331</w:t>
            </w:r>
          </w:p>
        </w:tc>
        <w:tc>
          <w:tcPr>
            <w:tcW w:w="880" w:type="dxa"/>
            <w:noWrap/>
            <w:hideMark/>
          </w:tcPr>
          <w:p w:rsidR="00B008E9" w:rsidRPr="00610E37" w:rsidRDefault="00B008E9" w:rsidP="00C773CD">
            <w:pPr>
              <w:pStyle w:val="TableCell"/>
              <w:keepNext/>
              <w:rPr>
                <w:lang w:eastAsia="en-IE"/>
              </w:rPr>
            </w:pPr>
            <w:r w:rsidRPr="00610E37">
              <w:rPr>
                <w:lang w:eastAsia="en-IE"/>
              </w:rPr>
              <w:t>8,616</w:t>
            </w:r>
          </w:p>
        </w:tc>
        <w:tc>
          <w:tcPr>
            <w:tcW w:w="0" w:type="auto"/>
          </w:tcPr>
          <w:p w:rsidR="00B008E9" w:rsidRPr="00610E37" w:rsidRDefault="00B008E9" w:rsidP="00C773CD">
            <w:pPr>
              <w:pStyle w:val="TableCell"/>
              <w:keepNext/>
            </w:pPr>
            <w:r w:rsidRPr="00610E37">
              <w:t>68%</w:t>
            </w:r>
          </w:p>
        </w:tc>
        <w:tc>
          <w:tcPr>
            <w:tcW w:w="0" w:type="auto"/>
          </w:tcPr>
          <w:p w:rsidR="00B008E9" w:rsidRPr="00610E37" w:rsidRDefault="00B008E9" w:rsidP="00C773CD">
            <w:pPr>
              <w:pStyle w:val="TableCell"/>
              <w:keepNext/>
            </w:pPr>
            <w:r w:rsidRPr="00610E37">
              <w:t>63%</w:t>
            </w:r>
          </w:p>
        </w:tc>
        <w:tc>
          <w:tcPr>
            <w:tcW w:w="0" w:type="auto"/>
          </w:tcPr>
          <w:p w:rsidR="00B008E9" w:rsidRPr="00610E37" w:rsidRDefault="00B008E9" w:rsidP="00C773CD">
            <w:pPr>
              <w:pStyle w:val="TableCell"/>
              <w:keepNext/>
            </w:pPr>
            <w:r w:rsidRPr="00610E37">
              <w:t>74%</w:t>
            </w:r>
          </w:p>
        </w:tc>
      </w:tr>
      <w:tr w:rsidR="00B008E9" w:rsidRPr="00C66B23" w:rsidTr="00C208EC">
        <w:trPr>
          <w:cantSplit/>
          <w:trHeight w:val="255"/>
          <w:jc w:val="center"/>
        </w:trPr>
        <w:tc>
          <w:tcPr>
            <w:tcW w:w="2794" w:type="dxa"/>
            <w:noWrap/>
            <w:hideMark/>
          </w:tcPr>
          <w:p w:rsidR="00B008E9" w:rsidRPr="00610E37" w:rsidRDefault="00B008E9" w:rsidP="00C773CD">
            <w:pPr>
              <w:pStyle w:val="TableCell"/>
              <w:keepNext/>
              <w:jc w:val="left"/>
              <w:rPr>
                <w:lang w:eastAsia="en-IE"/>
              </w:rPr>
            </w:pPr>
            <w:r w:rsidRPr="00610E37">
              <w:rPr>
                <w:lang w:eastAsia="en-IE"/>
              </w:rPr>
              <w:t>Physiotherapist</w:t>
            </w:r>
          </w:p>
        </w:tc>
        <w:tc>
          <w:tcPr>
            <w:tcW w:w="960" w:type="dxa"/>
            <w:noWrap/>
            <w:hideMark/>
          </w:tcPr>
          <w:p w:rsidR="00B008E9" w:rsidRPr="00610E37" w:rsidRDefault="00B008E9" w:rsidP="00C773CD">
            <w:pPr>
              <w:pStyle w:val="TableCell"/>
              <w:keepNext/>
              <w:rPr>
                <w:lang w:eastAsia="en-IE"/>
              </w:rPr>
            </w:pPr>
            <w:r w:rsidRPr="00610E37">
              <w:rPr>
                <w:lang w:eastAsia="en-IE"/>
              </w:rPr>
              <w:t>2,114</w:t>
            </w:r>
          </w:p>
        </w:tc>
        <w:tc>
          <w:tcPr>
            <w:tcW w:w="960" w:type="dxa"/>
            <w:noWrap/>
            <w:hideMark/>
          </w:tcPr>
          <w:p w:rsidR="00B008E9" w:rsidRPr="00610E37" w:rsidRDefault="00B008E9" w:rsidP="00C773CD">
            <w:pPr>
              <w:pStyle w:val="TableCell"/>
              <w:keepNext/>
              <w:rPr>
                <w:lang w:eastAsia="en-IE"/>
              </w:rPr>
            </w:pPr>
            <w:r w:rsidRPr="00610E37">
              <w:rPr>
                <w:lang w:eastAsia="en-IE"/>
              </w:rPr>
              <w:t>1,951</w:t>
            </w:r>
          </w:p>
        </w:tc>
        <w:tc>
          <w:tcPr>
            <w:tcW w:w="880" w:type="dxa"/>
            <w:noWrap/>
            <w:hideMark/>
          </w:tcPr>
          <w:p w:rsidR="00B008E9" w:rsidRPr="00610E37" w:rsidRDefault="00B008E9" w:rsidP="00C773CD">
            <w:pPr>
              <w:pStyle w:val="TableCell"/>
              <w:keepNext/>
              <w:rPr>
                <w:lang w:eastAsia="en-IE"/>
              </w:rPr>
            </w:pPr>
            <w:r w:rsidRPr="00610E37">
              <w:rPr>
                <w:lang w:eastAsia="en-IE"/>
              </w:rPr>
              <w:t>2,267</w:t>
            </w:r>
          </w:p>
        </w:tc>
        <w:tc>
          <w:tcPr>
            <w:tcW w:w="0" w:type="auto"/>
          </w:tcPr>
          <w:p w:rsidR="00B008E9" w:rsidRPr="00610E37" w:rsidRDefault="00B008E9" w:rsidP="00C773CD">
            <w:pPr>
              <w:pStyle w:val="TableCell"/>
              <w:keepNext/>
            </w:pPr>
            <w:r w:rsidRPr="00610E37">
              <w:t>20%</w:t>
            </w:r>
          </w:p>
        </w:tc>
        <w:tc>
          <w:tcPr>
            <w:tcW w:w="0" w:type="auto"/>
          </w:tcPr>
          <w:p w:rsidR="00B008E9" w:rsidRPr="00610E37" w:rsidRDefault="00B008E9" w:rsidP="00C773CD">
            <w:pPr>
              <w:pStyle w:val="TableCell"/>
              <w:keepNext/>
            </w:pPr>
            <w:r w:rsidRPr="00610E37">
              <w:t>19%</w:t>
            </w:r>
          </w:p>
        </w:tc>
        <w:tc>
          <w:tcPr>
            <w:tcW w:w="0" w:type="auto"/>
          </w:tcPr>
          <w:p w:rsidR="00B008E9" w:rsidRPr="00610E37" w:rsidRDefault="00B008E9" w:rsidP="00C773CD">
            <w:pPr>
              <w:pStyle w:val="TableCell"/>
              <w:keepNext/>
            </w:pPr>
            <w:r w:rsidRPr="00610E37">
              <w:t>22%</w:t>
            </w:r>
          </w:p>
        </w:tc>
      </w:tr>
      <w:tr w:rsidR="00B008E9" w:rsidRPr="00C66B23" w:rsidTr="00C208EC">
        <w:trPr>
          <w:cantSplit/>
          <w:trHeight w:val="255"/>
          <w:jc w:val="center"/>
        </w:trPr>
        <w:tc>
          <w:tcPr>
            <w:tcW w:w="2794" w:type="dxa"/>
            <w:noWrap/>
            <w:hideMark/>
          </w:tcPr>
          <w:p w:rsidR="00B008E9" w:rsidRPr="00610E37" w:rsidRDefault="00B008E9" w:rsidP="00C773CD">
            <w:pPr>
              <w:pStyle w:val="TableCell"/>
              <w:keepNext/>
              <w:jc w:val="left"/>
              <w:rPr>
                <w:lang w:eastAsia="en-IE"/>
              </w:rPr>
            </w:pPr>
            <w:r w:rsidRPr="00610E37">
              <w:rPr>
                <w:lang w:eastAsia="en-IE"/>
              </w:rPr>
              <w:t>Social worker</w:t>
            </w:r>
          </w:p>
        </w:tc>
        <w:tc>
          <w:tcPr>
            <w:tcW w:w="960" w:type="dxa"/>
            <w:noWrap/>
            <w:hideMark/>
          </w:tcPr>
          <w:p w:rsidR="00B008E9" w:rsidRPr="00610E37" w:rsidRDefault="00B008E9" w:rsidP="00C773CD">
            <w:pPr>
              <w:pStyle w:val="TableCell"/>
              <w:keepNext/>
              <w:rPr>
                <w:lang w:eastAsia="en-IE"/>
              </w:rPr>
            </w:pPr>
            <w:r w:rsidRPr="00610E37">
              <w:rPr>
                <w:lang w:eastAsia="en-IE"/>
              </w:rPr>
              <w:t>2,701</w:t>
            </w:r>
          </w:p>
        </w:tc>
        <w:tc>
          <w:tcPr>
            <w:tcW w:w="960" w:type="dxa"/>
            <w:noWrap/>
            <w:hideMark/>
          </w:tcPr>
          <w:p w:rsidR="00B008E9" w:rsidRPr="00610E37" w:rsidRDefault="00B008E9" w:rsidP="00C773CD">
            <w:pPr>
              <w:pStyle w:val="TableCell"/>
              <w:keepNext/>
              <w:rPr>
                <w:lang w:eastAsia="en-IE"/>
              </w:rPr>
            </w:pPr>
            <w:r w:rsidRPr="00610E37">
              <w:rPr>
                <w:lang w:eastAsia="en-IE"/>
              </w:rPr>
              <w:t>2,494</w:t>
            </w:r>
          </w:p>
        </w:tc>
        <w:tc>
          <w:tcPr>
            <w:tcW w:w="880" w:type="dxa"/>
            <w:noWrap/>
            <w:hideMark/>
          </w:tcPr>
          <w:p w:rsidR="00B008E9" w:rsidRPr="00610E37" w:rsidRDefault="00B008E9" w:rsidP="00C773CD">
            <w:pPr>
              <w:pStyle w:val="TableCell"/>
              <w:keepNext/>
              <w:rPr>
                <w:lang w:eastAsia="en-IE"/>
              </w:rPr>
            </w:pPr>
            <w:r w:rsidRPr="00610E37">
              <w:rPr>
                <w:lang w:eastAsia="en-IE"/>
              </w:rPr>
              <w:t>2,896</w:t>
            </w:r>
          </w:p>
        </w:tc>
        <w:tc>
          <w:tcPr>
            <w:tcW w:w="0" w:type="auto"/>
          </w:tcPr>
          <w:p w:rsidR="00B008E9" w:rsidRPr="00610E37" w:rsidRDefault="00B008E9" w:rsidP="00C773CD">
            <w:pPr>
              <w:pStyle w:val="TableCell"/>
              <w:keepNext/>
            </w:pPr>
            <w:r w:rsidRPr="00610E37">
              <w:t>39%</w:t>
            </w:r>
          </w:p>
        </w:tc>
        <w:tc>
          <w:tcPr>
            <w:tcW w:w="0" w:type="auto"/>
          </w:tcPr>
          <w:p w:rsidR="00B008E9" w:rsidRPr="00610E37" w:rsidRDefault="00B008E9" w:rsidP="00C773CD">
            <w:pPr>
              <w:pStyle w:val="TableCell"/>
              <w:keepNext/>
            </w:pPr>
            <w:r w:rsidRPr="00610E37">
              <w:t>36%</w:t>
            </w:r>
          </w:p>
        </w:tc>
        <w:tc>
          <w:tcPr>
            <w:tcW w:w="0" w:type="auto"/>
          </w:tcPr>
          <w:p w:rsidR="00B008E9" w:rsidRPr="00610E37" w:rsidRDefault="00B008E9" w:rsidP="00C773CD">
            <w:pPr>
              <w:pStyle w:val="TableCell"/>
              <w:keepNext/>
            </w:pPr>
            <w:r w:rsidRPr="00610E37">
              <w:t>42%</w:t>
            </w:r>
          </w:p>
        </w:tc>
      </w:tr>
      <w:tr w:rsidR="00B008E9" w:rsidRPr="00C66B23" w:rsidTr="00C208EC">
        <w:trPr>
          <w:cantSplit/>
          <w:trHeight w:val="255"/>
          <w:jc w:val="center"/>
        </w:trPr>
        <w:tc>
          <w:tcPr>
            <w:tcW w:w="2794" w:type="dxa"/>
            <w:noWrap/>
            <w:hideMark/>
          </w:tcPr>
          <w:p w:rsidR="00B008E9" w:rsidRPr="00610E37" w:rsidRDefault="00B008E9" w:rsidP="00C773CD">
            <w:pPr>
              <w:pStyle w:val="TableCell"/>
              <w:keepNext/>
              <w:jc w:val="left"/>
              <w:rPr>
                <w:lang w:eastAsia="en-IE"/>
              </w:rPr>
            </w:pPr>
            <w:r w:rsidRPr="00610E37">
              <w:rPr>
                <w:lang w:eastAsia="en-IE"/>
              </w:rPr>
              <w:t>Psychologist</w:t>
            </w:r>
          </w:p>
        </w:tc>
        <w:tc>
          <w:tcPr>
            <w:tcW w:w="960" w:type="dxa"/>
            <w:noWrap/>
            <w:hideMark/>
          </w:tcPr>
          <w:p w:rsidR="00B008E9" w:rsidRPr="00610E37" w:rsidRDefault="00B008E9" w:rsidP="00C773CD">
            <w:pPr>
              <w:pStyle w:val="TableCell"/>
              <w:keepNext/>
              <w:rPr>
                <w:lang w:eastAsia="en-IE"/>
              </w:rPr>
            </w:pPr>
            <w:r w:rsidRPr="00610E37">
              <w:rPr>
                <w:lang w:eastAsia="en-IE"/>
              </w:rPr>
              <w:t>7,434</w:t>
            </w:r>
          </w:p>
        </w:tc>
        <w:tc>
          <w:tcPr>
            <w:tcW w:w="960" w:type="dxa"/>
            <w:noWrap/>
            <w:hideMark/>
          </w:tcPr>
          <w:p w:rsidR="00B008E9" w:rsidRPr="00610E37" w:rsidRDefault="00B008E9" w:rsidP="00C773CD">
            <w:pPr>
              <w:pStyle w:val="TableCell"/>
              <w:keepNext/>
              <w:rPr>
                <w:lang w:eastAsia="en-IE"/>
              </w:rPr>
            </w:pPr>
            <w:r w:rsidRPr="00610E37">
              <w:rPr>
                <w:lang w:eastAsia="en-IE"/>
              </w:rPr>
              <w:t>6,911</w:t>
            </w:r>
          </w:p>
        </w:tc>
        <w:tc>
          <w:tcPr>
            <w:tcW w:w="880" w:type="dxa"/>
            <w:noWrap/>
            <w:hideMark/>
          </w:tcPr>
          <w:p w:rsidR="00B008E9" w:rsidRPr="00610E37" w:rsidRDefault="00B008E9" w:rsidP="00C773CD">
            <w:pPr>
              <w:pStyle w:val="TableCell"/>
              <w:keepNext/>
              <w:rPr>
                <w:lang w:eastAsia="en-IE"/>
              </w:rPr>
            </w:pPr>
            <w:r w:rsidRPr="00610E37">
              <w:rPr>
                <w:lang w:eastAsia="en-IE"/>
              </w:rPr>
              <w:t>7,925</w:t>
            </w:r>
          </w:p>
        </w:tc>
        <w:tc>
          <w:tcPr>
            <w:tcW w:w="0" w:type="auto"/>
          </w:tcPr>
          <w:p w:rsidR="00B008E9" w:rsidRPr="00610E37" w:rsidRDefault="00B008E9" w:rsidP="00C773CD">
            <w:pPr>
              <w:pStyle w:val="TableCell"/>
              <w:keepNext/>
            </w:pPr>
            <w:r w:rsidRPr="00610E37">
              <w:t>91%</w:t>
            </w:r>
          </w:p>
        </w:tc>
        <w:tc>
          <w:tcPr>
            <w:tcW w:w="0" w:type="auto"/>
          </w:tcPr>
          <w:p w:rsidR="00B008E9" w:rsidRPr="00610E37" w:rsidRDefault="00B008E9" w:rsidP="00C773CD">
            <w:pPr>
              <w:pStyle w:val="TableCell"/>
              <w:keepNext/>
            </w:pPr>
            <w:r w:rsidRPr="00610E37">
              <w:t>84%</w:t>
            </w:r>
          </w:p>
        </w:tc>
        <w:tc>
          <w:tcPr>
            <w:tcW w:w="0" w:type="auto"/>
          </w:tcPr>
          <w:p w:rsidR="00B008E9" w:rsidRPr="00610E37" w:rsidRDefault="00B008E9" w:rsidP="00C773CD">
            <w:pPr>
              <w:pStyle w:val="TableCell"/>
              <w:keepNext/>
            </w:pPr>
            <w:r w:rsidRPr="00610E37">
              <w:t>97%</w:t>
            </w:r>
          </w:p>
        </w:tc>
      </w:tr>
      <w:tr w:rsidR="00B008E9" w:rsidRPr="00C66B23" w:rsidTr="00C208EC">
        <w:trPr>
          <w:cantSplit/>
          <w:trHeight w:val="255"/>
          <w:jc w:val="center"/>
        </w:trPr>
        <w:tc>
          <w:tcPr>
            <w:tcW w:w="2794" w:type="dxa"/>
            <w:noWrap/>
            <w:hideMark/>
          </w:tcPr>
          <w:p w:rsidR="00B008E9" w:rsidRPr="00610E37" w:rsidRDefault="00B008E9" w:rsidP="00C773CD">
            <w:pPr>
              <w:pStyle w:val="TableCell"/>
              <w:keepNext/>
              <w:jc w:val="left"/>
              <w:rPr>
                <w:lang w:eastAsia="en-IE"/>
              </w:rPr>
            </w:pPr>
            <w:r w:rsidRPr="00610E37">
              <w:rPr>
                <w:lang w:eastAsia="en-IE"/>
              </w:rPr>
              <w:t>Pub health nurse</w:t>
            </w:r>
          </w:p>
        </w:tc>
        <w:tc>
          <w:tcPr>
            <w:tcW w:w="960" w:type="dxa"/>
            <w:noWrap/>
            <w:hideMark/>
          </w:tcPr>
          <w:p w:rsidR="00B008E9" w:rsidRPr="00610E37" w:rsidRDefault="00B008E9" w:rsidP="00C773CD">
            <w:pPr>
              <w:pStyle w:val="TableCell"/>
              <w:keepNext/>
              <w:rPr>
                <w:lang w:eastAsia="en-IE"/>
              </w:rPr>
            </w:pPr>
            <w:r w:rsidRPr="00610E37">
              <w:rPr>
                <w:lang w:eastAsia="en-IE"/>
              </w:rPr>
              <w:t>1,191</w:t>
            </w:r>
          </w:p>
        </w:tc>
        <w:tc>
          <w:tcPr>
            <w:tcW w:w="960" w:type="dxa"/>
            <w:noWrap/>
            <w:hideMark/>
          </w:tcPr>
          <w:p w:rsidR="00B008E9" w:rsidRPr="00610E37" w:rsidRDefault="00B008E9" w:rsidP="00C773CD">
            <w:pPr>
              <w:pStyle w:val="TableCell"/>
              <w:keepNext/>
              <w:rPr>
                <w:lang w:eastAsia="en-IE"/>
              </w:rPr>
            </w:pPr>
            <w:r w:rsidRPr="00610E37">
              <w:rPr>
                <w:lang w:eastAsia="en-IE"/>
              </w:rPr>
              <w:t>1,116</w:t>
            </w:r>
          </w:p>
        </w:tc>
        <w:tc>
          <w:tcPr>
            <w:tcW w:w="880" w:type="dxa"/>
            <w:noWrap/>
            <w:hideMark/>
          </w:tcPr>
          <w:p w:rsidR="00B008E9" w:rsidRPr="00610E37" w:rsidRDefault="00B008E9" w:rsidP="00C773CD">
            <w:pPr>
              <w:pStyle w:val="TableCell"/>
              <w:keepNext/>
              <w:rPr>
                <w:lang w:eastAsia="en-IE"/>
              </w:rPr>
            </w:pPr>
            <w:r w:rsidRPr="00610E37">
              <w:rPr>
                <w:lang w:eastAsia="en-IE"/>
              </w:rPr>
              <w:t>1,262</w:t>
            </w:r>
          </w:p>
        </w:tc>
        <w:tc>
          <w:tcPr>
            <w:tcW w:w="0" w:type="auto"/>
          </w:tcPr>
          <w:p w:rsidR="00B008E9" w:rsidRPr="00610E37" w:rsidRDefault="00B008E9" w:rsidP="00C773CD">
            <w:pPr>
              <w:pStyle w:val="TableCell"/>
              <w:keepNext/>
            </w:pPr>
            <w:r w:rsidRPr="00610E37">
              <w:t>26%</w:t>
            </w:r>
          </w:p>
        </w:tc>
        <w:tc>
          <w:tcPr>
            <w:tcW w:w="0" w:type="auto"/>
          </w:tcPr>
          <w:p w:rsidR="00B008E9" w:rsidRPr="00610E37" w:rsidRDefault="00B008E9" w:rsidP="00C773CD">
            <w:pPr>
              <w:pStyle w:val="TableCell"/>
              <w:keepNext/>
            </w:pPr>
            <w:r w:rsidRPr="00610E37">
              <w:t>25%</w:t>
            </w:r>
          </w:p>
        </w:tc>
        <w:tc>
          <w:tcPr>
            <w:tcW w:w="0" w:type="auto"/>
          </w:tcPr>
          <w:p w:rsidR="00B008E9" w:rsidRPr="00610E37" w:rsidRDefault="00B008E9" w:rsidP="00C773CD">
            <w:pPr>
              <w:pStyle w:val="TableCell"/>
              <w:keepNext/>
            </w:pPr>
            <w:r w:rsidRPr="00610E37">
              <w:t>28%</w:t>
            </w:r>
          </w:p>
        </w:tc>
      </w:tr>
      <w:tr w:rsidR="00B008E9" w:rsidRPr="00C66B23" w:rsidTr="00C208EC">
        <w:trPr>
          <w:cantSplit/>
          <w:trHeight w:val="255"/>
          <w:jc w:val="center"/>
        </w:trPr>
        <w:tc>
          <w:tcPr>
            <w:tcW w:w="2794" w:type="dxa"/>
            <w:noWrap/>
            <w:hideMark/>
          </w:tcPr>
          <w:p w:rsidR="00B008E9" w:rsidRPr="00610E37" w:rsidRDefault="00B008E9" w:rsidP="00C773CD">
            <w:pPr>
              <w:pStyle w:val="TableCell"/>
              <w:keepNext/>
              <w:jc w:val="left"/>
              <w:rPr>
                <w:lang w:eastAsia="en-IE"/>
              </w:rPr>
            </w:pPr>
            <w:r w:rsidRPr="00610E37">
              <w:rPr>
                <w:lang w:eastAsia="en-IE"/>
              </w:rPr>
              <w:t>Dietician</w:t>
            </w:r>
          </w:p>
        </w:tc>
        <w:tc>
          <w:tcPr>
            <w:tcW w:w="960" w:type="dxa"/>
            <w:noWrap/>
            <w:hideMark/>
          </w:tcPr>
          <w:p w:rsidR="00B008E9" w:rsidRPr="00610E37" w:rsidRDefault="00B008E9" w:rsidP="00C773CD">
            <w:pPr>
              <w:pStyle w:val="TableCell"/>
              <w:keepNext/>
              <w:rPr>
                <w:lang w:eastAsia="en-IE"/>
              </w:rPr>
            </w:pPr>
            <w:r w:rsidRPr="00610E37">
              <w:rPr>
                <w:lang w:eastAsia="en-IE"/>
              </w:rPr>
              <w:t>2,013</w:t>
            </w:r>
          </w:p>
        </w:tc>
        <w:tc>
          <w:tcPr>
            <w:tcW w:w="960" w:type="dxa"/>
            <w:noWrap/>
            <w:hideMark/>
          </w:tcPr>
          <w:p w:rsidR="00B008E9" w:rsidRPr="00610E37" w:rsidRDefault="00B008E9" w:rsidP="00C773CD">
            <w:pPr>
              <w:pStyle w:val="TableCell"/>
              <w:keepNext/>
              <w:rPr>
                <w:lang w:eastAsia="en-IE"/>
              </w:rPr>
            </w:pPr>
            <w:r w:rsidRPr="00610E37">
              <w:rPr>
                <w:lang w:eastAsia="en-IE"/>
              </w:rPr>
              <w:t>1,829</w:t>
            </w:r>
          </w:p>
        </w:tc>
        <w:tc>
          <w:tcPr>
            <w:tcW w:w="880" w:type="dxa"/>
            <w:noWrap/>
            <w:hideMark/>
          </w:tcPr>
          <w:p w:rsidR="00B008E9" w:rsidRPr="00610E37" w:rsidRDefault="00B008E9" w:rsidP="00C773CD">
            <w:pPr>
              <w:pStyle w:val="TableCell"/>
              <w:keepNext/>
              <w:rPr>
                <w:lang w:eastAsia="en-IE"/>
              </w:rPr>
            </w:pPr>
            <w:r w:rsidRPr="00610E37">
              <w:rPr>
                <w:lang w:eastAsia="en-IE"/>
              </w:rPr>
              <w:t>2,185</w:t>
            </w:r>
          </w:p>
        </w:tc>
        <w:tc>
          <w:tcPr>
            <w:tcW w:w="0" w:type="auto"/>
          </w:tcPr>
          <w:p w:rsidR="00B008E9" w:rsidRPr="00610E37" w:rsidRDefault="00B008E9" w:rsidP="00C773CD">
            <w:pPr>
              <w:pStyle w:val="TableCell"/>
              <w:keepNext/>
            </w:pPr>
            <w:r w:rsidRPr="00610E37">
              <w:t>73%</w:t>
            </w:r>
          </w:p>
        </w:tc>
        <w:tc>
          <w:tcPr>
            <w:tcW w:w="0" w:type="auto"/>
          </w:tcPr>
          <w:p w:rsidR="00B008E9" w:rsidRPr="00610E37" w:rsidRDefault="00B008E9" w:rsidP="00C773CD">
            <w:pPr>
              <w:pStyle w:val="TableCell"/>
              <w:keepNext/>
            </w:pPr>
            <w:r w:rsidRPr="00610E37">
              <w:t>67%</w:t>
            </w:r>
          </w:p>
        </w:tc>
        <w:tc>
          <w:tcPr>
            <w:tcW w:w="0" w:type="auto"/>
          </w:tcPr>
          <w:p w:rsidR="00B008E9" w:rsidRPr="00610E37" w:rsidRDefault="00B008E9" w:rsidP="00C773CD">
            <w:pPr>
              <w:pStyle w:val="TableCell"/>
              <w:keepNext/>
            </w:pPr>
            <w:r w:rsidRPr="00610E37">
              <w:t>80%</w:t>
            </w:r>
          </w:p>
        </w:tc>
      </w:tr>
    </w:tbl>
    <w:p w:rsidR="00B008E9" w:rsidRDefault="00B008E9" w:rsidP="00A313F9">
      <w:pPr>
        <w:pStyle w:val="TableNote"/>
      </w:pPr>
      <w:r>
        <w:t xml:space="preserve">Need+ </w:t>
      </w:r>
      <w:proofErr w:type="spellStart"/>
      <w:r>
        <w:t>enh</w:t>
      </w:r>
      <w:proofErr w:type="spellEnd"/>
      <w:r>
        <w:t xml:space="preserve"> = need a service plus need an enhanced service</w:t>
      </w:r>
      <w:bookmarkStart w:id="76" w:name="_Toc403572503"/>
    </w:p>
    <w:p w:rsidR="00B008E9" w:rsidRDefault="00B008E9" w:rsidP="00AA7990">
      <w:pPr>
        <w:pStyle w:val="TableTitle"/>
      </w:pPr>
      <w:bookmarkStart w:id="77" w:name="_Toc419879406"/>
      <w:r>
        <w:t>Table 3: Children requiring services and percentage expansion required – grossing up NPSDD by 6.25</w:t>
      </w:r>
      <w:bookmarkEnd w:id="76"/>
      <w:bookmarkEnd w:id="77"/>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960"/>
        <w:gridCol w:w="960"/>
        <w:gridCol w:w="924"/>
        <w:gridCol w:w="807"/>
        <w:gridCol w:w="807"/>
        <w:gridCol w:w="807"/>
      </w:tblGrid>
      <w:tr w:rsidR="00B008E9" w:rsidRPr="00B10B77" w:rsidTr="005B617C">
        <w:trPr>
          <w:cantSplit/>
          <w:trHeight w:val="450"/>
          <w:jc w:val="center"/>
        </w:trPr>
        <w:tc>
          <w:tcPr>
            <w:tcW w:w="3068" w:type="dxa"/>
            <w:hideMark/>
          </w:tcPr>
          <w:p w:rsidR="00B008E9" w:rsidRPr="00184473" w:rsidRDefault="00B008E9" w:rsidP="00C773CD">
            <w:pPr>
              <w:pStyle w:val="TableRowHead"/>
              <w:rPr>
                <w:sz w:val="22"/>
                <w:szCs w:val="22"/>
                <w:lang w:eastAsia="en-IE"/>
              </w:rPr>
            </w:pPr>
            <w:r w:rsidRPr="00184473">
              <w:rPr>
                <w:sz w:val="22"/>
                <w:szCs w:val="22"/>
                <w:lang w:eastAsia="en-IE"/>
              </w:rPr>
              <w:t> </w:t>
            </w:r>
          </w:p>
        </w:tc>
        <w:tc>
          <w:tcPr>
            <w:tcW w:w="960" w:type="dxa"/>
            <w:hideMark/>
          </w:tcPr>
          <w:p w:rsidR="00B008E9" w:rsidRPr="001B248F" w:rsidRDefault="00B008E9" w:rsidP="00C773CD">
            <w:pPr>
              <w:keepNext/>
              <w:spacing w:after="0"/>
              <w:rPr>
                <w:b/>
                <w:lang w:eastAsia="en-IE"/>
              </w:rPr>
            </w:pPr>
            <w:r w:rsidRPr="001B248F">
              <w:rPr>
                <w:b/>
                <w:lang w:eastAsia="en-IE"/>
              </w:rPr>
              <w:t xml:space="preserve">need + </w:t>
            </w:r>
            <w:proofErr w:type="spellStart"/>
            <w:r w:rsidRPr="001B248F">
              <w:rPr>
                <w:b/>
                <w:lang w:eastAsia="en-IE"/>
              </w:rPr>
              <w:t>enh</w:t>
            </w:r>
            <w:proofErr w:type="spellEnd"/>
            <w:r w:rsidRPr="001B248F">
              <w:rPr>
                <w:b/>
                <w:lang w:eastAsia="en-IE"/>
              </w:rPr>
              <w:t xml:space="preserve"> x .5</w:t>
            </w:r>
          </w:p>
        </w:tc>
        <w:tc>
          <w:tcPr>
            <w:tcW w:w="960" w:type="dxa"/>
            <w:hideMark/>
          </w:tcPr>
          <w:p w:rsidR="00B008E9" w:rsidRPr="001B248F" w:rsidRDefault="00B008E9" w:rsidP="00C773CD">
            <w:pPr>
              <w:keepNext/>
              <w:spacing w:after="0"/>
              <w:rPr>
                <w:b/>
                <w:lang w:eastAsia="en-IE"/>
              </w:rPr>
            </w:pPr>
            <w:r w:rsidRPr="001B248F">
              <w:rPr>
                <w:b/>
                <w:lang w:eastAsia="en-IE"/>
              </w:rPr>
              <w:t xml:space="preserve">need + </w:t>
            </w:r>
            <w:proofErr w:type="spellStart"/>
            <w:r w:rsidRPr="001B248F">
              <w:rPr>
                <w:b/>
                <w:lang w:eastAsia="en-IE"/>
              </w:rPr>
              <w:t>enh</w:t>
            </w:r>
            <w:proofErr w:type="spellEnd"/>
            <w:r w:rsidRPr="001B248F">
              <w:rPr>
                <w:b/>
                <w:lang w:eastAsia="en-IE"/>
              </w:rPr>
              <w:t xml:space="preserve"> x .33</w:t>
            </w:r>
          </w:p>
        </w:tc>
        <w:tc>
          <w:tcPr>
            <w:tcW w:w="889" w:type="dxa"/>
            <w:hideMark/>
          </w:tcPr>
          <w:p w:rsidR="00B008E9" w:rsidRPr="001B248F" w:rsidRDefault="00B008E9" w:rsidP="00C773CD">
            <w:pPr>
              <w:keepNext/>
              <w:spacing w:after="0"/>
              <w:rPr>
                <w:b/>
                <w:lang w:eastAsia="en-IE"/>
              </w:rPr>
            </w:pPr>
            <w:r w:rsidRPr="001B248F">
              <w:rPr>
                <w:b/>
                <w:lang w:eastAsia="en-IE"/>
              </w:rPr>
              <w:t xml:space="preserve">need + </w:t>
            </w:r>
            <w:proofErr w:type="spellStart"/>
            <w:r w:rsidRPr="001B248F">
              <w:rPr>
                <w:b/>
                <w:lang w:eastAsia="en-IE"/>
              </w:rPr>
              <w:t>enh</w:t>
            </w:r>
            <w:proofErr w:type="spellEnd"/>
            <w:r w:rsidRPr="001B248F">
              <w:rPr>
                <w:b/>
                <w:lang w:eastAsia="en-IE"/>
              </w:rPr>
              <w:t xml:space="preserve"> x .66</w:t>
            </w:r>
          </w:p>
        </w:tc>
        <w:tc>
          <w:tcPr>
            <w:tcW w:w="782" w:type="dxa"/>
          </w:tcPr>
          <w:p w:rsidR="00B008E9" w:rsidRPr="00184473" w:rsidRDefault="00B008E9" w:rsidP="00C773CD">
            <w:pPr>
              <w:keepNext/>
              <w:spacing w:after="0"/>
              <w:rPr>
                <w:b/>
              </w:rPr>
            </w:pPr>
            <w:r w:rsidRPr="00184473">
              <w:rPr>
                <w:b/>
              </w:rPr>
              <w:t xml:space="preserve">need + </w:t>
            </w:r>
            <w:proofErr w:type="spellStart"/>
            <w:r w:rsidRPr="00184473">
              <w:rPr>
                <w:b/>
              </w:rPr>
              <w:t>enh</w:t>
            </w:r>
            <w:proofErr w:type="spellEnd"/>
            <w:r w:rsidRPr="00184473">
              <w:rPr>
                <w:b/>
              </w:rPr>
              <w:t xml:space="preserve"> x .5</w:t>
            </w:r>
          </w:p>
        </w:tc>
        <w:tc>
          <w:tcPr>
            <w:tcW w:w="782" w:type="dxa"/>
          </w:tcPr>
          <w:p w:rsidR="00B008E9" w:rsidRPr="00184473" w:rsidRDefault="00B008E9" w:rsidP="00C773CD">
            <w:pPr>
              <w:keepNext/>
              <w:spacing w:after="0"/>
              <w:rPr>
                <w:b/>
              </w:rPr>
            </w:pPr>
            <w:r w:rsidRPr="00184473">
              <w:rPr>
                <w:b/>
              </w:rPr>
              <w:t xml:space="preserve">need + </w:t>
            </w:r>
            <w:proofErr w:type="spellStart"/>
            <w:r w:rsidRPr="00184473">
              <w:rPr>
                <w:b/>
              </w:rPr>
              <w:t>enh</w:t>
            </w:r>
            <w:proofErr w:type="spellEnd"/>
            <w:r w:rsidRPr="00184473">
              <w:rPr>
                <w:b/>
              </w:rPr>
              <w:t xml:space="preserve"> x .33</w:t>
            </w:r>
          </w:p>
        </w:tc>
        <w:tc>
          <w:tcPr>
            <w:tcW w:w="782" w:type="dxa"/>
          </w:tcPr>
          <w:p w:rsidR="00B008E9" w:rsidRPr="00184473" w:rsidRDefault="00B008E9" w:rsidP="00C773CD">
            <w:pPr>
              <w:keepNext/>
              <w:spacing w:after="0"/>
              <w:rPr>
                <w:b/>
              </w:rPr>
            </w:pPr>
            <w:r w:rsidRPr="00184473">
              <w:rPr>
                <w:b/>
              </w:rPr>
              <w:t xml:space="preserve">need + </w:t>
            </w:r>
            <w:proofErr w:type="spellStart"/>
            <w:r w:rsidRPr="00184473">
              <w:rPr>
                <w:b/>
              </w:rPr>
              <w:t>enh</w:t>
            </w:r>
            <w:proofErr w:type="spellEnd"/>
            <w:r w:rsidRPr="00184473">
              <w:rPr>
                <w:b/>
              </w:rPr>
              <w:t xml:space="preserve"> x .66</w:t>
            </w:r>
          </w:p>
        </w:tc>
      </w:tr>
      <w:tr w:rsidR="00B008E9" w:rsidTr="005B617C">
        <w:trPr>
          <w:cantSplit/>
          <w:trHeight w:val="255"/>
          <w:jc w:val="center"/>
        </w:trPr>
        <w:tc>
          <w:tcPr>
            <w:tcW w:w="3068" w:type="dxa"/>
            <w:noWrap/>
            <w:hideMark/>
          </w:tcPr>
          <w:p w:rsidR="00B008E9" w:rsidRPr="00793BA3" w:rsidRDefault="00B008E9" w:rsidP="00C773CD">
            <w:pPr>
              <w:pStyle w:val="TableCell"/>
              <w:keepNext/>
              <w:rPr>
                <w:lang w:eastAsia="en-IE"/>
              </w:rPr>
            </w:pPr>
            <w:r w:rsidRPr="00793BA3">
              <w:rPr>
                <w:lang w:eastAsia="en-IE"/>
              </w:rPr>
              <w:t xml:space="preserve">Speech/language </w:t>
            </w:r>
            <w:r>
              <w:rPr>
                <w:lang w:eastAsia="en-IE"/>
              </w:rPr>
              <w:t>therapist</w:t>
            </w:r>
          </w:p>
        </w:tc>
        <w:tc>
          <w:tcPr>
            <w:tcW w:w="960" w:type="dxa"/>
            <w:noWrap/>
            <w:vAlign w:val="bottom"/>
            <w:hideMark/>
          </w:tcPr>
          <w:p w:rsidR="00B008E9" w:rsidRPr="00184473" w:rsidRDefault="00B008E9" w:rsidP="00C773CD">
            <w:pPr>
              <w:pStyle w:val="TableCell"/>
              <w:keepNext/>
            </w:pPr>
            <w:r w:rsidRPr="00184473">
              <w:t>11,702</w:t>
            </w:r>
          </w:p>
        </w:tc>
        <w:tc>
          <w:tcPr>
            <w:tcW w:w="960" w:type="dxa"/>
            <w:noWrap/>
            <w:vAlign w:val="bottom"/>
            <w:hideMark/>
          </w:tcPr>
          <w:p w:rsidR="00B008E9" w:rsidRPr="00184473" w:rsidRDefault="00B008E9" w:rsidP="00C773CD">
            <w:pPr>
              <w:pStyle w:val="TableCell"/>
              <w:keepNext/>
            </w:pPr>
            <w:r w:rsidRPr="00184473">
              <w:t>10,607</w:t>
            </w:r>
          </w:p>
        </w:tc>
        <w:tc>
          <w:tcPr>
            <w:tcW w:w="889" w:type="dxa"/>
            <w:noWrap/>
            <w:vAlign w:val="bottom"/>
            <w:hideMark/>
          </w:tcPr>
          <w:p w:rsidR="00B008E9" w:rsidRPr="00184473" w:rsidRDefault="00B008E9" w:rsidP="00C773CD">
            <w:pPr>
              <w:pStyle w:val="TableCell"/>
              <w:keepNext/>
            </w:pPr>
            <w:r w:rsidRPr="00184473">
              <w:t>12,733</w:t>
            </w:r>
          </w:p>
        </w:tc>
        <w:tc>
          <w:tcPr>
            <w:tcW w:w="0" w:type="auto"/>
            <w:vAlign w:val="bottom"/>
          </w:tcPr>
          <w:p w:rsidR="00B008E9" w:rsidRPr="00184473" w:rsidRDefault="00B008E9" w:rsidP="00C773CD">
            <w:pPr>
              <w:pStyle w:val="TableCell"/>
              <w:keepNext/>
            </w:pPr>
            <w:r w:rsidRPr="00184473">
              <w:t>64%</w:t>
            </w:r>
          </w:p>
        </w:tc>
        <w:tc>
          <w:tcPr>
            <w:tcW w:w="0" w:type="auto"/>
            <w:vAlign w:val="bottom"/>
          </w:tcPr>
          <w:p w:rsidR="00B008E9" w:rsidRPr="00184473" w:rsidRDefault="00B008E9" w:rsidP="00C773CD">
            <w:pPr>
              <w:pStyle w:val="TableCell"/>
              <w:keepNext/>
            </w:pPr>
            <w:r w:rsidRPr="00184473">
              <w:t>58%</w:t>
            </w:r>
          </w:p>
        </w:tc>
        <w:tc>
          <w:tcPr>
            <w:tcW w:w="0" w:type="auto"/>
            <w:vAlign w:val="bottom"/>
          </w:tcPr>
          <w:p w:rsidR="00B008E9" w:rsidRPr="00184473" w:rsidRDefault="00B008E9" w:rsidP="00C773CD">
            <w:pPr>
              <w:pStyle w:val="TableCell"/>
              <w:keepNext/>
            </w:pPr>
            <w:r w:rsidRPr="00184473">
              <w:t>70%</w:t>
            </w:r>
          </w:p>
        </w:tc>
      </w:tr>
      <w:tr w:rsidR="00B008E9" w:rsidTr="005B617C">
        <w:trPr>
          <w:cantSplit/>
          <w:trHeight w:val="255"/>
          <w:jc w:val="center"/>
        </w:trPr>
        <w:tc>
          <w:tcPr>
            <w:tcW w:w="3068" w:type="dxa"/>
            <w:noWrap/>
            <w:hideMark/>
          </w:tcPr>
          <w:p w:rsidR="00B008E9" w:rsidRPr="00793BA3" w:rsidRDefault="00B008E9" w:rsidP="00C773CD">
            <w:pPr>
              <w:pStyle w:val="TableCell"/>
              <w:keepNext/>
              <w:rPr>
                <w:lang w:eastAsia="en-IE"/>
              </w:rPr>
            </w:pPr>
            <w:r w:rsidRPr="00793BA3">
              <w:rPr>
                <w:lang w:eastAsia="en-IE"/>
              </w:rPr>
              <w:t>Occup</w:t>
            </w:r>
            <w:r>
              <w:rPr>
                <w:lang w:eastAsia="en-IE"/>
              </w:rPr>
              <w:t>ational therapist</w:t>
            </w:r>
          </w:p>
        </w:tc>
        <w:tc>
          <w:tcPr>
            <w:tcW w:w="960" w:type="dxa"/>
            <w:noWrap/>
            <w:vAlign w:val="bottom"/>
            <w:hideMark/>
          </w:tcPr>
          <w:p w:rsidR="00B008E9" w:rsidRPr="00184473" w:rsidRDefault="00B008E9" w:rsidP="00C773CD">
            <w:pPr>
              <w:pStyle w:val="TableCell"/>
              <w:keepNext/>
            </w:pPr>
            <w:r w:rsidRPr="00184473">
              <w:t>9,217</w:t>
            </w:r>
          </w:p>
        </w:tc>
        <w:tc>
          <w:tcPr>
            <w:tcW w:w="960" w:type="dxa"/>
            <w:noWrap/>
            <w:vAlign w:val="bottom"/>
            <w:hideMark/>
          </w:tcPr>
          <w:p w:rsidR="00B008E9" w:rsidRPr="00184473" w:rsidRDefault="00B008E9" w:rsidP="00C773CD">
            <w:pPr>
              <w:pStyle w:val="TableCell"/>
              <w:keepNext/>
            </w:pPr>
            <w:r w:rsidRPr="00184473">
              <w:t>8,477</w:t>
            </w:r>
          </w:p>
        </w:tc>
        <w:tc>
          <w:tcPr>
            <w:tcW w:w="889" w:type="dxa"/>
            <w:noWrap/>
            <w:vAlign w:val="bottom"/>
            <w:hideMark/>
          </w:tcPr>
          <w:p w:rsidR="00B008E9" w:rsidRPr="00184473" w:rsidRDefault="00B008E9" w:rsidP="00C773CD">
            <w:pPr>
              <w:pStyle w:val="TableCell"/>
              <w:keepNext/>
            </w:pPr>
            <w:r w:rsidRPr="00184473">
              <w:t>9,914</w:t>
            </w:r>
          </w:p>
        </w:tc>
        <w:tc>
          <w:tcPr>
            <w:tcW w:w="0" w:type="auto"/>
            <w:vAlign w:val="bottom"/>
          </w:tcPr>
          <w:p w:rsidR="00B008E9" w:rsidRPr="00184473" w:rsidRDefault="00B008E9" w:rsidP="00C773CD">
            <w:pPr>
              <w:pStyle w:val="TableCell"/>
              <w:keepNext/>
            </w:pPr>
            <w:r w:rsidRPr="00184473">
              <w:t>68%</w:t>
            </w:r>
          </w:p>
        </w:tc>
        <w:tc>
          <w:tcPr>
            <w:tcW w:w="0" w:type="auto"/>
            <w:vAlign w:val="bottom"/>
          </w:tcPr>
          <w:p w:rsidR="00B008E9" w:rsidRPr="00184473" w:rsidRDefault="00B008E9" w:rsidP="00C773CD">
            <w:pPr>
              <w:pStyle w:val="TableCell"/>
              <w:keepNext/>
            </w:pPr>
            <w:r w:rsidRPr="00184473">
              <w:t>63%</w:t>
            </w:r>
          </w:p>
        </w:tc>
        <w:tc>
          <w:tcPr>
            <w:tcW w:w="0" w:type="auto"/>
            <w:vAlign w:val="bottom"/>
          </w:tcPr>
          <w:p w:rsidR="00B008E9" w:rsidRPr="00184473" w:rsidRDefault="00B008E9" w:rsidP="00C773CD">
            <w:pPr>
              <w:pStyle w:val="TableCell"/>
              <w:keepNext/>
            </w:pPr>
            <w:r w:rsidRPr="00184473">
              <w:t>74%</w:t>
            </w:r>
          </w:p>
        </w:tc>
      </w:tr>
      <w:tr w:rsidR="00B008E9" w:rsidTr="005B617C">
        <w:trPr>
          <w:cantSplit/>
          <w:trHeight w:val="255"/>
          <w:jc w:val="center"/>
        </w:trPr>
        <w:tc>
          <w:tcPr>
            <w:tcW w:w="3068" w:type="dxa"/>
            <w:noWrap/>
            <w:hideMark/>
          </w:tcPr>
          <w:p w:rsidR="00B008E9" w:rsidRPr="00594DCE" w:rsidRDefault="00B008E9" w:rsidP="00C773CD">
            <w:pPr>
              <w:pStyle w:val="TableCell"/>
              <w:keepNext/>
              <w:rPr>
                <w:lang w:eastAsia="en-IE"/>
              </w:rPr>
            </w:pPr>
            <w:r w:rsidRPr="00594DCE">
              <w:rPr>
                <w:lang w:eastAsia="en-IE"/>
              </w:rPr>
              <w:t>Physiotherapist</w:t>
            </w:r>
          </w:p>
        </w:tc>
        <w:tc>
          <w:tcPr>
            <w:tcW w:w="960" w:type="dxa"/>
            <w:noWrap/>
            <w:vAlign w:val="bottom"/>
            <w:hideMark/>
          </w:tcPr>
          <w:p w:rsidR="00B008E9" w:rsidRPr="00184473" w:rsidRDefault="00B008E9" w:rsidP="00C773CD">
            <w:pPr>
              <w:pStyle w:val="TableCell"/>
              <w:keepNext/>
            </w:pPr>
            <w:r w:rsidRPr="00184473">
              <w:t>2,243</w:t>
            </w:r>
          </w:p>
        </w:tc>
        <w:tc>
          <w:tcPr>
            <w:tcW w:w="960" w:type="dxa"/>
            <w:noWrap/>
            <w:vAlign w:val="bottom"/>
            <w:hideMark/>
          </w:tcPr>
          <w:p w:rsidR="00B008E9" w:rsidRPr="00184473" w:rsidRDefault="00B008E9" w:rsidP="00C773CD">
            <w:pPr>
              <w:pStyle w:val="TableCell"/>
              <w:keepNext/>
            </w:pPr>
            <w:r w:rsidRPr="00184473">
              <w:t>2,068</w:t>
            </w:r>
          </w:p>
        </w:tc>
        <w:tc>
          <w:tcPr>
            <w:tcW w:w="889" w:type="dxa"/>
            <w:noWrap/>
            <w:vAlign w:val="bottom"/>
            <w:hideMark/>
          </w:tcPr>
          <w:p w:rsidR="00B008E9" w:rsidRPr="00184473" w:rsidRDefault="00B008E9" w:rsidP="00C773CD">
            <w:pPr>
              <w:pStyle w:val="TableCell"/>
              <w:keepNext/>
            </w:pPr>
            <w:r w:rsidRPr="00184473">
              <w:t>2,407</w:t>
            </w:r>
          </w:p>
        </w:tc>
        <w:tc>
          <w:tcPr>
            <w:tcW w:w="0" w:type="auto"/>
            <w:vAlign w:val="bottom"/>
          </w:tcPr>
          <w:p w:rsidR="00B008E9" w:rsidRPr="00184473" w:rsidRDefault="00B008E9" w:rsidP="00C773CD">
            <w:pPr>
              <w:pStyle w:val="TableCell"/>
              <w:keepNext/>
            </w:pPr>
            <w:r w:rsidRPr="00184473">
              <w:t>19%</w:t>
            </w:r>
          </w:p>
        </w:tc>
        <w:tc>
          <w:tcPr>
            <w:tcW w:w="0" w:type="auto"/>
            <w:vAlign w:val="bottom"/>
          </w:tcPr>
          <w:p w:rsidR="00B008E9" w:rsidRPr="00184473" w:rsidRDefault="00B008E9" w:rsidP="00C773CD">
            <w:pPr>
              <w:pStyle w:val="TableCell"/>
              <w:keepNext/>
            </w:pPr>
            <w:r w:rsidRPr="00184473">
              <w:t>17%</w:t>
            </w:r>
          </w:p>
        </w:tc>
        <w:tc>
          <w:tcPr>
            <w:tcW w:w="0" w:type="auto"/>
            <w:vAlign w:val="bottom"/>
          </w:tcPr>
          <w:p w:rsidR="00B008E9" w:rsidRPr="00184473" w:rsidRDefault="00B008E9" w:rsidP="00C773CD">
            <w:pPr>
              <w:pStyle w:val="TableCell"/>
              <w:keepNext/>
            </w:pPr>
            <w:r w:rsidRPr="00184473">
              <w:t>20%</w:t>
            </w:r>
          </w:p>
        </w:tc>
      </w:tr>
      <w:tr w:rsidR="00B008E9" w:rsidTr="005B617C">
        <w:trPr>
          <w:cantSplit/>
          <w:trHeight w:val="255"/>
          <w:jc w:val="center"/>
        </w:trPr>
        <w:tc>
          <w:tcPr>
            <w:tcW w:w="3068" w:type="dxa"/>
            <w:noWrap/>
            <w:hideMark/>
          </w:tcPr>
          <w:p w:rsidR="00B008E9" w:rsidRPr="00594DCE" w:rsidRDefault="00B008E9" w:rsidP="00C773CD">
            <w:pPr>
              <w:pStyle w:val="TableCell"/>
              <w:keepNext/>
              <w:rPr>
                <w:lang w:eastAsia="en-IE"/>
              </w:rPr>
            </w:pPr>
            <w:r w:rsidRPr="00594DCE">
              <w:rPr>
                <w:lang w:eastAsia="en-IE"/>
              </w:rPr>
              <w:t>Social worker</w:t>
            </w:r>
          </w:p>
        </w:tc>
        <w:tc>
          <w:tcPr>
            <w:tcW w:w="960" w:type="dxa"/>
            <w:noWrap/>
            <w:vAlign w:val="bottom"/>
            <w:hideMark/>
          </w:tcPr>
          <w:p w:rsidR="00B008E9" w:rsidRPr="00184473" w:rsidRDefault="00B008E9" w:rsidP="00C773CD">
            <w:pPr>
              <w:pStyle w:val="TableCell"/>
              <w:keepNext/>
            </w:pPr>
            <w:r w:rsidRPr="00184473">
              <w:t>2,889</w:t>
            </w:r>
          </w:p>
        </w:tc>
        <w:tc>
          <w:tcPr>
            <w:tcW w:w="960" w:type="dxa"/>
            <w:noWrap/>
            <w:vAlign w:val="bottom"/>
            <w:hideMark/>
          </w:tcPr>
          <w:p w:rsidR="00B008E9" w:rsidRPr="00184473" w:rsidRDefault="00B008E9" w:rsidP="00C773CD">
            <w:pPr>
              <w:pStyle w:val="TableCell"/>
              <w:keepNext/>
            </w:pPr>
            <w:r w:rsidRPr="00184473">
              <w:t>2,669</w:t>
            </w:r>
          </w:p>
        </w:tc>
        <w:tc>
          <w:tcPr>
            <w:tcW w:w="889" w:type="dxa"/>
            <w:noWrap/>
            <w:vAlign w:val="bottom"/>
            <w:hideMark/>
          </w:tcPr>
          <w:p w:rsidR="00B008E9" w:rsidRPr="00184473" w:rsidRDefault="00B008E9" w:rsidP="00C773CD">
            <w:pPr>
              <w:pStyle w:val="TableCell"/>
              <w:keepNext/>
            </w:pPr>
            <w:r w:rsidRPr="00184473">
              <w:t>3,095</w:t>
            </w:r>
          </w:p>
        </w:tc>
        <w:tc>
          <w:tcPr>
            <w:tcW w:w="0" w:type="auto"/>
            <w:vAlign w:val="bottom"/>
          </w:tcPr>
          <w:p w:rsidR="00B008E9" w:rsidRPr="00184473" w:rsidRDefault="00B008E9" w:rsidP="00C773CD">
            <w:pPr>
              <w:pStyle w:val="TableCell"/>
              <w:keepNext/>
            </w:pPr>
            <w:r w:rsidRPr="00184473">
              <w:t>38%</w:t>
            </w:r>
          </w:p>
        </w:tc>
        <w:tc>
          <w:tcPr>
            <w:tcW w:w="0" w:type="auto"/>
            <w:vAlign w:val="bottom"/>
          </w:tcPr>
          <w:p w:rsidR="00B008E9" w:rsidRPr="00184473" w:rsidRDefault="00B008E9" w:rsidP="00C773CD">
            <w:pPr>
              <w:pStyle w:val="TableCell"/>
              <w:keepNext/>
            </w:pPr>
            <w:r w:rsidRPr="00184473">
              <w:t>35%</w:t>
            </w:r>
          </w:p>
        </w:tc>
        <w:tc>
          <w:tcPr>
            <w:tcW w:w="0" w:type="auto"/>
            <w:vAlign w:val="bottom"/>
          </w:tcPr>
          <w:p w:rsidR="00B008E9" w:rsidRPr="00184473" w:rsidRDefault="00B008E9" w:rsidP="00C773CD">
            <w:pPr>
              <w:pStyle w:val="TableCell"/>
              <w:keepNext/>
            </w:pPr>
            <w:r w:rsidRPr="00184473">
              <w:t>41%</w:t>
            </w:r>
          </w:p>
        </w:tc>
      </w:tr>
      <w:tr w:rsidR="00B008E9" w:rsidTr="005B617C">
        <w:trPr>
          <w:cantSplit/>
          <w:trHeight w:val="255"/>
          <w:jc w:val="center"/>
        </w:trPr>
        <w:tc>
          <w:tcPr>
            <w:tcW w:w="3068" w:type="dxa"/>
            <w:noWrap/>
            <w:hideMark/>
          </w:tcPr>
          <w:p w:rsidR="00B008E9" w:rsidRPr="00594DCE" w:rsidRDefault="00B008E9" w:rsidP="00C773CD">
            <w:pPr>
              <w:pStyle w:val="TableCell"/>
              <w:keepNext/>
              <w:rPr>
                <w:lang w:eastAsia="en-IE"/>
              </w:rPr>
            </w:pPr>
            <w:r w:rsidRPr="00594DCE">
              <w:rPr>
                <w:lang w:eastAsia="en-IE"/>
              </w:rPr>
              <w:t>Psychologist</w:t>
            </w:r>
          </w:p>
        </w:tc>
        <w:tc>
          <w:tcPr>
            <w:tcW w:w="960" w:type="dxa"/>
            <w:noWrap/>
            <w:vAlign w:val="bottom"/>
            <w:hideMark/>
          </w:tcPr>
          <w:p w:rsidR="00B008E9" w:rsidRPr="00184473" w:rsidRDefault="00B008E9" w:rsidP="00C773CD">
            <w:pPr>
              <w:pStyle w:val="TableCell"/>
              <w:keepNext/>
            </w:pPr>
            <w:r w:rsidRPr="00184473">
              <w:t>8,622</w:t>
            </w:r>
          </w:p>
        </w:tc>
        <w:tc>
          <w:tcPr>
            <w:tcW w:w="960" w:type="dxa"/>
            <w:noWrap/>
            <w:vAlign w:val="bottom"/>
            <w:hideMark/>
          </w:tcPr>
          <w:p w:rsidR="00B008E9" w:rsidRPr="00184473" w:rsidRDefault="00B008E9" w:rsidP="00C773CD">
            <w:pPr>
              <w:pStyle w:val="TableCell"/>
              <w:keepNext/>
            </w:pPr>
            <w:r w:rsidRPr="00184473">
              <w:t>8,052</w:t>
            </w:r>
          </w:p>
        </w:tc>
        <w:tc>
          <w:tcPr>
            <w:tcW w:w="889" w:type="dxa"/>
            <w:noWrap/>
            <w:vAlign w:val="bottom"/>
            <w:hideMark/>
          </w:tcPr>
          <w:p w:rsidR="00B008E9" w:rsidRPr="00184473" w:rsidRDefault="00B008E9" w:rsidP="00C773CD">
            <w:pPr>
              <w:pStyle w:val="TableCell"/>
              <w:keepNext/>
            </w:pPr>
            <w:r w:rsidRPr="00184473">
              <w:t>9,159</w:t>
            </w:r>
          </w:p>
        </w:tc>
        <w:tc>
          <w:tcPr>
            <w:tcW w:w="0" w:type="auto"/>
            <w:vAlign w:val="bottom"/>
          </w:tcPr>
          <w:p w:rsidR="00B008E9" w:rsidRPr="00184473" w:rsidRDefault="00B008E9" w:rsidP="00C773CD">
            <w:pPr>
              <w:pStyle w:val="TableCell"/>
              <w:keepNext/>
            </w:pPr>
            <w:r w:rsidRPr="00184473">
              <w:t>93%</w:t>
            </w:r>
          </w:p>
        </w:tc>
        <w:tc>
          <w:tcPr>
            <w:tcW w:w="0" w:type="auto"/>
            <w:vAlign w:val="bottom"/>
          </w:tcPr>
          <w:p w:rsidR="00B008E9" w:rsidRPr="00184473" w:rsidRDefault="00B008E9" w:rsidP="00C773CD">
            <w:pPr>
              <w:pStyle w:val="TableCell"/>
              <w:keepNext/>
            </w:pPr>
            <w:r w:rsidRPr="00184473">
              <w:t>87%</w:t>
            </w:r>
          </w:p>
        </w:tc>
        <w:tc>
          <w:tcPr>
            <w:tcW w:w="0" w:type="auto"/>
            <w:vAlign w:val="bottom"/>
          </w:tcPr>
          <w:p w:rsidR="00B008E9" w:rsidRPr="00184473" w:rsidRDefault="00B008E9" w:rsidP="00C773CD">
            <w:pPr>
              <w:pStyle w:val="TableCell"/>
              <w:keepNext/>
            </w:pPr>
            <w:r w:rsidRPr="00184473">
              <w:t>99%</w:t>
            </w:r>
          </w:p>
        </w:tc>
      </w:tr>
      <w:tr w:rsidR="00B008E9" w:rsidTr="005B617C">
        <w:trPr>
          <w:cantSplit/>
          <w:trHeight w:val="255"/>
          <w:jc w:val="center"/>
        </w:trPr>
        <w:tc>
          <w:tcPr>
            <w:tcW w:w="3068" w:type="dxa"/>
            <w:noWrap/>
            <w:hideMark/>
          </w:tcPr>
          <w:p w:rsidR="00B008E9" w:rsidRPr="00594DCE" w:rsidRDefault="00B008E9" w:rsidP="00C773CD">
            <w:pPr>
              <w:pStyle w:val="TableCell"/>
              <w:keepNext/>
              <w:rPr>
                <w:lang w:eastAsia="en-IE"/>
              </w:rPr>
            </w:pPr>
            <w:r w:rsidRPr="00594DCE">
              <w:rPr>
                <w:lang w:eastAsia="en-IE"/>
              </w:rPr>
              <w:t>Pub health nurse</w:t>
            </w:r>
          </w:p>
        </w:tc>
        <w:tc>
          <w:tcPr>
            <w:tcW w:w="960" w:type="dxa"/>
            <w:noWrap/>
            <w:vAlign w:val="bottom"/>
            <w:hideMark/>
          </w:tcPr>
          <w:p w:rsidR="00B008E9" w:rsidRPr="00184473" w:rsidRDefault="00B008E9" w:rsidP="00C773CD">
            <w:pPr>
              <w:pStyle w:val="TableCell"/>
              <w:keepNext/>
            </w:pPr>
            <w:r w:rsidRPr="00184473">
              <w:t>1,330</w:t>
            </w:r>
          </w:p>
        </w:tc>
        <w:tc>
          <w:tcPr>
            <w:tcW w:w="960" w:type="dxa"/>
            <w:noWrap/>
            <w:vAlign w:val="bottom"/>
            <w:hideMark/>
          </w:tcPr>
          <w:p w:rsidR="00B008E9" w:rsidRPr="00184473" w:rsidRDefault="00B008E9" w:rsidP="00C773CD">
            <w:pPr>
              <w:pStyle w:val="TableCell"/>
              <w:keepNext/>
            </w:pPr>
            <w:r w:rsidRPr="00184473">
              <w:t>1,244</w:t>
            </w:r>
          </w:p>
        </w:tc>
        <w:tc>
          <w:tcPr>
            <w:tcW w:w="889" w:type="dxa"/>
            <w:noWrap/>
            <w:vAlign w:val="bottom"/>
            <w:hideMark/>
          </w:tcPr>
          <w:p w:rsidR="00B008E9" w:rsidRPr="00184473" w:rsidRDefault="00B008E9" w:rsidP="00C773CD">
            <w:pPr>
              <w:pStyle w:val="TableCell"/>
              <w:keepNext/>
            </w:pPr>
            <w:r w:rsidRPr="00184473">
              <w:t>1,410</w:t>
            </w:r>
          </w:p>
        </w:tc>
        <w:tc>
          <w:tcPr>
            <w:tcW w:w="0" w:type="auto"/>
            <w:vAlign w:val="bottom"/>
          </w:tcPr>
          <w:p w:rsidR="00B008E9" w:rsidRPr="00184473" w:rsidRDefault="00B008E9" w:rsidP="00C773CD">
            <w:pPr>
              <w:pStyle w:val="TableCell"/>
              <w:keepNext/>
            </w:pPr>
            <w:r w:rsidRPr="00184473">
              <w:t>26%</w:t>
            </w:r>
          </w:p>
        </w:tc>
        <w:tc>
          <w:tcPr>
            <w:tcW w:w="0" w:type="auto"/>
            <w:vAlign w:val="bottom"/>
          </w:tcPr>
          <w:p w:rsidR="00B008E9" w:rsidRPr="00184473" w:rsidRDefault="00B008E9" w:rsidP="00C773CD">
            <w:pPr>
              <w:pStyle w:val="TableCell"/>
              <w:keepNext/>
            </w:pPr>
            <w:r w:rsidRPr="00184473">
              <w:t>24%</w:t>
            </w:r>
          </w:p>
        </w:tc>
        <w:tc>
          <w:tcPr>
            <w:tcW w:w="0" w:type="auto"/>
            <w:vAlign w:val="bottom"/>
          </w:tcPr>
          <w:p w:rsidR="00B008E9" w:rsidRPr="00184473" w:rsidRDefault="00B008E9" w:rsidP="00C773CD">
            <w:pPr>
              <w:pStyle w:val="TableCell"/>
              <w:keepNext/>
            </w:pPr>
            <w:r w:rsidRPr="00184473">
              <w:t>28%</w:t>
            </w:r>
          </w:p>
        </w:tc>
      </w:tr>
      <w:tr w:rsidR="00B008E9" w:rsidTr="005B617C">
        <w:trPr>
          <w:cantSplit/>
          <w:trHeight w:val="255"/>
          <w:jc w:val="center"/>
        </w:trPr>
        <w:tc>
          <w:tcPr>
            <w:tcW w:w="3068" w:type="dxa"/>
            <w:noWrap/>
            <w:hideMark/>
          </w:tcPr>
          <w:p w:rsidR="00B008E9" w:rsidRPr="00594DCE" w:rsidRDefault="00B008E9" w:rsidP="00C773CD">
            <w:pPr>
              <w:pStyle w:val="TableCell"/>
              <w:keepNext/>
              <w:rPr>
                <w:lang w:eastAsia="en-IE"/>
              </w:rPr>
            </w:pPr>
            <w:r w:rsidRPr="00594DCE">
              <w:rPr>
                <w:lang w:eastAsia="en-IE"/>
              </w:rPr>
              <w:t>Dietician</w:t>
            </w:r>
          </w:p>
        </w:tc>
        <w:tc>
          <w:tcPr>
            <w:tcW w:w="960" w:type="dxa"/>
            <w:noWrap/>
            <w:vAlign w:val="bottom"/>
            <w:hideMark/>
          </w:tcPr>
          <w:p w:rsidR="00B008E9" w:rsidRPr="00184473" w:rsidRDefault="00B008E9" w:rsidP="00C773CD">
            <w:pPr>
              <w:pStyle w:val="TableCell"/>
              <w:keepNext/>
            </w:pPr>
            <w:r w:rsidRPr="00184473">
              <w:t>2,343</w:t>
            </w:r>
          </w:p>
        </w:tc>
        <w:tc>
          <w:tcPr>
            <w:tcW w:w="960" w:type="dxa"/>
            <w:noWrap/>
            <w:vAlign w:val="bottom"/>
            <w:hideMark/>
          </w:tcPr>
          <w:p w:rsidR="00B008E9" w:rsidRPr="00184473" w:rsidRDefault="00B008E9" w:rsidP="00C773CD">
            <w:pPr>
              <w:pStyle w:val="TableCell"/>
              <w:keepNext/>
            </w:pPr>
            <w:r w:rsidRPr="00184473">
              <w:t>2,146</w:t>
            </w:r>
          </w:p>
        </w:tc>
        <w:tc>
          <w:tcPr>
            <w:tcW w:w="889" w:type="dxa"/>
            <w:noWrap/>
            <w:vAlign w:val="bottom"/>
            <w:hideMark/>
          </w:tcPr>
          <w:p w:rsidR="00B008E9" w:rsidRPr="00184473" w:rsidRDefault="00B008E9" w:rsidP="00C773CD">
            <w:pPr>
              <w:pStyle w:val="TableCell"/>
              <w:keepNext/>
            </w:pPr>
            <w:r w:rsidRPr="00184473">
              <w:t>2,528</w:t>
            </w:r>
          </w:p>
        </w:tc>
        <w:tc>
          <w:tcPr>
            <w:tcW w:w="0" w:type="auto"/>
            <w:vAlign w:val="bottom"/>
          </w:tcPr>
          <w:p w:rsidR="00B008E9" w:rsidRPr="00184473" w:rsidRDefault="00B008E9" w:rsidP="00C773CD">
            <w:pPr>
              <w:pStyle w:val="TableCell"/>
              <w:keepNext/>
            </w:pPr>
            <w:r w:rsidRPr="00184473">
              <w:t>74%</w:t>
            </w:r>
          </w:p>
        </w:tc>
        <w:tc>
          <w:tcPr>
            <w:tcW w:w="0" w:type="auto"/>
            <w:vAlign w:val="bottom"/>
          </w:tcPr>
          <w:p w:rsidR="00B008E9" w:rsidRPr="00184473" w:rsidRDefault="00B008E9" w:rsidP="00C773CD">
            <w:pPr>
              <w:pStyle w:val="TableCell"/>
              <w:keepNext/>
            </w:pPr>
            <w:r w:rsidRPr="00184473">
              <w:t>68%</w:t>
            </w:r>
          </w:p>
        </w:tc>
        <w:tc>
          <w:tcPr>
            <w:tcW w:w="0" w:type="auto"/>
            <w:vAlign w:val="bottom"/>
          </w:tcPr>
          <w:p w:rsidR="00B008E9" w:rsidRPr="00184473" w:rsidRDefault="00B008E9" w:rsidP="00C773CD">
            <w:pPr>
              <w:pStyle w:val="TableCell"/>
              <w:keepNext/>
            </w:pPr>
            <w:r w:rsidRPr="00184473">
              <w:t>80%</w:t>
            </w:r>
          </w:p>
        </w:tc>
      </w:tr>
    </w:tbl>
    <w:p w:rsidR="00B008E9" w:rsidRDefault="00B008E9" w:rsidP="009275CD">
      <w:pPr>
        <w:pStyle w:val="TableTitle"/>
        <w:spacing w:before="240"/>
      </w:pPr>
      <w:bookmarkStart w:id="78" w:name="_Toc403572504"/>
      <w:bookmarkStart w:id="79" w:name="_Toc419879407"/>
      <w:r>
        <w:t>Table 4: E</w:t>
      </w:r>
      <w:r w:rsidRPr="00B10B77">
        <w:t>xpansion required</w:t>
      </w:r>
      <w:r>
        <w:t xml:space="preserve"> in therapist nos., grossing up NPSDD by 5, and applying varying ratios to </w:t>
      </w:r>
      <w:bookmarkEnd w:id="78"/>
      <w:r w:rsidR="00E20F6B">
        <w:t>existing numbers of therapists</w:t>
      </w:r>
      <w:bookmarkEnd w:id="7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1408"/>
        <w:gridCol w:w="1253"/>
        <w:gridCol w:w="1524"/>
        <w:gridCol w:w="1298"/>
      </w:tblGrid>
      <w:tr w:rsidR="00B008E9" w:rsidRPr="00B10B77" w:rsidTr="00C773CD">
        <w:trPr>
          <w:cantSplit/>
          <w:trHeight w:val="450"/>
          <w:jc w:val="center"/>
        </w:trPr>
        <w:tc>
          <w:tcPr>
            <w:tcW w:w="1823" w:type="pct"/>
            <w:hideMark/>
          </w:tcPr>
          <w:p w:rsidR="00B008E9" w:rsidRPr="00860259" w:rsidRDefault="00B008E9" w:rsidP="00C773CD">
            <w:pPr>
              <w:pStyle w:val="TableHead"/>
              <w:keepNext/>
              <w:rPr>
                <w:lang w:eastAsia="en-IE"/>
              </w:rPr>
            </w:pPr>
            <w:r w:rsidRPr="00860259">
              <w:rPr>
                <w:lang w:eastAsia="en-IE"/>
              </w:rPr>
              <w:t> </w:t>
            </w:r>
          </w:p>
        </w:tc>
        <w:tc>
          <w:tcPr>
            <w:tcW w:w="816" w:type="pct"/>
            <w:hideMark/>
          </w:tcPr>
          <w:p w:rsidR="00B008E9" w:rsidRPr="00860259" w:rsidRDefault="00B008E9" w:rsidP="00C773CD">
            <w:pPr>
              <w:pStyle w:val="TableHead"/>
              <w:keepNext/>
              <w:rPr>
                <w:lang w:eastAsia="en-IE"/>
              </w:rPr>
            </w:pPr>
            <w:r w:rsidRPr="00860259">
              <w:rPr>
                <w:lang w:eastAsia="en-IE"/>
              </w:rPr>
              <w:t>WTE</w:t>
            </w:r>
            <w:r>
              <w:rPr>
                <w:lang w:eastAsia="en-IE"/>
              </w:rPr>
              <w:t xml:space="preserve"> 2012</w:t>
            </w:r>
          </w:p>
        </w:tc>
        <w:tc>
          <w:tcPr>
            <w:tcW w:w="726" w:type="pct"/>
          </w:tcPr>
          <w:p w:rsidR="00B008E9" w:rsidRPr="00860259" w:rsidRDefault="00B008E9" w:rsidP="00C773CD">
            <w:pPr>
              <w:pStyle w:val="TableHead"/>
              <w:keepNext/>
            </w:pPr>
            <w:r w:rsidRPr="00860259">
              <w:t xml:space="preserve">need + </w:t>
            </w:r>
            <w:proofErr w:type="spellStart"/>
            <w:r w:rsidRPr="00860259">
              <w:t>enh</w:t>
            </w:r>
            <w:proofErr w:type="spellEnd"/>
            <w:r w:rsidRPr="00860259">
              <w:t xml:space="preserve"> x .5</w:t>
            </w:r>
          </w:p>
        </w:tc>
        <w:tc>
          <w:tcPr>
            <w:tcW w:w="883" w:type="pct"/>
          </w:tcPr>
          <w:p w:rsidR="00B008E9" w:rsidRPr="00860259" w:rsidRDefault="00B008E9" w:rsidP="00C773CD">
            <w:pPr>
              <w:pStyle w:val="TableHead"/>
              <w:keepNext/>
            </w:pPr>
            <w:r w:rsidRPr="00860259">
              <w:t xml:space="preserve">need + </w:t>
            </w:r>
            <w:proofErr w:type="spellStart"/>
            <w:r w:rsidRPr="00860259">
              <w:t>enh</w:t>
            </w:r>
            <w:proofErr w:type="spellEnd"/>
            <w:r w:rsidRPr="00860259">
              <w:t xml:space="preserve"> x .33</w:t>
            </w:r>
          </w:p>
        </w:tc>
        <w:tc>
          <w:tcPr>
            <w:tcW w:w="753" w:type="pct"/>
          </w:tcPr>
          <w:p w:rsidR="00B008E9" w:rsidRPr="00860259" w:rsidRDefault="00B008E9" w:rsidP="00C773CD">
            <w:pPr>
              <w:pStyle w:val="TableHead"/>
              <w:keepNext/>
            </w:pPr>
            <w:r w:rsidRPr="00860259">
              <w:t xml:space="preserve">need + </w:t>
            </w:r>
            <w:proofErr w:type="spellStart"/>
            <w:r w:rsidRPr="00860259">
              <w:t>enh</w:t>
            </w:r>
            <w:proofErr w:type="spellEnd"/>
            <w:r w:rsidRPr="00860259">
              <w:t xml:space="preserve"> x .66</w:t>
            </w:r>
          </w:p>
        </w:tc>
      </w:tr>
      <w:tr w:rsidR="00B008E9" w:rsidRPr="00B10B77" w:rsidTr="00C773CD">
        <w:trPr>
          <w:cantSplit/>
          <w:trHeight w:val="255"/>
          <w:jc w:val="center"/>
        </w:trPr>
        <w:tc>
          <w:tcPr>
            <w:tcW w:w="1823" w:type="pct"/>
            <w:noWrap/>
            <w:hideMark/>
          </w:tcPr>
          <w:p w:rsidR="00B008E9" w:rsidRPr="00793BA3" w:rsidRDefault="00B008E9" w:rsidP="00C773CD">
            <w:pPr>
              <w:pStyle w:val="TableCell"/>
              <w:keepNext/>
              <w:jc w:val="left"/>
              <w:rPr>
                <w:lang w:eastAsia="en-IE"/>
              </w:rPr>
            </w:pPr>
            <w:r w:rsidRPr="00793BA3">
              <w:rPr>
                <w:lang w:eastAsia="en-IE"/>
              </w:rPr>
              <w:t xml:space="preserve">Speech/language </w:t>
            </w:r>
            <w:r>
              <w:rPr>
                <w:lang w:eastAsia="en-IE"/>
              </w:rPr>
              <w:t>therapist</w:t>
            </w:r>
          </w:p>
        </w:tc>
        <w:tc>
          <w:tcPr>
            <w:tcW w:w="816" w:type="pct"/>
            <w:noWrap/>
            <w:vAlign w:val="bottom"/>
            <w:hideMark/>
          </w:tcPr>
          <w:p w:rsidR="00B008E9" w:rsidRPr="00860259" w:rsidRDefault="00B008E9" w:rsidP="00C773CD">
            <w:pPr>
              <w:pStyle w:val="TableCell"/>
              <w:keepNext/>
            </w:pPr>
            <w:r w:rsidRPr="00860259">
              <w:t>258</w:t>
            </w:r>
          </w:p>
        </w:tc>
        <w:tc>
          <w:tcPr>
            <w:tcW w:w="726" w:type="pct"/>
            <w:vAlign w:val="bottom"/>
          </w:tcPr>
          <w:p w:rsidR="00B008E9" w:rsidRPr="00860259" w:rsidRDefault="00B008E9" w:rsidP="00C773CD">
            <w:pPr>
              <w:pStyle w:val="TableCell"/>
              <w:keepNext/>
            </w:pPr>
            <w:r w:rsidRPr="00860259">
              <w:t>163</w:t>
            </w:r>
          </w:p>
        </w:tc>
        <w:tc>
          <w:tcPr>
            <w:tcW w:w="883" w:type="pct"/>
            <w:vAlign w:val="bottom"/>
          </w:tcPr>
          <w:p w:rsidR="00B008E9" w:rsidRPr="00860259" w:rsidRDefault="00B008E9" w:rsidP="00C773CD">
            <w:pPr>
              <w:pStyle w:val="TableCell"/>
              <w:keepNext/>
            </w:pPr>
            <w:r w:rsidRPr="00860259">
              <w:t>148</w:t>
            </w:r>
          </w:p>
        </w:tc>
        <w:tc>
          <w:tcPr>
            <w:tcW w:w="753" w:type="pct"/>
            <w:vAlign w:val="bottom"/>
          </w:tcPr>
          <w:p w:rsidR="00B008E9" w:rsidRPr="00860259" w:rsidRDefault="00B008E9" w:rsidP="00C773CD">
            <w:pPr>
              <w:pStyle w:val="TableCell"/>
              <w:keepNext/>
            </w:pPr>
            <w:r w:rsidRPr="00860259">
              <w:t>177</w:t>
            </w:r>
          </w:p>
        </w:tc>
      </w:tr>
      <w:tr w:rsidR="00B008E9" w:rsidRPr="00B10B77" w:rsidTr="00C773CD">
        <w:trPr>
          <w:cantSplit/>
          <w:trHeight w:val="255"/>
          <w:jc w:val="center"/>
        </w:trPr>
        <w:tc>
          <w:tcPr>
            <w:tcW w:w="1823" w:type="pct"/>
            <w:noWrap/>
            <w:hideMark/>
          </w:tcPr>
          <w:p w:rsidR="00B008E9" w:rsidRPr="00793BA3" w:rsidRDefault="00B008E9" w:rsidP="00C773CD">
            <w:pPr>
              <w:pStyle w:val="TableCell"/>
              <w:keepNext/>
              <w:jc w:val="left"/>
              <w:rPr>
                <w:lang w:eastAsia="en-IE"/>
              </w:rPr>
            </w:pPr>
            <w:r w:rsidRPr="00793BA3">
              <w:rPr>
                <w:lang w:eastAsia="en-IE"/>
              </w:rPr>
              <w:t>Occup</w:t>
            </w:r>
            <w:r>
              <w:rPr>
                <w:lang w:eastAsia="en-IE"/>
              </w:rPr>
              <w:t>ational therapist</w:t>
            </w:r>
          </w:p>
        </w:tc>
        <w:tc>
          <w:tcPr>
            <w:tcW w:w="816" w:type="pct"/>
            <w:noWrap/>
            <w:vAlign w:val="bottom"/>
            <w:hideMark/>
          </w:tcPr>
          <w:p w:rsidR="00B008E9" w:rsidRPr="00860259" w:rsidRDefault="00B008E9" w:rsidP="00C773CD">
            <w:pPr>
              <w:pStyle w:val="TableCell"/>
              <w:keepNext/>
            </w:pPr>
            <w:r w:rsidRPr="00860259">
              <w:t>234</w:t>
            </w:r>
          </w:p>
        </w:tc>
        <w:tc>
          <w:tcPr>
            <w:tcW w:w="726" w:type="pct"/>
            <w:vAlign w:val="bottom"/>
          </w:tcPr>
          <w:p w:rsidR="00B008E9" w:rsidRPr="00860259" w:rsidRDefault="00B008E9" w:rsidP="00C773CD">
            <w:pPr>
              <w:pStyle w:val="TableCell"/>
              <w:keepNext/>
            </w:pPr>
            <w:r w:rsidRPr="00860259">
              <w:t>160</w:t>
            </w:r>
          </w:p>
        </w:tc>
        <w:tc>
          <w:tcPr>
            <w:tcW w:w="883" w:type="pct"/>
            <w:vAlign w:val="bottom"/>
          </w:tcPr>
          <w:p w:rsidR="00B008E9" w:rsidRPr="00860259" w:rsidRDefault="00B008E9" w:rsidP="00C773CD">
            <w:pPr>
              <w:pStyle w:val="TableCell"/>
              <w:keepNext/>
            </w:pPr>
            <w:r w:rsidRPr="00860259">
              <w:t>147</w:t>
            </w:r>
          </w:p>
        </w:tc>
        <w:tc>
          <w:tcPr>
            <w:tcW w:w="753" w:type="pct"/>
            <w:vAlign w:val="bottom"/>
          </w:tcPr>
          <w:p w:rsidR="00B008E9" w:rsidRPr="00860259" w:rsidRDefault="00B008E9" w:rsidP="00C773CD">
            <w:pPr>
              <w:pStyle w:val="TableCell"/>
              <w:keepNext/>
            </w:pPr>
            <w:r w:rsidRPr="00860259">
              <w:t>173</w:t>
            </w:r>
          </w:p>
        </w:tc>
      </w:tr>
      <w:tr w:rsidR="00B008E9" w:rsidRPr="00B10B77" w:rsidTr="00C773CD">
        <w:trPr>
          <w:cantSplit/>
          <w:trHeight w:val="255"/>
          <w:jc w:val="center"/>
        </w:trPr>
        <w:tc>
          <w:tcPr>
            <w:tcW w:w="1823" w:type="pct"/>
            <w:noWrap/>
            <w:hideMark/>
          </w:tcPr>
          <w:p w:rsidR="00B008E9" w:rsidRPr="00860259" w:rsidRDefault="00B008E9" w:rsidP="00C773CD">
            <w:pPr>
              <w:pStyle w:val="TableCell"/>
              <w:keepNext/>
              <w:jc w:val="left"/>
              <w:rPr>
                <w:lang w:eastAsia="en-IE"/>
              </w:rPr>
            </w:pPr>
            <w:r w:rsidRPr="00860259">
              <w:rPr>
                <w:lang w:eastAsia="en-IE"/>
              </w:rPr>
              <w:t>Physiotherapist</w:t>
            </w:r>
          </w:p>
        </w:tc>
        <w:tc>
          <w:tcPr>
            <w:tcW w:w="816" w:type="pct"/>
            <w:noWrap/>
            <w:vAlign w:val="bottom"/>
            <w:hideMark/>
          </w:tcPr>
          <w:p w:rsidR="00B008E9" w:rsidRPr="00860259" w:rsidRDefault="00B008E9" w:rsidP="00C773CD">
            <w:pPr>
              <w:pStyle w:val="TableCell"/>
              <w:keepNext/>
            </w:pPr>
            <w:r w:rsidRPr="00860259">
              <w:t>174</w:t>
            </w:r>
          </w:p>
        </w:tc>
        <w:tc>
          <w:tcPr>
            <w:tcW w:w="726" w:type="pct"/>
            <w:vAlign w:val="bottom"/>
          </w:tcPr>
          <w:p w:rsidR="00B008E9" w:rsidRPr="00860259" w:rsidRDefault="00B008E9" w:rsidP="00C773CD">
            <w:pPr>
              <w:pStyle w:val="TableCell"/>
              <w:keepNext/>
            </w:pPr>
            <w:r w:rsidRPr="00860259">
              <w:t>35</w:t>
            </w:r>
          </w:p>
        </w:tc>
        <w:tc>
          <w:tcPr>
            <w:tcW w:w="883" w:type="pct"/>
            <w:vAlign w:val="bottom"/>
          </w:tcPr>
          <w:p w:rsidR="00B008E9" w:rsidRPr="00860259" w:rsidRDefault="00B008E9" w:rsidP="00C773CD">
            <w:pPr>
              <w:pStyle w:val="TableCell"/>
              <w:keepNext/>
            </w:pPr>
            <w:r w:rsidRPr="00860259">
              <w:t>33</w:t>
            </w:r>
          </w:p>
        </w:tc>
        <w:tc>
          <w:tcPr>
            <w:tcW w:w="753" w:type="pct"/>
            <w:vAlign w:val="bottom"/>
          </w:tcPr>
          <w:p w:rsidR="00B008E9" w:rsidRPr="00860259" w:rsidRDefault="00B008E9" w:rsidP="00C773CD">
            <w:pPr>
              <w:pStyle w:val="TableCell"/>
              <w:keepNext/>
            </w:pPr>
            <w:r w:rsidRPr="00860259">
              <w:t>38</w:t>
            </w:r>
          </w:p>
        </w:tc>
      </w:tr>
      <w:tr w:rsidR="00B008E9" w:rsidRPr="00B10B77" w:rsidTr="00C773CD">
        <w:trPr>
          <w:cantSplit/>
          <w:trHeight w:val="255"/>
          <w:jc w:val="center"/>
        </w:trPr>
        <w:tc>
          <w:tcPr>
            <w:tcW w:w="1823" w:type="pct"/>
            <w:noWrap/>
            <w:hideMark/>
          </w:tcPr>
          <w:p w:rsidR="00B008E9" w:rsidRPr="00860259" w:rsidRDefault="00B008E9" w:rsidP="00C773CD">
            <w:pPr>
              <w:pStyle w:val="TableCell"/>
              <w:keepNext/>
              <w:jc w:val="left"/>
              <w:rPr>
                <w:lang w:eastAsia="en-IE"/>
              </w:rPr>
            </w:pPr>
            <w:r w:rsidRPr="00860259">
              <w:rPr>
                <w:lang w:eastAsia="en-IE"/>
              </w:rPr>
              <w:t>Social worker</w:t>
            </w:r>
          </w:p>
        </w:tc>
        <w:tc>
          <w:tcPr>
            <w:tcW w:w="816" w:type="pct"/>
            <w:noWrap/>
            <w:vAlign w:val="bottom"/>
            <w:hideMark/>
          </w:tcPr>
          <w:p w:rsidR="00B008E9" w:rsidRPr="00860259" w:rsidRDefault="00B008E9" w:rsidP="00C773CD">
            <w:pPr>
              <w:pStyle w:val="TableCell"/>
              <w:keepNext/>
            </w:pPr>
            <w:r w:rsidRPr="00860259">
              <w:t>99</w:t>
            </w:r>
          </w:p>
        </w:tc>
        <w:tc>
          <w:tcPr>
            <w:tcW w:w="726" w:type="pct"/>
            <w:vAlign w:val="bottom"/>
          </w:tcPr>
          <w:p w:rsidR="00B008E9" w:rsidRPr="00860259" w:rsidRDefault="00B008E9" w:rsidP="00C773CD">
            <w:pPr>
              <w:pStyle w:val="TableCell"/>
              <w:keepNext/>
            </w:pPr>
            <w:r w:rsidRPr="00860259">
              <w:t>39</w:t>
            </w:r>
          </w:p>
        </w:tc>
        <w:tc>
          <w:tcPr>
            <w:tcW w:w="883" w:type="pct"/>
            <w:vAlign w:val="bottom"/>
          </w:tcPr>
          <w:p w:rsidR="00B008E9" w:rsidRPr="00860259" w:rsidRDefault="00B008E9" w:rsidP="00C773CD">
            <w:pPr>
              <w:pStyle w:val="TableCell"/>
              <w:keepNext/>
            </w:pPr>
            <w:r w:rsidRPr="00860259">
              <w:t>36</w:t>
            </w:r>
          </w:p>
        </w:tc>
        <w:tc>
          <w:tcPr>
            <w:tcW w:w="753" w:type="pct"/>
            <w:vAlign w:val="bottom"/>
          </w:tcPr>
          <w:p w:rsidR="00B008E9" w:rsidRPr="00860259" w:rsidRDefault="00B008E9" w:rsidP="00C773CD">
            <w:pPr>
              <w:pStyle w:val="TableCell"/>
              <w:keepNext/>
            </w:pPr>
            <w:r w:rsidRPr="00860259">
              <w:t>42</w:t>
            </w:r>
          </w:p>
        </w:tc>
      </w:tr>
      <w:tr w:rsidR="00B008E9" w:rsidRPr="00B10B77" w:rsidTr="00C773CD">
        <w:trPr>
          <w:cantSplit/>
          <w:trHeight w:val="255"/>
          <w:jc w:val="center"/>
        </w:trPr>
        <w:tc>
          <w:tcPr>
            <w:tcW w:w="1823" w:type="pct"/>
            <w:noWrap/>
            <w:hideMark/>
          </w:tcPr>
          <w:p w:rsidR="00B008E9" w:rsidRPr="00860259" w:rsidRDefault="00B008E9" w:rsidP="00C773CD">
            <w:pPr>
              <w:pStyle w:val="TableCell"/>
              <w:keepNext/>
              <w:jc w:val="left"/>
              <w:rPr>
                <w:lang w:eastAsia="en-IE"/>
              </w:rPr>
            </w:pPr>
            <w:r w:rsidRPr="00860259">
              <w:rPr>
                <w:lang w:eastAsia="en-IE"/>
              </w:rPr>
              <w:t>Psychologist</w:t>
            </w:r>
          </w:p>
        </w:tc>
        <w:tc>
          <w:tcPr>
            <w:tcW w:w="816" w:type="pct"/>
            <w:noWrap/>
            <w:vAlign w:val="bottom"/>
            <w:hideMark/>
          </w:tcPr>
          <w:p w:rsidR="00B008E9" w:rsidRPr="00860259" w:rsidRDefault="00B008E9" w:rsidP="00C773CD">
            <w:pPr>
              <w:pStyle w:val="TableCell"/>
              <w:keepNext/>
            </w:pPr>
            <w:r w:rsidRPr="00860259">
              <w:t>161</w:t>
            </w:r>
          </w:p>
        </w:tc>
        <w:tc>
          <w:tcPr>
            <w:tcW w:w="726" w:type="pct"/>
            <w:vAlign w:val="bottom"/>
          </w:tcPr>
          <w:p w:rsidR="00B008E9" w:rsidRPr="00860259" w:rsidRDefault="00B008E9" w:rsidP="00C773CD">
            <w:pPr>
              <w:pStyle w:val="TableCell"/>
              <w:keepNext/>
            </w:pPr>
            <w:r w:rsidRPr="00860259">
              <w:t>146</w:t>
            </w:r>
          </w:p>
        </w:tc>
        <w:tc>
          <w:tcPr>
            <w:tcW w:w="883" w:type="pct"/>
            <w:vAlign w:val="bottom"/>
          </w:tcPr>
          <w:p w:rsidR="00B008E9" w:rsidRPr="00860259" w:rsidRDefault="00B008E9" w:rsidP="00C773CD">
            <w:pPr>
              <w:pStyle w:val="TableCell"/>
              <w:keepNext/>
            </w:pPr>
            <w:r w:rsidRPr="00860259">
              <w:t>136</w:t>
            </w:r>
          </w:p>
        </w:tc>
        <w:tc>
          <w:tcPr>
            <w:tcW w:w="753" w:type="pct"/>
            <w:vAlign w:val="bottom"/>
          </w:tcPr>
          <w:p w:rsidR="00B008E9" w:rsidRPr="00860259" w:rsidRDefault="00B008E9" w:rsidP="00C773CD">
            <w:pPr>
              <w:pStyle w:val="TableCell"/>
              <w:keepNext/>
            </w:pPr>
            <w:r w:rsidRPr="00860259">
              <w:t>156</w:t>
            </w:r>
          </w:p>
        </w:tc>
      </w:tr>
      <w:tr w:rsidR="00B008E9" w:rsidRPr="00B10B77" w:rsidTr="00C773CD">
        <w:trPr>
          <w:cantSplit/>
          <w:trHeight w:val="255"/>
          <w:jc w:val="center"/>
        </w:trPr>
        <w:tc>
          <w:tcPr>
            <w:tcW w:w="1823" w:type="pct"/>
            <w:noWrap/>
            <w:hideMark/>
          </w:tcPr>
          <w:p w:rsidR="00B008E9" w:rsidRPr="00860259" w:rsidRDefault="00B008E9" w:rsidP="00C773CD">
            <w:pPr>
              <w:pStyle w:val="TableCell"/>
              <w:keepNext/>
              <w:jc w:val="left"/>
              <w:rPr>
                <w:lang w:eastAsia="en-IE"/>
              </w:rPr>
            </w:pPr>
            <w:r w:rsidRPr="00860259">
              <w:rPr>
                <w:lang w:eastAsia="en-IE"/>
              </w:rPr>
              <w:t>Pub health nurse</w:t>
            </w:r>
          </w:p>
        </w:tc>
        <w:tc>
          <w:tcPr>
            <w:tcW w:w="816" w:type="pct"/>
            <w:noWrap/>
            <w:vAlign w:val="bottom"/>
            <w:hideMark/>
          </w:tcPr>
          <w:p w:rsidR="00B008E9" w:rsidRPr="00860259" w:rsidRDefault="00B008E9" w:rsidP="00C773CD">
            <w:pPr>
              <w:pStyle w:val="TableCell"/>
              <w:keepNext/>
            </w:pPr>
            <w:r w:rsidRPr="00860259">
              <w:t>175</w:t>
            </w:r>
          </w:p>
        </w:tc>
        <w:tc>
          <w:tcPr>
            <w:tcW w:w="726" w:type="pct"/>
            <w:vAlign w:val="bottom"/>
          </w:tcPr>
          <w:p w:rsidR="00B008E9" w:rsidRPr="00860259" w:rsidRDefault="00B008E9" w:rsidP="00C773CD">
            <w:pPr>
              <w:pStyle w:val="TableCell"/>
              <w:keepNext/>
            </w:pPr>
            <w:r w:rsidRPr="00860259">
              <w:t>46</w:t>
            </w:r>
          </w:p>
        </w:tc>
        <w:tc>
          <w:tcPr>
            <w:tcW w:w="883" w:type="pct"/>
            <w:vAlign w:val="bottom"/>
          </w:tcPr>
          <w:p w:rsidR="00B008E9" w:rsidRPr="00860259" w:rsidRDefault="00B008E9" w:rsidP="00C773CD">
            <w:pPr>
              <w:pStyle w:val="TableCell"/>
              <w:keepNext/>
            </w:pPr>
            <w:r w:rsidRPr="00860259">
              <w:t>43</w:t>
            </w:r>
          </w:p>
        </w:tc>
        <w:tc>
          <w:tcPr>
            <w:tcW w:w="753" w:type="pct"/>
            <w:vAlign w:val="bottom"/>
          </w:tcPr>
          <w:p w:rsidR="00B008E9" w:rsidRPr="00860259" w:rsidRDefault="00B008E9" w:rsidP="00C773CD">
            <w:pPr>
              <w:pStyle w:val="TableCell"/>
              <w:keepNext/>
            </w:pPr>
            <w:r w:rsidRPr="00860259">
              <w:t>49</w:t>
            </w:r>
          </w:p>
        </w:tc>
      </w:tr>
      <w:tr w:rsidR="00B008E9" w:rsidRPr="00B10B77" w:rsidTr="00C773CD">
        <w:trPr>
          <w:cantSplit/>
          <w:trHeight w:val="255"/>
          <w:jc w:val="center"/>
        </w:trPr>
        <w:tc>
          <w:tcPr>
            <w:tcW w:w="1823" w:type="pct"/>
            <w:noWrap/>
            <w:hideMark/>
          </w:tcPr>
          <w:p w:rsidR="00B008E9" w:rsidRPr="00860259" w:rsidRDefault="00B008E9" w:rsidP="00C773CD">
            <w:pPr>
              <w:pStyle w:val="TableCell"/>
              <w:keepNext/>
              <w:jc w:val="left"/>
              <w:rPr>
                <w:lang w:eastAsia="en-IE"/>
              </w:rPr>
            </w:pPr>
            <w:r w:rsidRPr="00860259">
              <w:rPr>
                <w:lang w:eastAsia="en-IE"/>
              </w:rPr>
              <w:t>Dietician</w:t>
            </w:r>
          </w:p>
        </w:tc>
        <w:tc>
          <w:tcPr>
            <w:tcW w:w="816" w:type="pct"/>
            <w:noWrap/>
            <w:vAlign w:val="bottom"/>
            <w:hideMark/>
          </w:tcPr>
          <w:p w:rsidR="00B008E9" w:rsidRPr="00860259" w:rsidRDefault="00B008E9" w:rsidP="00C773CD">
            <w:pPr>
              <w:pStyle w:val="TableCell"/>
              <w:keepNext/>
            </w:pPr>
            <w:r w:rsidRPr="00860259">
              <w:t>5</w:t>
            </w:r>
          </w:p>
        </w:tc>
        <w:tc>
          <w:tcPr>
            <w:tcW w:w="726" w:type="pct"/>
            <w:vAlign w:val="bottom"/>
          </w:tcPr>
          <w:p w:rsidR="00B008E9" w:rsidRPr="00860259" w:rsidRDefault="00B008E9" w:rsidP="00C773CD">
            <w:pPr>
              <w:pStyle w:val="TableCell"/>
              <w:keepNext/>
            </w:pPr>
            <w:r w:rsidRPr="00860259">
              <w:t>4</w:t>
            </w:r>
          </w:p>
        </w:tc>
        <w:tc>
          <w:tcPr>
            <w:tcW w:w="883" w:type="pct"/>
            <w:vAlign w:val="bottom"/>
          </w:tcPr>
          <w:p w:rsidR="00B008E9" w:rsidRPr="00860259" w:rsidRDefault="00B008E9" w:rsidP="00C773CD">
            <w:pPr>
              <w:pStyle w:val="TableCell"/>
              <w:keepNext/>
            </w:pPr>
            <w:r w:rsidRPr="00860259">
              <w:t>3</w:t>
            </w:r>
          </w:p>
        </w:tc>
        <w:tc>
          <w:tcPr>
            <w:tcW w:w="753" w:type="pct"/>
            <w:vAlign w:val="bottom"/>
          </w:tcPr>
          <w:p w:rsidR="00B008E9" w:rsidRPr="00860259" w:rsidRDefault="00B008E9" w:rsidP="00C773CD">
            <w:pPr>
              <w:pStyle w:val="TableCell"/>
              <w:keepNext/>
            </w:pPr>
            <w:r w:rsidRPr="00860259">
              <w:t>4</w:t>
            </w:r>
          </w:p>
        </w:tc>
      </w:tr>
      <w:tr w:rsidR="00B008E9" w:rsidRPr="00B10B77" w:rsidTr="00C773CD">
        <w:trPr>
          <w:cantSplit/>
          <w:trHeight w:val="255"/>
          <w:jc w:val="center"/>
        </w:trPr>
        <w:tc>
          <w:tcPr>
            <w:tcW w:w="1823" w:type="pct"/>
            <w:noWrap/>
            <w:hideMark/>
          </w:tcPr>
          <w:p w:rsidR="00B008E9" w:rsidRPr="00C773CD" w:rsidRDefault="00B008E9" w:rsidP="00C773CD">
            <w:pPr>
              <w:pStyle w:val="TableCell"/>
              <w:keepNext/>
              <w:jc w:val="left"/>
              <w:rPr>
                <w:b/>
                <w:lang w:eastAsia="en-IE"/>
              </w:rPr>
            </w:pPr>
            <w:r w:rsidRPr="00C773CD">
              <w:rPr>
                <w:b/>
                <w:lang w:eastAsia="en-IE"/>
              </w:rPr>
              <w:t xml:space="preserve">Total – factor of 5 </w:t>
            </w:r>
          </w:p>
        </w:tc>
        <w:tc>
          <w:tcPr>
            <w:tcW w:w="816" w:type="pct"/>
            <w:noWrap/>
            <w:vAlign w:val="bottom"/>
            <w:hideMark/>
          </w:tcPr>
          <w:p w:rsidR="00B008E9" w:rsidRPr="00C773CD" w:rsidRDefault="00B008E9" w:rsidP="00C773CD">
            <w:pPr>
              <w:pStyle w:val="TableCell"/>
              <w:keepNext/>
              <w:rPr>
                <w:b/>
              </w:rPr>
            </w:pPr>
            <w:r w:rsidRPr="00C773CD">
              <w:rPr>
                <w:b/>
              </w:rPr>
              <w:t>1,106</w:t>
            </w:r>
          </w:p>
        </w:tc>
        <w:tc>
          <w:tcPr>
            <w:tcW w:w="726" w:type="pct"/>
            <w:vAlign w:val="bottom"/>
          </w:tcPr>
          <w:p w:rsidR="00B008E9" w:rsidRPr="00C773CD" w:rsidRDefault="00B008E9" w:rsidP="00C773CD">
            <w:pPr>
              <w:pStyle w:val="TableCell"/>
              <w:keepNext/>
              <w:rPr>
                <w:b/>
              </w:rPr>
            </w:pPr>
            <w:r w:rsidRPr="00C773CD">
              <w:rPr>
                <w:b/>
              </w:rPr>
              <w:t>593</w:t>
            </w:r>
          </w:p>
        </w:tc>
        <w:tc>
          <w:tcPr>
            <w:tcW w:w="883" w:type="pct"/>
            <w:vAlign w:val="bottom"/>
          </w:tcPr>
          <w:p w:rsidR="00B008E9" w:rsidRPr="00C773CD" w:rsidRDefault="00B008E9" w:rsidP="00C773CD">
            <w:pPr>
              <w:pStyle w:val="TableCell"/>
              <w:keepNext/>
              <w:rPr>
                <w:b/>
              </w:rPr>
            </w:pPr>
            <w:r w:rsidRPr="00C773CD">
              <w:rPr>
                <w:b/>
              </w:rPr>
              <w:t>546</w:t>
            </w:r>
          </w:p>
        </w:tc>
        <w:tc>
          <w:tcPr>
            <w:tcW w:w="753" w:type="pct"/>
            <w:vAlign w:val="bottom"/>
          </w:tcPr>
          <w:p w:rsidR="00B008E9" w:rsidRPr="00C773CD" w:rsidRDefault="00B008E9" w:rsidP="00C773CD">
            <w:pPr>
              <w:pStyle w:val="TableCell"/>
              <w:keepNext/>
              <w:rPr>
                <w:b/>
              </w:rPr>
            </w:pPr>
            <w:r w:rsidRPr="00C773CD">
              <w:rPr>
                <w:b/>
              </w:rPr>
              <w:t>639</w:t>
            </w:r>
          </w:p>
        </w:tc>
      </w:tr>
      <w:tr w:rsidR="00B008E9" w:rsidRPr="00B10B77" w:rsidTr="00C773CD">
        <w:trPr>
          <w:cantSplit/>
          <w:trHeight w:val="255"/>
          <w:jc w:val="center"/>
        </w:trPr>
        <w:tc>
          <w:tcPr>
            <w:tcW w:w="1823" w:type="pct"/>
            <w:noWrap/>
            <w:hideMark/>
          </w:tcPr>
          <w:p w:rsidR="00B008E9" w:rsidRPr="00C773CD" w:rsidRDefault="00B008E9" w:rsidP="00C773CD">
            <w:pPr>
              <w:pStyle w:val="TableCell"/>
              <w:keepNext/>
              <w:jc w:val="left"/>
              <w:rPr>
                <w:b/>
                <w:lang w:eastAsia="en-IE"/>
              </w:rPr>
            </w:pPr>
            <w:r w:rsidRPr="00C773CD">
              <w:rPr>
                <w:b/>
                <w:lang w:eastAsia="en-IE"/>
              </w:rPr>
              <w:t>Total – factor of 6.25</w:t>
            </w:r>
          </w:p>
        </w:tc>
        <w:tc>
          <w:tcPr>
            <w:tcW w:w="816" w:type="pct"/>
            <w:noWrap/>
            <w:vAlign w:val="bottom"/>
            <w:hideMark/>
          </w:tcPr>
          <w:p w:rsidR="00B008E9" w:rsidRPr="00C773CD" w:rsidRDefault="00B008E9" w:rsidP="00C773CD">
            <w:pPr>
              <w:pStyle w:val="TableCell"/>
              <w:keepNext/>
              <w:rPr>
                <w:b/>
              </w:rPr>
            </w:pPr>
            <w:r w:rsidRPr="00C773CD">
              <w:rPr>
                <w:b/>
              </w:rPr>
              <w:t>1,106</w:t>
            </w:r>
          </w:p>
        </w:tc>
        <w:tc>
          <w:tcPr>
            <w:tcW w:w="726" w:type="pct"/>
            <w:vAlign w:val="bottom"/>
          </w:tcPr>
          <w:p w:rsidR="00B008E9" w:rsidRPr="00C773CD" w:rsidRDefault="00B008E9" w:rsidP="00C773CD">
            <w:pPr>
              <w:pStyle w:val="TableCell"/>
              <w:keepNext/>
              <w:rPr>
                <w:b/>
              </w:rPr>
            </w:pPr>
            <w:r w:rsidRPr="00C773CD">
              <w:rPr>
                <w:b/>
              </w:rPr>
              <w:t>594</w:t>
            </w:r>
          </w:p>
        </w:tc>
        <w:tc>
          <w:tcPr>
            <w:tcW w:w="883" w:type="pct"/>
            <w:vAlign w:val="bottom"/>
          </w:tcPr>
          <w:p w:rsidR="00B008E9" w:rsidRPr="00C773CD" w:rsidRDefault="00B008E9" w:rsidP="00C773CD">
            <w:pPr>
              <w:pStyle w:val="TableCell"/>
              <w:keepNext/>
              <w:rPr>
                <w:b/>
              </w:rPr>
            </w:pPr>
            <w:r w:rsidRPr="00C773CD">
              <w:rPr>
                <w:b/>
              </w:rPr>
              <w:t>547</w:t>
            </w:r>
          </w:p>
        </w:tc>
        <w:tc>
          <w:tcPr>
            <w:tcW w:w="753" w:type="pct"/>
            <w:vAlign w:val="bottom"/>
          </w:tcPr>
          <w:p w:rsidR="00B008E9" w:rsidRPr="00C773CD" w:rsidRDefault="00B008E9" w:rsidP="00C773CD">
            <w:pPr>
              <w:pStyle w:val="TableCell"/>
              <w:keepNext/>
              <w:rPr>
                <w:b/>
              </w:rPr>
            </w:pPr>
            <w:r w:rsidRPr="00C773CD">
              <w:rPr>
                <w:b/>
              </w:rPr>
              <w:t>642</w:t>
            </w:r>
          </w:p>
        </w:tc>
      </w:tr>
    </w:tbl>
    <w:p w:rsidR="00B008E9" w:rsidRDefault="00B008E9" w:rsidP="00A313F9">
      <w:pPr>
        <w:spacing w:before="240"/>
      </w:pPr>
      <w:r>
        <w:t>The predicted additional therapy posts required, on the a</w:t>
      </w:r>
      <w:r w:rsidR="00E20F6B">
        <w:t xml:space="preserve">ssumptions made about partially </w:t>
      </w:r>
      <w:r>
        <w:t>met need</w:t>
      </w:r>
      <w:r w:rsidR="00E20F6B">
        <w:t>,</w:t>
      </w:r>
      <w:r>
        <w:t xml:space="preserve"> are grossed up by a factor of 5 or a factor of 6.25. </w:t>
      </w:r>
      <w:r w:rsidR="00E20F6B">
        <w:t xml:space="preserve">Following this, </w:t>
      </w:r>
      <w:r w:rsidR="002173C4">
        <w:t xml:space="preserve">figures </w:t>
      </w:r>
      <w:r>
        <w:t>suggest</w:t>
      </w:r>
      <w:r w:rsidR="002173C4">
        <w:t>ed</w:t>
      </w:r>
      <w:r>
        <w:t xml:space="preserve"> for additional therapy numbers that could be required</w:t>
      </w:r>
      <w:r w:rsidR="003C5B8E">
        <w:t>,</w:t>
      </w:r>
      <w:r>
        <w:t xml:space="preserve"> range from 546 to 642 additional therapy posts.</w:t>
      </w:r>
    </w:p>
    <w:p w:rsidR="00B008E9" w:rsidRDefault="00B008E9" w:rsidP="00B008E9">
      <w:r>
        <w:t>It should be noted</w:t>
      </w:r>
      <w:r w:rsidR="003C5B8E">
        <w:t>,</w:t>
      </w:r>
      <w:r>
        <w:t xml:space="preserve"> that these figures for additional therapy numbers required</w:t>
      </w:r>
      <w:r w:rsidR="003C5B8E">
        <w:t>,</w:t>
      </w:r>
      <w:r>
        <w:t xml:space="preserve"> are relative to the baseline number of therapy WTEs from the HSE’s 2012 survey of numbers employed in this service.</w:t>
      </w:r>
    </w:p>
    <w:p w:rsidR="00B008E9" w:rsidRDefault="00B008E9" w:rsidP="001E0736">
      <w:pPr>
        <w:pStyle w:val="Heading3"/>
      </w:pPr>
      <w:bookmarkStart w:id="80" w:name="_Toc415667005"/>
      <w:bookmarkStart w:id="81" w:name="_Toc415733698"/>
      <w:r>
        <w:t>Cost - €28-€34m</w:t>
      </w:r>
      <w:bookmarkEnd w:id="80"/>
      <w:bookmarkEnd w:id="81"/>
    </w:p>
    <w:p w:rsidR="00B008E9" w:rsidRDefault="00B008E9" w:rsidP="00B008E9">
      <w:pPr>
        <w:rPr>
          <w:b/>
        </w:rPr>
      </w:pPr>
      <w:r>
        <w:t>Using the consolidated pay scales, assuming that all posts would be filled at a basic grade</w:t>
      </w:r>
      <w:r w:rsidR="003C5B8E">
        <w:t>,</w:t>
      </w:r>
      <w:r>
        <w:t xml:space="preserve"> on the mid-point of the scale</w:t>
      </w:r>
      <w:r w:rsidR="003C5B8E">
        <w:t>,</w:t>
      </w:r>
      <w:r>
        <w:t xml:space="preserve"> would give a ball-park estimate of €26 million a year to fill the therapy gap, taking the lower of the estimates of number of therapists required. However, presumably if recruitment on that scale were to be considered, there would need to be a mix of senior and entry-level posts in order to pro</w:t>
      </w:r>
      <w:r w:rsidR="003C5B8E">
        <w:t xml:space="preserve">vide supervision. Assuming posts </w:t>
      </w:r>
      <w:r>
        <w:t>wou</w:t>
      </w:r>
      <w:r w:rsidR="003C5B8E">
        <w:t>ld be filled on the ratio of 2:1,</w:t>
      </w:r>
      <w:r>
        <w:t xml:space="preserve"> between basic and senior therapy grades,</w:t>
      </w:r>
      <w:r>
        <w:rPr>
          <w:rStyle w:val="FootnoteReference"/>
        </w:rPr>
        <w:footnoteReference w:id="40"/>
      </w:r>
      <w:r>
        <w:t xml:space="preserve"> it would raise the annual cost to about €28.5 million to fill the therapy gap, based on that lower estimate of additional therapists required. Using the </w:t>
      </w:r>
      <w:r w:rsidRPr="00C42117">
        <w:t>higher estimate of number of therapists needed, the ballpar</w:t>
      </w:r>
      <w:r>
        <w:t>k annual cost would be about €33.5</w:t>
      </w:r>
      <w:r w:rsidRPr="00C42117">
        <w:t>m.</w:t>
      </w:r>
      <w:r>
        <w:rPr>
          <w:b/>
        </w:rPr>
        <w:t xml:space="preserve"> </w:t>
      </w:r>
    </w:p>
    <w:p w:rsidR="00B008E9" w:rsidRDefault="00B008E9" w:rsidP="00B008E9">
      <w:r>
        <w:t xml:space="preserve">It is estimated that the cost of filling maternity leave posts etc. would be approximately €5.5m a year, using a similar basis for costing. </w:t>
      </w:r>
    </w:p>
    <w:p w:rsidR="00B008E9" w:rsidRDefault="00B008E9" w:rsidP="001E0736">
      <w:pPr>
        <w:pStyle w:val="Heading3"/>
      </w:pPr>
      <w:bookmarkStart w:id="82" w:name="_Toc415667006"/>
      <w:bookmarkStart w:id="83" w:name="_Toc415733699"/>
      <w:r>
        <w:t>Better data for service planning</w:t>
      </w:r>
      <w:bookmarkEnd w:id="82"/>
      <w:bookmarkEnd w:id="83"/>
    </w:p>
    <w:p w:rsidR="00B008E9" w:rsidRDefault="00B008E9" w:rsidP="00B008E9">
      <w:r>
        <w:t>The data presented in this paper points to a sizeable therapy gap, but with caveats about its absolute size, and with the available sources of data</w:t>
      </w:r>
      <w:r w:rsidR="003C5B8E">
        <w:t>,</w:t>
      </w:r>
      <w:r>
        <w:t xml:space="preserve"> it is not pos</w:t>
      </w:r>
      <w:r w:rsidR="00AA7990">
        <w:t xml:space="preserve">sible to be much more precise. </w:t>
      </w:r>
      <w:r>
        <w:t xml:space="preserve"> </w:t>
      </w:r>
    </w:p>
    <w:p w:rsidR="00B008E9" w:rsidRPr="006732F3" w:rsidRDefault="00B008E9" w:rsidP="00B008E9">
      <w:r>
        <w:t xml:space="preserve">It is not clear to what extent reorganisation and a more parent-centred model of </w:t>
      </w:r>
      <w:r w:rsidR="00C04BE4">
        <w:t>delivery</w:t>
      </w:r>
      <w:r>
        <w:t xml:space="preserve"> could result in a more effective reach of services with the current workforce. As children’s disability services are reconfigured to a national model, there is the opportunity to introduce a standard way to assess and record therapy needs and common definitions and understanding of what constit</w:t>
      </w:r>
      <w:r w:rsidR="003C5B8E">
        <w:t>utes a waiting list, or to consolidate</w:t>
      </w:r>
      <w:r>
        <w:t xml:space="preserve"> needs for enhanced therapy services into low, moderate and high ranges</w:t>
      </w:r>
      <w:r w:rsidR="003C5B8E">
        <w:t>,</w:t>
      </w:r>
      <w:r>
        <w:t xml:space="preserve"> to enable better forecasting. The new common delivery </w:t>
      </w:r>
      <w:r w:rsidR="00C04BE4">
        <w:t>model</w:t>
      </w:r>
      <w:r>
        <w:t xml:space="preserve"> should also facilitate cross-disciplinary working across the services as a whole. It will also be possible to develop common systems to measure outcomes being achieved, and to identify what approaches and inputs are most effective with particular groups. These factors should help crystallise</w:t>
      </w:r>
      <w:r w:rsidR="003C5B8E">
        <w:t>,</w:t>
      </w:r>
      <w:r>
        <w:t xml:space="preserve"> to a more accurate extent</w:t>
      </w:r>
      <w:r w:rsidR="003C5B8E">
        <w:t>,</w:t>
      </w:r>
      <w:r>
        <w:t xml:space="preserve"> what is the total number of therapists needed to deliver the new model in an effective way. The uncertainty about the ultimate optimal size of the </w:t>
      </w:r>
      <w:r w:rsidR="00C04BE4">
        <w:t>service</w:t>
      </w:r>
      <w:r>
        <w:t xml:space="preserve"> should not be an argument against a prudent scale of expansion at this stage</w:t>
      </w:r>
      <w:r w:rsidR="003C5B8E">
        <w:t>,</w:t>
      </w:r>
      <w:r>
        <w:t xml:space="preserve"> which could enable some of the more pressing needs to be met. </w:t>
      </w:r>
    </w:p>
    <w:p w:rsidR="00B008E9" w:rsidRDefault="00B008E9" w:rsidP="001E0736">
      <w:pPr>
        <w:pStyle w:val="Heading3"/>
      </w:pPr>
      <w:bookmarkStart w:id="84" w:name="_Toc415667007"/>
      <w:bookmarkStart w:id="85" w:name="_Toc415733700"/>
      <w:r>
        <w:t>Meet some of the estimated gap – c 100 posts</w:t>
      </w:r>
      <w:bookmarkEnd w:id="84"/>
      <w:bookmarkEnd w:id="85"/>
    </w:p>
    <w:p w:rsidR="00B008E9" w:rsidRDefault="003C5B8E" w:rsidP="00B008E9">
      <w:r>
        <w:t>I</w:t>
      </w:r>
      <w:r w:rsidR="00B008E9">
        <w:t>t is clear</w:t>
      </w:r>
      <w:r>
        <w:t>,</w:t>
      </w:r>
      <w:r w:rsidR="00B008E9">
        <w:t xml:space="preserve"> that whatever the ca</w:t>
      </w:r>
      <w:r w:rsidR="00C04BE4">
        <w:t>veats about the exact magnitude</w:t>
      </w:r>
      <w:r w:rsidR="00B008E9">
        <w:t xml:space="preserve"> there appears to be a significant level of unmet need. If 100 additional posts were to be provided in 2015, that would meet very real needs and it would enable earlier intervention with young children. Additional provision on this scale would be very unlikely to result in overstaffing. An additional resource of the order of 100 extra </w:t>
      </w:r>
      <w:r w:rsidR="00C04BE4">
        <w:t>posts</w:t>
      </w:r>
      <w:r w:rsidR="00B008E9">
        <w:t xml:space="preserve"> would only reflect between a fifth and a sixth of the calculated shortfall relative to the 2012 baseline. </w:t>
      </w:r>
    </w:p>
    <w:p w:rsidR="00B008E9" w:rsidRDefault="00B008E9" w:rsidP="00B008E9">
      <w:r>
        <w:t>The total annual cost in a full year of recruiting an additional 100 permanent posts would total about €5.5m. a year. The cash cost in 2015 would be lower</w:t>
      </w:r>
      <w:r w:rsidR="00470516">
        <w:t>,</w:t>
      </w:r>
      <w:r>
        <w:t xml:space="preserve"> depending on how long it took to recruit and fill new posts. If</w:t>
      </w:r>
      <w:r w:rsidR="00470516">
        <w:t>,</w:t>
      </w:r>
      <w:r>
        <w:t xml:space="preserve"> on average</w:t>
      </w:r>
      <w:r w:rsidR="00470516">
        <w:t>, the new posts were filled by</w:t>
      </w:r>
      <w:r>
        <w:t xml:space="preserve"> July, the cost in 2015 would be about €2.7m, but the carryover cost into 2016 and subsequent years would be an additional €5.5m compared to the 2015 budget. </w:t>
      </w:r>
    </w:p>
    <w:p w:rsidR="00B008E9" w:rsidRDefault="00B008E9" w:rsidP="00B008E9">
      <w:r>
        <w:t xml:space="preserve">A combined package of covering maternity etc. </w:t>
      </w:r>
      <w:r w:rsidR="00C04BE4">
        <w:t>a</w:t>
      </w:r>
      <w:r>
        <w:t>bsences</w:t>
      </w:r>
      <w:r w:rsidR="00470516">
        <w:t>,</w:t>
      </w:r>
      <w:r>
        <w:t xml:space="preserve"> plus an additional 100 permanent therapy posts</w:t>
      </w:r>
      <w:r w:rsidR="00470516">
        <w:t>,</w:t>
      </w:r>
      <w:r>
        <w:t xml:space="preserve"> would thus co</w:t>
      </w:r>
      <w:r w:rsidR="00470516">
        <w:t>st about €8.2m in 2015 and €11m</w:t>
      </w:r>
      <w:r>
        <w:t xml:space="preserve"> in a full year. </w:t>
      </w:r>
    </w:p>
    <w:p w:rsidR="00B008E9" w:rsidRDefault="00470516" w:rsidP="001E0736">
      <w:pPr>
        <w:pStyle w:val="Heading3"/>
      </w:pPr>
      <w:bookmarkStart w:id="86" w:name="_Toc415667008"/>
      <w:bookmarkStart w:id="87" w:name="_Toc415733701"/>
      <w:r>
        <w:t>Forecasting the c</w:t>
      </w:r>
      <w:r w:rsidR="00B008E9">
        <w:t xml:space="preserve">omposition of any </w:t>
      </w:r>
      <w:r>
        <w:t xml:space="preserve">additional </w:t>
      </w:r>
      <w:r w:rsidR="00B008E9">
        <w:t>posts</w:t>
      </w:r>
      <w:bookmarkEnd w:id="86"/>
      <w:bookmarkEnd w:id="87"/>
    </w:p>
    <w:p w:rsidR="00B008E9" w:rsidRDefault="00B008E9" w:rsidP="00B008E9">
      <w:r>
        <w:t>If 100 new therapy posts were to be added, this would be the appropriate ratio</w:t>
      </w:r>
      <w:r w:rsidR="00470516">
        <w:t>:</w:t>
      </w:r>
    </w:p>
    <w:p w:rsidR="00B008E9" w:rsidRDefault="00B008E9" w:rsidP="00AA7990">
      <w:pPr>
        <w:pStyle w:val="TableTitle"/>
      </w:pPr>
      <w:bookmarkStart w:id="88" w:name="_Toc403572505"/>
      <w:bookmarkStart w:id="89" w:name="_Toc419879408"/>
      <w:r>
        <w:t>Table 5: Ratio for 100 new therapy posts</w:t>
      </w:r>
      <w:bookmarkEnd w:id="88"/>
      <w:bookmarkEnd w:id="8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3F" w:firstRow="1" w:lastRow="0" w:firstColumn="0" w:lastColumn="0" w:noHBand="0" w:noVBand="0"/>
      </w:tblPr>
      <w:tblGrid>
        <w:gridCol w:w="2918"/>
        <w:gridCol w:w="931"/>
      </w:tblGrid>
      <w:tr w:rsidR="00C04BE4" w:rsidRPr="0003737D" w:rsidTr="00C04BE4">
        <w:trPr>
          <w:tblHeader/>
          <w:jc w:val="center"/>
        </w:trPr>
        <w:tc>
          <w:tcPr>
            <w:tcW w:w="0" w:type="auto"/>
            <w:shd w:val="clear" w:color="auto" w:fill="auto"/>
          </w:tcPr>
          <w:p w:rsidR="00C04BE4" w:rsidRPr="0003737D" w:rsidRDefault="00C04BE4" w:rsidP="00C04BE4">
            <w:pPr>
              <w:pStyle w:val="TableHead"/>
            </w:pPr>
            <w:r>
              <w:t>Post</w:t>
            </w:r>
          </w:p>
        </w:tc>
        <w:tc>
          <w:tcPr>
            <w:tcW w:w="931" w:type="dxa"/>
            <w:shd w:val="clear" w:color="auto" w:fill="auto"/>
          </w:tcPr>
          <w:p w:rsidR="00C04BE4" w:rsidRPr="0003737D" w:rsidRDefault="00C04BE4" w:rsidP="00C04BE4">
            <w:pPr>
              <w:pStyle w:val="TableHead"/>
            </w:pPr>
            <w:r>
              <w:t>No:</w:t>
            </w:r>
          </w:p>
        </w:tc>
      </w:tr>
      <w:tr w:rsidR="00C04BE4" w:rsidRPr="0003737D" w:rsidTr="00C04BE4">
        <w:trPr>
          <w:jc w:val="center"/>
        </w:trPr>
        <w:tc>
          <w:tcPr>
            <w:tcW w:w="0" w:type="auto"/>
            <w:shd w:val="clear" w:color="auto" w:fill="auto"/>
          </w:tcPr>
          <w:p w:rsidR="00C04BE4" w:rsidRPr="00E8718A" w:rsidRDefault="00C04BE4" w:rsidP="00C04BE4">
            <w:pPr>
              <w:pStyle w:val="TableCell"/>
              <w:jc w:val="left"/>
            </w:pPr>
            <w:r w:rsidRPr="00E8718A">
              <w:t>Speech/language therapist</w:t>
            </w:r>
          </w:p>
        </w:tc>
        <w:tc>
          <w:tcPr>
            <w:tcW w:w="931" w:type="dxa"/>
            <w:shd w:val="clear" w:color="auto" w:fill="auto"/>
          </w:tcPr>
          <w:p w:rsidR="00C04BE4" w:rsidRPr="005C4568" w:rsidRDefault="00C04BE4" w:rsidP="00C04BE4">
            <w:pPr>
              <w:pStyle w:val="TableCell"/>
              <w:rPr>
                <w:lang w:eastAsia="en-IE"/>
              </w:rPr>
            </w:pPr>
            <w:r>
              <w:rPr>
                <w:lang w:eastAsia="en-IE"/>
              </w:rPr>
              <w:t>27</w:t>
            </w:r>
          </w:p>
        </w:tc>
      </w:tr>
      <w:tr w:rsidR="00C04BE4" w:rsidRPr="0003737D" w:rsidTr="00C04BE4">
        <w:trPr>
          <w:jc w:val="center"/>
        </w:trPr>
        <w:tc>
          <w:tcPr>
            <w:tcW w:w="0" w:type="auto"/>
            <w:shd w:val="clear" w:color="auto" w:fill="auto"/>
          </w:tcPr>
          <w:p w:rsidR="00C04BE4" w:rsidRPr="00E8718A" w:rsidRDefault="00C04BE4" w:rsidP="00C04BE4">
            <w:pPr>
              <w:pStyle w:val="TableCell"/>
              <w:jc w:val="left"/>
            </w:pPr>
            <w:r w:rsidRPr="00E8718A">
              <w:t>Occupational therapist</w:t>
            </w:r>
          </w:p>
        </w:tc>
        <w:tc>
          <w:tcPr>
            <w:tcW w:w="931" w:type="dxa"/>
            <w:shd w:val="clear" w:color="auto" w:fill="auto"/>
          </w:tcPr>
          <w:p w:rsidR="00C04BE4" w:rsidRPr="005C4568" w:rsidRDefault="00C04BE4" w:rsidP="00C04BE4">
            <w:pPr>
              <w:pStyle w:val="TableCell"/>
              <w:rPr>
                <w:lang w:eastAsia="en-IE"/>
              </w:rPr>
            </w:pPr>
            <w:r>
              <w:rPr>
                <w:lang w:eastAsia="en-IE"/>
              </w:rPr>
              <w:t>27</w:t>
            </w:r>
          </w:p>
        </w:tc>
      </w:tr>
      <w:tr w:rsidR="00C04BE4" w:rsidRPr="0003737D" w:rsidTr="00C04BE4">
        <w:trPr>
          <w:jc w:val="center"/>
        </w:trPr>
        <w:tc>
          <w:tcPr>
            <w:tcW w:w="0" w:type="auto"/>
            <w:shd w:val="clear" w:color="auto" w:fill="auto"/>
          </w:tcPr>
          <w:p w:rsidR="00C04BE4" w:rsidRPr="00E8718A" w:rsidRDefault="00C04BE4" w:rsidP="00C04BE4">
            <w:pPr>
              <w:pStyle w:val="TableCell"/>
              <w:jc w:val="left"/>
            </w:pPr>
            <w:r w:rsidRPr="00E8718A">
              <w:t>Physiotherapist</w:t>
            </w:r>
          </w:p>
        </w:tc>
        <w:tc>
          <w:tcPr>
            <w:tcW w:w="931" w:type="dxa"/>
            <w:shd w:val="clear" w:color="auto" w:fill="auto"/>
          </w:tcPr>
          <w:p w:rsidR="00C04BE4" w:rsidRPr="005C4568" w:rsidRDefault="00C04BE4" w:rsidP="00C04BE4">
            <w:pPr>
              <w:pStyle w:val="TableCell"/>
              <w:rPr>
                <w:lang w:eastAsia="en-IE"/>
              </w:rPr>
            </w:pPr>
            <w:r>
              <w:rPr>
                <w:lang w:eastAsia="en-IE"/>
              </w:rPr>
              <w:t>6</w:t>
            </w:r>
          </w:p>
        </w:tc>
      </w:tr>
      <w:tr w:rsidR="00C04BE4" w:rsidRPr="0003737D" w:rsidTr="00C04BE4">
        <w:trPr>
          <w:jc w:val="center"/>
        </w:trPr>
        <w:tc>
          <w:tcPr>
            <w:tcW w:w="0" w:type="auto"/>
            <w:shd w:val="clear" w:color="auto" w:fill="auto"/>
          </w:tcPr>
          <w:p w:rsidR="00C04BE4" w:rsidRPr="00E8718A" w:rsidRDefault="00C04BE4" w:rsidP="00C04BE4">
            <w:pPr>
              <w:pStyle w:val="TableCell"/>
              <w:jc w:val="left"/>
            </w:pPr>
            <w:r w:rsidRPr="00E8718A">
              <w:t>Social worker</w:t>
            </w:r>
          </w:p>
        </w:tc>
        <w:tc>
          <w:tcPr>
            <w:tcW w:w="931" w:type="dxa"/>
            <w:shd w:val="clear" w:color="auto" w:fill="auto"/>
          </w:tcPr>
          <w:p w:rsidR="00C04BE4" w:rsidRPr="005C4568" w:rsidRDefault="00C04BE4" w:rsidP="00C04BE4">
            <w:pPr>
              <w:pStyle w:val="TableCell"/>
              <w:rPr>
                <w:lang w:eastAsia="en-IE"/>
              </w:rPr>
            </w:pPr>
            <w:r>
              <w:rPr>
                <w:lang w:eastAsia="en-IE"/>
              </w:rPr>
              <w:t>7</w:t>
            </w:r>
          </w:p>
        </w:tc>
      </w:tr>
      <w:tr w:rsidR="00C04BE4" w:rsidRPr="0003737D" w:rsidTr="00C04BE4">
        <w:trPr>
          <w:jc w:val="center"/>
        </w:trPr>
        <w:tc>
          <w:tcPr>
            <w:tcW w:w="0" w:type="auto"/>
            <w:shd w:val="clear" w:color="auto" w:fill="auto"/>
          </w:tcPr>
          <w:p w:rsidR="00C04BE4" w:rsidRPr="00E8718A" w:rsidRDefault="00C04BE4" w:rsidP="00C04BE4">
            <w:pPr>
              <w:pStyle w:val="TableCell"/>
              <w:jc w:val="left"/>
            </w:pPr>
            <w:r w:rsidRPr="00E8718A">
              <w:t>Psychologist</w:t>
            </w:r>
          </w:p>
        </w:tc>
        <w:tc>
          <w:tcPr>
            <w:tcW w:w="931" w:type="dxa"/>
            <w:shd w:val="clear" w:color="auto" w:fill="auto"/>
          </w:tcPr>
          <w:p w:rsidR="00C04BE4" w:rsidRPr="005C4568" w:rsidRDefault="00C04BE4" w:rsidP="00C04BE4">
            <w:pPr>
              <w:pStyle w:val="TableCell"/>
              <w:rPr>
                <w:lang w:eastAsia="en-IE"/>
              </w:rPr>
            </w:pPr>
            <w:r>
              <w:rPr>
                <w:lang w:eastAsia="en-IE"/>
              </w:rPr>
              <w:t>25</w:t>
            </w:r>
          </w:p>
        </w:tc>
      </w:tr>
      <w:tr w:rsidR="00C04BE4" w:rsidRPr="0003737D" w:rsidTr="00C04BE4">
        <w:trPr>
          <w:jc w:val="center"/>
        </w:trPr>
        <w:tc>
          <w:tcPr>
            <w:tcW w:w="0" w:type="auto"/>
            <w:shd w:val="clear" w:color="auto" w:fill="auto"/>
          </w:tcPr>
          <w:p w:rsidR="00C04BE4" w:rsidRPr="00E8718A" w:rsidRDefault="00C04BE4" w:rsidP="00C04BE4">
            <w:pPr>
              <w:pStyle w:val="TableCell"/>
              <w:jc w:val="left"/>
            </w:pPr>
            <w:r w:rsidRPr="00E8718A">
              <w:t>Public health nurse</w:t>
            </w:r>
          </w:p>
        </w:tc>
        <w:tc>
          <w:tcPr>
            <w:tcW w:w="931" w:type="dxa"/>
            <w:shd w:val="clear" w:color="auto" w:fill="auto"/>
          </w:tcPr>
          <w:p w:rsidR="00C04BE4" w:rsidRPr="005C4568" w:rsidRDefault="00C04BE4" w:rsidP="00C04BE4">
            <w:pPr>
              <w:pStyle w:val="TableCell"/>
              <w:rPr>
                <w:lang w:eastAsia="en-IE"/>
              </w:rPr>
            </w:pPr>
            <w:r>
              <w:rPr>
                <w:lang w:eastAsia="en-IE"/>
              </w:rPr>
              <w:t>8</w:t>
            </w:r>
          </w:p>
        </w:tc>
      </w:tr>
      <w:tr w:rsidR="00C04BE4" w:rsidRPr="0003737D" w:rsidTr="00C04BE4">
        <w:trPr>
          <w:jc w:val="center"/>
        </w:trPr>
        <w:tc>
          <w:tcPr>
            <w:tcW w:w="0" w:type="auto"/>
            <w:shd w:val="clear" w:color="auto" w:fill="auto"/>
          </w:tcPr>
          <w:p w:rsidR="00C04BE4" w:rsidRDefault="00C04BE4" w:rsidP="00C04BE4">
            <w:pPr>
              <w:pStyle w:val="TableCell"/>
              <w:jc w:val="left"/>
            </w:pPr>
            <w:r w:rsidRPr="00E8718A">
              <w:t>Dietician</w:t>
            </w:r>
          </w:p>
        </w:tc>
        <w:tc>
          <w:tcPr>
            <w:tcW w:w="931" w:type="dxa"/>
            <w:shd w:val="clear" w:color="auto" w:fill="auto"/>
          </w:tcPr>
          <w:p w:rsidR="00C04BE4" w:rsidRPr="005C4568" w:rsidRDefault="00C04BE4" w:rsidP="00C04BE4">
            <w:pPr>
              <w:pStyle w:val="TableCell"/>
              <w:rPr>
                <w:lang w:eastAsia="en-IE"/>
              </w:rPr>
            </w:pPr>
            <w:r>
              <w:rPr>
                <w:lang w:eastAsia="en-IE"/>
              </w:rPr>
              <w:t>1</w:t>
            </w:r>
          </w:p>
        </w:tc>
      </w:tr>
      <w:tr w:rsidR="00C04BE4" w:rsidRPr="0003737D" w:rsidTr="00C04BE4">
        <w:trPr>
          <w:jc w:val="center"/>
        </w:trPr>
        <w:tc>
          <w:tcPr>
            <w:tcW w:w="0" w:type="auto"/>
            <w:shd w:val="clear" w:color="auto" w:fill="auto"/>
          </w:tcPr>
          <w:p w:rsidR="00C04BE4" w:rsidRPr="00E8718A" w:rsidRDefault="00C04BE4" w:rsidP="00C04BE4">
            <w:pPr>
              <w:pStyle w:val="TableCell"/>
              <w:jc w:val="left"/>
            </w:pPr>
            <w:r w:rsidRPr="00E8718A">
              <w:t>Speech/language therapist</w:t>
            </w:r>
          </w:p>
        </w:tc>
        <w:tc>
          <w:tcPr>
            <w:tcW w:w="931" w:type="dxa"/>
            <w:shd w:val="clear" w:color="auto" w:fill="auto"/>
          </w:tcPr>
          <w:p w:rsidR="00C04BE4" w:rsidRPr="005C4568" w:rsidRDefault="00C04BE4" w:rsidP="00C04BE4">
            <w:pPr>
              <w:pStyle w:val="TableCell"/>
              <w:rPr>
                <w:lang w:eastAsia="en-IE"/>
              </w:rPr>
            </w:pPr>
            <w:r>
              <w:rPr>
                <w:lang w:eastAsia="en-IE"/>
              </w:rPr>
              <w:t>27</w:t>
            </w:r>
          </w:p>
        </w:tc>
      </w:tr>
      <w:tr w:rsidR="00C04BE4" w:rsidRPr="0003737D" w:rsidTr="00C04BE4">
        <w:trPr>
          <w:jc w:val="center"/>
        </w:trPr>
        <w:tc>
          <w:tcPr>
            <w:tcW w:w="0" w:type="auto"/>
            <w:shd w:val="clear" w:color="auto" w:fill="auto"/>
          </w:tcPr>
          <w:p w:rsidR="00C04BE4" w:rsidRPr="00A5627D" w:rsidRDefault="00C04BE4" w:rsidP="00C04BE4">
            <w:pPr>
              <w:pStyle w:val="TableCell"/>
              <w:jc w:val="left"/>
              <w:rPr>
                <w:b/>
              </w:rPr>
            </w:pPr>
            <w:r w:rsidRPr="00A5627D">
              <w:rPr>
                <w:b/>
              </w:rPr>
              <w:t>Total</w:t>
            </w:r>
          </w:p>
        </w:tc>
        <w:tc>
          <w:tcPr>
            <w:tcW w:w="931" w:type="dxa"/>
            <w:shd w:val="clear" w:color="auto" w:fill="auto"/>
          </w:tcPr>
          <w:p w:rsidR="00C04BE4" w:rsidRPr="00A5627D" w:rsidRDefault="00C04BE4" w:rsidP="00C04BE4">
            <w:pPr>
              <w:pStyle w:val="TableCell"/>
              <w:rPr>
                <w:b/>
                <w:lang w:eastAsia="en-IE"/>
              </w:rPr>
            </w:pPr>
            <w:r w:rsidRPr="00A5627D">
              <w:rPr>
                <w:b/>
                <w:lang w:eastAsia="en-IE"/>
              </w:rPr>
              <w:t>100</w:t>
            </w:r>
          </w:p>
        </w:tc>
      </w:tr>
    </w:tbl>
    <w:p w:rsidR="0094343D" w:rsidRDefault="0094343D" w:rsidP="00DA1A61">
      <w:pPr>
        <w:pStyle w:val="Heading2"/>
        <w:numPr>
          <w:ilvl w:val="1"/>
          <w:numId w:val="10"/>
        </w:numPr>
        <w:ind w:hanging="1080"/>
      </w:pPr>
      <w:bookmarkStart w:id="90" w:name="_Toc415733702"/>
      <w:r>
        <w:t>Census 2011</w:t>
      </w:r>
      <w:bookmarkEnd w:id="90"/>
    </w:p>
    <w:p w:rsidR="00B008E9" w:rsidRDefault="00B008E9" w:rsidP="00B008E9">
      <w:pPr>
        <w:rPr>
          <w:lang w:val="en-GB"/>
        </w:rPr>
      </w:pPr>
      <w:r w:rsidRPr="00853F36">
        <w:rPr>
          <w:lang w:val="en-GB"/>
        </w:rPr>
        <w:t xml:space="preserve">The census can be used </w:t>
      </w:r>
      <w:r>
        <w:rPr>
          <w:lang w:val="en-GB"/>
        </w:rPr>
        <w:t xml:space="preserve">in </w:t>
      </w:r>
      <w:r w:rsidR="00470516">
        <w:rPr>
          <w:lang w:val="en-GB"/>
        </w:rPr>
        <w:t xml:space="preserve">several </w:t>
      </w:r>
      <w:r w:rsidRPr="00853F36">
        <w:rPr>
          <w:lang w:val="en-GB"/>
        </w:rPr>
        <w:t xml:space="preserve">different ways to estimate the number of children </w:t>
      </w:r>
      <w:r>
        <w:rPr>
          <w:lang w:val="en-GB"/>
        </w:rPr>
        <w:t>who may require specialist mul</w:t>
      </w:r>
      <w:r w:rsidR="00C04BE4">
        <w:rPr>
          <w:lang w:val="en-GB"/>
        </w:rPr>
        <w:t>ti-disciplinary services. First</w:t>
      </w:r>
      <w:r>
        <w:rPr>
          <w:lang w:val="en-GB"/>
        </w:rPr>
        <w:t xml:space="preserve"> by looking at the number of children with disabilities who have more than one form of impairment, as these are the group who are more likely to require multi-disciplinary support from a specialist disability team. A second way</w:t>
      </w:r>
      <w:r w:rsidR="00470516">
        <w:rPr>
          <w:lang w:val="en-GB"/>
        </w:rPr>
        <w:t>,</w:t>
      </w:r>
      <w:r>
        <w:rPr>
          <w:lang w:val="en-GB"/>
        </w:rPr>
        <w:t xml:space="preserve"> could be to infer from the kind of impairment</w:t>
      </w:r>
      <w:r w:rsidR="00470516">
        <w:rPr>
          <w:lang w:val="en-GB"/>
        </w:rPr>
        <w:t>,</w:t>
      </w:r>
      <w:r>
        <w:rPr>
          <w:lang w:val="en-GB"/>
        </w:rPr>
        <w:t xml:space="preserve"> whether specialist disability services might be required. A third approach</w:t>
      </w:r>
      <w:r w:rsidR="00470516">
        <w:rPr>
          <w:lang w:val="en-GB"/>
        </w:rPr>
        <w:t>,</w:t>
      </w:r>
      <w:r>
        <w:rPr>
          <w:lang w:val="en-GB"/>
        </w:rPr>
        <w:t xml:space="preserve"> would be to apply a particular percentage</w:t>
      </w:r>
      <w:r w:rsidR="00434BCD">
        <w:rPr>
          <w:lang w:val="en-GB"/>
        </w:rPr>
        <w:t>, (</w:t>
      </w:r>
      <w:r>
        <w:rPr>
          <w:lang w:val="en-GB"/>
        </w:rPr>
        <w:t>whether emerging from other analysis or a widely-used rule of thumb</w:t>
      </w:r>
      <w:r w:rsidR="00470516">
        <w:rPr>
          <w:lang w:val="en-GB"/>
        </w:rPr>
        <w:t xml:space="preserve">), </w:t>
      </w:r>
      <w:r>
        <w:rPr>
          <w:lang w:val="en-GB"/>
        </w:rPr>
        <w:t>to the age distribution of the child population</w:t>
      </w:r>
      <w:r w:rsidR="00470516">
        <w:rPr>
          <w:lang w:val="en-GB"/>
        </w:rPr>
        <w:t>;</w:t>
      </w:r>
      <w:r>
        <w:rPr>
          <w:lang w:val="en-GB"/>
        </w:rPr>
        <w:t xml:space="preserve"> to estimate how many children might be likely to require early intervention or school age services.</w:t>
      </w:r>
    </w:p>
    <w:p w:rsidR="00B008E9" w:rsidRPr="00853F36" w:rsidRDefault="00B008E9" w:rsidP="00B008E9">
      <w:pPr>
        <w:pStyle w:val="NormalBeforeList"/>
        <w:rPr>
          <w:lang w:val="en-GB"/>
        </w:rPr>
      </w:pPr>
      <w:r>
        <w:rPr>
          <w:lang w:val="en-GB"/>
        </w:rPr>
        <w:t>Census information on disability status has some drawbacks</w:t>
      </w:r>
      <w:r w:rsidRPr="00853F36">
        <w:rPr>
          <w:lang w:val="en-GB"/>
        </w:rPr>
        <w:t>:</w:t>
      </w:r>
    </w:p>
    <w:p w:rsidR="00B008E9" w:rsidRDefault="00B008E9" w:rsidP="00B008E9">
      <w:pPr>
        <w:pStyle w:val="ListBullet"/>
        <w:numPr>
          <w:ilvl w:val="0"/>
          <w:numId w:val="1"/>
        </w:numPr>
        <w:ind w:left="357" w:hanging="357"/>
        <w:rPr>
          <w:lang w:val="en-GB"/>
        </w:rPr>
      </w:pPr>
      <w:r w:rsidRPr="00853F36">
        <w:rPr>
          <w:lang w:val="en-GB"/>
        </w:rPr>
        <w:t>Small changes in wording can cause big changes in estimated prevalence</w:t>
      </w:r>
      <w:r>
        <w:rPr>
          <w:lang w:val="en-GB"/>
        </w:rPr>
        <w:t>. There was some change in wording between 2006 and 2011</w:t>
      </w:r>
    </w:p>
    <w:p w:rsidR="00B008E9" w:rsidRPr="00853F36" w:rsidRDefault="00B008E9" w:rsidP="00B008E9">
      <w:pPr>
        <w:pStyle w:val="ListBullet"/>
        <w:numPr>
          <w:ilvl w:val="0"/>
          <w:numId w:val="1"/>
        </w:numPr>
        <w:ind w:left="357" w:hanging="357"/>
        <w:rPr>
          <w:lang w:val="en-GB"/>
        </w:rPr>
      </w:pPr>
      <w:r>
        <w:rPr>
          <w:lang w:val="en-GB"/>
        </w:rPr>
        <w:t>There is some evidence of changes in recorded prevalence of disability for children between 2006 and 2011, particularly in the ‘learning disabi</w:t>
      </w:r>
      <w:r w:rsidR="00470516">
        <w:rPr>
          <w:lang w:val="en-GB"/>
        </w:rPr>
        <w:t>lity’ category (see Appendix 3)</w:t>
      </w:r>
      <w:r>
        <w:rPr>
          <w:lang w:val="en-GB"/>
        </w:rPr>
        <w:t xml:space="preserve"> </w:t>
      </w:r>
    </w:p>
    <w:p w:rsidR="00B008E9" w:rsidRPr="00853F36" w:rsidRDefault="00B008E9" w:rsidP="00B008E9">
      <w:pPr>
        <w:pStyle w:val="ListBullet"/>
        <w:numPr>
          <w:ilvl w:val="0"/>
          <w:numId w:val="1"/>
        </w:numPr>
        <w:ind w:left="357" w:hanging="357"/>
        <w:rPr>
          <w:lang w:val="en-GB"/>
        </w:rPr>
      </w:pPr>
      <w:r>
        <w:rPr>
          <w:lang w:val="en-GB"/>
        </w:rPr>
        <w:t>The C</w:t>
      </w:r>
      <w:r w:rsidRPr="00853F36">
        <w:rPr>
          <w:lang w:val="en-GB"/>
        </w:rPr>
        <w:t>ensus information is based on questions answered by parents</w:t>
      </w:r>
      <w:r w:rsidR="00470516">
        <w:rPr>
          <w:lang w:val="en-GB"/>
        </w:rPr>
        <w:t>,</w:t>
      </w:r>
      <w:r w:rsidRPr="00853F36">
        <w:rPr>
          <w:lang w:val="en-GB"/>
        </w:rPr>
        <w:t xml:space="preserve"> rather than by direct assessments of the child’s needs</w:t>
      </w:r>
      <w:r>
        <w:rPr>
          <w:lang w:val="en-GB"/>
        </w:rPr>
        <w:t xml:space="preserve"> or condition</w:t>
      </w:r>
    </w:p>
    <w:p w:rsidR="00B008E9" w:rsidRPr="007C05B5" w:rsidRDefault="00B008E9" w:rsidP="00B008E9">
      <w:pPr>
        <w:pStyle w:val="ListBullet"/>
        <w:numPr>
          <w:ilvl w:val="0"/>
          <w:numId w:val="1"/>
        </w:numPr>
        <w:ind w:left="357" w:hanging="357"/>
        <w:rPr>
          <w:lang w:val="en-GB"/>
        </w:rPr>
      </w:pPr>
      <w:r w:rsidRPr="007C05B5">
        <w:rPr>
          <w:lang w:val="en-GB"/>
        </w:rPr>
        <w:t>It is probable that the number of very young children with a disability is underestimated, for example</w:t>
      </w:r>
      <w:r w:rsidR="00470516">
        <w:rPr>
          <w:lang w:val="en-GB"/>
        </w:rPr>
        <w:t>,</w:t>
      </w:r>
      <w:r w:rsidRPr="007C05B5">
        <w:rPr>
          <w:lang w:val="en-GB"/>
        </w:rPr>
        <w:t xml:space="preserve"> if parents are not clear whether a child’s development is delayed or there is an underlying condition, or they find it difficult to acknowledge that their child may have a disability</w:t>
      </w:r>
    </w:p>
    <w:p w:rsidR="00B008E9" w:rsidRPr="00853F36" w:rsidRDefault="00B008E9" w:rsidP="00B008E9">
      <w:pPr>
        <w:pStyle w:val="ListBullet"/>
        <w:numPr>
          <w:ilvl w:val="0"/>
          <w:numId w:val="1"/>
        </w:numPr>
        <w:spacing w:after="240"/>
        <w:ind w:left="357" w:hanging="357"/>
        <w:rPr>
          <w:lang w:val="en-GB"/>
        </w:rPr>
      </w:pPr>
      <w:r>
        <w:rPr>
          <w:lang w:val="en-GB"/>
        </w:rPr>
        <w:t>T</w:t>
      </w:r>
      <w:r w:rsidRPr="00853F36">
        <w:rPr>
          <w:lang w:val="en-GB"/>
        </w:rPr>
        <w:t>here may be children without a disability</w:t>
      </w:r>
      <w:r w:rsidR="00470516">
        <w:rPr>
          <w:lang w:val="en-GB"/>
        </w:rPr>
        <w:t>,</w:t>
      </w:r>
      <w:r w:rsidRPr="00853F36">
        <w:rPr>
          <w:lang w:val="en-GB"/>
        </w:rPr>
        <w:t xml:space="preserve"> </w:t>
      </w:r>
      <w:r>
        <w:rPr>
          <w:lang w:val="en-GB"/>
        </w:rPr>
        <w:t>but with developmental delay</w:t>
      </w:r>
      <w:r w:rsidR="00470516">
        <w:rPr>
          <w:lang w:val="en-GB"/>
        </w:rPr>
        <w:t>,</w:t>
      </w:r>
      <w:r>
        <w:rPr>
          <w:lang w:val="en-GB"/>
        </w:rPr>
        <w:t xml:space="preserve"> who could benefit from a specialist early intervention service, but would not have been recorded in the Census as having a disability</w:t>
      </w:r>
    </w:p>
    <w:p w:rsidR="00B008E9" w:rsidRPr="00853F36" w:rsidRDefault="00B008E9" w:rsidP="00AA7990">
      <w:pPr>
        <w:pStyle w:val="TableTitle"/>
        <w:rPr>
          <w:lang w:val="en-GB"/>
        </w:rPr>
      </w:pPr>
      <w:bookmarkStart w:id="91" w:name="_Toc403572506"/>
      <w:bookmarkStart w:id="92" w:name="_Toc419879409"/>
      <w:r>
        <w:rPr>
          <w:lang w:val="en-GB"/>
        </w:rPr>
        <w:t>Table 6: Children with a disability by single year of age and more than one form of impairment/disability recorded</w:t>
      </w:r>
      <w:bookmarkEnd w:id="91"/>
      <w:bookmarkEnd w:id="92"/>
      <w:r>
        <w:rPr>
          <w:lang w:val="en-GB"/>
        </w:rPr>
        <w:t xml:space="preserve"> </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3F" w:firstRow="1" w:lastRow="0" w:firstColumn="0" w:lastColumn="0" w:noHBand="0" w:noVBand="0"/>
      </w:tblPr>
      <w:tblGrid>
        <w:gridCol w:w="1015"/>
        <w:gridCol w:w="1219"/>
        <w:gridCol w:w="1565"/>
        <w:gridCol w:w="1288"/>
        <w:gridCol w:w="1686"/>
        <w:gridCol w:w="1837"/>
      </w:tblGrid>
      <w:tr w:rsidR="00B008E9" w:rsidRPr="00853F36" w:rsidTr="00C04BE4">
        <w:trPr>
          <w:cantSplit/>
          <w:tblHeader/>
        </w:trPr>
        <w:tc>
          <w:tcPr>
            <w:tcW w:w="1101" w:type="dxa"/>
            <w:tcBorders>
              <w:bottom w:val="single" w:sz="12" w:space="0" w:color="000000"/>
            </w:tcBorders>
            <w:shd w:val="clear" w:color="auto" w:fill="auto"/>
          </w:tcPr>
          <w:p w:rsidR="00B008E9" w:rsidRPr="00C317C0" w:rsidRDefault="00B008E9" w:rsidP="00C04BE4">
            <w:pPr>
              <w:pStyle w:val="TableHead"/>
              <w:keepNext/>
            </w:pPr>
            <w:r w:rsidRPr="00C317C0">
              <w:t>Age</w:t>
            </w:r>
          </w:p>
        </w:tc>
        <w:tc>
          <w:tcPr>
            <w:tcW w:w="1240" w:type="dxa"/>
            <w:tcBorders>
              <w:bottom w:val="single" w:sz="12" w:space="0" w:color="000000"/>
            </w:tcBorders>
            <w:shd w:val="clear" w:color="auto" w:fill="auto"/>
          </w:tcPr>
          <w:p w:rsidR="00B008E9" w:rsidRPr="00C317C0" w:rsidRDefault="00B008E9" w:rsidP="00C04BE4">
            <w:pPr>
              <w:pStyle w:val="TableHead"/>
              <w:keepNext/>
            </w:pPr>
            <w:r w:rsidRPr="00C317C0">
              <w:t>Total persons</w:t>
            </w:r>
          </w:p>
        </w:tc>
        <w:tc>
          <w:tcPr>
            <w:tcW w:w="1736" w:type="dxa"/>
            <w:tcBorders>
              <w:bottom w:val="single" w:sz="12" w:space="0" w:color="000000"/>
            </w:tcBorders>
            <w:shd w:val="clear" w:color="auto" w:fill="auto"/>
          </w:tcPr>
          <w:p w:rsidR="00B008E9" w:rsidRPr="00C317C0" w:rsidRDefault="00B008E9" w:rsidP="00C04BE4">
            <w:pPr>
              <w:pStyle w:val="TableHead"/>
              <w:keepNext/>
            </w:pPr>
            <w:r w:rsidRPr="00C317C0">
              <w:t>Total persons with a disability</w:t>
            </w:r>
          </w:p>
        </w:tc>
        <w:tc>
          <w:tcPr>
            <w:tcW w:w="1134" w:type="dxa"/>
            <w:tcBorders>
              <w:bottom w:val="single" w:sz="12" w:space="0" w:color="000000"/>
            </w:tcBorders>
            <w:shd w:val="clear" w:color="auto" w:fill="auto"/>
          </w:tcPr>
          <w:p w:rsidR="00B008E9" w:rsidRPr="00C317C0" w:rsidRDefault="00B008E9" w:rsidP="00C04BE4">
            <w:pPr>
              <w:pStyle w:val="TableHead"/>
              <w:keepNext/>
            </w:pPr>
            <w:r w:rsidRPr="00C317C0">
              <w:t>% with a disability</w:t>
            </w:r>
          </w:p>
        </w:tc>
        <w:tc>
          <w:tcPr>
            <w:tcW w:w="1701" w:type="dxa"/>
            <w:tcBorders>
              <w:bottom w:val="single" w:sz="12" w:space="0" w:color="000000"/>
            </w:tcBorders>
          </w:tcPr>
          <w:p w:rsidR="00B008E9" w:rsidRPr="00C317C0" w:rsidRDefault="00B008E9" w:rsidP="00C04BE4">
            <w:pPr>
              <w:pStyle w:val="TableHead"/>
              <w:keepNext/>
            </w:pPr>
            <w:r w:rsidRPr="00C317C0">
              <w:t>Persons with more than one impairment</w:t>
            </w:r>
          </w:p>
        </w:tc>
        <w:tc>
          <w:tcPr>
            <w:tcW w:w="1944" w:type="dxa"/>
            <w:tcBorders>
              <w:bottom w:val="single" w:sz="12" w:space="0" w:color="000000"/>
            </w:tcBorders>
          </w:tcPr>
          <w:p w:rsidR="00B008E9" w:rsidRPr="00C317C0" w:rsidRDefault="00B008E9" w:rsidP="00C04BE4">
            <w:pPr>
              <w:pStyle w:val="TableHead"/>
              <w:keepNext/>
            </w:pPr>
            <w:r w:rsidRPr="00C317C0">
              <w:t>% of persons with more than one impairment</w:t>
            </w:r>
          </w:p>
        </w:tc>
      </w:tr>
      <w:tr w:rsidR="00B008E9" w:rsidRPr="00853F36" w:rsidTr="00C04BE4">
        <w:trPr>
          <w:cantSplit/>
        </w:trPr>
        <w:tc>
          <w:tcPr>
            <w:tcW w:w="1101" w:type="dxa"/>
            <w:tcBorders>
              <w:top w:val="single" w:sz="12" w:space="0" w:color="000000"/>
            </w:tcBorders>
            <w:shd w:val="clear" w:color="auto" w:fill="auto"/>
            <w:vAlign w:val="bottom"/>
          </w:tcPr>
          <w:p w:rsidR="00B008E9" w:rsidRPr="00C317C0" w:rsidRDefault="00B008E9" w:rsidP="00C04BE4">
            <w:pPr>
              <w:pStyle w:val="TableRowHead"/>
              <w:rPr>
                <w:rFonts w:ascii="Gill Sans MT" w:hAnsi="Gill Sans MT"/>
                <w:sz w:val="22"/>
                <w:szCs w:val="22"/>
              </w:rPr>
            </w:pPr>
            <w:r w:rsidRPr="00C317C0">
              <w:rPr>
                <w:rFonts w:ascii="Gill Sans MT" w:hAnsi="Gill Sans MT"/>
                <w:sz w:val="22"/>
                <w:szCs w:val="22"/>
              </w:rPr>
              <w:t xml:space="preserve">Under 1 </w:t>
            </w:r>
          </w:p>
        </w:tc>
        <w:tc>
          <w:tcPr>
            <w:tcW w:w="1240" w:type="dxa"/>
            <w:tcBorders>
              <w:top w:val="single" w:sz="12" w:space="0" w:color="000000"/>
            </w:tcBorders>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72,410</w:t>
            </w:r>
          </w:p>
        </w:tc>
        <w:tc>
          <w:tcPr>
            <w:tcW w:w="1736" w:type="dxa"/>
            <w:tcBorders>
              <w:top w:val="single" w:sz="12" w:space="0" w:color="000000"/>
            </w:tcBorders>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1,156</w:t>
            </w:r>
          </w:p>
        </w:tc>
        <w:tc>
          <w:tcPr>
            <w:tcW w:w="1134" w:type="dxa"/>
            <w:tcBorders>
              <w:top w:val="single" w:sz="12" w:space="0" w:color="000000"/>
            </w:tcBorders>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lang w:val="en-GB" w:eastAsia="en-GB"/>
              </w:rPr>
              <w:t>1.6</w:t>
            </w:r>
          </w:p>
        </w:tc>
        <w:tc>
          <w:tcPr>
            <w:tcW w:w="1701" w:type="dxa"/>
            <w:tcBorders>
              <w:top w:val="single" w:sz="12" w:space="0" w:color="000000"/>
            </w:tcBorders>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520</w:t>
            </w:r>
          </w:p>
        </w:tc>
        <w:tc>
          <w:tcPr>
            <w:tcW w:w="1944" w:type="dxa"/>
            <w:tcBorders>
              <w:top w:val="single" w:sz="12" w:space="0" w:color="000000"/>
            </w:tcBorders>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0.7</w:t>
            </w:r>
          </w:p>
        </w:tc>
      </w:tr>
      <w:tr w:rsidR="00B008E9" w:rsidRPr="00853F36" w:rsidTr="00C04BE4">
        <w:trPr>
          <w:cantSplit/>
        </w:trPr>
        <w:tc>
          <w:tcPr>
            <w:tcW w:w="1101" w:type="dxa"/>
            <w:shd w:val="clear" w:color="auto" w:fill="auto"/>
            <w:vAlign w:val="bottom"/>
          </w:tcPr>
          <w:p w:rsidR="00B008E9" w:rsidRPr="00C317C0" w:rsidRDefault="00B008E9" w:rsidP="00C04BE4">
            <w:pPr>
              <w:pStyle w:val="TableRowHead"/>
              <w:rPr>
                <w:rFonts w:ascii="Gill Sans MT" w:hAnsi="Gill Sans MT"/>
                <w:sz w:val="22"/>
                <w:szCs w:val="22"/>
              </w:rPr>
            </w:pPr>
            <w:r w:rsidRPr="00C317C0">
              <w:rPr>
                <w:rFonts w:ascii="Gill Sans MT" w:hAnsi="Gill Sans MT"/>
                <w:sz w:val="22"/>
                <w:szCs w:val="22"/>
              </w:rPr>
              <w:t xml:space="preserve">1 </w:t>
            </w:r>
          </w:p>
        </w:tc>
        <w:tc>
          <w:tcPr>
            <w:tcW w:w="1240"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72,645</w:t>
            </w:r>
          </w:p>
        </w:tc>
        <w:tc>
          <w:tcPr>
            <w:tcW w:w="1736"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1,532</w:t>
            </w:r>
          </w:p>
        </w:tc>
        <w:tc>
          <w:tcPr>
            <w:tcW w:w="1134"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lang w:val="en-GB" w:eastAsia="en-GB"/>
              </w:rPr>
              <w:t>2.1</w:t>
            </w:r>
          </w:p>
        </w:tc>
        <w:tc>
          <w:tcPr>
            <w:tcW w:w="1701"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696</w:t>
            </w:r>
          </w:p>
        </w:tc>
        <w:tc>
          <w:tcPr>
            <w:tcW w:w="1944"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1.0</w:t>
            </w:r>
          </w:p>
        </w:tc>
      </w:tr>
      <w:tr w:rsidR="00B008E9" w:rsidRPr="00853F36" w:rsidTr="00C04BE4">
        <w:trPr>
          <w:cantSplit/>
        </w:trPr>
        <w:tc>
          <w:tcPr>
            <w:tcW w:w="1101" w:type="dxa"/>
            <w:shd w:val="clear" w:color="auto" w:fill="auto"/>
            <w:vAlign w:val="bottom"/>
          </w:tcPr>
          <w:p w:rsidR="00B008E9" w:rsidRPr="00C317C0" w:rsidRDefault="00B008E9" w:rsidP="00C04BE4">
            <w:pPr>
              <w:pStyle w:val="TableRowHead"/>
              <w:rPr>
                <w:rFonts w:ascii="Gill Sans MT" w:hAnsi="Gill Sans MT"/>
                <w:sz w:val="22"/>
                <w:szCs w:val="22"/>
              </w:rPr>
            </w:pPr>
            <w:r w:rsidRPr="00C317C0">
              <w:rPr>
                <w:rFonts w:ascii="Gill Sans MT" w:hAnsi="Gill Sans MT"/>
                <w:sz w:val="22"/>
                <w:szCs w:val="22"/>
              </w:rPr>
              <w:t xml:space="preserve">2  </w:t>
            </w:r>
          </w:p>
        </w:tc>
        <w:tc>
          <w:tcPr>
            <w:tcW w:w="1240"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72,566</w:t>
            </w:r>
          </w:p>
        </w:tc>
        <w:tc>
          <w:tcPr>
            <w:tcW w:w="1736"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1,937</w:t>
            </w:r>
          </w:p>
        </w:tc>
        <w:tc>
          <w:tcPr>
            <w:tcW w:w="1134"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lang w:val="en-GB" w:eastAsia="en-GB"/>
              </w:rPr>
              <w:t>2.7</w:t>
            </w:r>
          </w:p>
        </w:tc>
        <w:tc>
          <w:tcPr>
            <w:tcW w:w="1701"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862</w:t>
            </w:r>
          </w:p>
        </w:tc>
        <w:tc>
          <w:tcPr>
            <w:tcW w:w="1944"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1.2</w:t>
            </w:r>
          </w:p>
        </w:tc>
      </w:tr>
      <w:tr w:rsidR="00B008E9" w:rsidRPr="00853F36" w:rsidTr="00C04BE4">
        <w:trPr>
          <w:cantSplit/>
        </w:trPr>
        <w:tc>
          <w:tcPr>
            <w:tcW w:w="1101" w:type="dxa"/>
            <w:shd w:val="clear" w:color="auto" w:fill="auto"/>
            <w:vAlign w:val="bottom"/>
          </w:tcPr>
          <w:p w:rsidR="00B008E9" w:rsidRPr="00C317C0" w:rsidRDefault="00B008E9" w:rsidP="00C04BE4">
            <w:pPr>
              <w:pStyle w:val="TableRowHead"/>
              <w:rPr>
                <w:rFonts w:ascii="Gill Sans MT" w:hAnsi="Gill Sans MT"/>
                <w:sz w:val="22"/>
                <w:szCs w:val="22"/>
              </w:rPr>
            </w:pPr>
            <w:r w:rsidRPr="00C317C0">
              <w:rPr>
                <w:rFonts w:ascii="Gill Sans MT" w:hAnsi="Gill Sans MT"/>
                <w:sz w:val="22"/>
                <w:szCs w:val="22"/>
              </w:rPr>
              <w:t xml:space="preserve">3  </w:t>
            </w:r>
          </w:p>
        </w:tc>
        <w:tc>
          <w:tcPr>
            <w:tcW w:w="1240"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71,457</w:t>
            </w:r>
          </w:p>
        </w:tc>
        <w:tc>
          <w:tcPr>
            <w:tcW w:w="1736"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2,503</w:t>
            </w:r>
          </w:p>
        </w:tc>
        <w:tc>
          <w:tcPr>
            <w:tcW w:w="1134"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lang w:val="en-GB" w:eastAsia="en-GB"/>
              </w:rPr>
              <w:t>3.5</w:t>
            </w:r>
          </w:p>
        </w:tc>
        <w:tc>
          <w:tcPr>
            <w:tcW w:w="1701"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1,190</w:t>
            </w:r>
          </w:p>
        </w:tc>
        <w:tc>
          <w:tcPr>
            <w:tcW w:w="1944"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1.7</w:t>
            </w:r>
          </w:p>
        </w:tc>
      </w:tr>
      <w:tr w:rsidR="00B008E9" w:rsidRPr="00853F36" w:rsidTr="00C04BE4">
        <w:trPr>
          <w:cantSplit/>
        </w:trPr>
        <w:tc>
          <w:tcPr>
            <w:tcW w:w="1101" w:type="dxa"/>
            <w:shd w:val="clear" w:color="auto" w:fill="auto"/>
            <w:vAlign w:val="bottom"/>
          </w:tcPr>
          <w:p w:rsidR="00B008E9" w:rsidRPr="00C317C0" w:rsidRDefault="00B008E9" w:rsidP="00C04BE4">
            <w:pPr>
              <w:pStyle w:val="TableRowHead"/>
              <w:rPr>
                <w:rFonts w:ascii="Gill Sans MT" w:hAnsi="Gill Sans MT"/>
                <w:sz w:val="22"/>
                <w:szCs w:val="22"/>
              </w:rPr>
            </w:pPr>
            <w:r w:rsidRPr="00C317C0">
              <w:rPr>
                <w:rFonts w:ascii="Gill Sans MT" w:hAnsi="Gill Sans MT"/>
                <w:sz w:val="22"/>
                <w:szCs w:val="22"/>
              </w:rPr>
              <w:t xml:space="preserve">4  </w:t>
            </w:r>
          </w:p>
        </w:tc>
        <w:tc>
          <w:tcPr>
            <w:tcW w:w="1240"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67,251</w:t>
            </w:r>
          </w:p>
        </w:tc>
        <w:tc>
          <w:tcPr>
            <w:tcW w:w="1736"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2,956</w:t>
            </w:r>
          </w:p>
        </w:tc>
        <w:tc>
          <w:tcPr>
            <w:tcW w:w="1134"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lang w:val="en-GB" w:eastAsia="en-GB"/>
              </w:rPr>
              <w:t>4.4</w:t>
            </w:r>
          </w:p>
        </w:tc>
        <w:tc>
          <w:tcPr>
            <w:tcW w:w="1701"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1,434</w:t>
            </w:r>
          </w:p>
        </w:tc>
        <w:tc>
          <w:tcPr>
            <w:tcW w:w="1944"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2.1</w:t>
            </w:r>
          </w:p>
        </w:tc>
      </w:tr>
      <w:tr w:rsidR="00B008E9" w:rsidRPr="00853F36" w:rsidTr="00C04BE4">
        <w:trPr>
          <w:cantSplit/>
        </w:trPr>
        <w:tc>
          <w:tcPr>
            <w:tcW w:w="1101" w:type="dxa"/>
            <w:shd w:val="clear" w:color="auto" w:fill="auto"/>
            <w:vAlign w:val="bottom"/>
          </w:tcPr>
          <w:p w:rsidR="00B008E9" w:rsidRPr="00C317C0" w:rsidRDefault="00B008E9" w:rsidP="00C04BE4">
            <w:pPr>
              <w:pStyle w:val="TableRowHead"/>
              <w:rPr>
                <w:rFonts w:ascii="Gill Sans MT" w:hAnsi="Gill Sans MT"/>
                <w:sz w:val="22"/>
                <w:szCs w:val="22"/>
              </w:rPr>
            </w:pPr>
            <w:r w:rsidRPr="00C317C0">
              <w:rPr>
                <w:rFonts w:ascii="Gill Sans MT" w:hAnsi="Gill Sans MT"/>
                <w:sz w:val="22"/>
                <w:szCs w:val="22"/>
              </w:rPr>
              <w:t xml:space="preserve">5  </w:t>
            </w:r>
          </w:p>
        </w:tc>
        <w:tc>
          <w:tcPr>
            <w:tcW w:w="1240"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64,937</w:t>
            </w:r>
          </w:p>
        </w:tc>
        <w:tc>
          <w:tcPr>
            <w:tcW w:w="1736"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3,201</w:t>
            </w:r>
          </w:p>
        </w:tc>
        <w:tc>
          <w:tcPr>
            <w:tcW w:w="1134"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lang w:val="en-GB" w:eastAsia="en-GB"/>
              </w:rPr>
              <w:t>4.9</w:t>
            </w:r>
          </w:p>
        </w:tc>
        <w:tc>
          <w:tcPr>
            <w:tcW w:w="1701"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1,564</w:t>
            </w:r>
          </w:p>
        </w:tc>
        <w:tc>
          <w:tcPr>
            <w:tcW w:w="1944"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2.4</w:t>
            </w:r>
          </w:p>
        </w:tc>
      </w:tr>
      <w:tr w:rsidR="00B008E9" w:rsidRPr="00853F36" w:rsidTr="00C04BE4">
        <w:trPr>
          <w:cantSplit/>
        </w:trPr>
        <w:tc>
          <w:tcPr>
            <w:tcW w:w="1101" w:type="dxa"/>
            <w:shd w:val="clear" w:color="auto" w:fill="auto"/>
            <w:vAlign w:val="bottom"/>
          </w:tcPr>
          <w:p w:rsidR="00B008E9" w:rsidRPr="00C317C0" w:rsidRDefault="00B008E9" w:rsidP="00C04BE4">
            <w:pPr>
              <w:pStyle w:val="TableRowHead"/>
              <w:rPr>
                <w:rFonts w:ascii="Gill Sans MT" w:hAnsi="Gill Sans MT"/>
                <w:sz w:val="22"/>
                <w:szCs w:val="22"/>
              </w:rPr>
            </w:pPr>
            <w:r w:rsidRPr="00C317C0">
              <w:rPr>
                <w:rFonts w:ascii="Gill Sans MT" w:hAnsi="Gill Sans MT"/>
                <w:sz w:val="22"/>
                <w:szCs w:val="22"/>
              </w:rPr>
              <w:t xml:space="preserve">6  </w:t>
            </w:r>
          </w:p>
        </w:tc>
        <w:tc>
          <w:tcPr>
            <w:tcW w:w="1240"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64,976</w:t>
            </w:r>
          </w:p>
        </w:tc>
        <w:tc>
          <w:tcPr>
            <w:tcW w:w="1736"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3,640</w:t>
            </w:r>
          </w:p>
        </w:tc>
        <w:tc>
          <w:tcPr>
            <w:tcW w:w="1134"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lang w:val="en-GB" w:eastAsia="en-GB"/>
              </w:rPr>
              <w:t>5.6</w:t>
            </w:r>
          </w:p>
        </w:tc>
        <w:tc>
          <w:tcPr>
            <w:tcW w:w="1701"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1,752</w:t>
            </w:r>
          </w:p>
        </w:tc>
        <w:tc>
          <w:tcPr>
            <w:tcW w:w="1944"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2.7</w:t>
            </w:r>
          </w:p>
        </w:tc>
      </w:tr>
      <w:tr w:rsidR="00B008E9" w:rsidRPr="00853F36" w:rsidTr="00C04BE4">
        <w:trPr>
          <w:cantSplit/>
        </w:trPr>
        <w:tc>
          <w:tcPr>
            <w:tcW w:w="1101" w:type="dxa"/>
            <w:shd w:val="clear" w:color="auto" w:fill="auto"/>
            <w:vAlign w:val="bottom"/>
          </w:tcPr>
          <w:p w:rsidR="00B008E9" w:rsidRPr="00C317C0" w:rsidRDefault="00B008E9" w:rsidP="00C04BE4">
            <w:pPr>
              <w:pStyle w:val="TableRowHead"/>
              <w:rPr>
                <w:rFonts w:ascii="Gill Sans MT" w:hAnsi="Gill Sans MT"/>
                <w:sz w:val="22"/>
                <w:szCs w:val="22"/>
              </w:rPr>
            </w:pPr>
            <w:r w:rsidRPr="00C317C0">
              <w:rPr>
                <w:rFonts w:ascii="Gill Sans MT" w:hAnsi="Gill Sans MT"/>
                <w:sz w:val="22"/>
                <w:szCs w:val="22"/>
              </w:rPr>
              <w:t xml:space="preserve">7  </w:t>
            </w:r>
          </w:p>
        </w:tc>
        <w:tc>
          <w:tcPr>
            <w:tcW w:w="1240"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64,441</w:t>
            </w:r>
          </w:p>
        </w:tc>
        <w:tc>
          <w:tcPr>
            <w:tcW w:w="1736"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3,937</w:t>
            </w:r>
          </w:p>
        </w:tc>
        <w:tc>
          <w:tcPr>
            <w:tcW w:w="1134"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lang w:val="en-GB" w:eastAsia="en-GB"/>
              </w:rPr>
              <w:t>6.1</w:t>
            </w:r>
          </w:p>
        </w:tc>
        <w:tc>
          <w:tcPr>
            <w:tcW w:w="1701"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1,844</w:t>
            </w:r>
          </w:p>
        </w:tc>
        <w:tc>
          <w:tcPr>
            <w:tcW w:w="1944"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2.9</w:t>
            </w:r>
          </w:p>
        </w:tc>
      </w:tr>
      <w:tr w:rsidR="00B008E9" w:rsidRPr="00853F36" w:rsidTr="00C04BE4">
        <w:trPr>
          <w:cantSplit/>
        </w:trPr>
        <w:tc>
          <w:tcPr>
            <w:tcW w:w="1101" w:type="dxa"/>
            <w:shd w:val="clear" w:color="auto" w:fill="auto"/>
            <w:vAlign w:val="bottom"/>
          </w:tcPr>
          <w:p w:rsidR="00B008E9" w:rsidRPr="00C317C0" w:rsidRDefault="00B008E9" w:rsidP="00C04BE4">
            <w:pPr>
              <w:pStyle w:val="TableRowHead"/>
              <w:rPr>
                <w:rFonts w:ascii="Gill Sans MT" w:hAnsi="Gill Sans MT"/>
                <w:sz w:val="22"/>
                <w:szCs w:val="22"/>
              </w:rPr>
            </w:pPr>
            <w:r w:rsidRPr="00C317C0">
              <w:rPr>
                <w:rFonts w:ascii="Gill Sans MT" w:hAnsi="Gill Sans MT"/>
                <w:sz w:val="22"/>
                <w:szCs w:val="22"/>
              </w:rPr>
              <w:t xml:space="preserve">8  </w:t>
            </w:r>
          </w:p>
        </w:tc>
        <w:tc>
          <w:tcPr>
            <w:tcW w:w="1240"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63,816</w:t>
            </w:r>
          </w:p>
        </w:tc>
        <w:tc>
          <w:tcPr>
            <w:tcW w:w="1736"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4,239</w:t>
            </w:r>
          </w:p>
        </w:tc>
        <w:tc>
          <w:tcPr>
            <w:tcW w:w="1134"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lang w:val="en-GB" w:eastAsia="en-GB"/>
              </w:rPr>
              <w:t>6.6</w:t>
            </w:r>
          </w:p>
        </w:tc>
        <w:tc>
          <w:tcPr>
            <w:tcW w:w="1701"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1,959</w:t>
            </w:r>
          </w:p>
        </w:tc>
        <w:tc>
          <w:tcPr>
            <w:tcW w:w="1944"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3.1</w:t>
            </w:r>
          </w:p>
        </w:tc>
      </w:tr>
      <w:tr w:rsidR="00B008E9" w:rsidRPr="00853F36" w:rsidTr="00C04BE4">
        <w:trPr>
          <w:cantSplit/>
        </w:trPr>
        <w:tc>
          <w:tcPr>
            <w:tcW w:w="1101" w:type="dxa"/>
            <w:shd w:val="clear" w:color="auto" w:fill="auto"/>
            <w:vAlign w:val="bottom"/>
          </w:tcPr>
          <w:p w:rsidR="00B008E9" w:rsidRPr="00C317C0" w:rsidRDefault="00B008E9" w:rsidP="00C04BE4">
            <w:pPr>
              <w:pStyle w:val="TableRowHead"/>
              <w:rPr>
                <w:rFonts w:ascii="Gill Sans MT" w:hAnsi="Gill Sans MT"/>
                <w:sz w:val="22"/>
                <w:szCs w:val="22"/>
              </w:rPr>
            </w:pPr>
            <w:r w:rsidRPr="00C317C0">
              <w:rPr>
                <w:rFonts w:ascii="Gill Sans MT" w:hAnsi="Gill Sans MT"/>
                <w:sz w:val="22"/>
                <w:szCs w:val="22"/>
              </w:rPr>
              <w:t xml:space="preserve">9  </w:t>
            </w:r>
          </w:p>
        </w:tc>
        <w:tc>
          <w:tcPr>
            <w:tcW w:w="1240"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62,600</w:t>
            </w:r>
          </w:p>
        </w:tc>
        <w:tc>
          <w:tcPr>
            <w:tcW w:w="1736"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4,545</w:t>
            </w:r>
          </w:p>
        </w:tc>
        <w:tc>
          <w:tcPr>
            <w:tcW w:w="1134"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lang w:val="en-GB" w:eastAsia="en-GB"/>
              </w:rPr>
              <w:t>7.3</w:t>
            </w:r>
          </w:p>
        </w:tc>
        <w:tc>
          <w:tcPr>
            <w:tcW w:w="1701"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2,093</w:t>
            </w:r>
          </w:p>
        </w:tc>
        <w:tc>
          <w:tcPr>
            <w:tcW w:w="1944"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3.3</w:t>
            </w:r>
          </w:p>
        </w:tc>
      </w:tr>
      <w:tr w:rsidR="00B008E9" w:rsidRPr="00853F36" w:rsidTr="00C04BE4">
        <w:trPr>
          <w:cantSplit/>
        </w:trPr>
        <w:tc>
          <w:tcPr>
            <w:tcW w:w="1101" w:type="dxa"/>
            <w:shd w:val="clear" w:color="auto" w:fill="auto"/>
            <w:vAlign w:val="bottom"/>
          </w:tcPr>
          <w:p w:rsidR="00B008E9" w:rsidRPr="00C317C0" w:rsidRDefault="00B008E9" w:rsidP="00C04BE4">
            <w:pPr>
              <w:pStyle w:val="TableRowHead"/>
              <w:rPr>
                <w:rFonts w:ascii="Gill Sans MT" w:hAnsi="Gill Sans MT"/>
                <w:sz w:val="22"/>
                <w:szCs w:val="22"/>
              </w:rPr>
            </w:pPr>
            <w:r w:rsidRPr="00C317C0">
              <w:rPr>
                <w:rFonts w:ascii="Gill Sans MT" w:hAnsi="Gill Sans MT"/>
                <w:sz w:val="22"/>
                <w:szCs w:val="22"/>
              </w:rPr>
              <w:t xml:space="preserve">10  </w:t>
            </w:r>
          </w:p>
        </w:tc>
        <w:tc>
          <w:tcPr>
            <w:tcW w:w="1240"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61,429</w:t>
            </w:r>
          </w:p>
        </w:tc>
        <w:tc>
          <w:tcPr>
            <w:tcW w:w="1736"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4,668</w:t>
            </w:r>
          </w:p>
        </w:tc>
        <w:tc>
          <w:tcPr>
            <w:tcW w:w="1134"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lang w:val="en-GB" w:eastAsia="en-GB"/>
              </w:rPr>
              <w:t>7.6</w:t>
            </w:r>
          </w:p>
        </w:tc>
        <w:tc>
          <w:tcPr>
            <w:tcW w:w="1701"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2,165</w:t>
            </w:r>
          </w:p>
        </w:tc>
        <w:tc>
          <w:tcPr>
            <w:tcW w:w="1944"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3.5</w:t>
            </w:r>
          </w:p>
        </w:tc>
      </w:tr>
      <w:tr w:rsidR="00B008E9" w:rsidRPr="00853F36" w:rsidTr="00C04BE4">
        <w:trPr>
          <w:cantSplit/>
        </w:trPr>
        <w:tc>
          <w:tcPr>
            <w:tcW w:w="1101" w:type="dxa"/>
            <w:shd w:val="clear" w:color="auto" w:fill="auto"/>
            <w:vAlign w:val="bottom"/>
          </w:tcPr>
          <w:p w:rsidR="00B008E9" w:rsidRPr="00C317C0" w:rsidRDefault="00B008E9" w:rsidP="00C04BE4">
            <w:pPr>
              <w:pStyle w:val="TableRowHead"/>
              <w:rPr>
                <w:rFonts w:ascii="Gill Sans MT" w:hAnsi="Gill Sans MT"/>
                <w:sz w:val="22"/>
                <w:szCs w:val="22"/>
              </w:rPr>
            </w:pPr>
            <w:r w:rsidRPr="00C317C0">
              <w:rPr>
                <w:rFonts w:ascii="Gill Sans MT" w:hAnsi="Gill Sans MT"/>
                <w:sz w:val="22"/>
                <w:szCs w:val="22"/>
              </w:rPr>
              <w:t xml:space="preserve">11  </w:t>
            </w:r>
          </w:p>
        </w:tc>
        <w:tc>
          <w:tcPr>
            <w:tcW w:w="1240"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60,834</w:t>
            </w:r>
          </w:p>
        </w:tc>
        <w:tc>
          <w:tcPr>
            <w:tcW w:w="1736"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4,702</w:t>
            </w:r>
          </w:p>
        </w:tc>
        <w:tc>
          <w:tcPr>
            <w:tcW w:w="1134"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lang w:val="en-GB" w:eastAsia="en-GB"/>
              </w:rPr>
              <w:t>7.7</w:t>
            </w:r>
          </w:p>
        </w:tc>
        <w:tc>
          <w:tcPr>
            <w:tcW w:w="1701"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2,095</w:t>
            </w:r>
          </w:p>
        </w:tc>
        <w:tc>
          <w:tcPr>
            <w:tcW w:w="1944"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3.4</w:t>
            </w:r>
          </w:p>
        </w:tc>
      </w:tr>
      <w:tr w:rsidR="00B008E9" w:rsidRPr="00853F36" w:rsidTr="00C04BE4">
        <w:trPr>
          <w:cantSplit/>
        </w:trPr>
        <w:tc>
          <w:tcPr>
            <w:tcW w:w="1101" w:type="dxa"/>
            <w:shd w:val="clear" w:color="auto" w:fill="auto"/>
            <w:vAlign w:val="bottom"/>
          </w:tcPr>
          <w:p w:rsidR="00B008E9" w:rsidRPr="00C317C0" w:rsidRDefault="00B008E9" w:rsidP="00C04BE4">
            <w:pPr>
              <w:pStyle w:val="TableRowHead"/>
              <w:rPr>
                <w:rFonts w:ascii="Gill Sans MT" w:hAnsi="Gill Sans MT"/>
                <w:sz w:val="22"/>
                <w:szCs w:val="22"/>
              </w:rPr>
            </w:pPr>
            <w:r w:rsidRPr="00C317C0">
              <w:rPr>
                <w:rFonts w:ascii="Gill Sans MT" w:hAnsi="Gill Sans MT"/>
                <w:sz w:val="22"/>
                <w:szCs w:val="22"/>
              </w:rPr>
              <w:t xml:space="preserve">12  </w:t>
            </w:r>
          </w:p>
        </w:tc>
        <w:tc>
          <w:tcPr>
            <w:tcW w:w="1240"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61,234</w:t>
            </w:r>
          </w:p>
        </w:tc>
        <w:tc>
          <w:tcPr>
            <w:tcW w:w="1736"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4,629</w:t>
            </w:r>
          </w:p>
        </w:tc>
        <w:tc>
          <w:tcPr>
            <w:tcW w:w="1134"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lang w:val="en-GB" w:eastAsia="en-GB"/>
              </w:rPr>
              <w:t>7.6</w:t>
            </w:r>
          </w:p>
        </w:tc>
        <w:tc>
          <w:tcPr>
            <w:tcW w:w="1701"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1,969</w:t>
            </w:r>
          </w:p>
        </w:tc>
        <w:tc>
          <w:tcPr>
            <w:tcW w:w="1944"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3.2</w:t>
            </w:r>
          </w:p>
        </w:tc>
      </w:tr>
      <w:tr w:rsidR="00B008E9" w:rsidRPr="00853F36" w:rsidTr="00C04BE4">
        <w:trPr>
          <w:cantSplit/>
        </w:trPr>
        <w:tc>
          <w:tcPr>
            <w:tcW w:w="1101" w:type="dxa"/>
            <w:shd w:val="clear" w:color="auto" w:fill="auto"/>
            <w:vAlign w:val="bottom"/>
          </w:tcPr>
          <w:p w:rsidR="00B008E9" w:rsidRPr="00C317C0" w:rsidRDefault="00B008E9" w:rsidP="00C04BE4">
            <w:pPr>
              <w:pStyle w:val="TableRowHead"/>
              <w:rPr>
                <w:rFonts w:ascii="Gill Sans MT" w:hAnsi="Gill Sans MT"/>
                <w:sz w:val="22"/>
                <w:szCs w:val="22"/>
              </w:rPr>
            </w:pPr>
            <w:r w:rsidRPr="00C317C0">
              <w:rPr>
                <w:rFonts w:ascii="Gill Sans MT" w:hAnsi="Gill Sans MT"/>
                <w:sz w:val="22"/>
                <w:szCs w:val="22"/>
              </w:rPr>
              <w:t xml:space="preserve">13  </w:t>
            </w:r>
          </w:p>
        </w:tc>
        <w:tc>
          <w:tcPr>
            <w:tcW w:w="1240"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59,992</w:t>
            </w:r>
          </w:p>
        </w:tc>
        <w:tc>
          <w:tcPr>
            <w:tcW w:w="1736"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4,731</w:t>
            </w:r>
          </w:p>
        </w:tc>
        <w:tc>
          <w:tcPr>
            <w:tcW w:w="1134"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lang w:val="en-GB" w:eastAsia="en-GB"/>
              </w:rPr>
              <w:t>7.9</w:t>
            </w:r>
          </w:p>
        </w:tc>
        <w:tc>
          <w:tcPr>
            <w:tcW w:w="1701"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2,086</w:t>
            </w:r>
          </w:p>
        </w:tc>
        <w:tc>
          <w:tcPr>
            <w:tcW w:w="1944"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3.5</w:t>
            </w:r>
          </w:p>
        </w:tc>
      </w:tr>
      <w:tr w:rsidR="00B008E9" w:rsidRPr="00853F36" w:rsidTr="00C04BE4">
        <w:trPr>
          <w:cantSplit/>
        </w:trPr>
        <w:tc>
          <w:tcPr>
            <w:tcW w:w="1101" w:type="dxa"/>
            <w:shd w:val="clear" w:color="auto" w:fill="auto"/>
            <w:vAlign w:val="bottom"/>
          </w:tcPr>
          <w:p w:rsidR="00B008E9" w:rsidRPr="00C317C0" w:rsidRDefault="00B008E9" w:rsidP="00C04BE4">
            <w:pPr>
              <w:pStyle w:val="TableRowHead"/>
              <w:rPr>
                <w:rFonts w:ascii="Gill Sans MT" w:hAnsi="Gill Sans MT"/>
                <w:sz w:val="22"/>
                <w:szCs w:val="22"/>
              </w:rPr>
            </w:pPr>
            <w:r w:rsidRPr="00C317C0">
              <w:rPr>
                <w:rFonts w:ascii="Gill Sans MT" w:hAnsi="Gill Sans MT"/>
                <w:sz w:val="22"/>
                <w:szCs w:val="22"/>
              </w:rPr>
              <w:t xml:space="preserve">14  </w:t>
            </w:r>
          </w:p>
        </w:tc>
        <w:tc>
          <w:tcPr>
            <w:tcW w:w="1240"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59,002</w:t>
            </w:r>
          </w:p>
        </w:tc>
        <w:tc>
          <w:tcPr>
            <w:tcW w:w="1736"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4,682</w:t>
            </w:r>
          </w:p>
        </w:tc>
        <w:tc>
          <w:tcPr>
            <w:tcW w:w="1134"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lang w:val="en-GB" w:eastAsia="en-GB"/>
              </w:rPr>
              <w:t>7.9</w:t>
            </w:r>
          </w:p>
        </w:tc>
        <w:tc>
          <w:tcPr>
            <w:tcW w:w="1701"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2,068</w:t>
            </w:r>
          </w:p>
        </w:tc>
        <w:tc>
          <w:tcPr>
            <w:tcW w:w="1944"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3.5</w:t>
            </w:r>
          </w:p>
        </w:tc>
      </w:tr>
      <w:tr w:rsidR="00B008E9" w:rsidRPr="00853F36" w:rsidTr="00C04BE4">
        <w:trPr>
          <w:cantSplit/>
        </w:trPr>
        <w:tc>
          <w:tcPr>
            <w:tcW w:w="1101" w:type="dxa"/>
            <w:shd w:val="clear" w:color="auto" w:fill="auto"/>
            <w:vAlign w:val="bottom"/>
          </w:tcPr>
          <w:p w:rsidR="00B008E9" w:rsidRPr="00C317C0" w:rsidRDefault="00B008E9" w:rsidP="00C04BE4">
            <w:pPr>
              <w:pStyle w:val="TableRowHead"/>
              <w:rPr>
                <w:rFonts w:ascii="Gill Sans MT" w:hAnsi="Gill Sans MT"/>
                <w:sz w:val="22"/>
                <w:szCs w:val="22"/>
              </w:rPr>
            </w:pPr>
            <w:r w:rsidRPr="00C317C0">
              <w:rPr>
                <w:rFonts w:ascii="Gill Sans MT" w:hAnsi="Gill Sans MT"/>
                <w:sz w:val="22"/>
                <w:szCs w:val="22"/>
              </w:rPr>
              <w:t xml:space="preserve">15  </w:t>
            </w:r>
          </w:p>
        </w:tc>
        <w:tc>
          <w:tcPr>
            <w:tcW w:w="1240"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57,227</w:t>
            </w:r>
          </w:p>
        </w:tc>
        <w:tc>
          <w:tcPr>
            <w:tcW w:w="1736"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4,637</w:t>
            </w:r>
          </w:p>
        </w:tc>
        <w:tc>
          <w:tcPr>
            <w:tcW w:w="1134"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lang w:val="en-GB" w:eastAsia="en-GB"/>
              </w:rPr>
              <w:t>8.1</w:t>
            </w:r>
          </w:p>
        </w:tc>
        <w:tc>
          <w:tcPr>
            <w:tcW w:w="1701"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2,074</w:t>
            </w:r>
          </w:p>
        </w:tc>
        <w:tc>
          <w:tcPr>
            <w:tcW w:w="1944"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3.6</w:t>
            </w:r>
          </w:p>
        </w:tc>
      </w:tr>
      <w:tr w:rsidR="00B008E9" w:rsidRPr="00853F36" w:rsidTr="00C04BE4">
        <w:trPr>
          <w:cantSplit/>
        </w:trPr>
        <w:tc>
          <w:tcPr>
            <w:tcW w:w="1101" w:type="dxa"/>
            <w:shd w:val="clear" w:color="auto" w:fill="auto"/>
            <w:vAlign w:val="bottom"/>
          </w:tcPr>
          <w:p w:rsidR="00B008E9" w:rsidRPr="00C317C0" w:rsidRDefault="00B008E9" w:rsidP="00C04BE4">
            <w:pPr>
              <w:pStyle w:val="TableRowHead"/>
              <w:rPr>
                <w:rFonts w:ascii="Gill Sans MT" w:hAnsi="Gill Sans MT"/>
                <w:sz w:val="22"/>
                <w:szCs w:val="22"/>
              </w:rPr>
            </w:pPr>
            <w:r w:rsidRPr="00C317C0">
              <w:rPr>
                <w:rFonts w:ascii="Gill Sans MT" w:hAnsi="Gill Sans MT"/>
                <w:sz w:val="22"/>
                <w:szCs w:val="22"/>
              </w:rPr>
              <w:t xml:space="preserve">16  </w:t>
            </w:r>
          </w:p>
        </w:tc>
        <w:tc>
          <w:tcPr>
            <w:tcW w:w="1240"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56,005</w:t>
            </w:r>
          </w:p>
        </w:tc>
        <w:tc>
          <w:tcPr>
            <w:tcW w:w="1736"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4,314</w:t>
            </w:r>
          </w:p>
        </w:tc>
        <w:tc>
          <w:tcPr>
            <w:tcW w:w="1134"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lang w:val="en-GB" w:eastAsia="en-GB"/>
              </w:rPr>
              <w:t>7.7</w:t>
            </w:r>
          </w:p>
        </w:tc>
        <w:tc>
          <w:tcPr>
            <w:tcW w:w="1701"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1,927</w:t>
            </w:r>
          </w:p>
        </w:tc>
        <w:tc>
          <w:tcPr>
            <w:tcW w:w="1944"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3.4</w:t>
            </w:r>
          </w:p>
        </w:tc>
      </w:tr>
      <w:tr w:rsidR="00B008E9" w:rsidRPr="00853F36" w:rsidTr="00C04BE4">
        <w:trPr>
          <w:cantSplit/>
        </w:trPr>
        <w:tc>
          <w:tcPr>
            <w:tcW w:w="1101" w:type="dxa"/>
            <w:shd w:val="clear" w:color="auto" w:fill="auto"/>
            <w:vAlign w:val="bottom"/>
          </w:tcPr>
          <w:p w:rsidR="00B008E9" w:rsidRPr="00C317C0" w:rsidRDefault="00B008E9" w:rsidP="00C04BE4">
            <w:pPr>
              <w:pStyle w:val="TableRowHead"/>
              <w:rPr>
                <w:rFonts w:ascii="Gill Sans MT" w:hAnsi="Gill Sans MT"/>
                <w:sz w:val="22"/>
                <w:szCs w:val="22"/>
              </w:rPr>
            </w:pPr>
            <w:r w:rsidRPr="00C317C0">
              <w:rPr>
                <w:rFonts w:ascii="Gill Sans MT" w:hAnsi="Gill Sans MT"/>
                <w:sz w:val="22"/>
                <w:szCs w:val="22"/>
              </w:rPr>
              <w:t xml:space="preserve">17  </w:t>
            </w:r>
          </w:p>
        </w:tc>
        <w:tc>
          <w:tcPr>
            <w:tcW w:w="1240"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55,865</w:t>
            </w:r>
          </w:p>
        </w:tc>
        <w:tc>
          <w:tcPr>
            <w:tcW w:w="1736"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4,428</w:t>
            </w:r>
          </w:p>
        </w:tc>
        <w:tc>
          <w:tcPr>
            <w:tcW w:w="1134"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lang w:val="en-GB" w:eastAsia="en-GB"/>
              </w:rPr>
              <w:t>7.9</w:t>
            </w:r>
          </w:p>
        </w:tc>
        <w:tc>
          <w:tcPr>
            <w:tcW w:w="1701"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1,979</w:t>
            </w:r>
          </w:p>
        </w:tc>
        <w:tc>
          <w:tcPr>
            <w:tcW w:w="1944"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3.5</w:t>
            </w:r>
          </w:p>
        </w:tc>
      </w:tr>
      <w:tr w:rsidR="00B008E9" w:rsidRPr="00853F36" w:rsidTr="00C04BE4">
        <w:trPr>
          <w:cantSplit/>
        </w:trPr>
        <w:tc>
          <w:tcPr>
            <w:tcW w:w="1101" w:type="dxa"/>
            <w:shd w:val="clear" w:color="auto" w:fill="auto"/>
            <w:vAlign w:val="bottom"/>
          </w:tcPr>
          <w:p w:rsidR="00B008E9" w:rsidRPr="00C317C0" w:rsidRDefault="00B008E9" w:rsidP="00C04BE4">
            <w:pPr>
              <w:pStyle w:val="TableRowHead"/>
              <w:rPr>
                <w:rFonts w:ascii="Gill Sans MT" w:hAnsi="Gill Sans MT"/>
                <w:sz w:val="22"/>
                <w:szCs w:val="22"/>
              </w:rPr>
            </w:pPr>
            <w:r w:rsidRPr="00C317C0">
              <w:rPr>
                <w:rFonts w:ascii="Gill Sans MT" w:hAnsi="Gill Sans MT"/>
                <w:sz w:val="22"/>
                <w:szCs w:val="22"/>
              </w:rPr>
              <w:t xml:space="preserve">18  </w:t>
            </w:r>
          </w:p>
        </w:tc>
        <w:tc>
          <w:tcPr>
            <w:tcW w:w="1240"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56,840</w:t>
            </w:r>
          </w:p>
        </w:tc>
        <w:tc>
          <w:tcPr>
            <w:tcW w:w="1736"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4,681</w:t>
            </w:r>
          </w:p>
        </w:tc>
        <w:tc>
          <w:tcPr>
            <w:tcW w:w="1134" w:type="dxa"/>
            <w:shd w:val="clear" w:color="auto" w:fill="auto"/>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8.2</w:t>
            </w:r>
          </w:p>
        </w:tc>
        <w:tc>
          <w:tcPr>
            <w:tcW w:w="1701"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2,069</w:t>
            </w:r>
          </w:p>
        </w:tc>
        <w:tc>
          <w:tcPr>
            <w:tcW w:w="1944" w:type="dxa"/>
            <w:vAlign w:val="bottom"/>
          </w:tcPr>
          <w:p w:rsidR="00B008E9" w:rsidRPr="00C317C0" w:rsidRDefault="00B008E9" w:rsidP="00C04BE4">
            <w:pPr>
              <w:pStyle w:val="TableCell"/>
              <w:keepNext/>
              <w:rPr>
                <w:rFonts w:ascii="Gill Sans MT" w:hAnsi="Gill Sans MT"/>
                <w:sz w:val="22"/>
                <w:szCs w:val="22"/>
              </w:rPr>
            </w:pPr>
            <w:r w:rsidRPr="00C317C0">
              <w:rPr>
                <w:rFonts w:ascii="Gill Sans MT" w:hAnsi="Gill Sans MT"/>
                <w:sz w:val="22"/>
                <w:szCs w:val="22"/>
              </w:rPr>
              <w:t>3.6</w:t>
            </w:r>
          </w:p>
        </w:tc>
      </w:tr>
      <w:tr w:rsidR="00B008E9" w:rsidRPr="00853F36" w:rsidTr="00C04BE4">
        <w:trPr>
          <w:cantSplit/>
        </w:trPr>
        <w:tc>
          <w:tcPr>
            <w:tcW w:w="1101" w:type="dxa"/>
            <w:shd w:val="clear" w:color="auto" w:fill="auto"/>
            <w:vAlign w:val="bottom"/>
          </w:tcPr>
          <w:p w:rsidR="00B008E9" w:rsidRPr="00C317C0" w:rsidRDefault="00B008E9" w:rsidP="00C04BE4">
            <w:pPr>
              <w:pStyle w:val="TableRowHead"/>
              <w:rPr>
                <w:rFonts w:ascii="Gill Sans MT" w:hAnsi="Gill Sans MT"/>
                <w:sz w:val="22"/>
                <w:szCs w:val="22"/>
              </w:rPr>
            </w:pPr>
            <w:r w:rsidRPr="00C317C0">
              <w:rPr>
                <w:rFonts w:ascii="Gill Sans MT" w:hAnsi="Gill Sans MT"/>
                <w:sz w:val="22"/>
                <w:szCs w:val="22"/>
                <w:lang w:val="en-GB" w:eastAsia="en-GB"/>
              </w:rPr>
              <w:t>Total</w:t>
            </w:r>
          </w:p>
        </w:tc>
        <w:tc>
          <w:tcPr>
            <w:tcW w:w="1240" w:type="dxa"/>
            <w:shd w:val="clear" w:color="auto" w:fill="auto"/>
            <w:vAlign w:val="bottom"/>
          </w:tcPr>
          <w:p w:rsidR="00B008E9" w:rsidRPr="00C317C0" w:rsidRDefault="00B008E9" w:rsidP="00C04BE4">
            <w:pPr>
              <w:pStyle w:val="TableCell"/>
              <w:keepNext/>
              <w:rPr>
                <w:rFonts w:ascii="Gill Sans MT" w:hAnsi="Gill Sans MT"/>
                <w:b/>
                <w:sz w:val="22"/>
                <w:szCs w:val="22"/>
              </w:rPr>
            </w:pPr>
            <w:r w:rsidRPr="00C317C0">
              <w:rPr>
                <w:rFonts w:ascii="Gill Sans MT" w:hAnsi="Gill Sans MT"/>
                <w:b/>
                <w:sz w:val="22"/>
                <w:szCs w:val="22"/>
                <w:lang w:val="en-GB" w:eastAsia="en-GB"/>
              </w:rPr>
              <w:t>1,148,687</w:t>
            </w:r>
          </w:p>
        </w:tc>
        <w:tc>
          <w:tcPr>
            <w:tcW w:w="1736" w:type="dxa"/>
            <w:shd w:val="clear" w:color="auto" w:fill="auto"/>
            <w:vAlign w:val="bottom"/>
          </w:tcPr>
          <w:p w:rsidR="00B008E9" w:rsidRPr="00C317C0" w:rsidRDefault="00B008E9" w:rsidP="00C04BE4">
            <w:pPr>
              <w:pStyle w:val="TableCell"/>
              <w:keepNext/>
              <w:rPr>
                <w:rFonts w:ascii="Gill Sans MT" w:hAnsi="Gill Sans MT"/>
                <w:b/>
                <w:sz w:val="22"/>
                <w:szCs w:val="22"/>
              </w:rPr>
            </w:pPr>
            <w:r w:rsidRPr="00C317C0">
              <w:rPr>
                <w:rFonts w:ascii="Gill Sans MT" w:hAnsi="Gill Sans MT"/>
                <w:b/>
                <w:sz w:val="22"/>
                <w:szCs w:val="22"/>
                <w:lang w:val="en-GB" w:eastAsia="en-GB"/>
              </w:rPr>
              <w:t>66,437</w:t>
            </w:r>
          </w:p>
        </w:tc>
        <w:tc>
          <w:tcPr>
            <w:tcW w:w="1134" w:type="dxa"/>
            <w:shd w:val="clear" w:color="auto" w:fill="auto"/>
            <w:vAlign w:val="bottom"/>
          </w:tcPr>
          <w:p w:rsidR="00B008E9" w:rsidRPr="00C317C0" w:rsidRDefault="00B008E9" w:rsidP="00C04BE4">
            <w:pPr>
              <w:pStyle w:val="TableCell"/>
              <w:keepNext/>
              <w:rPr>
                <w:rFonts w:ascii="Gill Sans MT" w:hAnsi="Gill Sans MT"/>
                <w:b/>
                <w:sz w:val="22"/>
                <w:szCs w:val="22"/>
              </w:rPr>
            </w:pPr>
            <w:r w:rsidRPr="00C317C0">
              <w:rPr>
                <w:rFonts w:ascii="Gill Sans MT" w:hAnsi="Gill Sans MT"/>
                <w:b/>
                <w:sz w:val="22"/>
                <w:szCs w:val="22"/>
                <w:lang w:val="en-GB" w:eastAsia="en-GB"/>
              </w:rPr>
              <w:t>5.8</w:t>
            </w:r>
          </w:p>
        </w:tc>
        <w:tc>
          <w:tcPr>
            <w:tcW w:w="1701" w:type="dxa"/>
            <w:vAlign w:val="bottom"/>
          </w:tcPr>
          <w:p w:rsidR="00B008E9" w:rsidRPr="00C317C0" w:rsidRDefault="00B008E9" w:rsidP="00C04BE4">
            <w:pPr>
              <w:pStyle w:val="TableCell"/>
              <w:keepNext/>
              <w:rPr>
                <w:rFonts w:ascii="Gill Sans MT" w:hAnsi="Gill Sans MT"/>
                <w:b/>
                <w:sz w:val="22"/>
                <w:szCs w:val="22"/>
                <w:lang w:val="en-GB" w:eastAsia="en-GB"/>
              </w:rPr>
            </w:pPr>
            <w:r w:rsidRPr="00C317C0">
              <w:rPr>
                <w:rFonts w:ascii="Gill Sans MT" w:hAnsi="Gill Sans MT"/>
                <w:b/>
                <w:sz w:val="22"/>
                <w:szCs w:val="22"/>
                <w:lang w:val="en-GB" w:eastAsia="en-GB"/>
              </w:rPr>
              <w:t>32,346</w:t>
            </w:r>
          </w:p>
        </w:tc>
        <w:tc>
          <w:tcPr>
            <w:tcW w:w="1944" w:type="dxa"/>
            <w:vAlign w:val="bottom"/>
          </w:tcPr>
          <w:p w:rsidR="00B008E9" w:rsidRPr="00C317C0" w:rsidRDefault="00B008E9" w:rsidP="00C04BE4">
            <w:pPr>
              <w:pStyle w:val="TableCell"/>
              <w:keepNext/>
              <w:rPr>
                <w:rFonts w:ascii="Gill Sans MT" w:hAnsi="Gill Sans MT"/>
                <w:b/>
                <w:sz w:val="22"/>
                <w:szCs w:val="22"/>
                <w:lang w:val="en-GB" w:eastAsia="en-GB"/>
              </w:rPr>
            </w:pPr>
            <w:r w:rsidRPr="00C317C0">
              <w:rPr>
                <w:rFonts w:ascii="Gill Sans MT" w:hAnsi="Gill Sans MT"/>
                <w:b/>
                <w:sz w:val="22"/>
                <w:szCs w:val="22"/>
                <w:lang w:val="en-GB" w:eastAsia="en-GB"/>
              </w:rPr>
              <w:t>2.8</w:t>
            </w:r>
          </w:p>
        </w:tc>
      </w:tr>
    </w:tbl>
    <w:p w:rsidR="00B008E9" w:rsidRPr="00853F36" w:rsidRDefault="00B008E9" w:rsidP="00B008E9">
      <w:pPr>
        <w:pStyle w:val="TableNote"/>
        <w:rPr>
          <w:lang w:val="en-GB"/>
        </w:rPr>
      </w:pPr>
      <w:r w:rsidRPr="00853F36">
        <w:rPr>
          <w:lang w:val="en-GB"/>
        </w:rPr>
        <w:t>Source: C</w:t>
      </w:r>
      <w:r>
        <w:rPr>
          <w:lang w:val="en-GB"/>
        </w:rPr>
        <w:t>ensus 2011, C</w:t>
      </w:r>
      <w:r w:rsidRPr="00853F36">
        <w:rPr>
          <w:lang w:val="en-GB"/>
        </w:rPr>
        <w:t>SO</w:t>
      </w:r>
    </w:p>
    <w:p w:rsidR="00B008E9" w:rsidRDefault="00B008E9" w:rsidP="00B008E9">
      <w:pPr>
        <w:spacing w:before="240"/>
      </w:pPr>
      <w:r>
        <w:t>In 2011, there were just over 32,000 children recorded with more than one type of disability, or 2.8% of the relevant population.</w:t>
      </w:r>
    </w:p>
    <w:p w:rsidR="00B008E9" w:rsidRDefault="00B008E9" w:rsidP="001E0736">
      <w:pPr>
        <w:pStyle w:val="Heading3"/>
      </w:pPr>
      <w:bookmarkStart w:id="93" w:name="_Toc403573117"/>
      <w:bookmarkStart w:id="94" w:name="_Toc415667010"/>
      <w:bookmarkStart w:id="95" w:name="_Toc415733703"/>
      <w:r>
        <w:t>Which children are likely to need therapy services</w:t>
      </w:r>
      <w:bookmarkEnd w:id="93"/>
      <w:bookmarkEnd w:id="94"/>
      <w:bookmarkEnd w:id="95"/>
      <w:r>
        <w:t xml:space="preserve"> </w:t>
      </w:r>
    </w:p>
    <w:p w:rsidR="00B008E9" w:rsidRDefault="00B008E9" w:rsidP="00B008E9">
      <w:r>
        <w:t>It may be possible to generate estimates of which of these children may require therapy services. For example, a proportion of children with hearing problems may require speech and language therapy; a proportion of those with physical disabilities may require physiotherapy, occupational therapy or speech and language therapy; children with intellectual disabilities may require speech and language therapy, occupational therapy and psychology; children with emotional, psychological or mental health issues may require psychology, and so on. Not all children with a disability will require specific therapeutic intervention, and for others primary care may be the appropriate therapy they require.</w:t>
      </w:r>
    </w:p>
    <w:p w:rsidR="00B008E9" w:rsidRDefault="00B008E9" w:rsidP="00B008E9">
      <w:r>
        <w:t xml:space="preserve">The NDA did not follow this line of inquiry in more detail, as other data sources provided a more accurate fix on which children may need specialist disability services. </w:t>
      </w:r>
    </w:p>
    <w:p w:rsidR="00B008E9" w:rsidRDefault="00B008E9" w:rsidP="001E0736">
      <w:pPr>
        <w:pStyle w:val="Heading3"/>
        <w:rPr>
          <w:lang w:val="en-GB"/>
        </w:rPr>
      </w:pPr>
      <w:bookmarkStart w:id="96" w:name="_Toc415667011"/>
      <w:bookmarkStart w:id="97" w:name="_Toc415733704"/>
      <w:r>
        <w:rPr>
          <w:lang w:val="en-GB"/>
        </w:rPr>
        <w:t>Applying a rule of thumb</w:t>
      </w:r>
      <w:bookmarkEnd w:id="96"/>
      <w:bookmarkEnd w:id="97"/>
    </w:p>
    <w:p w:rsidR="00B008E9" w:rsidRDefault="00B008E9" w:rsidP="006D3757">
      <w:r>
        <w:rPr>
          <w:lang w:val="en-GB"/>
        </w:rPr>
        <w:t xml:space="preserve">One rule of thumb which is not necessarily accurate, but based on a best </w:t>
      </w:r>
      <w:r w:rsidRPr="00853F36">
        <w:t>guess of the numbers of relevant children</w:t>
      </w:r>
      <w:r w:rsidR="00B1755E">
        <w:t>,</w:t>
      </w:r>
      <w:r>
        <w:t xml:space="preserve"> based on international prevalence studies is that 4% of children might require specialist disability therapy services.</w:t>
      </w:r>
      <w:r>
        <w:rPr>
          <w:rStyle w:val="FootnoteReference"/>
        </w:rPr>
        <w:footnoteReference w:id="41"/>
      </w:r>
      <w:r>
        <w:t xml:space="preserve"> Reported international ratios and prevalence rates</w:t>
      </w:r>
      <w:r w:rsidR="00B1755E">
        <w:t>,</w:t>
      </w:r>
      <w:r>
        <w:t xml:space="preserve"> can however</w:t>
      </w:r>
      <w:r w:rsidR="00B1755E">
        <w:t>, vary</w:t>
      </w:r>
      <w:r>
        <w:t xml:space="preserve"> dramatically from one jurisdiction to another. </w:t>
      </w:r>
      <w:r>
        <w:rPr>
          <w:lang w:val="en-GB"/>
        </w:rPr>
        <w:t>F</w:t>
      </w:r>
      <w:r w:rsidRPr="00853F36">
        <w:rPr>
          <w:lang w:val="en-GB"/>
        </w:rPr>
        <w:t>or instance</w:t>
      </w:r>
      <w:r w:rsidR="00B1755E">
        <w:rPr>
          <w:lang w:val="en-GB"/>
        </w:rPr>
        <w:t>,</w:t>
      </w:r>
      <w:r w:rsidRPr="00853F36">
        <w:rPr>
          <w:lang w:val="en-GB"/>
        </w:rPr>
        <w:t xml:space="preserve"> a recent paper looking at USA statistics</w:t>
      </w:r>
      <w:r w:rsidR="00B1755E">
        <w:rPr>
          <w:lang w:val="en-GB"/>
        </w:rPr>
        <w:t>,</w:t>
      </w:r>
      <w:r w:rsidRPr="00853F36">
        <w:rPr>
          <w:lang w:val="en-GB"/>
        </w:rPr>
        <w:t xml:space="preserve"> found that the proportion of infants and toddlers likely to be eligible for equivalent services ranges from 2% to 78% across the USA</w:t>
      </w:r>
      <w:r w:rsidR="00B1755E">
        <w:rPr>
          <w:lang w:val="en-GB"/>
        </w:rPr>
        <w:t>,</w:t>
      </w:r>
      <w:r w:rsidRPr="00853F36">
        <w:rPr>
          <w:lang w:val="en-GB"/>
        </w:rPr>
        <w:t xml:space="preserve"> while the proportion of children enrolled in services range</w:t>
      </w:r>
      <w:r>
        <w:rPr>
          <w:lang w:val="en-GB"/>
        </w:rPr>
        <w:t>d</w:t>
      </w:r>
      <w:r w:rsidRPr="00853F36">
        <w:rPr>
          <w:lang w:val="en-GB"/>
        </w:rPr>
        <w:t xml:space="preserve"> from 1.5% to 7%</w:t>
      </w:r>
      <w:r>
        <w:rPr>
          <w:lang w:val="en-GB"/>
        </w:rPr>
        <w:t>.</w:t>
      </w:r>
      <w:r>
        <w:rPr>
          <w:rStyle w:val="FootnoteReference"/>
          <w:lang w:val="en-GB"/>
        </w:rPr>
        <w:footnoteReference w:id="42"/>
      </w:r>
    </w:p>
    <w:p w:rsidR="00B008E9" w:rsidRDefault="00B008E9" w:rsidP="00B008E9">
      <w:r w:rsidRPr="00853F36">
        <w:t>Using 4</w:t>
      </w:r>
      <w:r>
        <w:t>%</w:t>
      </w:r>
      <w:r w:rsidRPr="00853F36">
        <w:t xml:space="preserve"> as a</w:t>
      </w:r>
      <w:r>
        <w:t>n</w:t>
      </w:r>
      <w:r w:rsidRPr="00853F36">
        <w:t xml:space="preserve"> estimate of the number of all children who will need intervention services</w:t>
      </w:r>
      <w:r w:rsidR="00B1755E">
        <w:t>,</w:t>
      </w:r>
      <w:r w:rsidRPr="00853F36">
        <w:t xml:space="preserve"> </w:t>
      </w:r>
      <w:r>
        <w:t xml:space="preserve">yields an estimate of </w:t>
      </w:r>
      <w:r>
        <w:rPr>
          <w:lang w:val="en-GB"/>
        </w:rPr>
        <w:t>14,000</w:t>
      </w:r>
      <w:r w:rsidRPr="00853F36">
        <w:rPr>
          <w:lang w:val="en-GB"/>
        </w:rPr>
        <w:t xml:space="preserve"> children who </w:t>
      </w:r>
      <w:r>
        <w:rPr>
          <w:lang w:val="en-GB"/>
        </w:rPr>
        <w:t xml:space="preserve">may </w:t>
      </w:r>
      <w:r w:rsidRPr="00853F36">
        <w:rPr>
          <w:lang w:val="en-GB"/>
        </w:rPr>
        <w:t>need earl</w:t>
      </w:r>
      <w:r>
        <w:rPr>
          <w:lang w:val="en-GB"/>
        </w:rPr>
        <w:t>y intervention services and 32,000</w:t>
      </w:r>
      <w:r w:rsidRPr="00853F36">
        <w:rPr>
          <w:lang w:val="en-GB"/>
        </w:rPr>
        <w:t xml:space="preserve"> who </w:t>
      </w:r>
      <w:r>
        <w:rPr>
          <w:lang w:val="en-GB"/>
        </w:rPr>
        <w:t xml:space="preserve">may </w:t>
      </w:r>
      <w:r w:rsidRPr="00853F36">
        <w:rPr>
          <w:lang w:val="en-GB"/>
        </w:rPr>
        <w:t>need school aged intervention services (total</w:t>
      </w:r>
      <w:r>
        <w:rPr>
          <w:lang w:val="en-GB"/>
        </w:rPr>
        <w:t xml:space="preserve"> 46,000</w:t>
      </w:r>
      <w:r w:rsidRPr="00853F36">
        <w:rPr>
          <w:lang w:val="en-GB"/>
        </w:rPr>
        <w:t>).</w:t>
      </w:r>
      <w:r>
        <w:rPr>
          <w:lang w:val="en-GB"/>
        </w:rPr>
        <w:t xml:space="preserve"> However, </w:t>
      </w:r>
      <w:r>
        <w:t>work on the Growing Up in Ireland Survey data (see below)</w:t>
      </w:r>
      <w:r w:rsidR="00B1755E">
        <w:t>,</w:t>
      </w:r>
      <w:r>
        <w:t xml:space="preserve"> allows us get a more nuanced calculation of what proportion of the 13-year old age cohort may require multidisciplinary disability services, and to project that to the age distribution in the early intervention and school-age categories. </w:t>
      </w:r>
    </w:p>
    <w:p w:rsidR="00B008E9" w:rsidRDefault="00B008E9" w:rsidP="00DA1A61">
      <w:pPr>
        <w:pStyle w:val="Heading2"/>
        <w:numPr>
          <w:ilvl w:val="1"/>
          <w:numId w:val="10"/>
        </w:numPr>
        <w:ind w:hanging="1080"/>
      </w:pPr>
      <w:bookmarkStart w:id="98" w:name="_Toc415733705"/>
      <w:r>
        <w:t>National Disability Survey 2006</w:t>
      </w:r>
      <w:bookmarkEnd w:id="98"/>
    </w:p>
    <w:p w:rsidR="00B008E9" w:rsidRDefault="00B008E9" w:rsidP="00B008E9">
      <w:r>
        <w:t xml:space="preserve">The National Disability Survey 2006 offers some </w:t>
      </w:r>
      <w:r w:rsidR="00B1755E">
        <w:t xml:space="preserve">questions on </w:t>
      </w:r>
      <w:r>
        <w:t xml:space="preserve">therapy use and need by impairment type (data covers children and adults together), which could be applied to the Census data on children with different impairments to </w:t>
      </w:r>
      <w:r w:rsidR="00B1755E">
        <w:t xml:space="preserve">estimate </w:t>
      </w:r>
      <w:r>
        <w:t xml:space="preserve">the numbers who have or who might require therapy services. </w:t>
      </w:r>
    </w:p>
    <w:p w:rsidR="00B008E9" w:rsidRDefault="00B008E9" w:rsidP="00B1755E">
      <w:r>
        <w:t xml:space="preserve">The National Disability Survey has some limited data on respondents’ views of whether they needed additional therapy supports. The data is not readily available disaggregated as between adults and children. The data does not cover all impairments nor all therapy types – the selection of questions was guided by what experts in particular categories of impairment saw as the most important areas of support for that impairment. For example: </w:t>
      </w:r>
    </w:p>
    <w:p w:rsidR="00B008E9" w:rsidRDefault="00B008E9" w:rsidP="00B008E9">
      <w:pPr>
        <w:pStyle w:val="ListBullet"/>
        <w:numPr>
          <w:ilvl w:val="0"/>
          <w:numId w:val="1"/>
        </w:numPr>
        <w:ind w:left="357" w:hanging="357"/>
      </w:pPr>
      <w:r>
        <w:t xml:space="preserve">Access to speech and language therapy for people with impaired speech or communication </w:t>
      </w:r>
    </w:p>
    <w:p w:rsidR="00B008E9" w:rsidRDefault="00B008E9" w:rsidP="00B008E9">
      <w:pPr>
        <w:pStyle w:val="ListBullet"/>
        <w:numPr>
          <w:ilvl w:val="0"/>
          <w:numId w:val="1"/>
        </w:numPr>
        <w:ind w:left="357" w:hanging="357"/>
      </w:pPr>
      <w:r>
        <w:t xml:space="preserve">Access to physiotherapy and occupational therapy for people with impaired mobility or dexterity </w:t>
      </w:r>
    </w:p>
    <w:p w:rsidR="00453926" w:rsidRDefault="00453926" w:rsidP="00453926">
      <w:r w:rsidRPr="00EC1792">
        <w:t>While these estimates are crude and do not take into account the different needs of adults and children</w:t>
      </w:r>
      <w:r>
        <w:t>,</w:t>
      </w:r>
      <w:r w:rsidRPr="00EC1792">
        <w:t xml:space="preserve"> they</w:t>
      </w:r>
      <w:r>
        <w:t xml:space="preserve"> do suggest that there</w:t>
      </w:r>
      <w:r w:rsidR="0008565A">
        <w:t xml:space="preserve"> is a need for an increase of </w:t>
      </w:r>
      <w:r>
        <w:t xml:space="preserve">approximately 30-40% in Physiotherapists, OT, </w:t>
      </w:r>
      <w:r w:rsidRPr="0055078C">
        <w:t>Psychologists and Social Workers.</w:t>
      </w:r>
    </w:p>
    <w:p w:rsidR="00B008E9" w:rsidRDefault="00B008E9" w:rsidP="00AA7990">
      <w:pPr>
        <w:pStyle w:val="TableTitle"/>
      </w:pPr>
      <w:bookmarkStart w:id="99" w:name="_Toc403572507"/>
      <w:bookmarkStart w:id="100" w:name="_Toc419879410"/>
      <w:r>
        <w:t>Table 7: People (all ages) with impaired mobility or dexterity</w:t>
      </w:r>
      <w:bookmarkEnd w:id="99"/>
      <w:bookmarkEnd w:id="100"/>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3F" w:firstRow="1" w:lastRow="0" w:firstColumn="0" w:lastColumn="0" w:noHBand="0" w:noVBand="0"/>
      </w:tblPr>
      <w:tblGrid>
        <w:gridCol w:w="1809"/>
        <w:gridCol w:w="1174"/>
        <w:gridCol w:w="1175"/>
        <w:gridCol w:w="1174"/>
        <w:gridCol w:w="1175"/>
        <w:gridCol w:w="1174"/>
        <w:gridCol w:w="1175"/>
      </w:tblGrid>
      <w:tr w:rsidR="0085042B" w:rsidRPr="009F65FA" w:rsidTr="0085042B">
        <w:tblPrEx>
          <w:tblCellMar>
            <w:top w:w="0" w:type="dxa"/>
            <w:bottom w:w="0" w:type="dxa"/>
          </w:tblCellMar>
        </w:tblPrEx>
        <w:trPr>
          <w:tblHeader/>
        </w:trPr>
        <w:tc>
          <w:tcPr>
            <w:tcW w:w="1809" w:type="dxa"/>
            <w:tcBorders>
              <w:bottom w:val="single" w:sz="12" w:space="0" w:color="000000"/>
            </w:tcBorders>
            <w:shd w:val="clear" w:color="auto" w:fill="auto"/>
          </w:tcPr>
          <w:p w:rsidR="0085042B" w:rsidRPr="009F65FA" w:rsidRDefault="0085042B" w:rsidP="0085042B">
            <w:pPr>
              <w:pStyle w:val="TableHead"/>
              <w:keepNext/>
              <w:widowControl w:val="0"/>
              <w:jc w:val="right"/>
            </w:pPr>
          </w:p>
        </w:tc>
        <w:tc>
          <w:tcPr>
            <w:tcW w:w="1174" w:type="dxa"/>
            <w:tcBorders>
              <w:bottom w:val="single" w:sz="12" w:space="0" w:color="000000"/>
            </w:tcBorders>
            <w:shd w:val="clear" w:color="auto" w:fill="auto"/>
          </w:tcPr>
          <w:p w:rsidR="0085042B" w:rsidRPr="00A22573" w:rsidRDefault="0085042B" w:rsidP="0085042B">
            <w:pPr>
              <w:pStyle w:val="TableHead"/>
              <w:keepNext/>
              <w:widowControl w:val="0"/>
              <w:rPr>
                <w:sz w:val="22"/>
                <w:szCs w:val="22"/>
              </w:rPr>
            </w:pPr>
            <w:r w:rsidRPr="00A22573">
              <w:rPr>
                <w:sz w:val="22"/>
                <w:szCs w:val="22"/>
              </w:rPr>
              <w:t>Moderate  difficulty %</w:t>
            </w:r>
          </w:p>
        </w:tc>
        <w:tc>
          <w:tcPr>
            <w:tcW w:w="1175" w:type="dxa"/>
            <w:tcBorders>
              <w:bottom w:val="single" w:sz="12" w:space="0" w:color="000000"/>
            </w:tcBorders>
            <w:shd w:val="clear" w:color="auto" w:fill="auto"/>
          </w:tcPr>
          <w:p w:rsidR="0085042B" w:rsidRPr="00A22573" w:rsidRDefault="0085042B" w:rsidP="0085042B">
            <w:pPr>
              <w:pStyle w:val="TableHead"/>
              <w:keepNext/>
              <w:widowControl w:val="0"/>
              <w:rPr>
                <w:sz w:val="22"/>
                <w:szCs w:val="22"/>
              </w:rPr>
            </w:pPr>
            <w:r w:rsidRPr="00A22573">
              <w:rPr>
                <w:sz w:val="22"/>
                <w:szCs w:val="22"/>
              </w:rPr>
              <w:t>Severe difficulty</w:t>
            </w:r>
          </w:p>
          <w:p w:rsidR="0085042B" w:rsidRPr="00A22573" w:rsidRDefault="0085042B" w:rsidP="0085042B">
            <w:pPr>
              <w:keepNext/>
              <w:widowControl w:val="0"/>
              <w:spacing w:after="0"/>
              <w:rPr>
                <w:sz w:val="22"/>
                <w:szCs w:val="22"/>
              </w:rPr>
            </w:pPr>
            <w:r w:rsidRPr="00A22573">
              <w:rPr>
                <w:sz w:val="22"/>
                <w:szCs w:val="22"/>
              </w:rPr>
              <w:t>%</w:t>
            </w:r>
          </w:p>
        </w:tc>
        <w:tc>
          <w:tcPr>
            <w:tcW w:w="1174" w:type="dxa"/>
            <w:tcBorders>
              <w:bottom w:val="single" w:sz="12" w:space="0" w:color="000000"/>
            </w:tcBorders>
            <w:shd w:val="clear" w:color="auto" w:fill="auto"/>
          </w:tcPr>
          <w:p w:rsidR="0085042B" w:rsidRPr="00A22573" w:rsidRDefault="0085042B" w:rsidP="0085042B">
            <w:pPr>
              <w:pStyle w:val="TableHead"/>
              <w:keepNext/>
              <w:widowControl w:val="0"/>
              <w:rPr>
                <w:sz w:val="22"/>
                <w:szCs w:val="22"/>
              </w:rPr>
            </w:pPr>
            <w:r w:rsidRPr="00A22573">
              <w:rPr>
                <w:sz w:val="22"/>
                <w:szCs w:val="22"/>
              </w:rPr>
              <w:t>Total difficulty</w:t>
            </w:r>
          </w:p>
          <w:p w:rsidR="0085042B" w:rsidRPr="00A22573" w:rsidRDefault="0085042B" w:rsidP="0085042B">
            <w:pPr>
              <w:keepNext/>
              <w:widowControl w:val="0"/>
              <w:spacing w:after="0"/>
              <w:rPr>
                <w:sz w:val="22"/>
                <w:szCs w:val="22"/>
              </w:rPr>
            </w:pPr>
            <w:r w:rsidRPr="00A22573">
              <w:rPr>
                <w:sz w:val="22"/>
                <w:szCs w:val="22"/>
              </w:rPr>
              <w:t>%</w:t>
            </w:r>
          </w:p>
        </w:tc>
        <w:tc>
          <w:tcPr>
            <w:tcW w:w="1175" w:type="dxa"/>
            <w:tcBorders>
              <w:bottom w:val="single" w:sz="12" w:space="0" w:color="000000"/>
            </w:tcBorders>
            <w:shd w:val="clear" w:color="auto" w:fill="auto"/>
          </w:tcPr>
          <w:p w:rsidR="0085042B" w:rsidRPr="00A22573" w:rsidRDefault="0085042B" w:rsidP="0085042B">
            <w:pPr>
              <w:pStyle w:val="TableHead"/>
              <w:keepNext/>
              <w:widowControl w:val="0"/>
              <w:rPr>
                <w:sz w:val="22"/>
                <w:szCs w:val="22"/>
              </w:rPr>
            </w:pPr>
            <w:r w:rsidRPr="00A22573">
              <w:rPr>
                <w:sz w:val="22"/>
                <w:szCs w:val="22"/>
              </w:rPr>
              <w:t>All</w:t>
            </w:r>
          </w:p>
          <w:p w:rsidR="0085042B" w:rsidRPr="00A22573" w:rsidRDefault="0085042B" w:rsidP="0085042B">
            <w:pPr>
              <w:keepNext/>
              <w:widowControl w:val="0"/>
              <w:spacing w:after="0"/>
              <w:rPr>
                <w:sz w:val="22"/>
                <w:szCs w:val="22"/>
              </w:rPr>
            </w:pPr>
            <w:r w:rsidRPr="00A22573">
              <w:rPr>
                <w:b/>
                <w:sz w:val="22"/>
                <w:szCs w:val="22"/>
              </w:rPr>
              <w:t>%</w:t>
            </w:r>
          </w:p>
        </w:tc>
        <w:tc>
          <w:tcPr>
            <w:tcW w:w="1174" w:type="dxa"/>
            <w:tcBorders>
              <w:bottom w:val="single" w:sz="12" w:space="0" w:color="000000"/>
            </w:tcBorders>
            <w:shd w:val="clear" w:color="auto" w:fill="auto"/>
          </w:tcPr>
          <w:p w:rsidR="0085042B" w:rsidRPr="00A22573" w:rsidRDefault="0085042B" w:rsidP="0085042B">
            <w:pPr>
              <w:pStyle w:val="TableHead"/>
              <w:keepNext/>
              <w:widowControl w:val="0"/>
              <w:rPr>
                <w:sz w:val="22"/>
                <w:szCs w:val="22"/>
              </w:rPr>
            </w:pPr>
            <w:r w:rsidRPr="00A22573">
              <w:rPr>
                <w:sz w:val="22"/>
                <w:szCs w:val="22"/>
              </w:rPr>
              <w:t>Nos.</w:t>
            </w:r>
          </w:p>
        </w:tc>
        <w:tc>
          <w:tcPr>
            <w:tcW w:w="1175" w:type="dxa"/>
            <w:tcBorders>
              <w:bottom w:val="single" w:sz="12" w:space="0" w:color="000000"/>
            </w:tcBorders>
            <w:shd w:val="clear" w:color="auto" w:fill="auto"/>
          </w:tcPr>
          <w:p w:rsidR="0085042B" w:rsidRPr="00A22573" w:rsidRDefault="0085042B" w:rsidP="0085042B">
            <w:pPr>
              <w:pStyle w:val="TableHead"/>
              <w:keepNext/>
              <w:widowControl w:val="0"/>
              <w:rPr>
                <w:sz w:val="22"/>
                <w:szCs w:val="22"/>
              </w:rPr>
            </w:pPr>
            <w:r w:rsidRPr="00A22573">
              <w:rPr>
                <w:sz w:val="22"/>
                <w:szCs w:val="22"/>
              </w:rPr>
              <w:t>unmet need</w:t>
            </w:r>
            <w:r>
              <w:rPr>
                <w:sz w:val="22"/>
                <w:szCs w:val="22"/>
              </w:rPr>
              <w:t xml:space="preserve"> %</w:t>
            </w:r>
          </w:p>
        </w:tc>
      </w:tr>
      <w:tr w:rsidR="0085042B" w:rsidRPr="009F65FA" w:rsidTr="0085042B">
        <w:tblPrEx>
          <w:tblCellMar>
            <w:top w:w="0" w:type="dxa"/>
            <w:bottom w:w="0" w:type="dxa"/>
          </w:tblCellMar>
        </w:tblPrEx>
        <w:tc>
          <w:tcPr>
            <w:tcW w:w="1809" w:type="dxa"/>
            <w:tcBorders>
              <w:top w:val="single" w:sz="12" w:space="0" w:color="000000"/>
            </w:tcBorders>
            <w:shd w:val="clear" w:color="auto" w:fill="auto"/>
          </w:tcPr>
          <w:p w:rsidR="0085042B" w:rsidRPr="00A22573" w:rsidRDefault="0085042B" w:rsidP="0085042B">
            <w:pPr>
              <w:pStyle w:val="TableCell"/>
              <w:keepNext/>
              <w:widowControl w:val="0"/>
              <w:jc w:val="left"/>
              <w:rPr>
                <w:sz w:val="22"/>
                <w:szCs w:val="22"/>
              </w:rPr>
            </w:pPr>
            <w:r w:rsidRPr="00A22573">
              <w:rPr>
                <w:sz w:val="22"/>
                <w:szCs w:val="22"/>
              </w:rPr>
              <w:t>Has access to</w:t>
            </w:r>
            <w:r>
              <w:rPr>
                <w:sz w:val="22"/>
                <w:szCs w:val="22"/>
              </w:rPr>
              <w:t xml:space="preserve"> </w:t>
            </w:r>
            <w:r w:rsidRPr="00A22573">
              <w:rPr>
                <w:sz w:val="22"/>
                <w:szCs w:val="22"/>
              </w:rPr>
              <w:t>Physiotherapy</w:t>
            </w:r>
          </w:p>
        </w:tc>
        <w:tc>
          <w:tcPr>
            <w:tcW w:w="1174" w:type="dxa"/>
            <w:tcBorders>
              <w:top w:val="single" w:sz="12" w:space="0" w:color="000000"/>
            </w:tcBorders>
            <w:shd w:val="clear" w:color="auto" w:fill="auto"/>
          </w:tcPr>
          <w:p w:rsidR="0085042B" w:rsidRPr="00A22573" w:rsidRDefault="0085042B" w:rsidP="0085042B">
            <w:pPr>
              <w:pStyle w:val="TableCell"/>
              <w:keepNext/>
              <w:widowControl w:val="0"/>
              <w:rPr>
                <w:sz w:val="22"/>
                <w:szCs w:val="22"/>
              </w:rPr>
            </w:pPr>
            <w:r w:rsidRPr="00A22573">
              <w:rPr>
                <w:sz w:val="22"/>
                <w:szCs w:val="22"/>
              </w:rPr>
              <w:t>25.9</w:t>
            </w:r>
          </w:p>
        </w:tc>
        <w:tc>
          <w:tcPr>
            <w:tcW w:w="1175" w:type="dxa"/>
            <w:tcBorders>
              <w:top w:val="single" w:sz="12" w:space="0" w:color="000000"/>
            </w:tcBorders>
            <w:shd w:val="clear" w:color="auto" w:fill="auto"/>
          </w:tcPr>
          <w:p w:rsidR="0085042B" w:rsidRPr="00A22573" w:rsidRDefault="0085042B" w:rsidP="0085042B">
            <w:pPr>
              <w:pStyle w:val="TableCell"/>
              <w:keepNext/>
              <w:widowControl w:val="0"/>
              <w:rPr>
                <w:sz w:val="22"/>
                <w:szCs w:val="22"/>
              </w:rPr>
            </w:pPr>
            <w:r w:rsidRPr="00A22573">
              <w:rPr>
                <w:sz w:val="22"/>
                <w:szCs w:val="22"/>
              </w:rPr>
              <w:t>33.3</w:t>
            </w:r>
          </w:p>
        </w:tc>
        <w:tc>
          <w:tcPr>
            <w:tcW w:w="1174" w:type="dxa"/>
            <w:tcBorders>
              <w:top w:val="single" w:sz="12" w:space="0" w:color="000000"/>
            </w:tcBorders>
            <w:shd w:val="clear" w:color="auto" w:fill="auto"/>
          </w:tcPr>
          <w:p w:rsidR="0085042B" w:rsidRPr="00A22573" w:rsidRDefault="0085042B" w:rsidP="0085042B">
            <w:pPr>
              <w:pStyle w:val="TableCell"/>
              <w:keepNext/>
              <w:widowControl w:val="0"/>
              <w:rPr>
                <w:sz w:val="22"/>
                <w:szCs w:val="22"/>
              </w:rPr>
            </w:pPr>
            <w:r w:rsidRPr="00A22573">
              <w:rPr>
                <w:sz w:val="22"/>
                <w:szCs w:val="22"/>
              </w:rPr>
              <w:t>33.7</w:t>
            </w:r>
          </w:p>
        </w:tc>
        <w:tc>
          <w:tcPr>
            <w:tcW w:w="1175" w:type="dxa"/>
            <w:tcBorders>
              <w:top w:val="single" w:sz="12" w:space="0" w:color="000000"/>
            </w:tcBorders>
            <w:shd w:val="clear" w:color="auto" w:fill="auto"/>
          </w:tcPr>
          <w:p w:rsidR="0085042B" w:rsidRPr="007316D7" w:rsidRDefault="0085042B" w:rsidP="0085042B">
            <w:pPr>
              <w:pStyle w:val="TableCell"/>
              <w:keepNext/>
              <w:widowControl w:val="0"/>
              <w:rPr>
                <w:b/>
                <w:sz w:val="22"/>
                <w:szCs w:val="22"/>
              </w:rPr>
            </w:pPr>
            <w:r w:rsidRPr="007316D7">
              <w:rPr>
                <w:b/>
                <w:sz w:val="22"/>
                <w:szCs w:val="22"/>
              </w:rPr>
              <w:t>31.2</w:t>
            </w:r>
          </w:p>
        </w:tc>
        <w:tc>
          <w:tcPr>
            <w:tcW w:w="1174" w:type="dxa"/>
            <w:tcBorders>
              <w:top w:val="single" w:sz="12" w:space="0" w:color="000000"/>
            </w:tcBorders>
            <w:shd w:val="clear" w:color="auto" w:fill="auto"/>
          </w:tcPr>
          <w:p w:rsidR="0085042B" w:rsidRPr="007316D7" w:rsidRDefault="0085042B" w:rsidP="0085042B">
            <w:pPr>
              <w:pStyle w:val="TableCell"/>
              <w:keepNext/>
              <w:widowControl w:val="0"/>
              <w:rPr>
                <w:b/>
                <w:sz w:val="22"/>
                <w:szCs w:val="22"/>
              </w:rPr>
            </w:pPr>
            <w:r w:rsidRPr="007316D7">
              <w:rPr>
                <w:b/>
                <w:sz w:val="22"/>
                <w:szCs w:val="22"/>
              </w:rPr>
              <w:t>57,300</w:t>
            </w:r>
          </w:p>
        </w:tc>
        <w:tc>
          <w:tcPr>
            <w:tcW w:w="1175" w:type="dxa"/>
            <w:tcBorders>
              <w:top w:val="single" w:sz="12" w:space="0" w:color="000000"/>
            </w:tcBorders>
            <w:shd w:val="clear" w:color="auto" w:fill="auto"/>
          </w:tcPr>
          <w:p w:rsidR="0085042B" w:rsidRPr="00A22573" w:rsidRDefault="0085042B" w:rsidP="0085042B">
            <w:pPr>
              <w:pStyle w:val="TableCell"/>
              <w:keepNext/>
              <w:widowControl w:val="0"/>
              <w:rPr>
                <w:sz w:val="22"/>
                <w:szCs w:val="22"/>
              </w:rPr>
            </w:pPr>
          </w:p>
        </w:tc>
      </w:tr>
      <w:tr w:rsidR="0085042B" w:rsidRPr="009F65FA" w:rsidTr="0085042B">
        <w:tblPrEx>
          <w:tblCellMar>
            <w:top w:w="0" w:type="dxa"/>
            <w:bottom w:w="0" w:type="dxa"/>
          </w:tblCellMar>
        </w:tblPrEx>
        <w:tc>
          <w:tcPr>
            <w:tcW w:w="1809" w:type="dxa"/>
            <w:shd w:val="clear" w:color="auto" w:fill="auto"/>
          </w:tcPr>
          <w:p w:rsidR="0085042B" w:rsidRPr="00A22573" w:rsidRDefault="0085042B" w:rsidP="0085042B">
            <w:pPr>
              <w:pStyle w:val="TableCell"/>
              <w:keepNext/>
              <w:widowControl w:val="0"/>
              <w:jc w:val="left"/>
              <w:rPr>
                <w:sz w:val="22"/>
                <w:szCs w:val="22"/>
              </w:rPr>
            </w:pPr>
            <w:r w:rsidRPr="00A22573">
              <w:rPr>
                <w:sz w:val="22"/>
                <w:szCs w:val="22"/>
              </w:rPr>
              <w:t>Needs and doesn’t have</w:t>
            </w:r>
          </w:p>
          <w:p w:rsidR="0085042B" w:rsidRPr="00A22573" w:rsidRDefault="0085042B" w:rsidP="0085042B">
            <w:pPr>
              <w:pStyle w:val="TableCell"/>
              <w:keepNext/>
              <w:widowControl w:val="0"/>
              <w:jc w:val="left"/>
              <w:rPr>
                <w:rFonts w:cs="Arial"/>
                <w:sz w:val="22"/>
                <w:szCs w:val="22"/>
                <w:lang w:eastAsia="en-IE"/>
              </w:rPr>
            </w:pPr>
            <w:r w:rsidRPr="00A22573">
              <w:rPr>
                <w:sz w:val="22"/>
                <w:szCs w:val="22"/>
              </w:rPr>
              <w:t>Physiotherapy</w:t>
            </w:r>
          </w:p>
        </w:tc>
        <w:tc>
          <w:tcPr>
            <w:tcW w:w="1174" w:type="dxa"/>
            <w:shd w:val="clear" w:color="auto" w:fill="auto"/>
          </w:tcPr>
          <w:p w:rsidR="0085042B" w:rsidRPr="00A22573" w:rsidRDefault="0085042B" w:rsidP="0085042B">
            <w:pPr>
              <w:pStyle w:val="TableCell"/>
              <w:keepNext/>
              <w:widowControl w:val="0"/>
              <w:rPr>
                <w:rFonts w:cs="Arial"/>
                <w:sz w:val="22"/>
                <w:szCs w:val="22"/>
                <w:lang w:eastAsia="en-IE"/>
              </w:rPr>
            </w:pPr>
            <w:r w:rsidRPr="00A22573">
              <w:rPr>
                <w:rFonts w:cs="Arial"/>
                <w:sz w:val="22"/>
                <w:szCs w:val="22"/>
                <w:lang w:eastAsia="en-IE"/>
              </w:rPr>
              <w:t>14.4</w:t>
            </w:r>
          </w:p>
        </w:tc>
        <w:tc>
          <w:tcPr>
            <w:tcW w:w="1175" w:type="dxa"/>
            <w:shd w:val="clear" w:color="auto" w:fill="auto"/>
          </w:tcPr>
          <w:p w:rsidR="0085042B" w:rsidRPr="00A22573" w:rsidRDefault="0085042B" w:rsidP="0085042B">
            <w:pPr>
              <w:pStyle w:val="TableCell"/>
              <w:keepNext/>
              <w:widowControl w:val="0"/>
              <w:rPr>
                <w:rFonts w:cs="Arial"/>
                <w:sz w:val="22"/>
                <w:szCs w:val="22"/>
                <w:lang w:eastAsia="en-IE"/>
              </w:rPr>
            </w:pPr>
            <w:r w:rsidRPr="00A22573">
              <w:rPr>
                <w:rFonts w:cs="Arial"/>
                <w:sz w:val="22"/>
                <w:szCs w:val="22"/>
                <w:lang w:eastAsia="en-IE"/>
              </w:rPr>
              <w:t>18.4</w:t>
            </w:r>
          </w:p>
        </w:tc>
        <w:tc>
          <w:tcPr>
            <w:tcW w:w="1174" w:type="dxa"/>
            <w:shd w:val="clear" w:color="auto" w:fill="auto"/>
          </w:tcPr>
          <w:p w:rsidR="0085042B" w:rsidRPr="00A22573" w:rsidRDefault="0085042B" w:rsidP="0085042B">
            <w:pPr>
              <w:pStyle w:val="TableCell"/>
              <w:keepNext/>
              <w:widowControl w:val="0"/>
              <w:rPr>
                <w:rFonts w:cs="Arial"/>
                <w:sz w:val="22"/>
                <w:szCs w:val="22"/>
                <w:lang w:eastAsia="en-IE"/>
              </w:rPr>
            </w:pPr>
            <w:r w:rsidRPr="00A22573">
              <w:rPr>
                <w:rFonts w:cs="Arial"/>
                <w:sz w:val="22"/>
                <w:szCs w:val="22"/>
                <w:lang w:eastAsia="en-IE"/>
              </w:rPr>
              <w:t>17.1</w:t>
            </w:r>
          </w:p>
        </w:tc>
        <w:tc>
          <w:tcPr>
            <w:tcW w:w="1175" w:type="dxa"/>
            <w:shd w:val="clear" w:color="auto" w:fill="auto"/>
          </w:tcPr>
          <w:p w:rsidR="0085042B" w:rsidRPr="007316D7" w:rsidRDefault="0085042B" w:rsidP="0085042B">
            <w:pPr>
              <w:pStyle w:val="TableCell"/>
              <w:keepNext/>
              <w:widowControl w:val="0"/>
              <w:rPr>
                <w:rFonts w:cs="Arial"/>
                <w:b/>
                <w:sz w:val="22"/>
                <w:szCs w:val="22"/>
                <w:lang w:eastAsia="en-IE"/>
              </w:rPr>
            </w:pPr>
            <w:r w:rsidRPr="007316D7">
              <w:rPr>
                <w:rFonts w:cs="Arial"/>
                <w:b/>
                <w:sz w:val="22"/>
                <w:szCs w:val="22"/>
                <w:lang w:eastAsia="en-IE"/>
              </w:rPr>
              <w:t>16.7</w:t>
            </w:r>
          </w:p>
        </w:tc>
        <w:tc>
          <w:tcPr>
            <w:tcW w:w="1174" w:type="dxa"/>
            <w:shd w:val="clear" w:color="auto" w:fill="auto"/>
          </w:tcPr>
          <w:p w:rsidR="0085042B" w:rsidRPr="007316D7" w:rsidRDefault="0085042B" w:rsidP="0085042B">
            <w:pPr>
              <w:pStyle w:val="TableCell"/>
              <w:keepNext/>
              <w:widowControl w:val="0"/>
              <w:rPr>
                <w:rFonts w:cs="Arial"/>
                <w:b/>
                <w:sz w:val="22"/>
                <w:szCs w:val="22"/>
                <w:lang w:eastAsia="en-IE"/>
              </w:rPr>
            </w:pPr>
            <w:r w:rsidRPr="007316D7">
              <w:rPr>
                <w:rFonts w:cs="Arial"/>
                <w:b/>
                <w:sz w:val="22"/>
                <w:szCs w:val="22"/>
                <w:lang w:eastAsia="en-IE"/>
              </w:rPr>
              <w:t>30,700</w:t>
            </w:r>
          </w:p>
        </w:tc>
        <w:tc>
          <w:tcPr>
            <w:tcW w:w="1175" w:type="dxa"/>
            <w:shd w:val="clear" w:color="auto" w:fill="auto"/>
          </w:tcPr>
          <w:p w:rsidR="0085042B" w:rsidRPr="00A22573" w:rsidRDefault="0085042B" w:rsidP="0085042B">
            <w:pPr>
              <w:pStyle w:val="TableCell"/>
              <w:keepNext/>
              <w:widowControl w:val="0"/>
              <w:rPr>
                <w:rFonts w:cs="Calibri"/>
                <w:color w:val="000000"/>
                <w:sz w:val="22"/>
                <w:szCs w:val="22"/>
              </w:rPr>
            </w:pPr>
            <w:r w:rsidRPr="00A22573">
              <w:rPr>
                <w:rFonts w:cs="Calibri"/>
                <w:color w:val="000000"/>
                <w:sz w:val="22"/>
                <w:szCs w:val="22"/>
              </w:rPr>
              <w:t>34.9</w:t>
            </w:r>
          </w:p>
        </w:tc>
      </w:tr>
      <w:tr w:rsidR="0085042B" w:rsidRPr="009F65FA" w:rsidTr="0085042B">
        <w:tblPrEx>
          <w:tblCellMar>
            <w:top w:w="0" w:type="dxa"/>
            <w:bottom w:w="0" w:type="dxa"/>
          </w:tblCellMar>
        </w:tblPrEx>
        <w:tc>
          <w:tcPr>
            <w:tcW w:w="1809" w:type="dxa"/>
            <w:shd w:val="clear" w:color="auto" w:fill="auto"/>
          </w:tcPr>
          <w:p w:rsidR="0085042B" w:rsidRPr="00A22573" w:rsidRDefault="0085042B" w:rsidP="0085042B">
            <w:pPr>
              <w:pStyle w:val="TableCell"/>
              <w:keepNext/>
              <w:widowControl w:val="0"/>
              <w:jc w:val="left"/>
              <w:rPr>
                <w:sz w:val="22"/>
                <w:szCs w:val="22"/>
              </w:rPr>
            </w:pPr>
            <w:r w:rsidRPr="00A22573">
              <w:rPr>
                <w:sz w:val="22"/>
                <w:szCs w:val="22"/>
              </w:rPr>
              <w:t>Has access to</w:t>
            </w:r>
          </w:p>
          <w:p w:rsidR="0085042B" w:rsidRPr="00A22573" w:rsidRDefault="0085042B" w:rsidP="0085042B">
            <w:pPr>
              <w:pStyle w:val="TableCell"/>
              <w:keepNext/>
              <w:widowControl w:val="0"/>
              <w:jc w:val="left"/>
              <w:rPr>
                <w:sz w:val="22"/>
                <w:szCs w:val="22"/>
              </w:rPr>
            </w:pPr>
            <w:r w:rsidRPr="00A22573">
              <w:rPr>
                <w:sz w:val="22"/>
                <w:szCs w:val="22"/>
              </w:rPr>
              <w:t>Occupational therapy</w:t>
            </w:r>
          </w:p>
        </w:tc>
        <w:tc>
          <w:tcPr>
            <w:tcW w:w="1174" w:type="dxa"/>
            <w:shd w:val="clear" w:color="auto" w:fill="auto"/>
          </w:tcPr>
          <w:p w:rsidR="0085042B" w:rsidRPr="00A22573" w:rsidRDefault="0085042B" w:rsidP="0085042B">
            <w:pPr>
              <w:pStyle w:val="TableCell"/>
              <w:keepNext/>
              <w:widowControl w:val="0"/>
              <w:rPr>
                <w:sz w:val="22"/>
                <w:szCs w:val="22"/>
              </w:rPr>
            </w:pPr>
            <w:r w:rsidRPr="00A22573">
              <w:rPr>
                <w:sz w:val="22"/>
                <w:szCs w:val="22"/>
              </w:rPr>
              <w:t>10.1</w:t>
            </w:r>
          </w:p>
        </w:tc>
        <w:tc>
          <w:tcPr>
            <w:tcW w:w="1175" w:type="dxa"/>
            <w:shd w:val="clear" w:color="auto" w:fill="auto"/>
          </w:tcPr>
          <w:p w:rsidR="0085042B" w:rsidRPr="00A22573" w:rsidRDefault="0085042B" w:rsidP="0085042B">
            <w:pPr>
              <w:pStyle w:val="TableCell"/>
              <w:keepNext/>
              <w:widowControl w:val="0"/>
              <w:rPr>
                <w:sz w:val="22"/>
                <w:szCs w:val="22"/>
              </w:rPr>
            </w:pPr>
            <w:r w:rsidRPr="00A22573">
              <w:rPr>
                <w:sz w:val="22"/>
                <w:szCs w:val="22"/>
              </w:rPr>
              <w:t>13.5</w:t>
            </w:r>
          </w:p>
        </w:tc>
        <w:tc>
          <w:tcPr>
            <w:tcW w:w="1174" w:type="dxa"/>
            <w:shd w:val="clear" w:color="auto" w:fill="auto"/>
          </w:tcPr>
          <w:p w:rsidR="0085042B" w:rsidRPr="00A22573" w:rsidRDefault="0085042B" w:rsidP="0085042B">
            <w:pPr>
              <w:pStyle w:val="TableCell"/>
              <w:keepNext/>
              <w:widowControl w:val="0"/>
              <w:rPr>
                <w:sz w:val="22"/>
                <w:szCs w:val="22"/>
              </w:rPr>
            </w:pPr>
            <w:r w:rsidRPr="00A22573">
              <w:rPr>
                <w:sz w:val="22"/>
                <w:szCs w:val="22"/>
              </w:rPr>
              <w:t>17.6</w:t>
            </w:r>
          </w:p>
        </w:tc>
        <w:tc>
          <w:tcPr>
            <w:tcW w:w="1175" w:type="dxa"/>
            <w:shd w:val="clear" w:color="auto" w:fill="auto"/>
          </w:tcPr>
          <w:p w:rsidR="0085042B" w:rsidRPr="007316D7" w:rsidRDefault="0085042B" w:rsidP="0085042B">
            <w:pPr>
              <w:pStyle w:val="TableCell"/>
              <w:keepNext/>
              <w:widowControl w:val="0"/>
              <w:rPr>
                <w:b/>
                <w:sz w:val="22"/>
                <w:szCs w:val="22"/>
              </w:rPr>
            </w:pPr>
            <w:r w:rsidRPr="007316D7">
              <w:rPr>
                <w:b/>
                <w:sz w:val="22"/>
                <w:szCs w:val="22"/>
              </w:rPr>
              <w:t>13.9</w:t>
            </w:r>
          </w:p>
        </w:tc>
        <w:tc>
          <w:tcPr>
            <w:tcW w:w="1174" w:type="dxa"/>
            <w:shd w:val="clear" w:color="auto" w:fill="auto"/>
          </w:tcPr>
          <w:p w:rsidR="0085042B" w:rsidRPr="007316D7" w:rsidRDefault="0085042B" w:rsidP="0085042B">
            <w:pPr>
              <w:pStyle w:val="TableCell"/>
              <w:keepNext/>
              <w:widowControl w:val="0"/>
              <w:rPr>
                <w:b/>
                <w:sz w:val="22"/>
                <w:szCs w:val="22"/>
              </w:rPr>
            </w:pPr>
            <w:r w:rsidRPr="007316D7">
              <w:rPr>
                <w:b/>
                <w:sz w:val="22"/>
                <w:szCs w:val="22"/>
              </w:rPr>
              <w:t>25,600</w:t>
            </w:r>
          </w:p>
        </w:tc>
        <w:tc>
          <w:tcPr>
            <w:tcW w:w="1175" w:type="dxa"/>
            <w:shd w:val="clear" w:color="auto" w:fill="auto"/>
          </w:tcPr>
          <w:p w:rsidR="0085042B" w:rsidRPr="00A22573" w:rsidRDefault="0085042B" w:rsidP="0085042B">
            <w:pPr>
              <w:pStyle w:val="TableCell"/>
              <w:keepNext/>
              <w:widowControl w:val="0"/>
              <w:rPr>
                <w:rFonts w:cs="Calibri"/>
                <w:color w:val="000000"/>
                <w:sz w:val="22"/>
                <w:szCs w:val="22"/>
              </w:rPr>
            </w:pPr>
          </w:p>
        </w:tc>
      </w:tr>
      <w:tr w:rsidR="0085042B" w:rsidRPr="009F65FA" w:rsidTr="0085042B">
        <w:tblPrEx>
          <w:tblCellMar>
            <w:top w:w="0" w:type="dxa"/>
            <w:bottom w:w="0" w:type="dxa"/>
          </w:tblCellMar>
        </w:tblPrEx>
        <w:tc>
          <w:tcPr>
            <w:tcW w:w="1809" w:type="dxa"/>
            <w:shd w:val="clear" w:color="auto" w:fill="auto"/>
          </w:tcPr>
          <w:p w:rsidR="0085042B" w:rsidRPr="00A22573" w:rsidRDefault="0085042B" w:rsidP="0085042B">
            <w:pPr>
              <w:pStyle w:val="TableCell"/>
              <w:keepNext/>
              <w:widowControl w:val="0"/>
              <w:jc w:val="left"/>
              <w:rPr>
                <w:sz w:val="22"/>
                <w:szCs w:val="22"/>
              </w:rPr>
            </w:pPr>
            <w:r w:rsidRPr="00A22573">
              <w:rPr>
                <w:sz w:val="22"/>
                <w:szCs w:val="22"/>
              </w:rPr>
              <w:t>Needs and doesn’t have</w:t>
            </w:r>
          </w:p>
          <w:p w:rsidR="0085042B" w:rsidRPr="00A22573" w:rsidRDefault="0085042B" w:rsidP="0085042B">
            <w:pPr>
              <w:pStyle w:val="TableCell"/>
              <w:keepNext/>
              <w:widowControl w:val="0"/>
              <w:jc w:val="left"/>
              <w:rPr>
                <w:rFonts w:cs="Arial"/>
                <w:sz w:val="22"/>
                <w:szCs w:val="22"/>
                <w:lang w:eastAsia="en-IE"/>
              </w:rPr>
            </w:pPr>
            <w:r w:rsidRPr="00A22573">
              <w:rPr>
                <w:sz w:val="22"/>
                <w:szCs w:val="22"/>
              </w:rPr>
              <w:t>Occupational therapy</w:t>
            </w:r>
          </w:p>
        </w:tc>
        <w:tc>
          <w:tcPr>
            <w:tcW w:w="1174" w:type="dxa"/>
            <w:shd w:val="clear" w:color="auto" w:fill="auto"/>
          </w:tcPr>
          <w:p w:rsidR="0085042B" w:rsidRPr="00A22573" w:rsidRDefault="0085042B" w:rsidP="0085042B">
            <w:pPr>
              <w:pStyle w:val="TableCell"/>
              <w:keepNext/>
              <w:widowControl w:val="0"/>
              <w:rPr>
                <w:rFonts w:cs="Arial"/>
                <w:sz w:val="22"/>
                <w:szCs w:val="22"/>
                <w:lang w:eastAsia="en-IE"/>
              </w:rPr>
            </w:pPr>
            <w:r w:rsidRPr="00A22573">
              <w:rPr>
                <w:rFonts w:cs="Arial"/>
                <w:sz w:val="22"/>
                <w:szCs w:val="22"/>
                <w:lang w:eastAsia="en-IE"/>
              </w:rPr>
              <w:t>7.7</w:t>
            </w:r>
          </w:p>
        </w:tc>
        <w:tc>
          <w:tcPr>
            <w:tcW w:w="1175" w:type="dxa"/>
            <w:shd w:val="clear" w:color="auto" w:fill="auto"/>
          </w:tcPr>
          <w:p w:rsidR="0085042B" w:rsidRPr="00A22573" w:rsidRDefault="0085042B" w:rsidP="0085042B">
            <w:pPr>
              <w:pStyle w:val="TableCell"/>
              <w:keepNext/>
              <w:widowControl w:val="0"/>
              <w:rPr>
                <w:rFonts w:cs="Arial"/>
                <w:sz w:val="22"/>
                <w:szCs w:val="22"/>
                <w:lang w:eastAsia="en-IE"/>
              </w:rPr>
            </w:pPr>
            <w:r w:rsidRPr="00A22573">
              <w:rPr>
                <w:rFonts w:cs="Arial"/>
                <w:sz w:val="22"/>
                <w:szCs w:val="22"/>
                <w:lang w:eastAsia="en-IE"/>
              </w:rPr>
              <w:t>11.3</w:t>
            </w:r>
          </w:p>
        </w:tc>
        <w:tc>
          <w:tcPr>
            <w:tcW w:w="1174" w:type="dxa"/>
            <w:shd w:val="clear" w:color="auto" w:fill="auto"/>
          </w:tcPr>
          <w:p w:rsidR="0085042B" w:rsidRPr="00A22573" w:rsidRDefault="0085042B" w:rsidP="0085042B">
            <w:pPr>
              <w:pStyle w:val="TableCell"/>
              <w:keepNext/>
              <w:widowControl w:val="0"/>
              <w:rPr>
                <w:rFonts w:cs="Arial"/>
                <w:sz w:val="22"/>
                <w:szCs w:val="22"/>
                <w:lang w:eastAsia="en-IE"/>
              </w:rPr>
            </w:pPr>
            <w:r w:rsidRPr="00A22573">
              <w:rPr>
                <w:rFonts w:cs="Arial"/>
                <w:sz w:val="22"/>
                <w:szCs w:val="22"/>
                <w:lang w:eastAsia="en-IE"/>
              </w:rPr>
              <w:t>10.9</w:t>
            </w:r>
          </w:p>
        </w:tc>
        <w:tc>
          <w:tcPr>
            <w:tcW w:w="1175" w:type="dxa"/>
            <w:shd w:val="clear" w:color="auto" w:fill="auto"/>
          </w:tcPr>
          <w:p w:rsidR="0085042B" w:rsidRPr="007316D7" w:rsidRDefault="0085042B" w:rsidP="0085042B">
            <w:pPr>
              <w:pStyle w:val="TableCell"/>
              <w:keepNext/>
              <w:widowControl w:val="0"/>
              <w:rPr>
                <w:rFonts w:cs="Arial"/>
                <w:b/>
                <w:sz w:val="22"/>
                <w:szCs w:val="22"/>
                <w:lang w:eastAsia="en-IE"/>
              </w:rPr>
            </w:pPr>
            <w:r w:rsidRPr="007316D7">
              <w:rPr>
                <w:rFonts w:cs="Arial"/>
                <w:b/>
                <w:sz w:val="22"/>
                <w:szCs w:val="22"/>
                <w:lang w:eastAsia="en-IE"/>
              </w:rPr>
              <w:t>10.0</w:t>
            </w:r>
          </w:p>
        </w:tc>
        <w:tc>
          <w:tcPr>
            <w:tcW w:w="1174" w:type="dxa"/>
            <w:shd w:val="clear" w:color="auto" w:fill="auto"/>
          </w:tcPr>
          <w:p w:rsidR="0085042B" w:rsidRPr="007316D7" w:rsidRDefault="0085042B" w:rsidP="0085042B">
            <w:pPr>
              <w:pStyle w:val="TableCell"/>
              <w:keepNext/>
              <w:widowControl w:val="0"/>
              <w:rPr>
                <w:rFonts w:cs="Arial"/>
                <w:b/>
                <w:sz w:val="22"/>
                <w:szCs w:val="22"/>
                <w:lang w:eastAsia="en-IE"/>
              </w:rPr>
            </w:pPr>
            <w:r w:rsidRPr="007316D7">
              <w:rPr>
                <w:rFonts w:cs="Arial"/>
                <w:b/>
                <w:sz w:val="22"/>
                <w:szCs w:val="22"/>
                <w:lang w:eastAsia="en-IE"/>
              </w:rPr>
              <w:t>18,500</w:t>
            </w:r>
          </w:p>
        </w:tc>
        <w:tc>
          <w:tcPr>
            <w:tcW w:w="1175" w:type="dxa"/>
            <w:shd w:val="clear" w:color="auto" w:fill="auto"/>
          </w:tcPr>
          <w:p w:rsidR="0085042B" w:rsidRPr="00A22573" w:rsidRDefault="0085042B" w:rsidP="0085042B">
            <w:pPr>
              <w:pStyle w:val="TableCell"/>
              <w:keepNext/>
              <w:widowControl w:val="0"/>
              <w:rPr>
                <w:rFonts w:cs="Calibri"/>
                <w:color w:val="000000"/>
                <w:sz w:val="22"/>
                <w:szCs w:val="22"/>
              </w:rPr>
            </w:pPr>
            <w:r w:rsidRPr="00A22573">
              <w:rPr>
                <w:rFonts w:cs="Calibri"/>
                <w:color w:val="000000"/>
                <w:sz w:val="22"/>
                <w:szCs w:val="22"/>
              </w:rPr>
              <w:t>42.0</w:t>
            </w:r>
          </w:p>
        </w:tc>
      </w:tr>
    </w:tbl>
    <w:p w:rsidR="00B008E9" w:rsidRDefault="00B1755E" w:rsidP="00A313F9">
      <w:pPr>
        <w:pStyle w:val="TableNote"/>
      </w:pPr>
      <w:r w:rsidRPr="00B1755E">
        <w:t>Source: NDS 2006</w:t>
      </w:r>
    </w:p>
    <w:p w:rsidR="00B008E9" w:rsidRPr="004F01EC" w:rsidRDefault="00B008E9" w:rsidP="00AA7990">
      <w:pPr>
        <w:pStyle w:val="TableTitle"/>
      </w:pPr>
      <w:bookmarkStart w:id="101" w:name="_Toc403572508"/>
      <w:bookmarkStart w:id="102" w:name="_Toc419879411"/>
      <w:r>
        <w:t>Table 8: People (all ages) with an intellectual or learning disability</w:t>
      </w:r>
      <w:bookmarkEnd w:id="101"/>
      <w:bookmarkEnd w:id="102"/>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3F" w:firstRow="1" w:lastRow="0" w:firstColumn="0" w:lastColumn="0" w:noHBand="0" w:noVBand="0"/>
      </w:tblPr>
      <w:tblGrid>
        <w:gridCol w:w="1809"/>
        <w:gridCol w:w="1128"/>
        <w:gridCol w:w="1140"/>
        <w:gridCol w:w="993"/>
        <w:gridCol w:w="992"/>
        <w:gridCol w:w="850"/>
        <w:gridCol w:w="993"/>
        <w:gridCol w:w="951"/>
      </w:tblGrid>
      <w:tr w:rsidR="0008565A" w:rsidRPr="00E52CE8" w:rsidTr="0008565A">
        <w:tblPrEx>
          <w:tblCellMar>
            <w:top w:w="0" w:type="dxa"/>
            <w:bottom w:w="0" w:type="dxa"/>
          </w:tblCellMar>
        </w:tblPrEx>
        <w:trPr>
          <w:cantSplit/>
        </w:trPr>
        <w:tc>
          <w:tcPr>
            <w:tcW w:w="1809" w:type="dxa"/>
            <w:tcBorders>
              <w:bottom w:val="single" w:sz="12" w:space="0" w:color="000000"/>
            </w:tcBorders>
            <w:shd w:val="clear" w:color="auto" w:fill="auto"/>
          </w:tcPr>
          <w:p w:rsidR="0008565A" w:rsidRPr="00E52CE8" w:rsidRDefault="0008565A" w:rsidP="0008565A">
            <w:pPr>
              <w:pStyle w:val="TableHead"/>
              <w:keepNext/>
            </w:pPr>
          </w:p>
        </w:tc>
        <w:tc>
          <w:tcPr>
            <w:tcW w:w="1128" w:type="dxa"/>
            <w:tcBorders>
              <w:bottom w:val="single" w:sz="12" w:space="0" w:color="000000"/>
            </w:tcBorders>
            <w:shd w:val="clear" w:color="auto" w:fill="auto"/>
          </w:tcPr>
          <w:p w:rsidR="0008565A" w:rsidRDefault="0008565A" w:rsidP="0008565A">
            <w:pPr>
              <w:pStyle w:val="TableHead"/>
              <w:keepNext/>
              <w:rPr>
                <w:sz w:val="22"/>
                <w:szCs w:val="22"/>
              </w:rPr>
            </w:pPr>
            <w:r w:rsidRPr="00184473">
              <w:rPr>
                <w:sz w:val="22"/>
                <w:szCs w:val="22"/>
              </w:rPr>
              <w:t>Mild difficulty</w:t>
            </w:r>
          </w:p>
          <w:p w:rsidR="0008565A" w:rsidRPr="00184473" w:rsidRDefault="0008565A" w:rsidP="0008565A">
            <w:pPr>
              <w:pStyle w:val="TableHead"/>
              <w:keepNext/>
              <w:rPr>
                <w:sz w:val="22"/>
                <w:szCs w:val="22"/>
              </w:rPr>
            </w:pPr>
            <w:r>
              <w:rPr>
                <w:sz w:val="22"/>
                <w:szCs w:val="22"/>
              </w:rPr>
              <w:t>%</w:t>
            </w:r>
          </w:p>
        </w:tc>
        <w:tc>
          <w:tcPr>
            <w:tcW w:w="1140" w:type="dxa"/>
            <w:tcBorders>
              <w:bottom w:val="single" w:sz="12" w:space="0" w:color="000000"/>
            </w:tcBorders>
            <w:shd w:val="clear" w:color="auto" w:fill="auto"/>
          </w:tcPr>
          <w:p w:rsidR="0008565A" w:rsidRPr="00184473" w:rsidRDefault="0008565A" w:rsidP="0008565A">
            <w:pPr>
              <w:pStyle w:val="TableHead"/>
              <w:keepNext/>
              <w:rPr>
                <w:sz w:val="22"/>
                <w:szCs w:val="22"/>
              </w:rPr>
            </w:pPr>
            <w:r w:rsidRPr="00184473">
              <w:rPr>
                <w:sz w:val="22"/>
                <w:szCs w:val="22"/>
              </w:rPr>
              <w:t>Moderate  difficulty</w:t>
            </w:r>
            <w:r>
              <w:rPr>
                <w:sz w:val="22"/>
                <w:szCs w:val="22"/>
              </w:rPr>
              <w:t xml:space="preserve"> %</w:t>
            </w:r>
          </w:p>
        </w:tc>
        <w:tc>
          <w:tcPr>
            <w:tcW w:w="993" w:type="dxa"/>
            <w:tcBorders>
              <w:bottom w:val="single" w:sz="12" w:space="0" w:color="000000"/>
            </w:tcBorders>
            <w:shd w:val="clear" w:color="auto" w:fill="auto"/>
          </w:tcPr>
          <w:p w:rsidR="0008565A" w:rsidRPr="00184473" w:rsidRDefault="0008565A" w:rsidP="0008565A">
            <w:pPr>
              <w:pStyle w:val="TableHead"/>
              <w:keepNext/>
              <w:rPr>
                <w:sz w:val="22"/>
                <w:szCs w:val="22"/>
              </w:rPr>
            </w:pPr>
            <w:r w:rsidRPr="00184473">
              <w:rPr>
                <w:sz w:val="22"/>
                <w:szCs w:val="22"/>
              </w:rPr>
              <w:t>Severe difficulty</w:t>
            </w:r>
            <w:r>
              <w:rPr>
                <w:sz w:val="22"/>
                <w:szCs w:val="22"/>
              </w:rPr>
              <w:t xml:space="preserve"> %</w:t>
            </w:r>
          </w:p>
        </w:tc>
        <w:tc>
          <w:tcPr>
            <w:tcW w:w="992" w:type="dxa"/>
            <w:tcBorders>
              <w:bottom w:val="single" w:sz="12" w:space="0" w:color="000000"/>
            </w:tcBorders>
            <w:shd w:val="clear" w:color="auto" w:fill="auto"/>
          </w:tcPr>
          <w:p w:rsidR="0008565A" w:rsidRDefault="0008565A" w:rsidP="0008565A">
            <w:pPr>
              <w:pStyle w:val="TableHead"/>
              <w:keepNext/>
              <w:rPr>
                <w:sz w:val="22"/>
                <w:szCs w:val="22"/>
              </w:rPr>
            </w:pPr>
            <w:r w:rsidRPr="00184473">
              <w:rPr>
                <w:sz w:val="22"/>
                <w:szCs w:val="22"/>
              </w:rPr>
              <w:t>Total difficulty</w:t>
            </w:r>
          </w:p>
          <w:p w:rsidR="0008565A" w:rsidRPr="00184473" w:rsidRDefault="0008565A" w:rsidP="0008565A">
            <w:pPr>
              <w:pStyle w:val="TableHead"/>
              <w:keepNext/>
              <w:rPr>
                <w:sz w:val="22"/>
                <w:szCs w:val="22"/>
              </w:rPr>
            </w:pPr>
            <w:r>
              <w:rPr>
                <w:sz w:val="22"/>
                <w:szCs w:val="22"/>
              </w:rPr>
              <w:t>%</w:t>
            </w:r>
          </w:p>
        </w:tc>
        <w:tc>
          <w:tcPr>
            <w:tcW w:w="850" w:type="dxa"/>
            <w:tcBorders>
              <w:bottom w:val="single" w:sz="12" w:space="0" w:color="000000"/>
            </w:tcBorders>
            <w:shd w:val="clear" w:color="auto" w:fill="auto"/>
          </w:tcPr>
          <w:p w:rsidR="0008565A" w:rsidRDefault="0008565A" w:rsidP="0008565A">
            <w:pPr>
              <w:pStyle w:val="TableHead"/>
              <w:keepNext/>
              <w:rPr>
                <w:sz w:val="22"/>
                <w:szCs w:val="22"/>
              </w:rPr>
            </w:pPr>
            <w:r w:rsidRPr="00184473">
              <w:rPr>
                <w:sz w:val="22"/>
                <w:szCs w:val="22"/>
              </w:rPr>
              <w:t>All</w:t>
            </w:r>
          </w:p>
          <w:p w:rsidR="0008565A" w:rsidRPr="00184473" w:rsidRDefault="0008565A" w:rsidP="0008565A">
            <w:pPr>
              <w:pStyle w:val="TableHead"/>
              <w:keepNext/>
              <w:rPr>
                <w:sz w:val="22"/>
                <w:szCs w:val="22"/>
              </w:rPr>
            </w:pPr>
            <w:r>
              <w:rPr>
                <w:sz w:val="22"/>
                <w:szCs w:val="22"/>
              </w:rPr>
              <w:t>%</w:t>
            </w:r>
          </w:p>
        </w:tc>
        <w:tc>
          <w:tcPr>
            <w:tcW w:w="993" w:type="dxa"/>
            <w:tcBorders>
              <w:bottom w:val="single" w:sz="12" w:space="0" w:color="000000"/>
            </w:tcBorders>
            <w:shd w:val="clear" w:color="auto" w:fill="auto"/>
          </w:tcPr>
          <w:p w:rsidR="0008565A" w:rsidRPr="00184473" w:rsidRDefault="0008565A" w:rsidP="0008565A">
            <w:pPr>
              <w:pStyle w:val="TableHead"/>
              <w:keepNext/>
              <w:rPr>
                <w:sz w:val="22"/>
                <w:szCs w:val="22"/>
              </w:rPr>
            </w:pPr>
            <w:r w:rsidRPr="00184473">
              <w:rPr>
                <w:sz w:val="22"/>
                <w:szCs w:val="22"/>
              </w:rPr>
              <w:t>Nos.</w:t>
            </w:r>
          </w:p>
        </w:tc>
        <w:tc>
          <w:tcPr>
            <w:tcW w:w="951" w:type="dxa"/>
            <w:tcBorders>
              <w:bottom w:val="single" w:sz="12" w:space="0" w:color="000000"/>
            </w:tcBorders>
            <w:shd w:val="clear" w:color="auto" w:fill="auto"/>
          </w:tcPr>
          <w:p w:rsidR="0008565A" w:rsidRPr="00184473" w:rsidRDefault="0008565A" w:rsidP="0008565A">
            <w:pPr>
              <w:pStyle w:val="TableHead"/>
              <w:keepNext/>
              <w:rPr>
                <w:sz w:val="22"/>
                <w:szCs w:val="22"/>
              </w:rPr>
            </w:pPr>
            <w:r>
              <w:rPr>
                <w:sz w:val="22"/>
                <w:szCs w:val="22"/>
              </w:rPr>
              <w:t>unmet need %</w:t>
            </w:r>
          </w:p>
        </w:tc>
      </w:tr>
      <w:tr w:rsidR="0008565A" w:rsidRPr="00E52CE8" w:rsidTr="0008565A">
        <w:tblPrEx>
          <w:tblCellMar>
            <w:top w:w="0" w:type="dxa"/>
            <w:bottom w:w="0" w:type="dxa"/>
          </w:tblCellMar>
        </w:tblPrEx>
        <w:trPr>
          <w:cantSplit/>
        </w:trPr>
        <w:tc>
          <w:tcPr>
            <w:tcW w:w="1809" w:type="dxa"/>
            <w:tcBorders>
              <w:top w:val="single" w:sz="12" w:space="0" w:color="000000"/>
            </w:tcBorders>
            <w:shd w:val="clear" w:color="auto" w:fill="auto"/>
          </w:tcPr>
          <w:p w:rsidR="0008565A" w:rsidRPr="007316D7" w:rsidRDefault="0008565A" w:rsidP="0008565A">
            <w:pPr>
              <w:spacing w:after="0"/>
              <w:rPr>
                <w:sz w:val="22"/>
                <w:szCs w:val="22"/>
              </w:rPr>
            </w:pPr>
            <w:r w:rsidRPr="007316D7">
              <w:rPr>
                <w:sz w:val="22"/>
                <w:szCs w:val="22"/>
              </w:rPr>
              <w:t>Has access to</w:t>
            </w:r>
            <w:r>
              <w:rPr>
                <w:sz w:val="22"/>
                <w:szCs w:val="22"/>
              </w:rPr>
              <w:t xml:space="preserve"> </w:t>
            </w:r>
            <w:r w:rsidRPr="007316D7">
              <w:rPr>
                <w:sz w:val="22"/>
                <w:szCs w:val="22"/>
              </w:rPr>
              <w:t>Physio etc</w:t>
            </w:r>
            <w:r w:rsidRPr="007316D7">
              <w:rPr>
                <w:rStyle w:val="FootnoteReference"/>
                <w:sz w:val="22"/>
                <w:szCs w:val="22"/>
              </w:rPr>
              <w:footnoteReference w:id="43"/>
            </w:r>
          </w:p>
        </w:tc>
        <w:tc>
          <w:tcPr>
            <w:tcW w:w="1128" w:type="dxa"/>
            <w:tcBorders>
              <w:top w:val="single" w:sz="12" w:space="0" w:color="000000"/>
            </w:tcBorders>
            <w:shd w:val="clear" w:color="auto" w:fill="auto"/>
          </w:tcPr>
          <w:p w:rsidR="0008565A" w:rsidRPr="00184473" w:rsidRDefault="0008565A" w:rsidP="0008565A">
            <w:pPr>
              <w:pStyle w:val="TableCell"/>
              <w:rPr>
                <w:sz w:val="22"/>
                <w:szCs w:val="22"/>
                <w:lang w:eastAsia="en-IE"/>
              </w:rPr>
            </w:pPr>
            <w:r w:rsidRPr="00184473">
              <w:rPr>
                <w:sz w:val="22"/>
                <w:szCs w:val="22"/>
                <w:lang w:eastAsia="en-IE"/>
              </w:rPr>
              <w:t>10.8</w:t>
            </w:r>
          </w:p>
        </w:tc>
        <w:tc>
          <w:tcPr>
            <w:tcW w:w="1140" w:type="dxa"/>
            <w:tcBorders>
              <w:top w:val="single" w:sz="12" w:space="0" w:color="000000"/>
            </w:tcBorders>
            <w:shd w:val="clear" w:color="auto" w:fill="auto"/>
          </w:tcPr>
          <w:p w:rsidR="0008565A" w:rsidRPr="00184473" w:rsidRDefault="0008565A" w:rsidP="0008565A">
            <w:pPr>
              <w:pStyle w:val="TableCell"/>
              <w:rPr>
                <w:sz w:val="22"/>
                <w:szCs w:val="22"/>
                <w:lang w:eastAsia="en-IE"/>
              </w:rPr>
            </w:pPr>
            <w:r w:rsidRPr="00184473">
              <w:rPr>
                <w:sz w:val="22"/>
                <w:szCs w:val="22"/>
                <w:lang w:eastAsia="en-IE"/>
              </w:rPr>
              <w:t>10.3</w:t>
            </w:r>
          </w:p>
        </w:tc>
        <w:tc>
          <w:tcPr>
            <w:tcW w:w="993" w:type="dxa"/>
            <w:tcBorders>
              <w:top w:val="single" w:sz="12" w:space="0" w:color="000000"/>
            </w:tcBorders>
            <w:shd w:val="clear" w:color="auto" w:fill="auto"/>
          </w:tcPr>
          <w:p w:rsidR="0008565A" w:rsidRPr="00184473" w:rsidRDefault="0008565A" w:rsidP="0008565A">
            <w:pPr>
              <w:pStyle w:val="TableCell"/>
              <w:rPr>
                <w:sz w:val="22"/>
                <w:szCs w:val="22"/>
                <w:lang w:eastAsia="en-IE"/>
              </w:rPr>
            </w:pPr>
            <w:r w:rsidRPr="00184473">
              <w:rPr>
                <w:sz w:val="22"/>
                <w:szCs w:val="22"/>
                <w:lang w:eastAsia="en-IE"/>
              </w:rPr>
              <w:t>16.7</w:t>
            </w:r>
          </w:p>
        </w:tc>
        <w:tc>
          <w:tcPr>
            <w:tcW w:w="992" w:type="dxa"/>
            <w:tcBorders>
              <w:top w:val="single" w:sz="12" w:space="0" w:color="000000"/>
            </w:tcBorders>
            <w:shd w:val="clear" w:color="auto" w:fill="auto"/>
          </w:tcPr>
          <w:p w:rsidR="0008565A" w:rsidRPr="00184473" w:rsidRDefault="0008565A" w:rsidP="0008565A">
            <w:pPr>
              <w:pStyle w:val="TableCell"/>
              <w:rPr>
                <w:sz w:val="22"/>
                <w:szCs w:val="22"/>
                <w:lang w:eastAsia="en-IE"/>
              </w:rPr>
            </w:pPr>
            <w:r w:rsidRPr="00184473">
              <w:rPr>
                <w:sz w:val="22"/>
                <w:szCs w:val="22"/>
                <w:lang w:eastAsia="en-IE"/>
              </w:rPr>
              <w:t>26.4</w:t>
            </w:r>
          </w:p>
        </w:tc>
        <w:tc>
          <w:tcPr>
            <w:tcW w:w="850" w:type="dxa"/>
            <w:tcBorders>
              <w:top w:val="single" w:sz="12" w:space="0" w:color="000000"/>
            </w:tcBorders>
            <w:shd w:val="clear" w:color="auto" w:fill="auto"/>
          </w:tcPr>
          <w:p w:rsidR="0008565A" w:rsidRPr="007316D7" w:rsidRDefault="0008565A" w:rsidP="0008565A">
            <w:pPr>
              <w:pStyle w:val="TableCell"/>
              <w:rPr>
                <w:b/>
                <w:sz w:val="22"/>
                <w:szCs w:val="22"/>
                <w:lang w:eastAsia="en-IE"/>
              </w:rPr>
            </w:pPr>
            <w:r w:rsidRPr="007316D7">
              <w:rPr>
                <w:b/>
                <w:sz w:val="22"/>
                <w:szCs w:val="22"/>
                <w:lang w:eastAsia="en-IE"/>
              </w:rPr>
              <w:t>14.6</w:t>
            </w:r>
          </w:p>
        </w:tc>
        <w:tc>
          <w:tcPr>
            <w:tcW w:w="993" w:type="dxa"/>
            <w:tcBorders>
              <w:top w:val="single" w:sz="12" w:space="0" w:color="000000"/>
            </w:tcBorders>
            <w:shd w:val="clear" w:color="auto" w:fill="auto"/>
          </w:tcPr>
          <w:p w:rsidR="0008565A" w:rsidRPr="007316D7" w:rsidRDefault="0008565A" w:rsidP="0008565A">
            <w:pPr>
              <w:pStyle w:val="TableCell"/>
              <w:rPr>
                <w:b/>
                <w:sz w:val="22"/>
                <w:szCs w:val="22"/>
                <w:lang w:eastAsia="en-IE"/>
              </w:rPr>
            </w:pPr>
            <w:r w:rsidRPr="007316D7">
              <w:rPr>
                <w:b/>
                <w:sz w:val="22"/>
                <w:szCs w:val="22"/>
                <w:lang w:eastAsia="en-IE"/>
              </w:rPr>
              <w:t>10,500</w:t>
            </w:r>
          </w:p>
        </w:tc>
        <w:tc>
          <w:tcPr>
            <w:tcW w:w="951" w:type="dxa"/>
            <w:tcBorders>
              <w:top w:val="single" w:sz="12" w:space="0" w:color="000000"/>
            </w:tcBorders>
            <w:shd w:val="clear" w:color="auto" w:fill="auto"/>
          </w:tcPr>
          <w:p w:rsidR="0008565A" w:rsidRPr="00184473" w:rsidRDefault="0008565A" w:rsidP="0008565A">
            <w:pPr>
              <w:pStyle w:val="TableCell"/>
              <w:rPr>
                <w:b/>
                <w:sz w:val="22"/>
                <w:szCs w:val="22"/>
                <w:lang w:eastAsia="en-IE"/>
              </w:rPr>
            </w:pPr>
          </w:p>
        </w:tc>
      </w:tr>
      <w:tr w:rsidR="0008565A" w:rsidRPr="00E52CE8" w:rsidTr="0008565A">
        <w:tblPrEx>
          <w:tblCellMar>
            <w:top w:w="0" w:type="dxa"/>
            <w:bottom w:w="0" w:type="dxa"/>
          </w:tblCellMar>
        </w:tblPrEx>
        <w:trPr>
          <w:cantSplit/>
        </w:trPr>
        <w:tc>
          <w:tcPr>
            <w:tcW w:w="1809" w:type="dxa"/>
            <w:shd w:val="clear" w:color="auto" w:fill="auto"/>
          </w:tcPr>
          <w:p w:rsidR="0008565A" w:rsidRPr="007316D7" w:rsidRDefault="0008565A" w:rsidP="0008565A">
            <w:pPr>
              <w:spacing w:after="0"/>
              <w:rPr>
                <w:sz w:val="22"/>
                <w:szCs w:val="22"/>
              </w:rPr>
            </w:pPr>
            <w:r w:rsidRPr="007316D7">
              <w:rPr>
                <w:sz w:val="22"/>
                <w:szCs w:val="22"/>
              </w:rPr>
              <w:t>Needs and doesn’t have</w:t>
            </w:r>
            <w:r>
              <w:rPr>
                <w:sz w:val="22"/>
                <w:szCs w:val="22"/>
              </w:rPr>
              <w:t xml:space="preserve"> </w:t>
            </w:r>
            <w:r w:rsidRPr="007316D7">
              <w:rPr>
                <w:sz w:val="22"/>
                <w:szCs w:val="22"/>
              </w:rPr>
              <w:t>Physio etc</w:t>
            </w:r>
          </w:p>
        </w:tc>
        <w:tc>
          <w:tcPr>
            <w:tcW w:w="1128" w:type="dxa"/>
            <w:shd w:val="clear" w:color="auto" w:fill="auto"/>
          </w:tcPr>
          <w:p w:rsidR="0008565A" w:rsidRPr="00184473" w:rsidRDefault="0008565A" w:rsidP="0008565A">
            <w:pPr>
              <w:pStyle w:val="TableCell"/>
              <w:rPr>
                <w:sz w:val="22"/>
                <w:szCs w:val="22"/>
                <w:lang w:eastAsia="en-IE"/>
              </w:rPr>
            </w:pPr>
            <w:r w:rsidRPr="00184473">
              <w:rPr>
                <w:sz w:val="22"/>
                <w:szCs w:val="22"/>
                <w:lang w:eastAsia="en-IE"/>
              </w:rPr>
              <w:t>6.7</w:t>
            </w:r>
          </w:p>
        </w:tc>
        <w:tc>
          <w:tcPr>
            <w:tcW w:w="1140" w:type="dxa"/>
            <w:shd w:val="clear" w:color="auto" w:fill="auto"/>
          </w:tcPr>
          <w:p w:rsidR="0008565A" w:rsidRPr="00184473" w:rsidRDefault="0008565A" w:rsidP="0008565A">
            <w:pPr>
              <w:pStyle w:val="TableCell"/>
              <w:rPr>
                <w:sz w:val="22"/>
                <w:szCs w:val="22"/>
                <w:lang w:eastAsia="en-IE"/>
              </w:rPr>
            </w:pPr>
            <w:r w:rsidRPr="00184473">
              <w:rPr>
                <w:sz w:val="22"/>
                <w:szCs w:val="22"/>
                <w:lang w:eastAsia="en-IE"/>
              </w:rPr>
              <w:t>6.9</w:t>
            </w:r>
          </w:p>
        </w:tc>
        <w:tc>
          <w:tcPr>
            <w:tcW w:w="993" w:type="dxa"/>
            <w:shd w:val="clear" w:color="auto" w:fill="auto"/>
          </w:tcPr>
          <w:p w:rsidR="0008565A" w:rsidRPr="00184473" w:rsidRDefault="0008565A" w:rsidP="0008565A">
            <w:pPr>
              <w:pStyle w:val="TableCell"/>
              <w:rPr>
                <w:sz w:val="22"/>
                <w:szCs w:val="22"/>
                <w:lang w:eastAsia="en-IE"/>
              </w:rPr>
            </w:pPr>
            <w:r w:rsidRPr="00184473">
              <w:rPr>
                <w:sz w:val="22"/>
                <w:szCs w:val="22"/>
                <w:lang w:eastAsia="en-IE"/>
              </w:rPr>
              <w:t>13.3</w:t>
            </w:r>
          </w:p>
        </w:tc>
        <w:tc>
          <w:tcPr>
            <w:tcW w:w="992" w:type="dxa"/>
            <w:shd w:val="clear" w:color="auto" w:fill="auto"/>
          </w:tcPr>
          <w:p w:rsidR="0008565A" w:rsidRPr="00184473" w:rsidRDefault="0008565A" w:rsidP="0008565A">
            <w:pPr>
              <w:pStyle w:val="TableCell"/>
              <w:rPr>
                <w:sz w:val="22"/>
                <w:szCs w:val="22"/>
                <w:lang w:eastAsia="en-IE"/>
              </w:rPr>
            </w:pPr>
            <w:r w:rsidRPr="00184473">
              <w:rPr>
                <w:sz w:val="22"/>
                <w:szCs w:val="22"/>
                <w:lang w:eastAsia="en-IE"/>
              </w:rPr>
              <w:t>9.2</w:t>
            </w:r>
          </w:p>
        </w:tc>
        <w:tc>
          <w:tcPr>
            <w:tcW w:w="850" w:type="dxa"/>
            <w:shd w:val="clear" w:color="auto" w:fill="auto"/>
          </w:tcPr>
          <w:p w:rsidR="0008565A" w:rsidRPr="007316D7" w:rsidRDefault="0008565A" w:rsidP="0008565A">
            <w:pPr>
              <w:pStyle w:val="TableCell"/>
              <w:rPr>
                <w:b/>
                <w:sz w:val="22"/>
                <w:szCs w:val="22"/>
                <w:lang w:eastAsia="en-IE"/>
              </w:rPr>
            </w:pPr>
            <w:r w:rsidRPr="007316D7">
              <w:rPr>
                <w:b/>
                <w:sz w:val="22"/>
                <w:szCs w:val="22"/>
                <w:lang w:eastAsia="en-IE"/>
              </w:rPr>
              <w:t>9.4</w:t>
            </w:r>
          </w:p>
        </w:tc>
        <w:tc>
          <w:tcPr>
            <w:tcW w:w="993" w:type="dxa"/>
            <w:shd w:val="clear" w:color="auto" w:fill="auto"/>
          </w:tcPr>
          <w:p w:rsidR="0008565A" w:rsidRPr="007316D7" w:rsidRDefault="0008565A" w:rsidP="0008565A">
            <w:pPr>
              <w:pStyle w:val="TableCell"/>
              <w:rPr>
                <w:b/>
                <w:sz w:val="22"/>
                <w:szCs w:val="22"/>
                <w:lang w:eastAsia="en-IE"/>
              </w:rPr>
            </w:pPr>
            <w:r w:rsidRPr="007316D7">
              <w:rPr>
                <w:b/>
                <w:sz w:val="22"/>
                <w:szCs w:val="22"/>
                <w:lang w:eastAsia="en-IE"/>
              </w:rPr>
              <w:t>6,700</w:t>
            </w:r>
          </w:p>
        </w:tc>
        <w:tc>
          <w:tcPr>
            <w:tcW w:w="951" w:type="dxa"/>
            <w:shd w:val="clear" w:color="auto" w:fill="auto"/>
            <w:vAlign w:val="bottom"/>
          </w:tcPr>
          <w:p w:rsidR="0008565A" w:rsidRDefault="0008565A" w:rsidP="0008565A">
            <w:pPr>
              <w:jc w:val="right"/>
              <w:rPr>
                <w:rFonts w:ascii="Calibri" w:hAnsi="Calibri" w:cs="Calibri"/>
                <w:color w:val="000000"/>
                <w:sz w:val="22"/>
                <w:szCs w:val="22"/>
              </w:rPr>
            </w:pPr>
            <w:r>
              <w:rPr>
                <w:rFonts w:ascii="Calibri" w:hAnsi="Calibri" w:cs="Calibri"/>
                <w:color w:val="000000"/>
                <w:sz w:val="22"/>
                <w:szCs w:val="22"/>
              </w:rPr>
              <w:t>39.0</w:t>
            </w:r>
          </w:p>
        </w:tc>
      </w:tr>
      <w:tr w:rsidR="0008565A" w:rsidRPr="00E52CE8" w:rsidTr="0008565A">
        <w:tblPrEx>
          <w:tblCellMar>
            <w:top w:w="0" w:type="dxa"/>
            <w:bottom w:w="0" w:type="dxa"/>
          </w:tblCellMar>
        </w:tblPrEx>
        <w:trPr>
          <w:cantSplit/>
        </w:trPr>
        <w:tc>
          <w:tcPr>
            <w:tcW w:w="1809" w:type="dxa"/>
            <w:shd w:val="clear" w:color="auto" w:fill="auto"/>
          </w:tcPr>
          <w:p w:rsidR="0008565A" w:rsidRPr="007316D7" w:rsidRDefault="0008565A" w:rsidP="0008565A">
            <w:pPr>
              <w:spacing w:after="0"/>
              <w:rPr>
                <w:sz w:val="22"/>
                <w:szCs w:val="22"/>
              </w:rPr>
            </w:pPr>
            <w:r w:rsidRPr="007316D7">
              <w:rPr>
                <w:sz w:val="22"/>
                <w:szCs w:val="22"/>
              </w:rPr>
              <w:t>Has access to</w:t>
            </w:r>
            <w:r>
              <w:rPr>
                <w:sz w:val="22"/>
                <w:szCs w:val="22"/>
              </w:rPr>
              <w:t xml:space="preserve"> </w:t>
            </w:r>
            <w:r w:rsidRPr="007316D7">
              <w:rPr>
                <w:sz w:val="22"/>
                <w:szCs w:val="22"/>
              </w:rPr>
              <w:t>OT</w:t>
            </w:r>
          </w:p>
        </w:tc>
        <w:tc>
          <w:tcPr>
            <w:tcW w:w="1128" w:type="dxa"/>
            <w:shd w:val="clear" w:color="auto" w:fill="auto"/>
          </w:tcPr>
          <w:p w:rsidR="0008565A" w:rsidRPr="00184473" w:rsidRDefault="0008565A" w:rsidP="0008565A">
            <w:pPr>
              <w:pStyle w:val="TableCell"/>
              <w:rPr>
                <w:sz w:val="22"/>
                <w:szCs w:val="22"/>
                <w:lang w:eastAsia="en-IE"/>
              </w:rPr>
            </w:pPr>
            <w:r w:rsidRPr="00184473">
              <w:rPr>
                <w:sz w:val="22"/>
                <w:szCs w:val="22"/>
                <w:lang w:eastAsia="en-IE"/>
              </w:rPr>
              <w:t>12.8</w:t>
            </w:r>
          </w:p>
        </w:tc>
        <w:tc>
          <w:tcPr>
            <w:tcW w:w="1140" w:type="dxa"/>
            <w:shd w:val="clear" w:color="auto" w:fill="auto"/>
          </w:tcPr>
          <w:p w:rsidR="0008565A" w:rsidRPr="00184473" w:rsidRDefault="0008565A" w:rsidP="0008565A">
            <w:pPr>
              <w:pStyle w:val="TableCell"/>
              <w:rPr>
                <w:sz w:val="22"/>
                <w:szCs w:val="22"/>
                <w:lang w:eastAsia="en-IE"/>
              </w:rPr>
            </w:pPr>
            <w:r w:rsidRPr="00184473">
              <w:rPr>
                <w:sz w:val="22"/>
                <w:szCs w:val="22"/>
                <w:lang w:eastAsia="en-IE"/>
              </w:rPr>
              <w:t>18.9</w:t>
            </w:r>
          </w:p>
        </w:tc>
        <w:tc>
          <w:tcPr>
            <w:tcW w:w="993" w:type="dxa"/>
            <w:shd w:val="clear" w:color="auto" w:fill="auto"/>
          </w:tcPr>
          <w:p w:rsidR="0008565A" w:rsidRPr="00184473" w:rsidRDefault="0008565A" w:rsidP="0008565A">
            <w:pPr>
              <w:pStyle w:val="TableCell"/>
              <w:rPr>
                <w:sz w:val="22"/>
                <w:szCs w:val="22"/>
                <w:lang w:eastAsia="en-IE"/>
              </w:rPr>
            </w:pPr>
            <w:r w:rsidRPr="00184473">
              <w:rPr>
                <w:sz w:val="22"/>
                <w:szCs w:val="22"/>
                <w:lang w:eastAsia="en-IE"/>
              </w:rPr>
              <w:t>27.5</w:t>
            </w:r>
          </w:p>
        </w:tc>
        <w:tc>
          <w:tcPr>
            <w:tcW w:w="992" w:type="dxa"/>
            <w:shd w:val="clear" w:color="auto" w:fill="auto"/>
          </w:tcPr>
          <w:p w:rsidR="0008565A" w:rsidRPr="00184473" w:rsidRDefault="0008565A" w:rsidP="0008565A">
            <w:pPr>
              <w:pStyle w:val="TableCell"/>
              <w:rPr>
                <w:sz w:val="22"/>
                <w:szCs w:val="22"/>
                <w:lang w:eastAsia="en-IE"/>
              </w:rPr>
            </w:pPr>
            <w:r w:rsidRPr="00184473">
              <w:rPr>
                <w:sz w:val="22"/>
                <w:szCs w:val="22"/>
                <w:lang w:eastAsia="en-IE"/>
              </w:rPr>
              <w:t>34.8</w:t>
            </w:r>
          </w:p>
        </w:tc>
        <w:tc>
          <w:tcPr>
            <w:tcW w:w="850" w:type="dxa"/>
            <w:shd w:val="clear" w:color="auto" w:fill="auto"/>
          </w:tcPr>
          <w:p w:rsidR="0008565A" w:rsidRPr="007316D7" w:rsidRDefault="0008565A" w:rsidP="0008565A">
            <w:pPr>
              <w:pStyle w:val="TableCell"/>
              <w:rPr>
                <w:b/>
                <w:sz w:val="22"/>
                <w:szCs w:val="22"/>
                <w:lang w:eastAsia="en-IE"/>
              </w:rPr>
            </w:pPr>
            <w:r w:rsidRPr="007316D7">
              <w:rPr>
                <w:b/>
                <w:sz w:val="22"/>
                <w:szCs w:val="22"/>
                <w:lang w:eastAsia="en-IE"/>
              </w:rPr>
              <w:t>22.8</w:t>
            </w:r>
          </w:p>
        </w:tc>
        <w:tc>
          <w:tcPr>
            <w:tcW w:w="993" w:type="dxa"/>
            <w:shd w:val="clear" w:color="auto" w:fill="auto"/>
          </w:tcPr>
          <w:p w:rsidR="0008565A" w:rsidRPr="007316D7" w:rsidRDefault="0008565A" w:rsidP="0008565A">
            <w:pPr>
              <w:pStyle w:val="TableCell"/>
              <w:rPr>
                <w:b/>
                <w:sz w:val="22"/>
                <w:szCs w:val="22"/>
                <w:lang w:eastAsia="en-IE"/>
              </w:rPr>
            </w:pPr>
            <w:r w:rsidRPr="007316D7">
              <w:rPr>
                <w:b/>
                <w:sz w:val="22"/>
                <w:szCs w:val="22"/>
                <w:lang w:eastAsia="en-IE"/>
              </w:rPr>
              <w:t>16,300</w:t>
            </w:r>
          </w:p>
        </w:tc>
        <w:tc>
          <w:tcPr>
            <w:tcW w:w="951" w:type="dxa"/>
            <w:shd w:val="clear" w:color="auto" w:fill="auto"/>
            <w:vAlign w:val="bottom"/>
          </w:tcPr>
          <w:p w:rsidR="0008565A" w:rsidRDefault="0008565A" w:rsidP="0008565A">
            <w:pPr>
              <w:rPr>
                <w:rFonts w:ascii="Calibri" w:hAnsi="Calibri" w:cs="Calibri"/>
                <w:color w:val="000000"/>
                <w:sz w:val="22"/>
                <w:szCs w:val="22"/>
              </w:rPr>
            </w:pPr>
          </w:p>
        </w:tc>
      </w:tr>
      <w:tr w:rsidR="0008565A" w:rsidRPr="00E52CE8" w:rsidTr="0008565A">
        <w:tblPrEx>
          <w:tblCellMar>
            <w:top w:w="0" w:type="dxa"/>
            <w:bottom w:w="0" w:type="dxa"/>
          </w:tblCellMar>
        </w:tblPrEx>
        <w:trPr>
          <w:cantSplit/>
        </w:trPr>
        <w:tc>
          <w:tcPr>
            <w:tcW w:w="1809" w:type="dxa"/>
            <w:shd w:val="clear" w:color="auto" w:fill="auto"/>
          </w:tcPr>
          <w:p w:rsidR="0008565A" w:rsidRPr="007316D7" w:rsidRDefault="0008565A" w:rsidP="0008565A">
            <w:pPr>
              <w:spacing w:after="0"/>
              <w:rPr>
                <w:sz w:val="22"/>
                <w:szCs w:val="22"/>
              </w:rPr>
            </w:pPr>
            <w:r w:rsidRPr="007316D7">
              <w:rPr>
                <w:sz w:val="22"/>
                <w:szCs w:val="22"/>
              </w:rPr>
              <w:t>Needs and doesn’t have</w:t>
            </w:r>
            <w:r>
              <w:rPr>
                <w:sz w:val="22"/>
                <w:szCs w:val="22"/>
              </w:rPr>
              <w:t xml:space="preserve"> </w:t>
            </w:r>
            <w:r w:rsidRPr="007316D7">
              <w:rPr>
                <w:rFonts w:ascii="Arial" w:hAnsi="Arial" w:cs="Arial"/>
                <w:sz w:val="22"/>
                <w:szCs w:val="22"/>
                <w:lang w:eastAsia="en-IE"/>
              </w:rPr>
              <w:t>OT</w:t>
            </w:r>
          </w:p>
        </w:tc>
        <w:tc>
          <w:tcPr>
            <w:tcW w:w="1128" w:type="dxa"/>
            <w:shd w:val="clear" w:color="auto" w:fill="auto"/>
          </w:tcPr>
          <w:p w:rsidR="0008565A" w:rsidRPr="00184473" w:rsidRDefault="0008565A" w:rsidP="0008565A">
            <w:pPr>
              <w:pStyle w:val="TableCell"/>
              <w:rPr>
                <w:sz w:val="22"/>
                <w:szCs w:val="22"/>
                <w:lang w:eastAsia="en-IE"/>
              </w:rPr>
            </w:pPr>
            <w:r w:rsidRPr="00184473">
              <w:rPr>
                <w:sz w:val="22"/>
                <w:szCs w:val="22"/>
                <w:lang w:eastAsia="en-IE"/>
              </w:rPr>
              <w:t>8.0</w:t>
            </w:r>
          </w:p>
        </w:tc>
        <w:tc>
          <w:tcPr>
            <w:tcW w:w="1140" w:type="dxa"/>
            <w:shd w:val="clear" w:color="auto" w:fill="auto"/>
          </w:tcPr>
          <w:p w:rsidR="0008565A" w:rsidRPr="00184473" w:rsidRDefault="0008565A" w:rsidP="0008565A">
            <w:pPr>
              <w:pStyle w:val="TableCell"/>
              <w:rPr>
                <w:sz w:val="22"/>
                <w:szCs w:val="22"/>
                <w:lang w:eastAsia="en-IE"/>
              </w:rPr>
            </w:pPr>
            <w:r w:rsidRPr="00184473">
              <w:rPr>
                <w:sz w:val="22"/>
                <w:szCs w:val="22"/>
                <w:lang w:eastAsia="en-IE"/>
              </w:rPr>
              <w:t>11.4</w:t>
            </w:r>
          </w:p>
        </w:tc>
        <w:tc>
          <w:tcPr>
            <w:tcW w:w="993" w:type="dxa"/>
            <w:shd w:val="clear" w:color="auto" w:fill="auto"/>
          </w:tcPr>
          <w:p w:rsidR="0008565A" w:rsidRPr="00184473" w:rsidRDefault="0008565A" w:rsidP="0008565A">
            <w:pPr>
              <w:pStyle w:val="TableCell"/>
              <w:rPr>
                <w:sz w:val="22"/>
                <w:szCs w:val="22"/>
                <w:lang w:eastAsia="en-IE"/>
              </w:rPr>
            </w:pPr>
            <w:r w:rsidRPr="00184473">
              <w:rPr>
                <w:sz w:val="22"/>
                <w:szCs w:val="22"/>
                <w:lang w:eastAsia="en-IE"/>
              </w:rPr>
              <w:t>15.2</w:t>
            </w:r>
          </w:p>
        </w:tc>
        <w:tc>
          <w:tcPr>
            <w:tcW w:w="992" w:type="dxa"/>
            <w:shd w:val="clear" w:color="auto" w:fill="auto"/>
          </w:tcPr>
          <w:p w:rsidR="0008565A" w:rsidRPr="00184473" w:rsidRDefault="0008565A" w:rsidP="0008565A">
            <w:pPr>
              <w:pStyle w:val="TableCell"/>
              <w:rPr>
                <w:sz w:val="22"/>
                <w:szCs w:val="22"/>
                <w:lang w:eastAsia="en-IE"/>
              </w:rPr>
            </w:pPr>
            <w:r w:rsidRPr="00184473">
              <w:rPr>
                <w:sz w:val="22"/>
                <w:szCs w:val="22"/>
                <w:lang w:eastAsia="en-IE"/>
              </w:rPr>
              <w:t>16.8</w:t>
            </w:r>
          </w:p>
        </w:tc>
        <w:tc>
          <w:tcPr>
            <w:tcW w:w="850" w:type="dxa"/>
            <w:shd w:val="clear" w:color="auto" w:fill="auto"/>
          </w:tcPr>
          <w:p w:rsidR="0008565A" w:rsidRPr="007316D7" w:rsidRDefault="0008565A" w:rsidP="0008565A">
            <w:pPr>
              <w:pStyle w:val="TableCell"/>
              <w:rPr>
                <w:b/>
                <w:sz w:val="22"/>
                <w:szCs w:val="22"/>
                <w:lang w:eastAsia="en-IE"/>
              </w:rPr>
            </w:pPr>
            <w:r w:rsidRPr="007316D7">
              <w:rPr>
                <w:b/>
                <w:sz w:val="22"/>
                <w:szCs w:val="22"/>
                <w:lang w:eastAsia="en-IE"/>
              </w:rPr>
              <w:t>12.8</w:t>
            </w:r>
          </w:p>
        </w:tc>
        <w:tc>
          <w:tcPr>
            <w:tcW w:w="993" w:type="dxa"/>
            <w:shd w:val="clear" w:color="auto" w:fill="auto"/>
          </w:tcPr>
          <w:p w:rsidR="0008565A" w:rsidRPr="007316D7" w:rsidRDefault="0008565A" w:rsidP="0008565A">
            <w:pPr>
              <w:pStyle w:val="TableCell"/>
              <w:rPr>
                <w:b/>
                <w:sz w:val="22"/>
                <w:szCs w:val="22"/>
                <w:lang w:eastAsia="en-IE"/>
              </w:rPr>
            </w:pPr>
            <w:r w:rsidRPr="007316D7">
              <w:rPr>
                <w:b/>
                <w:sz w:val="22"/>
                <w:szCs w:val="22"/>
                <w:lang w:eastAsia="en-IE"/>
              </w:rPr>
              <w:t>9,200</w:t>
            </w:r>
          </w:p>
        </w:tc>
        <w:tc>
          <w:tcPr>
            <w:tcW w:w="951" w:type="dxa"/>
            <w:shd w:val="clear" w:color="auto" w:fill="auto"/>
            <w:vAlign w:val="bottom"/>
          </w:tcPr>
          <w:p w:rsidR="0008565A" w:rsidRDefault="0008565A" w:rsidP="0008565A">
            <w:pPr>
              <w:jc w:val="right"/>
              <w:rPr>
                <w:rFonts w:ascii="Calibri" w:hAnsi="Calibri" w:cs="Calibri"/>
                <w:color w:val="000000"/>
                <w:sz w:val="22"/>
                <w:szCs w:val="22"/>
              </w:rPr>
            </w:pPr>
            <w:r>
              <w:rPr>
                <w:rFonts w:ascii="Calibri" w:hAnsi="Calibri" w:cs="Calibri"/>
                <w:color w:val="000000"/>
                <w:sz w:val="22"/>
                <w:szCs w:val="22"/>
              </w:rPr>
              <w:t>36.1</w:t>
            </w:r>
          </w:p>
        </w:tc>
      </w:tr>
      <w:tr w:rsidR="0008565A" w:rsidRPr="00E52CE8" w:rsidTr="0008565A">
        <w:tblPrEx>
          <w:tblCellMar>
            <w:top w:w="0" w:type="dxa"/>
            <w:bottom w:w="0" w:type="dxa"/>
          </w:tblCellMar>
        </w:tblPrEx>
        <w:trPr>
          <w:cantSplit/>
        </w:trPr>
        <w:tc>
          <w:tcPr>
            <w:tcW w:w="1809" w:type="dxa"/>
            <w:shd w:val="clear" w:color="auto" w:fill="auto"/>
          </w:tcPr>
          <w:p w:rsidR="0008565A" w:rsidRPr="007316D7" w:rsidRDefault="0008565A" w:rsidP="0008565A">
            <w:pPr>
              <w:spacing w:after="0"/>
              <w:rPr>
                <w:sz w:val="22"/>
                <w:szCs w:val="22"/>
              </w:rPr>
            </w:pPr>
            <w:r w:rsidRPr="007316D7">
              <w:rPr>
                <w:sz w:val="22"/>
                <w:szCs w:val="22"/>
              </w:rPr>
              <w:t>Has access to</w:t>
            </w:r>
            <w:r>
              <w:rPr>
                <w:sz w:val="22"/>
                <w:szCs w:val="22"/>
              </w:rPr>
              <w:t xml:space="preserve"> </w:t>
            </w:r>
            <w:r w:rsidRPr="007316D7">
              <w:rPr>
                <w:sz w:val="22"/>
                <w:szCs w:val="22"/>
              </w:rPr>
              <w:t>SLT</w:t>
            </w:r>
          </w:p>
        </w:tc>
        <w:tc>
          <w:tcPr>
            <w:tcW w:w="1128" w:type="dxa"/>
            <w:shd w:val="clear" w:color="auto" w:fill="auto"/>
          </w:tcPr>
          <w:p w:rsidR="0008565A" w:rsidRPr="00184473" w:rsidRDefault="0008565A" w:rsidP="0008565A">
            <w:pPr>
              <w:pStyle w:val="TableCell"/>
              <w:rPr>
                <w:sz w:val="22"/>
                <w:szCs w:val="22"/>
                <w:lang w:eastAsia="en-IE"/>
              </w:rPr>
            </w:pPr>
            <w:r w:rsidRPr="00184473">
              <w:rPr>
                <w:sz w:val="22"/>
                <w:szCs w:val="22"/>
                <w:lang w:eastAsia="en-IE"/>
              </w:rPr>
              <w:t>11.9</w:t>
            </w:r>
          </w:p>
        </w:tc>
        <w:tc>
          <w:tcPr>
            <w:tcW w:w="1140" w:type="dxa"/>
            <w:shd w:val="clear" w:color="auto" w:fill="auto"/>
          </w:tcPr>
          <w:p w:rsidR="0008565A" w:rsidRPr="00184473" w:rsidRDefault="0008565A" w:rsidP="0008565A">
            <w:pPr>
              <w:pStyle w:val="TableCell"/>
              <w:rPr>
                <w:sz w:val="22"/>
                <w:szCs w:val="22"/>
                <w:lang w:eastAsia="en-IE"/>
              </w:rPr>
            </w:pPr>
            <w:r w:rsidRPr="00184473">
              <w:rPr>
                <w:sz w:val="22"/>
                <w:szCs w:val="22"/>
                <w:lang w:eastAsia="en-IE"/>
              </w:rPr>
              <w:t>21.1</w:t>
            </w:r>
          </w:p>
        </w:tc>
        <w:tc>
          <w:tcPr>
            <w:tcW w:w="993" w:type="dxa"/>
            <w:shd w:val="clear" w:color="auto" w:fill="auto"/>
          </w:tcPr>
          <w:p w:rsidR="0008565A" w:rsidRPr="00184473" w:rsidRDefault="0008565A" w:rsidP="0008565A">
            <w:pPr>
              <w:pStyle w:val="TableCell"/>
              <w:rPr>
                <w:sz w:val="22"/>
                <w:szCs w:val="22"/>
                <w:lang w:eastAsia="en-IE"/>
              </w:rPr>
            </w:pPr>
            <w:r w:rsidRPr="00184473">
              <w:rPr>
                <w:sz w:val="22"/>
                <w:szCs w:val="22"/>
                <w:lang w:eastAsia="en-IE"/>
              </w:rPr>
              <w:t>26.4</w:t>
            </w:r>
          </w:p>
        </w:tc>
        <w:tc>
          <w:tcPr>
            <w:tcW w:w="992" w:type="dxa"/>
            <w:shd w:val="clear" w:color="auto" w:fill="auto"/>
          </w:tcPr>
          <w:p w:rsidR="0008565A" w:rsidRPr="00184473" w:rsidRDefault="0008565A" w:rsidP="0008565A">
            <w:pPr>
              <w:pStyle w:val="TableCell"/>
              <w:rPr>
                <w:sz w:val="22"/>
                <w:szCs w:val="22"/>
                <w:lang w:eastAsia="en-IE"/>
              </w:rPr>
            </w:pPr>
            <w:r w:rsidRPr="00184473">
              <w:rPr>
                <w:sz w:val="22"/>
                <w:szCs w:val="22"/>
                <w:lang w:eastAsia="en-IE"/>
              </w:rPr>
              <w:t>16.7</w:t>
            </w:r>
          </w:p>
        </w:tc>
        <w:tc>
          <w:tcPr>
            <w:tcW w:w="850" w:type="dxa"/>
            <w:shd w:val="clear" w:color="auto" w:fill="auto"/>
          </w:tcPr>
          <w:p w:rsidR="0008565A" w:rsidRPr="007316D7" w:rsidRDefault="0008565A" w:rsidP="0008565A">
            <w:pPr>
              <w:pStyle w:val="TableCell"/>
              <w:rPr>
                <w:b/>
                <w:sz w:val="22"/>
                <w:szCs w:val="22"/>
                <w:lang w:eastAsia="en-IE"/>
              </w:rPr>
            </w:pPr>
            <w:r w:rsidRPr="007316D7">
              <w:rPr>
                <w:b/>
                <w:sz w:val="22"/>
                <w:szCs w:val="22"/>
                <w:lang w:eastAsia="en-IE"/>
              </w:rPr>
              <w:t>20.8</w:t>
            </w:r>
          </w:p>
        </w:tc>
        <w:tc>
          <w:tcPr>
            <w:tcW w:w="993" w:type="dxa"/>
            <w:shd w:val="clear" w:color="auto" w:fill="auto"/>
          </w:tcPr>
          <w:p w:rsidR="0008565A" w:rsidRPr="007316D7" w:rsidRDefault="0008565A" w:rsidP="0008565A">
            <w:pPr>
              <w:pStyle w:val="TableCell"/>
              <w:rPr>
                <w:b/>
                <w:sz w:val="22"/>
                <w:szCs w:val="22"/>
                <w:lang w:eastAsia="en-IE"/>
              </w:rPr>
            </w:pPr>
            <w:r w:rsidRPr="007316D7">
              <w:rPr>
                <w:b/>
                <w:sz w:val="22"/>
                <w:szCs w:val="22"/>
                <w:lang w:eastAsia="en-IE"/>
              </w:rPr>
              <w:t>14,900</w:t>
            </w:r>
          </w:p>
        </w:tc>
        <w:tc>
          <w:tcPr>
            <w:tcW w:w="951" w:type="dxa"/>
            <w:shd w:val="clear" w:color="auto" w:fill="auto"/>
            <w:vAlign w:val="bottom"/>
          </w:tcPr>
          <w:p w:rsidR="0008565A" w:rsidRDefault="0008565A" w:rsidP="0008565A">
            <w:pPr>
              <w:rPr>
                <w:rFonts w:ascii="Calibri" w:hAnsi="Calibri" w:cs="Calibri"/>
                <w:color w:val="000000"/>
                <w:sz w:val="22"/>
                <w:szCs w:val="22"/>
              </w:rPr>
            </w:pPr>
          </w:p>
        </w:tc>
      </w:tr>
      <w:tr w:rsidR="0008565A" w:rsidRPr="00E52CE8" w:rsidTr="0008565A">
        <w:tblPrEx>
          <w:tblCellMar>
            <w:top w:w="0" w:type="dxa"/>
            <w:bottom w:w="0" w:type="dxa"/>
          </w:tblCellMar>
        </w:tblPrEx>
        <w:trPr>
          <w:cantSplit/>
        </w:trPr>
        <w:tc>
          <w:tcPr>
            <w:tcW w:w="1809" w:type="dxa"/>
            <w:shd w:val="clear" w:color="auto" w:fill="auto"/>
          </w:tcPr>
          <w:p w:rsidR="0008565A" w:rsidRPr="007316D7" w:rsidRDefault="0008565A" w:rsidP="0008565A">
            <w:pPr>
              <w:spacing w:after="0"/>
              <w:rPr>
                <w:sz w:val="22"/>
                <w:szCs w:val="22"/>
              </w:rPr>
            </w:pPr>
            <w:r w:rsidRPr="007316D7">
              <w:rPr>
                <w:sz w:val="22"/>
                <w:szCs w:val="22"/>
              </w:rPr>
              <w:t>Needs and doesn’t have</w:t>
            </w:r>
            <w:r>
              <w:rPr>
                <w:sz w:val="22"/>
                <w:szCs w:val="22"/>
              </w:rPr>
              <w:t xml:space="preserve"> </w:t>
            </w:r>
            <w:r w:rsidRPr="007316D7">
              <w:rPr>
                <w:sz w:val="22"/>
                <w:szCs w:val="22"/>
              </w:rPr>
              <w:t>SLT</w:t>
            </w:r>
          </w:p>
        </w:tc>
        <w:tc>
          <w:tcPr>
            <w:tcW w:w="1128" w:type="dxa"/>
            <w:shd w:val="clear" w:color="auto" w:fill="auto"/>
          </w:tcPr>
          <w:p w:rsidR="0008565A" w:rsidRPr="00184473" w:rsidRDefault="0008565A" w:rsidP="0008565A">
            <w:pPr>
              <w:pStyle w:val="TableCell"/>
              <w:rPr>
                <w:sz w:val="22"/>
                <w:szCs w:val="22"/>
                <w:lang w:eastAsia="en-IE"/>
              </w:rPr>
            </w:pPr>
            <w:r w:rsidRPr="00184473">
              <w:rPr>
                <w:sz w:val="22"/>
                <w:szCs w:val="22"/>
                <w:lang w:eastAsia="en-IE"/>
              </w:rPr>
              <w:t>7.0</w:t>
            </w:r>
          </w:p>
        </w:tc>
        <w:tc>
          <w:tcPr>
            <w:tcW w:w="1140" w:type="dxa"/>
            <w:shd w:val="clear" w:color="auto" w:fill="auto"/>
          </w:tcPr>
          <w:p w:rsidR="0008565A" w:rsidRPr="00184473" w:rsidRDefault="0008565A" w:rsidP="0008565A">
            <w:pPr>
              <w:pStyle w:val="TableCell"/>
              <w:rPr>
                <w:sz w:val="22"/>
                <w:szCs w:val="22"/>
                <w:lang w:eastAsia="en-IE"/>
              </w:rPr>
            </w:pPr>
            <w:r w:rsidRPr="00184473">
              <w:rPr>
                <w:sz w:val="22"/>
                <w:szCs w:val="22"/>
                <w:lang w:eastAsia="en-IE"/>
              </w:rPr>
              <w:t>9.3</w:t>
            </w:r>
          </w:p>
        </w:tc>
        <w:tc>
          <w:tcPr>
            <w:tcW w:w="993" w:type="dxa"/>
            <w:shd w:val="clear" w:color="auto" w:fill="auto"/>
          </w:tcPr>
          <w:p w:rsidR="0008565A" w:rsidRPr="00184473" w:rsidRDefault="0008565A" w:rsidP="0008565A">
            <w:pPr>
              <w:pStyle w:val="TableCell"/>
              <w:rPr>
                <w:sz w:val="22"/>
                <w:szCs w:val="22"/>
                <w:lang w:eastAsia="en-IE"/>
              </w:rPr>
            </w:pPr>
            <w:r w:rsidRPr="00184473">
              <w:rPr>
                <w:sz w:val="22"/>
                <w:szCs w:val="22"/>
                <w:lang w:eastAsia="en-IE"/>
              </w:rPr>
              <w:t>13.4</w:t>
            </w:r>
          </w:p>
        </w:tc>
        <w:tc>
          <w:tcPr>
            <w:tcW w:w="992" w:type="dxa"/>
            <w:shd w:val="clear" w:color="auto" w:fill="auto"/>
          </w:tcPr>
          <w:p w:rsidR="0008565A" w:rsidRPr="00184473" w:rsidRDefault="0008565A" w:rsidP="0008565A">
            <w:pPr>
              <w:pStyle w:val="TableCell"/>
              <w:rPr>
                <w:sz w:val="22"/>
                <w:szCs w:val="22"/>
                <w:lang w:eastAsia="en-IE"/>
              </w:rPr>
            </w:pPr>
            <w:r w:rsidRPr="00184473">
              <w:rPr>
                <w:sz w:val="22"/>
                <w:szCs w:val="22"/>
                <w:lang w:eastAsia="en-IE"/>
              </w:rPr>
              <w:t>25.3</w:t>
            </w:r>
          </w:p>
        </w:tc>
        <w:tc>
          <w:tcPr>
            <w:tcW w:w="850" w:type="dxa"/>
            <w:shd w:val="clear" w:color="auto" w:fill="auto"/>
          </w:tcPr>
          <w:p w:rsidR="0008565A" w:rsidRPr="007316D7" w:rsidRDefault="0008565A" w:rsidP="0008565A">
            <w:pPr>
              <w:pStyle w:val="TableCell"/>
              <w:rPr>
                <w:b/>
                <w:sz w:val="22"/>
                <w:szCs w:val="22"/>
                <w:lang w:eastAsia="en-IE"/>
              </w:rPr>
            </w:pPr>
            <w:r w:rsidRPr="007316D7">
              <w:rPr>
                <w:b/>
                <w:sz w:val="22"/>
                <w:szCs w:val="22"/>
                <w:lang w:eastAsia="en-IE"/>
              </w:rPr>
              <w:t>12.3</w:t>
            </w:r>
          </w:p>
        </w:tc>
        <w:tc>
          <w:tcPr>
            <w:tcW w:w="993" w:type="dxa"/>
            <w:shd w:val="clear" w:color="auto" w:fill="auto"/>
          </w:tcPr>
          <w:p w:rsidR="0008565A" w:rsidRPr="007316D7" w:rsidRDefault="0008565A" w:rsidP="0008565A">
            <w:pPr>
              <w:pStyle w:val="TableCell"/>
              <w:rPr>
                <w:b/>
                <w:sz w:val="22"/>
                <w:szCs w:val="22"/>
                <w:lang w:eastAsia="en-IE"/>
              </w:rPr>
            </w:pPr>
            <w:r w:rsidRPr="007316D7">
              <w:rPr>
                <w:b/>
                <w:sz w:val="22"/>
                <w:szCs w:val="22"/>
                <w:lang w:eastAsia="en-IE"/>
              </w:rPr>
              <w:t>8,800</w:t>
            </w:r>
          </w:p>
        </w:tc>
        <w:tc>
          <w:tcPr>
            <w:tcW w:w="951" w:type="dxa"/>
            <w:shd w:val="clear" w:color="auto" w:fill="auto"/>
            <w:vAlign w:val="bottom"/>
          </w:tcPr>
          <w:p w:rsidR="0008565A" w:rsidRDefault="0008565A" w:rsidP="0008565A">
            <w:pPr>
              <w:jc w:val="right"/>
              <w:rPr>
                <w:rFonts w:ascii="Calibri" w:hAnsi="Calibri" w:cs="Calibri"/>
                <w:color w:val="000000"/>
                <w:sz w:val="22"/>
                <w:szCs w:val="22"/>
              </w:rPr>
            </w:pPr>
            <w:r>
              <w:rPr>
                <w:rFonts w:ascii="Calibri" w:hAnsi="Calibri" w:cs="Calibri"/>
                <w:color w:val="000000"/>
                <w:sz w:val="22"/>
                <w:szCs w:val="22"/>
              </w:rPr>
              <w:t>37.1</w:t>
            </w:r>
          </w:p>
        </w:tc>
      </w:tr>
      <w:tr w:rsidR="0008565A" w:rsidRPr="00E52CE8" w:rsidTr="0008565A">
        <w:tblPrEx>
          <w:tblCellMar>
            <w:top w:w="0" w:type="dxa"/>
            <w:bottom w:w="0" w:type="dxa"/>
          </w:tblCellMar>
        </w:tblPrEx>
        <w:trPr>
          <w:cantSplit/>
        </w:trPr>
        <w:tc>
          <w:tcPr>
            <w:tcW w:w="1809" w:type="dxa"/>
            <w:shd w:val="clear" w:color="auto" w:fill="auto"/>
          </w:tcPr>
          <w:p w:rsidR="0008565A" w:rsidRPr="007316D7" w:rsidRDefault="0008565A" w:rsidP="0008565A">
            <w:pPr>
              <w:spacing w:after="0"/>
              <w:rPr>
                <w:sz w:val="22"/>
                <w:szCs w:val="22"/>
              </w:rPr>
            </w:pPr>
            <w:r w:rsidRPr="007316D7">
              <w:rPr>
                <w:sz w:val="22"/>
                <w:szCs w:val="22"/>
              </w:rPr>
              <w:t>Has access to</w:t>
            </w:r>
            <w:r>
              <w:rPr>
                <w:sz w:val="22"/>
                <w:szCs w:val="22"/>
              </w:rPr>
              <w:t xml:space="preserve"> </w:t>
            </w:r>
            <w:r w:rsidRPr="007316D7">
              <w:rPr>
                <w:sz w:val="22"/>
                <w:szCs w:val="22"/>
              </w:rPr>
              <w:t>Psychology</w:t>
            </w:r>
          </w:p>
        </w:tc>
        <w:tc>
          <w:tcPr>
            <w:tcW w:w="1128" w:type="dxa"/>
            <w:shd w:val="clear" w:color="auto" w:fill="auto"/>
          </w:tcPr>
          <w:p w:rsidR="0008565A" w:rsidRPr="00184473" w:rsidRDefault="0008565A" w:rsidP="0008565A">
            <w:pPr>
              <w:pStyle w:val="TableCell"/>
              <w:rPr>
                <w:sz w:val="22"/>
                <w:szCs w:val="22"/>
                <w:lang w:eastAsia="en-IE"/>
              </w:rPr>
            </w:pPr>
            <w:r w:rsidRPr="00184473">
              <w:rPr>
                <w:sz w:val="22"/>
                <w:szCs w:val="22"/>
                <w:lang w:eastAsia="en-IE"/>
              </w:rPr>
              <w:t>20.8</w:t>
            </w:r>
          </w:p>
        </w:tc>
        <w:tc>
          <w:tcPr>
            <w:tcW w:w="1140" w:type="dxa"/>
            <w:shd w:val="clear" w:color="auto" w:fill="auto"/>
          </w:tcPr>
          <w:p w:rsidR="0008565A" w:rsidRPr="00184473" w:rsidRDefault="0008565A" w:rsidP="0008565A">
            <w:pPr>
              <w:pStyle w:val="TableCell"/>
              <w:rPr>
                <w:sz w:val="22"/>
                <w:szCs w:val="22"/>
                <w:lang w:eastAsia="en-IE"/>
              </w:rPr>
            </w:pPr>
            <w:r w:rsidRPr="00184473">
              <w:rPr>
                <w:sz w:val="22"/>
                <w:szCs w:val="22"/>
                <w:lang w:eastAsia="en-IE"/>
              </w:rPr>
              <w:t>27.2</w:t>
            </w:r>
          </w:p>
        </w:tc>
        <w:tc>
          <w:tcPr>
            <w:tcW w:w="993" w:type="dxa"/>
            <w:shd w:val="clear" w:color="auto" w:fill="auto"/>
          </w:tcPr>
          <w:p w:rsidR="0008565A" w:rsidRPr="00184473" w:rsidRDefault="0008565A" w:rsidP="0008565A">
            <w:pPr>
              <w:pStyle w:val="TableCell"/>
              <w:rPr>
                <w:sz w:val="22"/>
                <w:szCs w:val="22"/>
                <w:lang w:eastAsia="en-IE"/>
              </w:rPr>
            </w:pPr>
            <w:r w:rsidRPr="00184473">
              <w:rPr>
                <w:sz w:val="22"/>
                <w:szCs w:val="22"/>
                <w:lang w:eastAsia="en-IE"/>
              </w:rPr>
              <w:t>32.1</w:t>
            </w:r>
          </w:p>
        </w:tc>
        <w:tc>
          <w:tcPr>
            <w:tcW w:w="992" w:type="dxa"/>
            <w:shd w:val="clear" w:color="auto" w:fill="auto"/>
          </w:tcPr>
          <w:p w:rsidR="0008565A" w:rsidRPr="00184473" w:rsidRDefault="0008565A" w:rsidP="0008565A">
            <w:pPr>
              <w:pStyle w:val="TableCell"/>
              <w:rPr>
                <w:sz w:val="22"/>
                <w:szCs w:val="22"/>
                <w:lang w:eastAsia="en-IE"/>
              </w:rPr>
            </w:pPr>
            <w:r w:rsidRPr="00184473">
              <w:rPr>
                <w:sz w:val="22"/>
                <w:szCs w:val="22"/>
                <w:lang w:eastAsia="en-IE"/>
              </w:rPr>
              <w:t>20.9</w:t>
            </w:r>
          </w:p>
        </w:tc>
        <w:tc>
          <w:tcPr>
            <w:tcW w:w="850" w:type="dxa"/>
            <w:shd w:val="clear" w:color="auto" w:fill="auto"/>
          </w:tcPr>
          <w:p w:rsidR="0008565A" w:rsidRPr="007316D7" w:rsidRDefault="0008565A" w:rsidP="0008565A">
            <w:pPr>
              <w:pStyle w:val="TableCell"/>
              <w:rPr>
                <w:b/>
                <w:sz w:val="22"/>
                <w:szCs w:val="22"/>
                <w:lang w:eastAsia="en-IE"/>
              </w:rPr>
            </w:pPr>
            <w:r w:rsidRPr="007316D7">
              <w:rPr>
                <w:b/>
                <w:sz w:val="22"/>
                <w:szCs w:val="22"/>
                <w:lang w:eastAsia="en-IE"/>
              </w:rPr>
              <w:t>27.0</w:t>
            </w:r>
          </w:p>
        </w:tc>
        <w:tc>
          <w:tcPr>
            <w:tcW w:w="993" w:type="dxa"/>
            <w:shd w:val="clear" w:color="auto" w:fill="auto"/>
          </w:tcPr>
          <w:p w:rsidR="0008565A" w:rsidRPr="007316D7" w:rsidRDefault="0008565A" w:rsidP="0008565A">
            <w:pPr>
              <w:pStyle w:val="TableCell"/>
              <w:rPr>
                <w:b/>
                <w:sz w:val="22"/>
                <w:szCs w:val="22"/>
                <w:lang w:eastAsia="en-IE"/>
              </w:rPr>
            </w:pPr>
            <w:r w:rsidRPr="007316D7">
              <w:rPr>
                <w:b/>
                <w:sz w:val="22"/>
                <w:szCs w:val="22"/>
                <w:lang w:eastAsia="en-IE"/>
              </w:rPr>
              <w:t>19,400</w:t>
            </w:r>
          </w:p>
        </w:tc>
        <w:tc>
          <w:tcPr>
            <w:tcW w:w="951" w:type="dxa"/>
            <w:shd w:val="clear" w:color="auto" w:fill="auto"/>
            <w:vAlign w:val="bottom"/>
          </w:tcPr>
          <w:p w:rsidR="0008565A" w:rsidRDefault="0008565A" w:rsidP="0008565A">
            <w:pPr>
              <w:rPr>
                <w:rFonts w:ascii="Calibri" w:hAnsi="Calibri" w:cs="Calibri"/>
                <w:color w:val="000000"/>
                <w:sz w:val="22"/>
                <w:szCs w:val="22"/>
              </w:rPr>
            </w:pPr>
          </w:p>
        </w:tc>
      </w:tr>
      <w:tr w:rsidR="0008565A" w:rsidRPr="00E52CE8" w:rsidTr="0008565A">
        <w:tblPrEx>
          <w:tblCellMar>
            <w:top w:w="0" w:type="dxa"/>
            <w:bottom w:w="0" w:type="dxa"/>
          </w:tblCellMar>
        </w:tblPrEx>
        <w:trPr>
          <w:cantSplit/>
        </w:trPr>
        <w:tc>
          <w:tcPr>
            <w:tcW w:w="1809" w:type="dxa"/>
            <w:shd w:val="clear" w:color="auto" w:fill="auto"/>
          </w:tcPr>
          <w:p w:rsidR="0008565A" w:rsidRPr="007316D7" w:rsidRDefault="0008565A" w:rsidP="0008565A">
            <w:pPr>
              <w:spacing w:after="0"/>
              <w:rPr>
                <w:sz w:val="22"/>
                <w:szCs w:val="22"/>
              </w:rPr>
            </w:pPr>
            <w:r w:rsidRPr="007316D7">
              <w:rPr>
                <w:sz w:val="22"/>
                <w:szCs w:val="22"/>
              </w:rPr>
              <w:t>Needs and doesn’t have</w:t>
            </w:r>
            <w:r>
              <w:rPr>
                <w:sz w:val="22"/>
                <w:szCs w:val="22"/>
              </w:rPr>
              <w:t xml:space="preserve"> </w:t>
            </w:r>
            <w:r w:rsidRPr="007316D7">
              <w:rPr>
                <w:sz w:val="22"/>
                <w:szCs w:val="22"/>
              </w:rPr>
              <w:t>Psychology</w:t>
            </w:r>
          </w:p>
        </w:tc>
        <w:tc>
          <w:tcPr>
            <w:tcW w:w="1128" w:type="dxa"/>
            <w:shd w:val="clear" w:color="auto" w:fill="auto"/>
          </w:tcPr>
          <w:p w:rsidR="0008565A" w:rsidRPr="00184473" w:rsidRDefault="0008565A" w:rsidP="0008565A">
            <w:pPr>
              <w:pStyle w:val="TableCell"/>
              <w:rPr>
                <w:sz w:val="22"/>
                <w:szCs w:val="22"/>
                <w:lang w:eastAsia="en-IE"/>
              </w:rPr>
            </w:pPr>
            <w:r w:rsidRPr="00184473">
              <w:rPr>
                <w:sz w:val="22"/>
                <w:szCs w:val="22"/>
                <w:lang w:eastAsia="en-IE"/>
              </w:rPr>
              <w:t>4.9</w:t>
            </w:r>
          </w:p>
        </w:tc>
        <w:tc>
          <w:tcPr>
            <w:tcW w:w="1140" w:type="dxa"/>
            <w:shd w:val="clear" w:color="auto" w:fill="auto"/>
          </w:tcPr>
          <w:p w:rsidR="0008565A" w:rsidRPr="00184473" w:rsidRDefault="0008565A" w:rsidP="0008565A">
            <w:pPr>
              <w:pStyle w:val="TableCell"/>
              <w:rPr>
                <w:sz w:val="22"/>
                <w:szCs w:val="22"/>
                <w:lang w:eastAsia="en-IE"/>
              </w:rPr>
            </w:pPr>
            <w:r w:rsidRPr="00184473">
              <w:rPr>
                <w:sz w:val="22"/>
                <w:szCs w:val="22"/>
                <w:lang w:eastAsia="en-IE"/>
              </w:rPr>
              <w:t>8.9</w:t>
            </w:r>
          </w:p>
        </w:tc>
        <w:tc>
          <w:tcPr>
            <w:tcW w:w="993" w:type="dxa"/>
            <w:shd w:val="clear" w:color="auto" w:fill="auto"/>
          </w:tcPr>
          <w:p w:rsidR="0008565A" w:rsidRPr="00184473" w:rsidRDefault="0008565A" w:rsidP="0008565A">
            <w:pPr>
              <w:pStyle w:val="TableCell"/>
              <w:rPr>
                <w:sz w:val="22"/>
                <w:szCs w:val="22"/>
                <w:lang w:eastAsia="en-IE"/>
              </w:rPr>
            </w:pPr>
            <w:r w:rsidRPr="00184473">
              <w:rPr>
                <w:sz w:val="22"/>
                <w:szCs w:val="22"/>
                <w:lang w:eastAsia="en-IE"/>
              </w:rPr>
              <w:t>14.7</w:t>
            </w:r>
          </w:p>
        </w:tc>
        <w:tc>
          <w:tcPr>
            <w:tcW w:w="992" w:type="dxa"/>
            <w:shd w:val="clear" w:color="auto" w:fill="auto"/>
          </w:tcPr>
          <w:p w:rsidR="0008565A" w:rsidRPr="00184473" w:rsidRDefault="0008565A" w:rsidP="0008565A">
            <w:pPr>
              <w:pStyle w:val="TableCell"/>
              <w:rPr>
                <w:sz w:val="22"/>
                <w:szCs w:val="22"/>
                <w:lang w:eastAsia="en-IE"/>
              </w:rPr>
            </w:pPr>
            <w:r w:rsidRPr="00184473">
              <w:rPr>
                <w:sz w:val="22"/>
                <w:szCs w:val="22"/>
                <w:lang w:eastAsia="en-IE"/>
              </w:rPr>
              <w:t>18.6</w:t>
            </w:r>
          </w:p>
        </w:tc>
        <w:tc>
          <w:tcPr>
            <w:tcW w:w="850" w:type="dxa"/>
            <w:shd w:val="clear" w:color="auto" w:fill="auto"/>
          </w:tcPr>
          <w:p w:rsidR="0008565A" w:rsidRPr="007316D7" w:rsidRDefault="0008565A" w:rsidP="0008565A">
            <w:pPr>
              <w:pStyle w:val="TableCell"/>
              <w:rPr>
                <w:b/>
                <w:sz w:val="22"/>
                <w:szCs w:val="22"/>
                <w:lang w:eastAsia="en-IE"/>
              </w:rPr>
            </w:pPr>
            <w:r w:rsidRPr="007316D7">
              <w:rPr>
                <w:b/>
                <w:sz w:val="22"/>
                <w:szCs w:val="22"/>
                <w:lang w:eastAsia="en-IE"/>
              </w:rPr>
              <w:t>11.4</w:t>
            </w:r>
          </w:p>
        </w:tc>
        <w:tc>
          <w:tcPr>
            <w:tcW w:w="993" w:type="dxa"/>
            <w:shd w:val="clear" w:color="auto" w:fill="auto"/>
          </w:tcPr>
          <w:p w:rsidR="0008565A" w:rsidRPr="007316D7" w:rsidRDefault="0008565A" w:rsidP="0008565A">
            <w:pPr>
              <w:pStyle w:val="TableCell"/>
              <w:rPr>
                <w:b/>
                <w:sz w:val="22"/>
                <w:szCs w:val="22"/>
                <w:lang w:eastAsia="en-IE"/>
              </w:rPr>
            </w:pPr>
            <w:r w:rsidRPr="007316D7">
              <w:rPr>
                <w:b/>
                <w:sz w:val="22"/>
                <w:szCs w:val="22"/>
                <w:lang w:eastAsia="en-IE"/>
              </w:rPr>
              <w:t>8,200</w:t>
            </w:r>
          </w:p>
        </w:tc>
        <w:tc>
          <w:tcPr>
            <w:tcW w:w="951" w:type="dxa"/>
            <w:shd w:val="clear" w:color="auto" w:fill="auto"/>
            <w:vAlign w:val="bottom"/>
          </w:tcPr>
          <w:p w:rsidR="0008565A" w:rsidRDefault="0008565A" w:rsidP="0008565A">
            <w:pPr>
              <w:jc w:val="right"/>
              <w:rPr>
                <w:rFonts w:ascii="Calibri" w:hAnsi="Calibri" w:cs="Calibri"/>
                <w:color w:val="000000"/>
                <w:sz w:val="22"/>
                <w:szCs w:val="22"/>
              </w:rPr>
            </w:pPr>
            <w:r>
              <w:rPr>
                <w:rFonts w:ascii="Calibri" w:hAnsi="Calibri" w:cs="Calibri"/>
                <w:color w:val="000000"/>
                <w:sz w:val="22"/>
                <w:szCs w:val="22"/>
              </w:rPr>
              <w:t>29.7</w:t>
            </w:r>
          </w:p>
        </w:tc>
      </w:tr>
    </w:tbl>
    <w:p w:rsidR="007316D7" w:rsidRDefault="007316D7" w:rsidP="0008565A">
      <w:pPr>
        <w:pStyle w:val="TableNote"/>
      </w:pPr>
      <w:r>
        <w:t>Source: NDS 2006</w:t>
      </w:r>
      <w:bookmarkStart w:id="103" w:name="_Toc403572509"/>
    </w:p>
    <w:p w:rsidR="00B008E9" w:rsidRDefault="00B008E9" w:rsidP="00AA7990">
      <w:pPr>
        <w:pStyle w:val="TableTitle"/>
      </w:pPr>
      <w:bookmarkStart w:id="104" w:name="_Toc419879412"/>
      <w:r>
        <w:t>Table 9: People (all ages) with a mental health condition</w:t>
      </w:r>
      <w:bookmarkEnd w:id="103"/>
      <w:bookmarkEnd w:id="104"/>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3F" w:firstRow="1" w:lastRow="0" w:firstColumn="0" w:lastColumn="0" w:noHBand="0" w:noVBand="0"/>
      </w:tblPr>
      <w:tblGrid>
        <w:gridCol w:w="1809"/>
        <w:gridCol w:w="851"/>
        <w:gridCol w:w="1134"/>
        <w:gridCol w:w="1134"/>
        <w:gridCol w:w="992"/>
        <w:gridCol w:w="841"/>
        <w:gridCol w:w="1047"/>
        <w:gridCol w:w="1048"/>
      </w:tblGrid>
      <w:tr w:rsidR="0008565A" w:rsidRPr="00276581" w:rsidTr="008A2EB8">
        <w:tblPrEx>
          <w:tblCellMar>
            <w:top w:w="0" w:type="dxa"/>
            <w:bottom w:w="0" w:type="dxa"/>
          </w:tblCellMar>
        </w:tblPrEx>
        <w:trPr>
          <w:cantSplit/>
          <w:tblHeader/>
        </w:trPr>
        <w:tc>
          <w:tcPr>
            <w:tcW w:w="1809" w:type="dxa"/>
            <w:tcBorders>
              <w:bottom w:val="single" w:sz="12" w:space="0" w:color="000000"/>
            </w:tcBorders>
            <w:shd w:val="clear" w:color="auto" w:fill="auto"/>
          </w:tcPr>
          <w:p w:rsidR="0008565A" w:rsidRPr="00276581" w:rsidRDefault="0008565A" w:rsidP="008A2EB8">
            <w:pPr>
              <w:pStyle w:val="TableHead"/>
              <w:keepNext/>
              <w:jc w:val="right"/>
            </w:pPr>
          </w:p>
        </w:tc>
        <w:tc>
          <w:tcPr>
            <w:tcW w:w="851" w:type="dxa"/>
            <w:tcBorders>
              <w:bottom w:val="single" w:sz="12" w:space="0" w:color="000000"/>
            </w:tcBorders>
            <w:shd w:val="clear" w:color="auto" w:fill="auto"/>
          </w:tcPr>
          <w:p w:rsidR="0008565A" w:rsidRPr="00276581" w:rsidRDefault="0008565A" w:rsidP="008A2EB8">
            <w:pPr>
              <w:pStyle w:val="TableHead"/>
              <w:keepNext/>
              <w:rPr>
                <w:sz w:val="22"/>
                <w:szCs w:val="22"/>
              </w:rPr>
            </w:pPr>
            <w:r w:rsidRPr="00276581">
              <w:rPr>
                <w:sz w:val="22"/>
                <w:szCs w:val="22"/>
              </w:rPr>
              <w:t>Mild difficulty %</w:t>
            </w:r>
          </w:p>
        </w:tc>
        <w:tc>
          <w:tcPr>
            <w:tcW w:w="1134" w:type="dxa"/>
            <w:tcBorders>
              <w:bottom w:val="single" w:sz="12" w:space="0" w:color="000000"/>
            </w:tcBorders>
            <w:shd w:val="clear" w:color="auto" w:fill="auto"/>
          </w:tcPr>
          <w:p w:rsidR="0008565A" w:rsidRPr="00276581" w:rsidRDefault="0008565A" w:rsidP="008A2EB8">
            <w:pPr>
              <w:pStyle w:val="TableHead"/>
              <w:keepNext/>
              <w:rPr>
                <w:sz w:val="22"/>
                <w:szCs w:val="22"/>
              </w:rPr>
            </w:pPr>
            <w:r w:rsidRPr="00276581">
              <w:rPr>
                <w:sz w:val="22"/>
                <w:szCs w:val="22"/>
              </w:rPr>
              <w:t>Moderate  difficulty</w:t>
            </w:r>
          </w:p>
          <w:p w:rsidR="0008565A" w:rsidRPr="00276581" w:rsidRDefault="0008565A" w:rsidP="008A2EB8">
            <w:pPr>
              <w:pStyle w:val="TableHead"/>
              <w:keepNext/>
              <w:rPr>
                <w:sz w:val="22"/>
                <w:szCs w:val="22"/>
              </w:rPr>
            </w:pPr>
            <w:r w:rsidRPr="00276581">
              <w:rPr>
                <w:sz w:val="22"/>
                <w:szCs w:val="22"/>
              </w:rPr>
              <w:t>%</w:t>
            </w:r>
          </w:p>
        </w:tc>
        <w:tc>
          <w:tcPr>
            <w:tcW w:w="1134" w:type="dxa"/>
            <w:tcBorders>
              <w:bottom w:val="single" w:sz="12" w:space="0" w:color="000000"/>
            </w:tcBorders>
            <w:shd w:val="clear" w:color="auto" w:fill="auto"/>
          </w:tcPr>
          <w:p w:rsidR="0008565A" w:rsidRPr="00276581" w:rsidRDefault="0008565A" w:rsidP="008A2EB8">
            <w:pPr>
              <w:pStyle w:val="TableHead"/>
              <w:keepNext/>
              <w:rPr>
                <w:sz w:val="22"/>
                <w:szCs w:val="22"/>
              </w:rPr>
            </w:pPr>
            <w:r w:rsidRPr="00276581">
              <w:rPr>
                <w:sz w:val="22"/>
                <w:szCs w:val="22"/>
              </w:rPr>
              <w:t>Severe difficulty</w:t>
            </w:r>
          </w:p>
          <w:p w:rsidR="0008565A" w:rsidRPr="00276581" w:rsidRDefault="0008565A" w:rsidP="008A2EB8">
            <w:pPr>
              <w:pStyle w:val="TableHead"/>
              <w:keepNext/>
              <w:rPr>
                <w:sz w:val="22"/>
                <w:szCs w:val="22"/>
              </w:rPr>
            </w:pPr>
            <w:r w:rsidRPr="00276581">
              <w:rPr>
                <w:sz w:val="22"/>
                <w:szCs w:val="22"/>
              </w:rPr>
              <w:t>%</w:t>
            </w:r>
          </w:p>
        </w:tc>
        <w:tc>
          <w:tcPr>
            <w:tcW w:w="992" w:type="dxa"/>
            <w:tcBorders>
              <w:bottom w:val="single" w:sz="12" w:space="0" w:color="000000"/>
            </w:tcBorders>
            <w:shd w:val="clear" w:color="auto" w:fill="auto"/>
          </w:tcPr>
          <w:p w:rsidR="0008565A" w:rsidRPr="00276581" w:rsidRDefault="0008565A" w:rsidP="008A2EB8">
            <w:pPr>
              <w:pStyle w:val="TableHead"/>
              <w:keepNext/>
              <w:rPr>
                <w:sz w:val="22"/>
                <w:szCs w:val="22"/>
              </w:rPr>
            </w:pPr>
            <w:r w:rsidRPr="00276581">
              <w:rPr>
                <w:sz w:val="22"/>
                <w:szCs w:val="22"/>
              </w:rPr>
              <w:t>Total difficulty</w:t>
            </w:r>
          </w:p>
          <w:p w:rsidR="0008565A" w:rsidRPr="00276581" w:rsidRDefault="0008565A" w:rsidP="008A2EB8">
            <w:pPr>
              <w:pStyle w:val="TableHead"/>
              <w:keepNext/>
              <w:rPr>
                <w:sz w:val="22"/>
                <w:szCs w:val="22"/>
              </w:rPr>
            </w:pPr>
            <w:r w:rsidRPr="00276581">
              <w:rPr>
                <w:sz w:val="22"/>
                <w:szCs w:val="22"/>
              </w:rPr>
              <w:t>%</w:t>
            </w:r>
          </w:p>
        </w:tc>
        <w:tc>
          <w:tcPr>
            <w:tcW w:w="841" w:type="dxa"/>
            <w:tcBorders>
              <w:bottom w:val="single" w:sz="12" w:space="0" w:color="000000"/>
            </w:tcBorders>
            <w:shd w:val="clear" w:color="auto" w:fill="auto"/>
          </w:tcPr>
          <w:p w:rsidR="0008565A" w:rsidRPr="00276581" w:rsidRDefault="0008565A" w:rsidP="008A2EB8">
            <w:pPr>
              <w:pStyle w:val="TableHead"/>
              <w:keepNext/>
              <w:rPr>
                <w:sz w:val="22"/>
                <w:szCs w:val="22"/>
              </w:rPr>
            </w:pPr>
            <w:r w:rsidRPr="00276581">
              <w:rPr>
                <w:sz w:val="22"/>
                <w:szCs w:val="22"/>
              </w:rPr>
              <w:t>All</w:t>
            </w:r>
          </w:p>
          <w:p w:rsidR="0008565A" w:rsidRPr="00276581" w:rsidRDefault="0008565A" w:rsidP="008A2EB8">
            <w:pPr>
              <w:pStyle w:val="TableHead"/>
              <w:keepNext/>
              <w:rPr>
                <w:sz w:val="22"/>
                <w:szCs w:val="22"/>
              </w:rPr>
            </w:pPr>
            <w:r w:rsidRPr="00276581">
              <w:rPr>
                <w:sz w:val="22"/>
                <w:szCs w:val="22"/>
              </w:rPr>
              <w:t>%</w:t>
            </w:r>
          </w:p>
        </w:tc>
        <w:tc>
          <w:tcPr>
            <w:tcW w:w="1047" w:type="dxa"/>
            <w:tcBorders>
              <w:bottom w:val="single" w:sz="12" w:space="0" w:color="000000"/>
            </w:tcBorders>
            <w:shd w:val="clear" w:color="auto" w:fill="auto"/>
          </w:tcPr>
          <w:p w:rsidR="0008565A" w:rsidRPr="00276581" w:rsidRDefault="0008565A" w:rsidP="008A2EB8">
            <w:pPr>
              <w:pStyle w:val="TableHead"/>
              <w:keepNext/>
              <w:rPr>
                <w:sz w:val="22"/>
                <w:szCs w:val="22"/>
              </w:rPr>
            </w:pPr>
            <w:r w:rsidRPr="00276581">
              <w:rPr>
                <w:sz w:val="22"/>
                <w:szCs w:val="22"/>
              </w:rPr>
              <w:t>Nos.</w:t>
            </w:r>
          </w:p>
        </w:tc>
        <w:tc>
          <w:tcPr>
            <w:tcW w:w="1048" w:type="dxa"/>
            <w:tcBorders>
              <w:bottom w:val="single" w:sz="12" w:space="0" w:color="000000"/>
            </w:tcBorders>
            <w:shd w:val="clear" w:color="auto" w:fill="auto"/>
          </w:tcPr>
          <w:p w:rsidR="0008565A" w:rsidRPr="00276581" w:rsidRDefault="0008565A" w:rsidP="008A2EB8">
            <w:pPr>
              <w:pStyle w:val="TableHead"/>
              <w:keepNext/>
              <w:rPr>
                <w:sz w:val="22"/>
                <w:szCs w:val="22"/>
              </w:rPr>
            </w:pPr>
            <w:r w:rsidRPr="00276581">
              <w:rPr>
                <w:sz w:val="22"/>
                <w:szCs w:val="22"/>
              </w:rPr>
              <w:t>Unmet need  %</w:t>
            </w:r>
          </w:p>
        </w:tc>
      </w:tr>
      <w:tr w:rsidR="0008565A" w:rsidRPr="00276581" w:rsidTr="008A2EB8">
        <w:tblPrEx>
          <w:tblCellMar>
            <w:top w:w="0" w:type="dxa"/>
            <w:bottom w:w="0" w:type="dxa"/>
          </w:tblCellMar>
        </w:tblPrEx>
        <w:trPr>
          <w:cantSplit/>
        </w:trPr>
        <w:tc>
          <w:tcPr>
            <w:tcW w:w="1809" w:type="dxa"/>
            <w:tcBorders>
              <w:top w:val="single" w:sz="12" w:space="0" w:color="000000"/>
            </w:tcBorders>
            <w:shd w:val="clear" w:color="auto" w:fill="auto"/>
          </w:tcPr>
          <w:p w:rsidR="0008565A" w:rsidRPr="00184473" w:rsidRDefault="0008565A" w:rsidP="008A2EB8">
            <w:pPr>
              <w:pStyle w:val="TableCell"/>
              <w:keepNext/>
            </w:pPr>
            <w:r w:rsidRPr="00184473">
              <w:t>Has access to</w:t>
            </w:r>
            <w:r>
              <w:t xml:space="preserve"> </w:t>
            </w:r>
            <w:r w:rsidRPr="00184473">
              <w:t>Physio etc</w:t>
            </w:r>
            <w:r w:rsidRPr="00184473">
              <w:rPr>
                <w:rStyle w:val="FootnoteReference"/>
                <w:sz w:val="22"/>
                <w:szCs w:val="22"/>
              </w:rPr>
              <w:footnoteReference w:id="44"/>
            </w:r>
          </w:p>
        </w:tc>
        <w:tc>
          <w:tcPr>
            <w:tcW w:w="851" w:type="dxa"/>
            <w:tcBorders>
              <w:top w:val="single" w:sz="12" w:space="0" w:color="000000"/>
            </w:tcBorders>
            <w:shd w:val="clear" w:color="auto" w:fill="auto"/>
          </w:tcPr>
          <w:p w:rsidR="0008565A" w:rsidRPr="00184473" w:rsidRDefault="0008565A" w:rsidP="008A2EB8">
            <w:pPr>
              <w:pStyle w:val="TableCell"/>
              <w:keepNext/>
              <w:rPr>
                <w:lang w:eastAsia="en-IE"/>
              </w:rPr>
            </w:pPr>
            <w:r w:rsidRPr="00184473">
              <w:rPr>
                <w:lang w:eastAsia="en-IE"/>
              </w:rPr>
              <w:t>12.2</w:t>
            </w:r>
          </w:p>
        </w:tc>
        <w:tc>
          <w:tcPr>
            <w:tcW w:w="1134" w:type="dxa"/>
            <w:tcBorders>
              <w:top w:val="single" w:sz="12" w:space="0" w:color="000000"/>
            </w:tcBorders>
            <w:shd w:val="clear" w:color="auto" w:fill="auto"/>
          </w:tcPr>
          <w:p w:rsidR="0008565A" w:rsidRPr="00184473" w:rsidRDefault="0008565A" w:rsidP="008A2EB8">
            <w:pPr>
              <w:pStyle w:val="TableCell"/>
              <w:keepNext/>
              <w:rPr>
                <w:lang w:eastAsia="en-IE"/>
              </w:rPr>
            </w:pPr>
            <w:r w:rsidRPr="00184473">
              <w:rPr>
                <w:lang w:eastAsia="en-IE"/>
              </w:rPr>
              <w:t>14.1</w:t>
            </w:r>
          </w:p>
        </w:tc>
        <w:tc>
          <w:tcPr>
            <w:tcW w:w="1134" w:type="dxa"/>
            <w:tcBorders>
              <w:top w:val="single" w:sz="12" w:space="0" w:color="000000"/>
            </w:tcBorders>
            <w:shd w:val="clear" w:color="auto" w:fill="auto"/>
          </w:tcPr>
          <w:p w:rsidR="0008565A" w:rsidRPr="00184473" w:rsidRDefault="0008565A" w:rsidP="008A2EB8">
            <w:pPr>
              <w:pStyle w:val="TableCell"/>
              <w:keepNext/>
              <w:rPr>
                <w:lang w:eastAsia="en-IE"/>
              </w:rPr>
            </w:pPr>
            <w:r w:rsidRPr="00184473">
              <w:rPr>
                <w:lang w:eastAsia="en-IE"/>
              </w:rPr>
              <w:t>16.1</w:t>
            </w:r>
          </w:p>
        </w:tc>
        <w:tc>
          <w:tcPr>
            <w:tcW w:w="992" w:type="dxa"/>
            <w:tcBorders>
              <w:top w:val="single" w:sz="12" w:space="0" w:color="000000"/>
            </w:tcBorders>
            <w:shd w:val="clear" w:color="auto" w:fill="auto"/>
          </w:tcPr>
          <w:p w:rsidR="0008565A" w:rsidRPr="00184473" w:rsidRDefault="0008565A" w:rsidP="008A2EB8">
            <w:pPr>
              <w:pStyle w:val="TableCell"/>
              <w:keepNext/>
              <w:rPr>
                <w:lang w:eastAsia="en-IE"/>
              </w:rPr>
            </w:pPr>
            <w:r w:rsidRPr="00184473">
              <w:rPr>
                <w:lang w:eastAsia="en-IE"/>
              </w:rPr>
              <w:t>20.4</w:t>
            </w:r>
          </w:p>
        </w:tc>
        <w:tc>
          <w:tcPr>
            <w:tcW w:w="841" w:type="dxa"/>
            <w:tcBorders>
              <w:top w:val="single" w:sz="12" w:space="0" w:color="000000"/>
            </w:tcBorders>
            <w:shd w:val="clear" w:color="auto" w:fill="auto"/>
          </w:tcPr>
          <w:p w:rsidR="0008565A" w:rsidRPr="00184473" w:rsidRDefault="0008565A" w:rsidP="008A2EB8">
            <w:pPr>
              <w:pStyle w:val="TableCell"/>
              <w:keepNext/>
              <w:rPr>
                <w:b/>
                <w:lang w:eastAsia="en-IE"/>
              </w:rPr>
            </w:pPr>
            <w:r w:rsidRPr="00184473">
              <w:rPr>
                <w:b/>
                <w:lang w:eastAsia="en-IE"/>
              </w:rPr>
              <w:t>14.5</w:t>
            </w:r>
          </w:p>
        </w:tc>
        <w:tc>
          <w:tcPr>
            <w:tcW w:w="1047" w:type="dxa"/>
            <w:tcBorders>
              <w:top w:val="single" w:sz="12" w:space="0" w:color="000000"/>
            </w:tcBorders>
            <w:shd w:val="clear" w:color="auto" w:fill="auto"/>
          </w:tcPr>
          <w:p w:rsidR="0008565A" w:rsidRPr="00184473" w:rsidRDefault="0008565A" w:rsidP="008A2EB8">
            <w:pPr>
              <w:pStyle w:val="TableCell"/>
              <w:keepNext/>
              <w:rPr>
                <w:b/>
                <w:lang w:eastAsia="en-IE"/>
              </w:rPr>
            </w:pPr>
            <w:r w:rsidRPr="00184473">
              <w:rPr>
                <w:b/>
                <w:lang w:eastAsia="en-IE"/>
              </w:rPr>
              <w:t>16,100</w:t>
            </w:r>
          </w:p>
        </w:tc>
        <w:tc>
          <w:tcPr>
            <w:tcW w:w="1048" w:type="dxa"/>
            <w:tcBorders>
              <w:top w:val="single" w:sz="12" w:space="0" w:color="000000"/>
            </w:tcBorders>
            <w:shd w:val="clear" w:color="auto" w:fill="auto"/>
          </w:tcPr>
          <w:p w:rsidR="0008565A" w:rsidRPr="00184473" w:rsidRDefault="0008565A" w:rsidP="008A2EB8">
            <w:pPr>
              <w:pStyle w:val="TableCell"/>
              <w:keepNext/>
              <w:rPr>
                <w:b/>
                <w:lang w:eastAsia="en-IE"/>
              </w:rPr>
            </w:pPr>
          </w:p>
        </w:tc>
      </w:tr>
      <w:tr w:rsidR="0008565A" w:rsidRPr="00276581" w:rsidTr="008A2EB8">
        <w:tblPrEx>
          <w:tblCellMar>
            <w:top w:w="0" w:type="dxa"/>
            <w:bottom w:w="0" w:type="dxa"/>
          </w:tblCellMar>
        </w:tblPrEx>
        <w:trPr>
          <w:cantSplit/>
        </w:trPr>
        <w:tc>
          <w:tcPr>
            <w:tcW w:w="1809" w:type="dxa"/>
            <w:shd w:val="clear" w:color="auto" w:fill="auto"/>
          </w:tcPr>
          <w:p w:rsidR="0008565A" w:rsidRPr="00184473" w:rsidRDefault="0008565A" w:rsidP="008A2EB8">
            <w:pPr>
              <w:pStyle w:val="TableCell"/>
              <w:keepNext/>
            </w:pPr>
            <w:r w:rsidRPr="00184473">
              <w:t>Needs and doesn’t have</w:t>
            </w:r>
          </w:p>
          <w:p w:rsidR="0008565A" w:rsidRPr="00184473" w:rsidRDefault="0008565A" w:rsidP="008A2EB8">
            <w:pPr>
              <w:pStyle w:val="TableCell"/>
              <w:keepNext/>
              <w:rPr>
                <w:rFonts w:ascii="Arial" w:hAnsi="Arial" w:cs="Arial"/>
                <w:lang w:eastAsia="en-IE"/>
              </w:rPr>
            </w:pPr>
            <w:r w:rsidRPr="00184473">
              <w:t>Physio etc</w:t>
            </w:r>
          </w:p>
        </w:tc>
        <w:tc>
          <w:tcPr>
            <w:tcW w:w="851" w:type="dxa"/>
            <w:shd w:val="clear" w:color="auto" w:fill="auto"/>
          </w:tcPr>
          <w:p w:rsidR="0008565A" w:rsidRPr="00184473" w:rsidRDefault="0008565A" w:rsidP="008A2EB8">
            <w:pPr>
              <w:pStyle w:val="TableCell"/>
              <w:keepNext/>
              <w:rPr>
                <w:lang w:eastAsia="en-IE"/>
              </w:rPr>
            </w:pPr>
            <w:r w:rsidRPr="00184473">
              <w:rPr>
                <w:lang w:eastAsia="en-IE"/>
              </w:rPr>
              <w:t>8.9</w:t>
            </w:r>
          </w:p>
        </w:tc>
        <w:tc>
          <w:tcPr>
            <w:tcW w:w="1134" w:type="dxa"/>
            <w:shd w:val="clear" w:color="auto" w:fill="auto"/>
          </w:tcPr>
          <w:p w:rsidR="0008565A" w:rsidRPr="00184473" w:rsidRDefault="0008565A" w:rsidP="008A2EB8">
            <w:pPr>
              <w:pStyle w:val="TableCell"/>
              <w:keepNext/>
              <w:rPr>
                <w:lang w:eastAsia="en-IE"/>
              </w:rPr>
            </w:pPr>
            <w:r w:rsidRPr="00184473">
              <w:rPr>
                <w:lang w:eastAsia="en-IE"/>
              </w:rPr>
              <w:t>8.9</w:t>
            </w:r>
          </w:p>
        </w:tc>
        <w:tc>
          <w:tcPr>
            <w:tcW w:w="1134" w:type="dxa"/>
            <w:shd w:val="clear" w:color="auto" w:fill="auto"/>
          </w:tcPr>
          <w:p w:rsidR="0008565A" w:rsidRPr="00184473" w:rsidRDefault="0008565A" w:rsidP="008A2EB8">
            <w:pPr>
              <w:pStyle w:val="TableCell"/>
              <w:keepNext/>
              <w:rPr>
                <w:lang w:eastAsia="en-IE"/>
              </w:rPr>
            </w:pPr>
            <w:r w:rsidRPr="00184473">
              <w:rPr>
                <w:lang w:eastAsia="en-IE"/>
              </w:rPr>
              <w:t>11.8</w:t>
            </w:r>
          </w:p>
        </w:tc>
        <w:tc>
          <w:tcPr>
            <w:tcW w:w="992" w:type="dxa"/>
            <w:shd w:val="clear" w:color="auto" w:fill="auto"/>
          </w:tcPr>
          <w:p w:rsidR="0008565A" w:rsidRPr="00184473" w:rsidRDefault="0008565A" w:rsidP="008A2EB8">
            <w:pPr>
              <w:pStyle w:val="TableCell"/>
              <w:keepNext/>
              <w:rPr>
                <w:lang w:eastAsia="en-IE"/>
              </w:rPr>
            </w:pPr>
            <w:r w:rsidRPr="00184473">
              <w:rPr>
                <w:lang w:eastAsia="en-IE"/>
              </w:rPr>
              <w:t>5.6</w:t>
            </w:r>
          </w:p>
        </w:tc>
        <w:tc>
          <w:tcPr>
            <w:tcW w:w="841" w:type="dxa"/>
            <w:shd w:val="clear" w:color="auto" w:fill="auto"/>
          </w:tcPr>
          <w:p w:rsidR="0008565A" w:rsidRPr="00184473" w:rsidRDefault="0008565A" w:rsidP="008A2EB8">
            <w:pPr>
              <w:pStyle w:val="TableCell"/>
              <w:keepNext/>
              <w:rPr>
                <w:b/>
                <w:lang w:eastAsia="en-IE"/>
              </w:rPr>
            </w:pPr>
            <w:r w:rsidRPr="00184473">
              <w:rPr>
                <w:b/>
                <w:lang w:eastAsia="en-IE"/>
              </w:rPr>
              <w:t>9.7</w:t>
            </w:r>
          </w:p>
        </w:tc>
        <w:tc>
          <w:tcPr>
            <w:tcW w:w="1047" w:type="dxa"/>
            <w:shd w:val="clear" w:color="auto" w:fill="auto"/>
          </w:tcPr>
          <w:p w:rsidR="0008565A" w:rsidRPr="00184473" w:rsidRDefault="0008565A" w:rsidP="008A2EB8">
            <w:pPr>
              <w:pStyle w:val="TableCell"/>
              <w:keepNext/>
              <w:rPr>
                <w:b/>
                <w:lang w:eastAsia="en-IE"/>
              </w:rPr>
            </w:pPr>
            <w:r w:rsidRPr="00184473">
              <w:rPr>
                <w:b/>
                <w:lang w:eastAsia="en-IE"/>
              </w:rPr>
              <w:t>10,700</w:t>
            </w:r>
          </w:p>
        </w:tc>
        <w:tc>
          <w:tcPr>
            <w:tcW w:w="1048" w:type="dxa"/>
            <w:shd w:val="clear" w:color="auto" w:fill="auto"/>
          </w:tcPr>
          <w:p w:rsidR="0008565A" w:rsidRDefault="0008565A" w:rsidP="008A2EB8">
            <w:pPr>
              <w:pStyle w:val="TableCell"/>
              <w:keepNext/>
              <w:rPr>
                <w:rFonts w:ascii="Calibri" w:hAnsi="Calibri" w:cs="Calibri"/>
                <w:color w:val="000000"/>
              </w:rPr>
            </w:pPr>
            <w:r>
              <w:rPr>
                <w:rFonts w:ascii="Calibri" w:hAnsi="Calibri" w:cs="Calibri"/>
                <w:color w:val="000000"/>
              </w:rPr>
              <w:t>39.9</w:t>
            </w:r>
          </w:p>
        </w:tc>
      </w:tr>
      <w:tr w:rsidR="0008565A" w:rsidRPr="00276581" w:rsidTr="008A2EB8">
        <w:tblPrEx>
          <w:tblCellMar>
            <w:top w:w="0" w:type="dxa"/>
            <w:bottom w:w="0" w:type="dxa"/>
          </w:tblCellMar>
        </w:tblPrEx>
        <w:trPr>
          <w:cantSplit/>
        </w:trPr>
        <w:tc>
          <w:tcPr>
            <w:tcW w:w="1809" w:type="dxa"/>
            <w:shd w:val="clear" w:color="auto" w:fill="auto"/>
          </w:tcPr>
          <w:p w:rsidR="0008565A" w:rsidRPr="00184473" w:rsidRDefault="0008565A" w:rsidP="008A2EB8">
            <w:pPr>
              <w:pStyle w:val="TableCell"/>
              <w:keepNext/>
              <w:jc w:val="left"/>
            </w:pPr>
            <w:r w:rsidRPr="00184473">
              <w:t>Has access to</w:t>
            </w:r>
          </w:p>
          <w:p w:rsidR="0008565A" w:rsidRPr="00184473" w:rsidRDefault="0008565A" w:rsidP="008A2EB8">
            <w:pPr>
              <w:pStyle w:val="TableCell"/>
              <w:keepNext/>
              <w:jc w:val="left"/>
            </w:pPr>
            <w:r w:rsidRPr="00184473">
              <w:t>OT</w:t>
            </w:r>
          </w:p>
        </w:tc>
        <w:tc>
          <w:tcPr>
            <w:tcW w:w="851" w:type="dxa"/>
            <w:shd w:val="clear" w:color="auto" w:fill="auto"/>
          </w:tcPr>
          <w:p w:rsidR="0008565A" w:rsidRPr="00184473" w:rsidRDefault="0008565A" w:rsidP="008A2EB8">
            <w:pPr>
              <w:pStyle w:val="TableCell"/>
              <w:keepNext/>
              <w:rPr>
                <w:lang w:eastAsia="en-IE"/>
              </w:rPr>
            </w:pPr>
            <w:r w:rsidRPr="00184473">
              <w:rPr>
                <w:lang w:eastAsia="en-IE"/>
              </w:rPr>
              <w:t>8.8</w:t>
            </w:r>
          </w:p>
        </w:tc>
        <w:tc>
          <w:tcPr>
            <w:tcW w:w="1134" w:type="dxa"/>
            <w:shd w:val="clear" w:color="auto" w:fill="auto"/>
          </w:tcPr>
          <w:p w:rsidR="0008565A" w:rsidRPr="00184473" w:rsidRDefault="0008565A" w:rsidP="008A2EB8">
            <w:pPr>
              <w:pStyle w:val="TableCell"/>
              <w:keepNext/>
              <w:rPr>
                <w:lang w:eastAsia="en-IE"/>
              </w:rPr>
            </w:pPr>
            <w:r w:rsidRPr="00184473">
              <w:rPr>
                <w:lang w:eastAsia="en-IE"/>
              </w:rPr>
              <w:t>13.2</w:t>
            </w:r>
          </w:p>
        </w:tc>
        <w:tc>
          <w:tcPr>
            <w:tcW w:w="1134" w:type="dxa"/>
            <w:shd w:val="clear" w:color="auto" w:fill="auto"/>
          </w:tcPr>
          <w:p w:rsidR="0008565A" w:rsidRPr="00184473" w:rsidRDefault="0008565A" w:rsidP="008A2EB8">
            <w:pPr>
              <w:pStyle w:val="TableCell"/>
              <w:keepNext/>
              <w:rPr>
                <w:lang w:eastAsia="en-IE"/>
              </w:rPr>
            </w:pPr>
            <w:r w:rsidRPr="00184473">
              <w:rPr>
                <w:lang w:eastAsia="en-IE"/>
              </w:rPr>
              <w:t>16.4</w:t>
            </w:r>
          </w:p>
        </w:tc>
        <w:tc>
          <w:tcPr>
            <w:tcW w:w="992" w:type="dxa"/>
            <w:shd w:val="clear" w:color="auto" w:fill="auto"/>
          </w:tcPr>
          <w:p w:rsidR="0008565A" w:rsidRPr="00184473" w:rsidRDefault="0008565A" w:rsidP="008A2EB8">
            <w:pPr>
              <w:pStyle w:val="TableCell"/>
              <w:keepNext/>
              <w:rPr>
                <w:lang w:eastAsia="en-IE"/>
              </w:rPr>
            </w:pPr>
            <w:r w:rsidRPr="00184473">
              <w:rPr>
                <w:lang w:eastAsia="en-IE"/>
              </w:rPr>
              <w:t>14.0</w:t>
            </w:r>
          </w:p>
        </w:tc>
        <w:tc>
          <w:tcPr>
            <w:tcW w:w="841" w:type="dxa"/>
            <w:shd w:val="clear" w:color="auto" w:fill="auto"/>
          </w:tcPr>
          <w:p w:rsidR="0008565A" w:rsidRPr="00184473" w:rsidRDefault="0008565A" w:rsidP="008A2EB8">
            <w:pPr>
              <w:pStyle w:val="TableCell"/>
              <w:keepNext/>
              <w:rPr>
                <w:b/>
                <w:lang w:eastAsia="en-IE"/>
              </w:rPr>
            </w:pPr>
            <w:r w:rsidRPr="00184473">
              <w:rPr>
                <w:b/>
                <w:lang w:eastAsia="en-IE"/>
              </w:rPr>
              <w:t>13.2</w:t>
            </w:r>
          </w:p>
        </w:tc>
        <w:tc>
          <w:tcPr>
            <w:tcW w:w="1047" w:type="dxa"/>
            <w:shd w:val="clear" w:color="auto" w:fill="auto"/>
          </w:tcPr>
          <w:p w:rsidR="0008565A" w:rsidRPr="00184473" w:rsidRDefault="0008565A" w:rsidP="008A2EB8">
            <w:pPr>
              <w:pStyle w:val="TableCell"/>
              <w:keepNext/>
              <w:rPr>
                <w:b/>
                <w:lang w:eastAsia="en-IE"/>
              </w:rPr>
            </w:pPr>
            <w:r w:rsidRPr="00184473">
              <w:rPr>
                <w:b/>
                <w:lang w:eastAsia="en-IE"/>
              </w:rPr>
              <w:t>14,700</w:t>
            </w:r>
          </w:p>
        </w:tc>
        <w:tc>
          <w:tcPr>
            <w:tcW w:w="1048" w:type="dxa"/>
            <w:shd w:val="clear" w:color="auto" w:fill="auto"/>
          </w:tcPr>
          <w:p w:rsidR="0008565A" w:rsidRDefault="0008565A" w:rsidP="008A2EB8">
            <w:pPr>
              <w:pStyle w:val="TableCell"/>
              <w:keepNext/>
              <w:rPr>
                <w:rFonts w:ascii="Calibri" w:hAnsi="Calibri" w:cs="Calibri"/>
                <w:color w:val="000000"/>
              </w:rPr>
            </w:pPr>
          </w:p>
        </w:tc>
      </w:tr>
      <w:tr w:rsidR="0008565A" w:rsidRPr="00276581" w:rsidTr="008A2EB8">
        <w:tblPrEx>
          <w:tblCellMar>
            <w:top w:w="0" w:type="dxa"/>
            <w:bottom w:w="0" w:type="dxa"/>
          </w:tblCellMar>
        </w:tblPrEx>
        <w:trPr>
          <w:cantSplit/>
        </w:trPr>
        <w:tc>
          <w:tcPr>
            <w:tcW w:w="1809" w:type="dxa"/>
            <w:shd w:val="clear" w:color="auto" w:fill="auto"/>
          </w:tcPr>
          <w:p w:rsidR="0008565A" w:rsidRPr="00184473" w:rsidRDefault="0008565A" w:rsidP="008A2EB8">
            <w:pPr>
              <w:pStyle w:val="TableCell"/>
              <w:keepNext/>
              <w:jc w:val="left"/>
            </w:pPr>
            <w:r w:rsidRPr="00184473">
              <w:t>Needs and doesn’t have</w:t>
            </w:r>
          </w:p>
          <w:p w:rsidR="0008565A" w:rsidRPr="00184473" w:rsidRDefault="0008565A" w:rsidP="008A2EB8">
            <w:pPr>
              <w:pStyle w:val="TableCell"/>
              <w:keepNext/>
              <w:jc w:val="left"/>
              <w:rPr>
                <w:rFonts w:ascii="Arial" w:hAnsi="Arial" w:cs="Arial"/>
                <w:lang w:eastAsia="en-IE"/>
              </w:rPr>
            </w:pPr>
            <w:r w:rsidRPr="00184473">
              <w:rPr>
                <w:rFonts w:ascii="Arial" w:hAnsi="Arial" w:cs="Arial"/>
                <w:lang w:eastAsia="en-IE"/>
              </w:rPr>
              <w:t>OT</w:t>
            </w:r>
          </w:p>
        </w:tc>
        <w:tc>
          <w:tcPr>
            <w:tcW w:w="851" w:type="dxa"/>
            <w:shd w:val="clear" w:color="auto" w:fill="auto"/>
          </w:tcPr>
          <w:p w:rsidR="0008565A" w:rsidRPr="00184473" w:rsidRDefault="0008565A" w:rsidP="008A2EB8">
            <w:pPr>
              <w:pStyle w:val="TableCell"/>
              <w:keepNext/>
              <w:rPr>
                <w:lang w:eastAsia="en-IE"/>
              </w:rPr>
            </w:pPr>
            <w:r w:rsidRPr="00184473">
              <w:rPr>
                <w:lang w:eastAsia="en-IE"/>
              </w:rPr>
              <w:t>10.0</w:t>
            </w:r>
          </w:p>
        </w:tc>
        <w:tc>
          <w:tcPr>
            <w:tcW w:w="1134" w:type="dxa"/>
            <w:shd w:val="clear" w:color="auto" w:fill="auto"/>
          </w:tcPr>
          <w:p w:rsidR="0008565A" w:rsidRPr="00184473" w:rsidRDefault="0008565A" w:rsidP="008A2EB8">
            <w:pPr>
              <w:pStyle w:val="TableCell"/>
              <w:keepNext/>
              <w:rPr>
                <w:lang w:eastAsia="en-IE"/>
              </w:rPr>
            </w:pPr>
            <w:r w:rsidRPr="00184473">
              <w:rPr>
                <w:lang w:eastAsia="en-IE"/>
              </w:rPr>
              <w:t>11.4</w:t>
            </w:r>
          </w:p>
        </w:tc>
        <w:tc>
          <w:tcPr>
            <w:tcW w:w="1134" w:type="dxa"/>
            <w:shd w:val="clear" w:color="auto" w:fill="auto"/>
          </w:tcPr>
          <w:p w:rsidR="0008565A" w:rsidRPr="00184473" w:rsidRDefault="0008565A" w:rsidP="008A2EB8">
            <w:pPr>
              <w:pStyle w:val="TableCell"/>
              <w:keepNext/>
              <w:rPr>
                <w:lang w:eastAsia="en-IE"/>
              </w:rPr>
            </w:pPr>
            <w:r w:rsidRPr="00184473">
              <w:rPr>
                <w:lang w:eastAsia="en-IE"/>
              </w:rPr>
              <w:t>15.2</w:t>
            </w:r>
          </w:p>
        </w:tc>
        <w:tc>
          <w:tcPr>
            <w:tcW w:w="992" w:type="dxa"/>
            <w:shd w:val="clear" w:color="auto" w:fill="auto"/>
          </w:tcPr>
          <w:p w:rsidR="0008565A" w:rsidRPr="00184473" w:rsidRDefault="0008565A" w:rsidP="008A2EB8">
            <w:pPr>
              <w:pStyle w:val="TableCell"/>
              <w:keepNext/>
              <w:rPr>
                <w:lang w:eastAsia="en-IE"/>
              </w:rPr>
            </w:pPr>
            <w:r w:rsidRPr="00184473">
              <w:rPr>
                <w:lang w:eastAsia="en-IE"/>
              </w:rPr>
              <w:t>13.9</w:t>
            </w:r>
          </w:p>
        </w:tc>
        <w:tc>
          <w:tcPr>
            <w:tcW w:w="841" w:type="dxa"/>
            <w:shd w:val="clear" w:color="auto" w:fill="auto"/>
          </w:tcPr>
          <w:p w:rsidR="0008565A" w:rsidRPr="00184473" w:rsidRDefault="0008565A" w:rsidP="008A2EB8">
            <w:pPr>
              <w:pStyle w:val="TableCell"/>
              <w:keepNext/>
              <w:rPr>
                <w:b/>
                <w:lang w:eastAsia="en-IE"/>
              </w:rPr>
            </w:pPr>
            <w:r w:rsidRPr="00184473">
              <w:rPr>
                <w:b/>
                <w:lang w:eastAsia="en-IE"/>
              </w:rPr>
              <w:t>12.4</w:t>
            </w:r>
          </w:p>
        </w:tc>
        <w:tc>
          <w:tcPr>
            <w:tcW w:w="1047" w:type="dxa"/>
            <w:shd w:val="clear" w:color="auto" w:fill="auto"/>
          </w:tcPr>
          <w:p w:rsidR="0008565A" w:rsidRPr="00184473" w:rsidRDefault="0008565A" w:rsidP="008A2EB8">
            <w:pPr>
              <w:pStyle w:val="TableCell"/>
              <w:keepNext/>
              <w:rPr>
                <w:b/>
                <w:lang w:eastAsia="en-IE"/>
              </w:rPr>
            </w:pPr>
            <w:r w:rsidRPr="00184473">
              <w:rPr>
                <w:b/>
                <w:lang w:eastAsia="en-IE"/>
              </w:rPr>
              <w:t>13,700</w:t>
            </w:r>
          </w:p>
        </w:tc>
        <w:tc>
          <w:tcPr>
            <w:tcW w:w="1048" w:type="dxa"/>
            <w:shd w:val="clear" w:color="auto" w:fill="auto"/>
          </w:tcPr>
          <w:p w:rsidR="0008565A" w:rsidRDefault="0008565A" w:rsidP="008A2EB8">
            <w:pPr>
              <w:pStyle w:val="TableCell"/>
              <w:keepNext/>
              <w:rPr>
                <w:rFonts w:ascii="Calibri" w:hAnsi="Calibri" w:cs="Calibri"/>
                <w:color w:val="000000"/>
              </w:rPr>
            </w:pPr>
            <w:r>
              <w:rPr>
                <w:rFonts w:ascii="Calibri" w:hAnsi="Calibri" w:cs="Calibri"/>
                <w:color w:val="000000"/>
              </w:rPr>
              <w:t>48.2</w:t>
            </w:r>
          </w:p>
        </w:tc>
      </w:tr>
      <w:tr w:rsidR="0008565A" w:rsidRPr="00276581" w:rsidTr="008A2EB8">
        <w:tblPrEx>
          <w:tblCellMar>
            <w:top w:w="0" w:type="dxa"/>
            <w:bottom w:w="0" w:type="dxa"/>
          </w:tblCellMar>
        </w:tblPrEx>
        <w:trPr>
          <w:cantSplit/>
        </w:trPr>
        <w:tc>
          <w:tcPr>
            <w:tcW w:w="1809" w:type="dxa"/>
            <w:shd w:val="clear" w:color="auto" w:fill="auto"/>
          </w:tcPr>
          <w:p w:rsidR="0008565A" w:rsidRPr="00184473" w:rsidRDefault="0008565A" w:rsidP="008A2EB8">
            <w:pPr>
              <w:pStyle w:val="TableCell"/>
              <w:keepNext/>
              <w:jc w:val="left"/>
            </w:pPr>
            <w:r w:rsidRPr="00184473">
              <w:t>Has access to</w:t>
            </w:r>
          </w:p>
          <w:p w:rsidR="0008565A" w:rsidRPr="00184473" w:rsidRDefault="0008565A" w:rsidP="008A2EB8">
            <w:pPr>
              <w:pStyle w:val="TableCell"/>
              <w:keepNext/>
              <w:jc w:val="left"/>
            </w:pPr>
            <w:r w:rsidRPr="00184473">
              <w:t>Psychology</w:t>
            </w:r>
          </w:p>
        </w:tc>
        <w:tc>
          <w:tcPr>
            <w:tcW w:w="851" w:type="dxa"/>
            <w:shd w:val="clear" w:color="auto" w:fill="auto"/>
          </w:tcPr>
          <w:p w:rsidR="0008565A" w:rsidRPr="00184473" w:rsidRDefault="0008565A" w:rsidP="008A2EB8">
            <w:pPr>
              <w:pStyle w:val="TableCell"/>
              <w:keepNext/>
              <w:rPr>
                <w:lang w:eastAsia="en-IE"/>
              </w:rPr>
            </w:pPr>
            <w:r w:rsidRPr="00184473">
              <w:rPr>
                <w:lang w:eastAsia="en-IE"/>
              </w:rPr>
              <w:t>9.0</w:t>
            </w:r>
          </w:p>
        </w:tc>
        <w:tc>
          <w:tcPr>
            <w:tcW w:w="1134" w:type="dxa"/>
            <w:shd w:val="clear" w:color="auto" w:fill="auto"/>
          </w:tcPr>
          <w:p w:rsidR="0008565A" w:rsidRPr="00184473" w:rsidRDefault="0008565A" w:rsidP="008A2EB8">
            <w:pPr>
              <w:pStyle w:val="TableCell"/>
              <w:keepNext/>
              <w:rPr>
                <w:lang w:eastAsia="en-IE"/>
              </w:rPr>
            </w:pPr>
            <w:r w:rsidRPr="00184473">
              <w:rPr>
                <w:lang w:eastAsia="en-IE"/>
              </w:rPr>
              <w:t>16.8</w:t>
            </w:r>
          </w:p>
        </w:tc>
        <w:tc>
          <w:tcPr>
            <w:tcW w:w="1134" w:type="dxa"/>
            <w:shd w:val="clear" w:color="auto" w:fill="auto"/>
          </w:tcPr>
          <w:p w:rsidR="0008565A" w:rsidRPr="00184473" w:rsidRDefault="0008565A" w:rsidP="008A2EB8">
            <w:pPr>
              <w:pStyle w:val="TableCell"/>
              <w:keepNext/>
              <w:rPr>
                <w:lang w:eastAsia="en-IE"/>
              </w:rPr>
            </w:pPr>
            <w:r w:rsidRPr="00184473">
              <w:rPr>
                <w:lang w:eastAsia="en-IE"/>
              </w:rPr>
              <w:t>20.0</w:t>
            </w:r>
          </w:p>
        </w:tc>
        <w:tc>
          <w:tcPr>
            <w:tcW w:w="992" w:type="dxa"/>
            <w:shd w:val="clear" w:color="auto" w:fill="auto"/>
          </w:tcPr>
          <w:p w:rsidR="0008565A" w:rsidRPr="00184473" w:rsidRDefault="0008565A" w:rsidP="008A2EB8">
            <w:pPr>
              <w:pStyle w:val="TableCell"/>
              <w:keepNext/>
              <w:rPr>
                <w:lang w:eastAsia="en-IE"/>
              </w:rPr>
            </w:pPr>
            <w:r w:rsidRPr="00184473">
              <w:rPr>
                <w:lang w:eastAsia="en-IE"/>
              </w:rPr>
              <w:t>14.2</w:t>
            </w:r>
          </w:p>
        </w:tc>
        <w:tc>
          <w:tcPr>
            <w:tcW w:w="841" w:type="dxa"/>
            <w:shd w:val="clear" w:color="auto" w:fill="auto"/>
          </w:tcPr>
          <w:p w:rsidR="0008565A" w:rsidRPr="00184473" w:rsidRDefault="0008565A" w:rsidP="008A2EB8">
            <w:pPr>
              <w:pStyle w:val="TableCell"/>
              <w:keepNext/>
              <w:rPr>
                <w:b/>
                <w:lang w:eastAsia="en-IE"/>
              </w:rPr>
            </w:pPr>
            <w:r w:rsidRPr="00184473">
              <w:rPr>
                <w:b/>
                <w:lang w:eastAsia="en-IE"/>
              </w:rPr>
              <w:t>15.9</w:t>
            </w:r>
          </w:p>
        </w:tc>
        <w:tc>
          <w:tcPr>
            <w:tcW w:w="1047" w:type="dxa"/>
            <w:shd w:val="clear" w:color="auto" w:fill="auto"/>
          </w:tcPr>
          <w:p w:rsidR="0008565A" w:rsidRPr="00184473" w:rsidRDefault="0008565A" w:rsidP="008A2EB8">
            <w:pPr>
              <w:pStyle w:val="TableCell"/>
              <w:keepNext/>
              <w:rPr>
                <w:b/>
                <w:lang w:eastAsia="en-IE"/>
              </w:rPr>
            </w:pPr>
            <w:r w:rsidRPr="00184473">
              <w:rPr>
                <w:b/>
                <w:lang w:eastAsia="en-IE"/>
              </w:rPr>
              <w:t>17,600</w:t>
            </w:r>
          </w:p>
        </w:tc>
        <w:tc>
          <w:tcPr>
            <w:tcW w:w="1048" w:type="dxa"/>
            <w:shd w:val="clear" w:color="auto" w:fill="auto"/>
          </w:tcPr>
          <w:p w:rsidR="0008565A" w:rsidRDefault="0008565A" w:rsidP="008A2EB8">
            <w:pPr>
              <w:pStyle w:val="TableCell"/>
              <w:keepNext/>
              <w:rPr>
                <w:rFonts w:ascii="Calibri" w:hAnsi="Calibri" w:cs="Calibri"/>
                <w:color w:val="000000"/>
              </w:rPr>
            </w:pPr>
          </w:p>
        </w:tc>
      </w:tr>
      <w:tr w:rsidR="0008565A" w:rsidRPr="00276581" w:rsidTr="008A2EB8">
        <w:tblPrEx>
          <w:tblCellMar>
            <w:top w:w="0" w:type="dxa"/>
            <w:bottom w:w="0" w:type="dxa"/>
          </w:tblCellMar>
        </w:tblPrEx>
        <w:trPr>
          <w:cantSplit/>
        </w:trPr>
        <w:tc>
          <w:tcPr>
            <w:tcW w:w="1809" w:type="dxa"/>
            <w:shd w:val="clear" w:color="auto" w:fill="auto"/>
          </w:tcPr>
          <w:p w:rsidR="0008565A" w:rsidRPr="00184473" w:rsidRDefault="0008565A" w:rsidP="008A2EB8">
            <w:pPr>
              <w:pStyle w:val="TableCell"/>
              <w:keepNext/>
              <w:jc w:val="left"/>
            </w:pPr>
            <w:r w:rsidRPr="00184473">
              <w:t>Needs and doesn’t have</w:t>
            </w:r>
          </w:p>
          <w:p w:rsidR="0008565A" w:rsidRPr="00184473" w:rsidRDefault="0008565A" w:rsidP="008A2EB8">
            <w:pPr>
              <w:pStyle w:val="TableCell"/>
              <w:keepNext/>
              <w:jc w:val="left"/>
            </w:pPr>
            <w:r w:rsidRPr="00184473">
              <w:t>Psychology</w:t>
            </w:r>
          </w:p>
        </w:tc>
        <w:tc>
          <w:tcPr>
            <w:tcW w:w="851" w:type="dxa"/>
            <w:shd w:val="clear" w:color="auto" w:fill="auto"/>
          </w:tcPr>
          <w:p w:rsidR="0008565A" w:rsidRPr="00184473" w:rsidRDefault="0008565A" w:rsidP="008A2EB8">
            <w:pPr>
              <w:pStyle w:val="TableCell"/>
              <w:keepNext/>
              <w:rPr>
                <w:lang w:eastAsia="en-IE"/>
              </w:rPr>
            </w:pPr>
            <w:r w:rsidRPr="00184473">
              <w:rPr>
                <w:lang w:eastAsia="en-IE"/>
              </w:rPr>
              <w:t>7.4</w:t>
            </w:r>
          </w:p>
        </w:tc>
        <w:tc>
          <w:tcPr>
            <w:tcW w:w="1134" w:type="dxa"/>
            <w:shd w:val="clear" w:color="auto" w:fill="auto"/>
          </w:tcPr>
          <w:p w:rsidR="0008565A" w:rsidRPr="00184473" w:rsidRDefault="0008565A" w:rsidP="008A2EB8">
            <w:pPr>
              <w:pStyle w:val="TableCell"/>
              <w:keepNext/>
              <w:rPr>
                <w:lang w:eastAsia="en-IE"/>
              </w:rPr>
            </w:pPr>
            <w:r w:rsidRPr="00184473">
              <w:rPr>
                <w:lang w:eastAsia="en-IE"/>
              </w:rPr>
              <w:t>9.6</w:t>
            </w:r>
          </w:p>
        </w:tc>
        <w:tc>
          <w:tcPr>
            <w:tcW w:w="1134" w:type="dxa"/>
            <w:shd w:val="clear" w:color="auto" w:fill="auto"/>
          </w:tcPr>
          <w:p w:rsidR="0008565A" w:rsidRPr="00184473" w:rsidRDefault="0008565A" w:rsidP="008A2EB8">
            <w:pPr>
              <w:pStyle w:val="TableCell"/>
              <w:keepNext/>
              <w:rPr>
                <w:lang w:eastAsia="en-IE"/>
              </w:rPr>
            </w:pPr>
            <w:r w:rsidRPr="00184473">
              <w:rPr>
                <w:lang w:eastAsia="en-IE"/>
              </w:rPr>
              <w:t>12.2</w:t>
            </w:r>
          </w:p>
        </w:tc>
        <w:tc>
          <w:tcPr>
            <w:tcW w:w="992" w:type="dxa"/>
            <w:shd w:val="clear" w:color="auto" w:fill="auto"/>
          </w:tcPr>
          <w:p w:rsidR="0008565A" w:rsidRPr="00184473" w:rsidRDefault="0008565A" w:rsidP="008A2EB8">
            <w:pPr>
              <w:pStyle w:val="TableCell"/>
              <w:keepNext/>
              <w:rPr>
                <w:lang w:eastAsia="en-IE"/>
              </w:rPr>
            </w:pPr>
            <w:r w:rsidRPr="00184473">
              <w:rPr>
                <w:lang w:eastAsia="en-IE"/>
              </w:rPr>
              <w:t>6.8</w:t>
            </w:r>
          </w:p>
        </w:tc>
        <w:tc>
          <w:tcPr>
            <w:tcW w:w="841" w:type="dxa"/>
            <w:shd w:val="clear" w:color="auto" w:fill="auto"/>
          </w:tcPr>
          <w:p w:rsidR="0008565A" w:rsidRPr="00184473" w:rsidRDefault="0008565A" w:rsidP="008A2EB8">
            <w:pPr>
              <w:pStyle w:val="TableCell"/>
              <w:keepNext/>
              <w:rPr>
                <w:b/>
                <w:lang w:eastAsia="en-IE"/>
              </w:rPr>
            </w:pPr>
            <w:r w:rsidRPr="00184473">
              <w:rPr>
                <w:b/>
                <w:lang w:eastAsia="en-IE"/>
              </w:rPr>
              <w:t>9.8</w:t>
            </w:r>
          </w:p>
        </w:tc>
        <w:tc>
          <w:tcPr>
            <w:tcW w:w="1047" w:type="dxa"/>
            <w:shd w:val="clear" w:color="auto" w:fill="auto"/>
          </w:tcPr>
          <w:p w:rsidR="0008565A" w:rsidRPr="00184473" w:rsidRDefault="0008565A" w:rsidP="008A2EB8">
            <w:pPr>
              <w:pStyle w:val="TableCell"/>
              <w:keepNext/>
              <w:rPr>
                <w:b/>
                <w:lang w:eastAsia="en-IE"/>
              </w:rPr>
            </w:pPr>
            <w:r w:rsidRPr="00184473">
              <w:rPr>
                <w:b/>
                <w:lang w:eastAsia="en-IE"/>
              </w:rPr>
              <w:t>10,900</w:t>
            </w:r>
          </w:p>
        </w:tc>
        <w:tc>
          <w:tcPr>
            <w:tcW w:w="1048" w:type="dxa"/>
            <w:shd w:val="clear" w:color="auto" w:fill="auto"/>
          </w:tcPr>
          <w:p w:rsidR="0008565A" w:rsidRDefault="0008565A" w:rsidP="008A2EB8">
            <w:pPr>
              <w:pStyle w:val="TableCell"/>
              <w:keepNext/>
              <w:rPr>
                <w:rFonts w:ascii="Calibri" w:hAnsi="Calibri" w:cs="Calibri"/>
                <w:color w:val="000000"/>
              </w:rPr>
            </w:pPr>
            <w:r>
              <w:rPr>
                <w:rFonts w:ascii="Calibri" w:hAnsi="Calibri" w:cs="Calibri"/>
                <w:color w:val="000000"/>
              </w:rPr>
              <w:t>38.2</w:t>
            </w:r>
          </w:p>
        </w:tc>
      </w:tr>
      <w:tr w:rsidR="0008565A" w:rsidRPr="00276581" w:rsidTr="008A2EB8">
        <w:tblPrEx>
          <w:tblCellMar>
            <w:top w:w="0" w:type="dxa"/>
            <w:bottom w:w="0" w:type="dxa"/>
          </w:tblCellMar>
        </w:tblPrEx>
        <w:trPr>
          <w:cantSplit/>
        </w:trPr>
        <w:tc>
          <w:tcPr>
            <w:tcW w:w="1809" w:type="dxa"/>
            <w:shd w:val="clear" w:color="auto" w:fill="auto"/>
          </w:tcPr>
          <w:p w:rsidR="0008565A" w:rsidRPr="00184473" w:rsidRDefault="0008565A" w:rsidP="008A2EB8">
            <w:pPr>
              <w:pStyle w:val="TableCell"/>
              <w:keepNext/>
              <w:jc w:val="left"/>
            </w:pPr>
            <w:r w:rsidRPr="00184473">
              <w:t>Has access to</w:t>
            </w:r>
          </w:p>
          <w:p w:rsidR="0008565A" w:rsidRPr="00184473" w:rsidRDefault="0008565A" w:rsidP="008A2EB8">
            <w:pPr>
              <w:pStyle w:val="TableCell"/>
              <w:keepNext/>
              <w:jc w:val="left"/>
            </w:pPr>
            <w:r w:rsidRPr="00184473">
              <w:t>Social worker</w:t>
            </w:r>
          </w:p>
        </w:tc>
        <w:tc>
          <w:tcPr>
            <w:tcW w:w="851" w:type="dxa"/>
            <w:shd w:val="clear" w:color="auto" w:fill="auto"/>
          </w:tcPr>
          <w:p w:rsidR="0008565A" w:rsidRPr="00184473" w:rsidRDefault="0008565A" w:rsidP="008A2EB8">
            <w:pPr>
              <w:pStyle w:val="TableCell"/>
              <w:keepNext/>
              <w:rPr>
                <w:lang w:eastAsia="en-IE"/>
              </w:rPr>
            </w:pPr>
            <w:r w:rsidRPr="00184473">
              <w:rPr>
                <w:lang w:eastAsia="en-IE"/>
              </w:rPr>
              <w:t>9.3</w:t>
            </w:r>
          </w:p>
        </w:tc>
        <w:tc>
          <w:tcPr>
            <w:tcW w:w="1134" w:type="dxa"/>
            <w:shd w:val="clear" w:color="auto" w:fill="auto"/>
          </w:tcPr>
          <w:p w:rsidR="0008565A" w:rsidRPr="00184473" w:rsidRDefault="0008565A" w:rsidP="008A2EB8">
            <w:pPr>
              <w:pStyle w:val="TableCell"/>
              <w:keepNext/>
              <w:rPr>
                <w:lang w:eastAsia="en-IE"/>
              </w:rPr>
            </w:pPr>
            <w:r w:rsidRPr="00184473">
              <w:rPr>
                <w:lang w:eastAsia="en-IE"/>
              </w:rPr>
              <w:t>13.9</w:t>
            </w:r>
          </w:p>
        </w:tc>
        <w:tc>
          <w:tcPr>
            <w:tcW w:w="1134" w:type="dxa"/>
            <w:shd w:val="clear" w:color="auto" w:fill="auto"/>
          </w:tcPr>
          <w:p w:rsidR="0008565A" w:rsidRPr="00184473" w:rsidRDefault="0008565A" w:rsidP="008A2EB8">
            <w:pPr>
              <w:pStyle w:val="TableCell"/>
              <w:keepNext/>
              <w:rPr>
                <w:lang w:eastAsia="en-IE"/>
              </w:rPr>
            </w:pPr>
            <w:r w:rsidRPr="00184473">
              <w:rPr>
                <w:lang w:eastAsia="en-IE"/>
              </w:rPr>
              <w:t>20.3</w:t>
            </w:r>
          </w:p>
        </w:tc>
        <w:tc>
          <w:tcPr>
            <w:tcW w:w="992" w:type="dxa"/>
            <w:shd w:val="clear" w:color="auto" w:fill="auto"/>
          </w:tcPr>
          <w:p w:rsidR="0008565A" w:rsidRPr="00184473" w:rsidRDefault="0008565A" w:rsidP="008A2EB8">
            <w:pPr>
              <w:pStyle w:val="TableCell"/>
              <w:keepNext/>
              <w:rPr>
                <w:lang w:eastAsia="en-IE"/>
              </w:rPr>
            </w:pPr>
            <w:r w:rsidRPr="00184473">
              <w:rPr>
                <w:lang w:eastAsia="en-IE"/>
              </w:rPr>
              <w:t>17.7</w:t>
            </w:r>
          </w:p>
        </w:tc>
        <w:tc>
          <w:tcPr>
            <w:tcW w:w="841" w:type="dxa"/>
            <w:shd w:val="clear" w:color="auto" w:fill="auto"/>
          </w:tcPr>
          <w:p w:rsidR="0008565A" w:rsidRPr="00184473" w:rsidRDefault="0008565A" w:rsidP="008A2EB8">
            <w:pPr>
              <w:pStyle w:val="TableCell"/>
              <w:keepNext/>
              <w:rPr>
                <w:b/>
                <w:lang w:eastAsia="en-IE"/>
              </w:rPr>
            </w:pPr>
            <w:r w:rsidRPr="00184473">
              <w:rPr>
                <w:b/>
                <w:lang w:eastAsia="en-IE"/>
              </w:rPr>
              <w:t>15.0</w:t>
            </w:r>
          </w:p>
        </w:tc>
        <w:tc>
          <w:tcPr>
            <w:tcW w:w="1047" w:type="dxa"/>
            <w:shd w:val="clear" w:color="auto" w:fill="auto"/>
          </w:tcPr>
          <w:p w:rsidR="0008565A" w:rsidRPr="00184473" w:rsidRDefault="0008565A" w:rsidP="008A2EB8">
            <w:pPr>
              <w:pStyle w:val="TableCell"/>
              <w:keepNext/>
              <w:rPr>
                <w:b/>
                <w:lang w:eastAsia="en-IE"/>
              </w:rPr>
            </w:pPr>
            <w:r w:rsidRPr="00184473">
              <w:rPr>
                <w:b/>
                <w:lang w:eastAsia="en-IE"/>
              </w:rPr>
              <w:t>16,600</w:t>
            </w:r>
          </w:p>
        </w:tc>
        <w:tc>
          <w:tcPr>
            <w:tcW w:w="1048" w:type="dxa"/>
            <w:shd w:val="clear" w:color="auto" w:fill="auto"/>
          </w:tcPr>
          <w:p w:rsidR="0008565A" w:rsidRDefault="0008565A" w:rsidP="008A2EB8">
            <w:pPr>
              <w:pStyle w:val="TableCell"/>
              <w:keepNext/>
              <w:rPr>
                <w:rFonts w:ascii="Calibri" w:hAnsi="Calibri" w:cs="Calibri"/>
                <w:color w:val="000000"/>
              </w:rPr>
            </w:pPr>
          </w:p>
        </w:tc>
      </w:tr>
      <w:tr w:rsidR="0008565A" w:rsidRPr="00276581" w:rsidTr="008A2EB8">
        <w:tblPrEx>
          <w:tblCellMar>
            <w:top w:w="0" w:type="dxa"/>
            <w:bottom w:w="0" w:type="dxa"/>
          </w:tblCellMar>
        </w:tblPrEx>
        <w:trPr>
          <w:cantSplit/>
        </w:trPr>
        <w:tc>
          <w:tcPr>
            <w:tcW w:w="1809" w:type="dxa"/>
            <w:shd w:val="clear" w:color="auto" w:fill="auto"/>
          </w:tcPr>
          <w:p w:rsidR="0008565A" w:rsidRPr="00184473" w:rsidRDefault="0008565A" w:rsidP="008A2EB8">
            <w:pPr>
              <w:pStyle w:val="TableCell"/>
              <w:keepNext/>
              <w:jc w:val="left"/>
            </w:pPr>
            <w:r w:rsidRPr="00184473">
              <w:t>Needs and doesn’t have</w:t>
            </w:r>
          </w:p>
          <w:p w:rsidR="0008565A" w:rsidRPr="00184473" w:rsidRDefault="0008565A" w:rsidP="008A2EB8">
            <w:pPr>
              <w:pStyle w:val="TableCell"/>
              <w:keepNext/>
              <w:jc w:val="left"/>
            </w:pPr>
            <w:r w:rsidRPr="00184473">
              <w:t>Social worker</w:t>
            </w:r>
          </w:p>
        </w:tc>
        <w:tc>
          <w:tcPr>
            <w:tcW w:w="851" w:type="dxa"/>
            <w:shd w:val="clear" w:color="auto" w:fill="auto"/>
          </w:tcPr>
          <w:p w:rsidR="0008565A" w:rsidRPr="00184473" w:rsidRDefault="0008565A" w:rsidP="008A2EB8">
            <w:pPr>
              <w:pStyle w:val="TableCell"/>
              <w:keepNext/>
              <w:rPr>
                <w:lang w:eastAsia="en-IE"/>
              </w:rPr>
            </w:pPr>
            <w:r w:rsidRPr="00184473">
              <w:rPr>
                <w:lang w:eastAsia="en-IE"/>
              </w:rPr>
              <w:t>7.2</w:t>
            </w:r>
          </w:p>
        </w:tc>
        <w:tc>
          <w:tcPr>
            <w:tcW w:w="1134" w:type="dxa"/>
            <w:shd w:val="clear" w:color="auto" w:fill="auto"/>
          </w:tcPr>
          <w:p w:rsidR="0008565A" w:rsidRPr="00184473" w:rsidRDefault="0008565A" w:rsidP="008A2EB8">
            <w:pPr>
              <w:pStyle w:val="TableCell"/>
              <w:keepNext/>
              <w:rPr>
                <w:lang w:eastAsia="en-IE"/>
              </w:rPr>
            </w:pPr>
            <w:r w:rsidRPr="00184473">
              <w:rPr>
                <w:lang w:eastAsia="en-IE"/>
              </w:rPr>
              <w:t>9.4</w:t>
            </w:r>
          </w:p>
        </w:tc>
        <w:tc>
          <w:tcPr>
            <w:tcW w:w="1134" w:type="dxa"/>
            <w:shd w:val="clear" w:color="auto" w:fill="auto"/>
          </w:tcPr>
          <w:p w:rsidR="0008565A" w:rsidRPr="00184473" w:rsidRDefault="0008565A" w:rsidP="008A2EB8">
            <w:pPr>
              <w:pStyle w:val="TableCell"/>
              <w:keepNext/>
              <w:rPr>
                <w:lang w:eastAsia="en-IE"/>
              </w:rPr>
            </w:pPr>
            <w:r w:rsidRPr="00184473">
              <w:rPr>
                <w:lang w:eastAsia="en-IE"/>
              </w:rPr>
              <w:t>13.3</w:t>
            </w:r>
          </w:p>
        </w:tc>
        <w:tc>
          <w:tcPr>
            <w:tcW w:w="992" w:type="dxa"/>
            <w:shd w:val="clear" w:color="auto" w:fill="auto"/>
          </w:tcPr>
          <w:p w:rsidR="0008565A" w:rsidRPr="00184473" w:rsidRDefault="0008565A" w:rsidP="008A2EB8">
            <w:pPr>
              <w:pStyle w:val="TableCell"/>
              <w:keepNext/>
              <w:rPr>
                <w:lang w:eastAsia="en-IE"/>
              </w:rPr>
            </w:pPr>
            <w:r w:rsidRPr="00184473">
              <w:rPr>
                <w:lang w:eastAsia="en-IE"/>
              </w:rPr>
              <w:t>6.4</w:t>
            </w:r>
          </w:p>
        </w:tc>
        <w:tc>
          <w:tcPr>
            <w:tcW w:w="841" w:type="dxa"/>
            <w:shd w:val="clear" w:color="auto" w:fill="auto"/>
          </w:tcPr>
          <w:p w:rsidR="0008565A" w:rsidRPr="00184473" w:rsidRDefault="0008565A" w:rsidP="008A2EB8">
            <w:pPr>
              <w:pStyle w:val="TableCell"/>
              <w:keepNext/>
              <w:rPr>
                <w:b/>
                <w:lang w:eastAsia="en-IE"/>
              </w:rPr>
            </w:pPr>
            <w:r w:rsidRPr="00184473">
              <w:rPr>
                <w:b/>
                <w:lang w:eastAsia="en-IE"/>
              </w:rPr>
              <w:t>10.0</w:t>
            </w:r>
          </w:p>
        </w:tc>
        <w:tc>
          <w:tcPr>
            <w:tcW w:w="1047" w:type="dxa"/>
            <w:shd w:val="clear" w:color="auto" w:fill="auto"/>
          </w:tcPr>
          <w:p w:rsidR="0008565A" w:rsidRPr="00184473" w:rsidRDefault="0008565A" w:rsidP="008A2EB8">
            <w:pPr>
              <w:pStyle w:val="TableCell"/>
              <w:keepNext/>
              <w:rPr>
                <w:b/>
                <w:lang w:eastAsia="en-IE"/>
              </w:rPr>
            </w:pPr>
            <w:r w:rsidRPr="00184473">
              <w:rPr>
                <w:b/>
                <w:lang w:eastAsia="en-IE"/>
              </w:rPr>
              <w:t>11,100</w:t>
            </w:r>
          </w:p>
        </w:tc>
        <w:tc>
          <w:tcPr>
            <w:tcW w:w="1048" w:type="dxa"/>
            <w:shd w:val="clear" w:color="auto" w:fill="auto"/>
          </w:tcPr>
          <w:p w:rsidR="0008565A" w:rsidRDefault="0008565A" w:rsidP="008A2EB8">
            <w:pPr>
              <w:pStyle w:val="TableCell"/>
              <w:keepNext/>
              <w:rPr>
                <w:rFonts w:ascii="Calibri" w:hAnsi="Calibri" w:cs="Calibri"/>
                <w:color w:val="000000"/>
              </w:rPr>
            </w:pPr>
            <w:r>
              <w:rPr>
                <w:rFonts w:ascii="Calibri" w:hAnsi="Calibri" w:cs="Calibri"/>
                <w:color w:val="000000"/>
              </w:rPr>
              <w:t>40.1</w:t>
            </w:r>
          </w:p>
        </w:tc>
      </w:tr>
    </w:tbl>
    <w:p w:rsidR="00992970" w:rsidRDefault="00992970" w:rsidP="0008565A">
      <w:pPr>
        <w:pStyle w:val="TableNote"/>
      </w:pPr>
      <w:r>
        <w:t>Source: NDS 2006</w:t>
      </w:r>
    </w:p>
    <w:p w:rsidR="00B008E9" w:rsidRDefault="00B008E9" w:rsidP="00DA1A61">
      <w:pPr>
        <w:pStyle w:val="Heading2"/>
        <w:numPr>
          <w:ilvl w:val="1"/>
          <w:numId w:val="10"/>
        </w:numPr>
        <w:ind w:hanging="1080"/>
      </w:pPr>
      <w:bookmarkStart w:id="105" w:name="_Toc415733706"/>
      <w:r>
        <w:t>Growing up in Ireland Survey</w:t>
      </w:r>
      <w:bookmarkEnd w:id="105"/>
    </w:p>
    <w:p w:rsidR="00B008E9" w:rsidRDefault="00992970" w:rsidP="00B008E9">
      <w:pPr>
        <w:pStyle w:val="NormalBeforeList"/>
      </w:pPr>
      <w:r>
        <w:t xml:space="preserve">The NDA used </w:t>
      </w:r>
      <w:r w:rsidR="00B008E9">
        <w:t xml:space="preserve">several questions in the Growing Up in Ireland (GUI) surveys that are useful for estimating the number of children who will need the services of a </w:t>
      </w:r>
      <w:r>
        <w:t>inter</w:t>
      </w:r>
      <w:r w:rsidR="00B008E9">
        <w:t>disciplinary team. Relevant questions include:</w:t>
      </w:r>
    </w:p>
    <w:p w:rsidR="00B008E9" w:rsidRPr="00BA3821" w:rsidRDefault="00B008E9" w:rsidP="00B008E9">
      <w:pPr>
        <w:pStyle w:val="ListBullet"/>
        <w:numPr>
          <w:ilvl w:val="0"/>
          <w:numId w:val="1"/>
        </w:numPr>
        <w:ind w:left="357" w:hanging="357"/>
        <w:rPr>
          <w:lang w:eastAsia="en-IE"/>
        </w:rPr>
      </w:pPr>
      <w:r w:rsidRPr="00BA3821">
        <w:rPr>
          <w:lang w:eastAsia="en-IE"/>
        </w:rPr>
        <w:t>Does the Study Child have any on-going chronic physical or mental health problem, illness or disability?</w:t>
      </w:r>
    </w:p>
    <w:p w:rsidR="00B008E9" w:rsidRPr="00BA3821" w:rsidRDefault="00B008E9" w:rsidP="00B008E9">
      <w:pPr>
        <w:pStyle w:val="ListBullet"/>
        <w:numPr>
          <w:ilvl w:val="0"/>
          <w:numId w:val="1"/>
        </w:numPr>
        <w:ind w:left="357" w:hanging="357"/>
        <w:rPr>
          <w:lang w:eastAsia="en-IE"/>
        </w:rPr>
      </w:pPr>
      <w:r w:rsidRPr="00BA3821">
        <w:rPr>
          <w:lang w:eastAsia="en-IE"/>
        </w:rPr>
        <w:t xml:space="preserve">What is the nature of this problem, illness or disability? </w:t>
      </w:r>
    </w:p>
    <w:p w:rsidR="00B008E9" w:rsidRPr="00BA3821" w:rsidRDefault="00992970" w:rsidP="00B008E9">
      <w:pPr>
        <w:pStyle w:val="ListBullet"/>
        <w:numPr>
          <w:ilvl w:val="0"/>
          <w:numId w:val="1"/>
        </w:numPr>
        <w:ind w:left="357" w:hanging="357"/>
        <w:rPr>
          <w:lang w:eastAsia="en-IE"/>
        </w:rPr>
      </w:pPr>
      <w:r>
        <w:rPr>
          <w:lang w:eastAsia="en-IE"/>
        </w:rPr>
        <w:t xml:space="preserve">Does this problem, illness or disability hamper </w:t>
      </w:r>
      <w:r w:rsidR="00B008E9" w:rsidRPr="00BA3821">
        <w:rPr>
          <w:lang w:eastAsia="en-IE"/>
        </w:rPr>
        <w:t xml:space="preserve">the Study Child in his/her daily activities? </w:t>
      </w:r>
    </w:p>
    <w:p w:rsidR="00B008E9" w:rsidRPr="009A2488" w:rsidRDefault="00B008E9" w:rsidP="00B008E9">
      <w:pPr>
        <w:pStyle w:val="ListBullet"/>
        <w:numPr>
          <w:ilvl w:val="0"/>
          <w:numId w:val="1"/>
        </w:numPr>
        <w:ind w:left="357" w:hanging="357"/>
        <w:rPr>
          <w:lang w:eastAsia="en-IE"/>
        </w:rPr>
      </w:pPr>
      <w:r w:rsidRPr="009A2488">
        <w:rPr>
          <w:lang w:eastAsia="en-IE"/>
        </w:rPr>
        <w:t>How many conditions or disabilities does Study Child have?</w:t>
      </w:r>
    </w:p>
    <w:p w:rsidR="00B008E9" w:rsidRDefault="00B008E9" w:rsidP="00B008E9">
      <w:pPr>
        <w:pStyle w:val="ListBullet"/>
        <w:numPr>
          <w:ilvl w:val="0"/>
          <w:numId w:val="1"/>
        </w:numPr>
        <w:spacing w:after="240"/>
        <w:ind w:left="357" w:hanging="357"/>
      </w:pPr>
      <w:r w:rsidRPr="009A2488">
        <w:rPr>
          <w:lang w:eastAsia="en-IE"/>
        </w:rPr>
        <w:t>In addition</w:t>
      </w:r>
      <w:r w:rsidR="00992970">
        <w:rPr>
          <w:lang w:eastAsia="en-IE"/>
        </w:rPr>
        <w:t>,</w:t>
      </w:r>
      <w:r w:rsidRPr="009A2488">
        <w:rPr>
          <w:lang w:eastAsia="en-IE"/>
        </w:rPr>
        <w:t xml:space="preserve"> the </w:t>
      </w:r>
      <w:r>
        <w:rPr>
          <w:lang w:eastAsia="en-IE"/>
        </w:rPr>
        <w:t xml:space="preserve">Wave 2 </w:t>
      </w:r>
      <w:r w:rsidRPr="009A2488">
        <w:rPr>
          <w:lang w:eastAsia="en-IE"/>
        </w:rPr>
        <w:t xml:space="preserve">questionnaire </w:t>
      </w:r>
      <w:r>
        <w:rPr>
          <w:lang w:eastAsia="en-IE"/>
        </w:rPr>
        <w:t xml:space="preserve">(at 13 years old) </w:t>
      </w:r>
      <w:r w:rsidRPr="009A2488">
        <w:rPr>
          <w:lang w:eastAsia="en-IE"/>
        </w:rPr>
        <w:t xml:space="preserve">asked about a series of therapy or teaching supports received in and out of school </w:t>
      </w:r>
    </w:p>
    <w:p w:rsidR="00B008E9" w:rsidRPr="009A2488" w:rsidRDefault="00B008E9" w:rsidP="00B008E9">
      <w:r>
        <w:t xml:space="preserve">The National Disability Authority </w:t>
      </w:r>
      <w:r w:rsidR="00992970">
        <w:t xml:space="preserve">explored </w:t>
      </w:r>
      <w:r>
        <w:t>the microdata from Wave 2</w:t>
      </w:r>
      <w:r w:rsidR="00992970">
        <w:t xml:space="preserve"> of the child cohort data</w:t>
      </w:r>
      <w:r>
        <w:t xml:space="preserve">, to explore further what could be inferred about likely need for multi-disciplinary therapies, and any likely shortfalls in services being delivered. </w:t>
      </w:r>
    </w:p>
    <w:p w:rsidR="00B008E9" w:rsidRDefault="00B008E9" w:rsidP="00B008E9">
      <w:r>
        <w:t>Table 10 looks at the number of conditions or disabilities that the study child has.</w:t>
      </w:r>
    </w:p>
    <w:p w:rsidR="00B008E9" w:rsidRDefault="00B008E9" w:rsidP="00AA7990">
      <w:pPr>
        <w:pStyle w:val="TableTitle"/>
      </w:pPr>
      <w:bookmarkStart w:id="106" w:name="_Toc403572510"/>
      <w:bookmarkStart w:id="107" w:name="_Toc419879413"/>
      <w:r>
        <w:t>Table 10:</w:t>
      </w:r>
      <w:r w:rsidRPr="00660BAF">
        <w:t xml:space="preserve"> Number of conditions or disabilities</w:t>
      </w:r>
      <w:bookmarkEnd w:id="106"/>
      <w:bookmarkEnd w:id="107"/>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3F" w:firstRow="1" w:lastRow="0" w:firstColumn="0" w:lastColumn="0" w:noHBand="0" w:noVBand="0"/>
      </w:tblPr>
      <w:tblGrid>
        <w:gridCol w:w="2952"/>
        <w:gridCol w:w="2952"/>
        <w:gridCol w:w="2952"/>
      </w:tblGrid>
      <w:tr w:rsidR="00B008E9" w:rsidRPr="003663F7" w:rsidTr="00B008E9">
        <w:trPr>
          <w:tblHeader/>
        </w:trPr>
        <w:tc>
          <w:tcPr>
            <w:tcW w:w="2952" w:type="dxa"/>
            <w:tcBorders>
              <w:bottom w:val="single" w:sz="12" w:space="0" w:color="000000"/>
            </w:tcBorders>
            <w:shd w:val="clear" w:color="auto" w:fill="auto"/>
          </w:tcPr>
          <w:p w:rsidR="00B008E9" w:rsidRPr="00287C75" w:rsidRDefault="00B008E9" w:rsidP="00B008E9">
            <w:pPr>
              <w:pStyle w:val="TableHead"/>
            </w:pPr>
          </w:p>
        </w:tc>
        <w:tc>
          <w:tcPr>
            <w:tcW w:w="2952" w:type="dxa"/>
            <w:tcBorders>
              <w:bottom w:val="single" w:sz="12" w:space="0" w:color="000000"/>
            </w:tcBorders>
            <w:shd w:val="clear" w:color="auto" w:fill="auto"/>
          </w:tcPr>
          <w:p w:rsidR="00B008E9" w:rsidRPr="00834CEB" w:rsidRDefault="00B008E9" w:rsidP="00B008E9">
            <w:pPr>
              <w:pStyle w:val="TableHead"/>
            </w:pPr>
            <w:r w:rsidRPr="00834CEB">
              <w:t>Number</w:t>
            </w:r>
          </w:p>
        </w:tc>
        <w:tc>
          <w:tcPr>
            <w:tcW w:w="2952" w:type="dxa"/>
            <w:tcBorders>
              <w:bottom w:val="single" w:sz="12" w:space="0" w:color="000000"/>
            </w:tcBorders>
            <w:shd w:val="clear" w:color="auto" w:fill="auto"/>
          </w:tcPr>
          <w:p w:rsidR="00B008E9" w:rsidRPr="00834CEB" w:rsidRDefault="00B008E9" w:rsidP="00B008E9">
            <w:pPr>
              <w:pStyle w:val="TableHead"/>
            </w:pPr>
            <w:r w:rsidRPr="00834CEB">
              <w:t>Percent</w:t>
            </w:r>
          </w:p>
        </w:tc>
      </w:tr>
      <w:tr w:rsidR="00B008E9" w:rsidRPr="003663F7" w:rsidTr="00B008E9">
        <w:tc>
          <w:tcPr>
            <w:tcW w:w="2952" w:type="dxa"/>
            <w:tcBorders>
              <w:top w:val="single" w:sz="12" w:space="0" w:color="000000"/>
            </w:tcBorders>
            <w:shd w:val="clear" w:color="auto" w:fill="auto"/>
          </w:tcPr>
          <w:p w:rsidR="00B008E9" w:rsidRPr="008E6892" w:rsidRDefault="00B008E9" w:rsidP="00B008E9">
            <w:pPr>
              <w:pStyle w:val="TableCell"/>
              <w:jc w:val="left"/>
            </w:pPr>
            <w:r w:rsidRPr="008E6892">
              <w:t>0</w:t>
            </w:r>
          </w:p>
        </w:tc>
        <w:tc>
          <w:tcPr>
            <w:tcW w:w="2952" w:type="dxa"/>
            <w:tcBorders>
              <w:top w:val="single" w:sz="12" w:space="0" w:color="000000"/>
            </w:tcBorders>
            <w:shd w:val="clear" w:color="auto" w:fill="auto"/>
          </w:tcPr>
          <w:p w:rsidR="00B008E9" w:rsidRPr="008E6892" w:rsidRDefault="00B008E9" w:rsidP="00B008E9">
            <w:pPr>
              <w:pStyle w:val="TableCell"/>
            </w:pPr>
            <w:r w:rsidRPr="008E6892">
              <w:t>45,066</w:t>
            </w:r>
          </w:p>
        </w:tc>
        <w:tc>
          <w:tcPr>
            <w:tcW w:w="2952" w:type="dxa"/>
            <w:tcBorders>
              <w:top w:val="single" w:sz="12" w:space="0" w:color="000000"/>
            </w:tcBorders>
            <w:shd w:val="clear" w:color="auto" w:fill="auto"/>
          </w:tcPr>
          <w:p w:rsidR="00B008E9" w:rsidRPr="008E6892" w:rsidRDefault="00B008E9" w:rsidP="00B008E9">
            <w:pPr>
              <w:pStyle w:val="TableCell"/>
            </w:pPr>
            <w:r w:rsidRPr="008E6892">
              <w:t>80.9</w:t>
            </w:r>
          </w:p>
        </w:tc>
      </w:tr>
      <w:tr w:rsidR="00B008E9" w:rsidRPr="003663F7" w:rsidTr="00B008E9">
        <w:tc>
          <w:tcPr>
            <w:tcW w:w="2952" w:type="dxa"/>
            <w:shd w:val="clear" w:color="auto" w:fill="auto"/>
          </w:tcPr>
          <w:p w:rsidR="00B008E9" w:rsidRPr="008E6892" w:rsidRDefault="00B008E9" w:rsidP="00B008E9">
            <w:pPr>
              <w:pStyle w:val="TableCell"/>
              <w:jc w:val="left"/>
            </w:pPr>
            <w:r w:rsidRPr="008E6892">
              <w:t>1</w:t>
            </w:r>
          </w:p>
        </w:tc>
        <w:tc>
          <w:tcPr>
            <w:tcW w:w="2952" w:type="dxa"/>
            <w:shd w:val="clear" w:color="auto" w:fill="auto"/>
          </w:tcPr>
          <w:p w:rsidR="00B008E9" w:rsidRPr="008E6892" w:rsidRDefault="00B008E9" w:rsidP="00B008E9">
            <w:pPr>
              <w:pStyle w:val="TableCell"/>
            </w:pPr>
            <w:r w:rsidRPr="008E6892">
              <w:t>7,781</w:t>
            </w:r>
          </w:p>
        </w:tc>
        <w:tc>
          <w:tcPr>
            <w:tcW w:w="2952" w:type="dxa"/>
            <w:shd w:val="clear" w:color="auto" w:fill="auto"/>
          </w:tcPr>
          <w:p w:rsidR="00B008E9" w:rsidRPr="008E6892" w:rsidRDefault="00B008E9" w:rsidP="00B008E9">
            <w:pPr>
              <w:pStyle w:val="TableCell"/>
            </w:pPr>
            <w:r w:rsidRPr="008E6892">
              <w:t>14.0</w:t>
            </w:r>
          </w:p>
        </w:tc>
      </w:tr>
      <w:tr w:rsidR="00B008E9" w:rsidRPr="003663F7" w:rsidTr="00B008E9">
        <w:tc>
          <w:tcPr>
            <w:tcW w:w="2952" w:type="dxa"/>
            <w:shd w:val="clear" w:color="auto" w:fill="auto"/>
          </w:tcPr>
          <w:p w:rsidR="00B008E9" w:rsidRPr="008E6892" w:rsidRDefault="00B008E9" w:rsidP="00B008E9">
            <w:pPr>
              <w:pStyle w:val="TableCell"/>
              <w:jc w:val="left"/>
            </w:pPr>
            <w:r w:rsidRPr="008E6892">
              <w:t>2</w:t>
            </w:r>
          </w:p>
        </w:tc>
        <w:tc>
          <w:tcPr>
            <w:tcW w:w="2952" w:type="dxa"/>
            <w:shd w:val="clear" w:color="auto" w:fill="auto"/>
          </w:tcPr>
          <w:p w:rsidR="00B008E9" w:rsidRPr="008E6892" w:rsidRDefault="00B008E9" w:rsidP="00B008E9">
            <w:pPr>
              <w:pStyle w:val="TableCell"/>
            </w:pPr>
            <w:r w:rsidRPr="008E6892">
              <w:t>1,771</w:t>
            </w:r>
          </w:p>
        </w:tc>
        <w:tc>
          <w:tcPr>
            <w:tcW w:w="2952" w:type="dxa"/>
            <w:shd w:val="clear" w:color="auto" w:fill="auto"/>
          </w:tcPr>
          <w:p w:rsidR="00B008E9" w:rsidRPr="008E6892" w:rsidRDefault="00B008E9" w:rsidP="00B008E9">
            <w:pPr>
              <w:pStyle w:val="TableCell"/>
            </w:pPr>
            <w:r w:rsidRPr="008E6892">
              <w:t>3.2</w:t>
            </w:r>
          </w:p>
        </w:tc>
      </w:tr>
      <w:tr w:rsidR="00B008E9" w:rsidRPr="003663F7" w:rsidTr="00B008E9">
        <w:tc>
          <w:tcPr>
            <w:tcW w:w="2952" w:type="dxa"/>
            <w:shd w:val="clear" w:color="auto" w:fill="auto"/>
          </w:tcPr>
          <w:p w:rsidR="00B008E9" w:rsidRPr="008E6892" w:rsidRDefault="00B008E9" w:rsidP="00B008E9">
            <w:pPr>
              <w:pStyle w:val="TableCell"/>
              <w:jc w:val="left"/>
            </w:pPr>
            <w:r w:rsidRPr="008E6892">
              <w:t>3</w:t>
            </w:r>
          </w:p>
        </w:tc>
        <w:tc>
          <w:tcPr>
            <w:tcW w:w="2952" w:type="dxa"/>
            <w:shd w:val="clear" w:color="auto" w:fill="auto"/>
          </w:tcPr>
          <w:p w:rsidR="00B008E9" w:rsidRPr="008E6892" w:rsidRDefault="00B008E9" w:rsidP="00B008E9">
            <w:pPr>
              <w:pStyle w:val="TableCell"/>
            </w:pPr>
            <w:r w:rsidRPr="008E6892">
              <w:t>620</w:t>
            </w:r>
          </w:p>
        </w:tc>
        <w:tc>
          <w:tcPr>
            <w:tcW w:w="2952" w:type="dxa"/>
            <w:shd w:val="clear" w:color="auto" w:fill="auto"/>
          </w:tcPr>
          <w:p w:rsidR="00B008E9" w:rsidRPr="008E6892" w:rsidRDefault="00B008E9" w:rsidP="00B008E9">
            <w:pPr>
              <w:pStyle w:val="TableCell"/>
            </w:pPr>
            <w:r w:rsidRPr="008E6892">
              <w:t>1.1</w:t>
            </w:r>
          </w:p>
        </w:tc>
      </w:tr>
      <w:tr w:rsidR="00B008E9" w:rsidRPr="003663F7" w:rsidTr="00B008E9">
        <w:tc>
          <w:tcPr>
            <w:tcW w:w="2952" w:type="dxa"/>
            <w:shd w:val="clear" w:color="auto" w:fill="auto"/>
          </w:tcPr>
          <w:p w:rsidR="00B008E9" w:rsidRPr="008E6892" w:rsidRDefault="00B008E9" w:rsidP="00B008E9">
            <w:pPr>
              <w:pStyle w:val="TableCell"/>
              <w:jc w:val="left"/>
            </w:pPr>
            <w:r w:rsidRPr="008E6892">
              <w:t>4 or more</w:t>
            </w:r>
          </w:p>
        </w:tc>
        <w:tc>
          <w:tcPr>
            <w:tcW w:w="2952" w:type="dxa"/>
            <w:shd w:val="clear" w:color="auto" w:fill="auto"/>
          </w:tcPr>
          <w:p w:rsidR="00B008E9" w:rsidRPr="008E6892" w:rsidRDefault="00B008E9" w:rsidP="00B008E9">
            <w:pPr>
              <w:pStyle w:val="TableCell"/>
            </w:pPr>
            <w:r w:rsidRPr="008E6892">
              <w:t>490</w:t>
            </w:r>
          </w:p>
        </w:tc>
        <w:tc>
          <w:tcPr>
            <w:tcW w:w="2952" w:type="dxa"/>
            <w:shd w:val="clear" w:color="auto" w:fill="auto"/>
          </w:tcPr>
          <w:p w:rsidR="00B008E9" w:rsidRPr="008E6892" w:rsidRDefault="00B008E9" w:rsidP="00B008E9">
            <w:pPr>
              <w:pStyle w:val="TableCell"/>
            </w:pPr>
            <w:r w:rsidRPr="008E6892">
              <w:t>.9</w:t>
            </w:r>
          </w:p>
        </w:tc>
      </w:tr>
      <w:tr w:rsidR="00B008E9" w:rsidRPr="003663F7" w:rsidTr="00B008E9">
        <w:tc>
          <w:tcPr>
            <w:tcW w:w="2952" w:type="dxa"/>
            <w:shd w:val="clear" w:color="auto" w:fill="auto"/>
          </w:tcPr>
          <w:p w:rsidR="00B008E9" w:rsidRPr="008E6892" w:rsidRDefault="00B008E9" w:rsidP="00B008E9">
            <w:pPr>
              <w:pStyle w:val="TableCell"/>
              <w:jc w:val="left"/>
              <w:rPr>
                <w:b/>
              </w:rPr>
            </w:pPr>
            <w:r w:rsidRPr="008E6892">
              <w:rPr>
                <w:b/>
              </w:rPr>
              <w:t>Total</w:t>
            </w:r>
          </w:p>
        </w:tc>
        <w:tc>
          <w:tcPr>
            <w:tcW w:w="2952" w:type="dxa"/>
            <w:shd w:val="clear" w:color="auto" w:fill="auto"/>
          </w:tcPr>
          <w:p w:rsidR="00B008E9" w:rsidRPr="008E6892" w:rsidRDefault="00B008E9" w:rsidP="00B008E9">
            <w:pPr>
              <w:pStyle w:val="TableCell"/>
              <w:rPr>
                <w:b/>
              </w:rPr>
            </w:pPr>
            <w:r w:rsidRPr="008E6892">
              <w:rPr>
                <w:b/>
              </w:rPr>
              <w:t>55,728</w:t>
            </w:r>
          </w:p>
        </w:tc>
        <w:tc>
          <w:tcPr>
            <w:tcW w:w="2952" w:type="dxa"/>
            <w:shd w:val="clear" w:color="auto" w:fill="auto"/>
          </w:tcPr>
          <w:p w:rsidR="00B008E9" w:rsidRPr="008E6892" w:rsidRDefault="00B008E9" w:rsidP="00B008E9">
            <w:pPr>
              <w:pStyle w:val="TableCell"/>
              <w:rPr>
                <w:b/>
              </w:rPr>
            </w:pPr>
            <w:r w:rsidRPr="008E6892">
              <w:rPr>
                <w:b/>
              </w:rPr>
              <w:t>100.0</w:t>
            </w:r>
          </w:p>
        </w:tc>
      </w:tr>
    </w:tbl>
    <w:p w:rsidR="00B008E9" w:rsidRPr="00287C75" w:rsidRDefault="00B008E9" w:rsidP="0008565A">
      <w:pPr>
        <w:pStyle w:val="TableNote"/>
      </w:pPr>
      <w:r w:rsidRPr="00287C75">
        <w:t>Source: Source: GUI 13</w:t>
      </w:r>
    </w:p>
    <w:p w:rsidR="00B008E9" w:rsidRDefault="00B008E9" w:rsidP="00B008E9">
      <w:r w:rsidRPr="00660BAF">
        <w:t xml:space="preserve">Overall 80.9 percent of all </w:t>
      </w:r>
      <w:r w:rsidR="00EF4A77">
        <w:t xml:space="preserve">13 year </w:t>
      </w:r>
      <w:r>
        <w:t xml:space="preserve">old </w:t>
      </w:r>
      <w:r w:rsidRPr="00660BAF">
        <w:t xml:space="preserve">children do not have any disability and 19.1 percent of children </w:t>
      </w:r>
      <w:r>
        <w:t xml:space="preserve">were recorded as having some level of </w:t>
      </w:r>
      <w:r w:rsidRPr="00660BAF">
        <w:t xml:space="preserve">disability (table </w:t>
      </w:r>
      <w:r>
        <w:t>20). 14 percent had</w:t>
      </w:r>
      <w:r w:rsidRPr="00660BAF">
        <w:t xml:space="preserve"> one </w:t>
      </w:r>
      <w:r>
        <w:t xml:space="preserve">form of </w:t>
      </w:r>
      <w:r w:rsidRPr="00660BAF">
        <w:t xml:space="preserve">disability </w:t>
      </w:r>
      <w:r>
        <w:t>only, 3.2 percent had</w:t>
      </w:r>
      <w:r w:rsidRPr="00660BAF">
        <w:t xml:space="preserve"> two or more </w:t>
      </w:r>
      <w:r>
        <w:t xml:space="preserve">of the listed impairments or disabilities and 2 percent had </w:t>
      </w:r>
      <w:r w:rsidRPr="00660BAF">
        <w:t xml:space="preserve">3 or more disabilities. </w:t>
      </w:r>
    </w:p>
    <w:p w:rsidR="00B008E9" w:rsidRDefault="00B008E9" w:rsidP="00B008E9">
      <w:r>
        <w:t>Some impairments are relatively minor, and generally treated in primary care, for example childhood asthma or a stutter. So</w:t>
      </w:r>
      <w:r w:rsidR="00AA7990">
        <w:t>,</w:t>
      </w:r>
      <w:r w:rsidR="00EF4A77">
        <w:t xml:space="preserve"> the NDA</w:t>
      </w:r>
      <w:r>
        <w:t xml:space="preserve"> looked at the data on severity of impact of disability – whether a child was not hampered by their condition(s), was hampered to some extent, or hampered severely. Children with minor impact impairments are like</w:t>
      </w:r>
      <w:r w:rsidR="00992970">
        <w:t>ly to require primary care only. C</w:t>
      </w:r>
      <w:r>
        <w:t>hildren</w:t>
      </w:r>
      <w:r w:rsidR="00EF4A77">
        <w:t>,</w:t>
      </w:r>
      <w:r>
        <w:t xml:space="preserve"> who</w:t>
      </w:r>
      <w:r w:rsidR="00992970">
        <w:t xml:space="preserve"> are severely hampered in daily life</w:t>
      </w:r>
      <w:r>
        <w:t xml:space="preserve"> by their impairments</w:t>
      </w:r>
      <w:r w:rsidR="00EF4A77">
        <w:t>,</w:t>
      </w:r>
      <w:r>
        <w:t xml:space="preserve"> are likely to require specialist disability services, while</w:t>
      </w:r>
      <w:r w:rsidR="00992970">
        <w:t>,</w:t>
      </w:r>
      <w:r>
        <w:t xml:space="preserve"> in between, the number of impairments and the severity of impact on daily life when combined can </w:t>
      </w:r>
      <w:r w:rsidR="00992970">
        <w:t xml:space="preserve">help establish </w:t>
      </w:r>
      <w:r>
        <w:t>what proportion of this age cohort would be likely to require specialist disability therapy.</w:t>
      </w:r>
      <w:r w:rsidR="00992970">
        <w:rPr>
          <w:rStyle w:val="FootnoteReference"/>
        </w:rPr>
        <w:footnoteReference w:id="45"/>
      </w:r>
      <w:r>
        <w:t xml:space="preserve"> </w:t>
      </w:r>
    </w:p>
    <w:p w:rsidR="00B008E9" w:rsidRDefault="00B008E9" w:rsidP="00B008E9">
      <w:pPr>
        <w:spacing w:after="0"/>
      </w:pPr>
      <w:r>
        <w:t>Table 11 looks at the number of children who are hampered in their daily activities when they are 9 years old and when they are 13 years old.</w:t>
      </w:r>
    </w:p>
    <w:p w:rsidR="00B008E9" w:rsidRDefault="00B008E9" w:rsidP="0008565A">
      <w:pPr>
        <w:pStyle w:val="TableTitle"/>
      </w:pPr>
      <w:bookmarkStart w:id="108" w:name="_Toc403572511"/>
      <w:bookmarkStart w:id="109" w:name="_Toc419879414"/>
      <w:r>
        <w:t xml:space="preserve">Table 11: Is </w:t>
      </w:r>
      <w:r w:rsidR="00992970">
        <w:t xml:space="preserve">the </w:t>
      </w:r>
      <w:r>
        <w:t xml:space="preserve">child hampered in his/her daily activities by this problem, illness or disability? </w:t>
      </w:r>
      <w:r w:rsidR="00EF4A77">
        <w:t>(p</w:t>
      </w:r>
      <w:r>
        <w:t>er cent of total population</w:t>
      </w:r>
      <w:bookmarkEnd w:id="108"/>
      <w:r w:rsidR="00EF4A77">
        <w:t>)</w:t>
      </w:r>
      <w:bookmarkEnd w:id="109"/>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3F" w:firstRow="1" w:lastRow="0" w:firstColumn="0" w:lastColumn="0" w:noHBand="0" w:noVBand="0"/>
      </w:tblPr>
      <w:tblGrid>
        <w:gridCol w:w="2929"/>
        <w:gridCol w:w="2214"/>
        <w:gridCol w:w="2214"/>
      </w:tblGrid>
      <w:tr w:rsidR="00B008E9" w:rsidRPr="002D371A" w:rsidTr="00B008E9">
        <w:trPr>
          <w:tblHeader/>
          <w:jc w:val="center"/>
        </w:trPr>
        <w:tc>
          <w:tcPr>
            <w:tcW w:w="2929" w:type="dxa"/>
            <w:tcBorders>
              <w:bottom w:val="single" w:sz="12" w:space="0" w:color="000000"/>
            </w:tcBorders>
            <w:shd w:val="clear" w:color="auto" w:fill="auto"/>
          </w:tcPr>
          <w:p w:rsidR="00B008E9" w:rsidRPr="002D371A" w:rsidRDefault="00B008E9" w:rsidP="00DC301F">
            <w:pPr>
              <w:pStyle w:val="TableHead"/>
              <w:keepNext/>
            </w:pPr>
          </w:p>
        </w:tc>
        <w:tc>
          <w:tcPr>
            <w:tcW w:w="2214" w:type="dxa"/>
            <w:tcBorders>
              <w:bottom w:val="single" w:sz="12" w:space="0" w:color="000000"/>
            </w:tcBorders>
            <w:shd w:val="clear" w:color="auto" w:fill="auto"/>
          </w:tcPr>
          <w:p w:rsidR="00B008E9" w:rsidRPr="002D371A" w:rsidRDefault="00B008E9" w:rsidP="00DC301F">
            <w:pPr>
              <w:pStyle w:val="TableHead"/>
              <w:keepNext/>
            </w:pPr>
            <w:r>
              <w:t>9 year olds</w:t>
            </w:r>
          </w:p>
        </w:tc>
        <w:tc>
          <w:tcPr>
            <w:tcW w:w="2214" w:type="dxa"/>
            <w:tcBorders>
              <w:bottom w:val="single" w:sz="12" w:space="0" w:color="000000"/>
            </w:tcBorders>
            <w:shd w:val="clear" w:color="auto" w:fill="auto"/>
          </w:tcPr>
          <w:p w:rsidR="00B008E9" w:rsidRPr="002D371A" w:rsidRDefault="00B008E9" w:rsidP="00DC301F">
            <w:pPr>
              <w:pStyle w:val="TableHead"/>
              <w:keepNext/>
            </w:pPr>
            <w:r>
              <w:t>13 year olds</w:t>
            </w:r>
          </w:p>
        </w:tc>
      </w:tr>
      <w:tr w:rsidR="00B008E9" w:rsidRPr="002D371A" w:rsidTr="00B008E9">
        <w:trPr>
          <w:jc w:val="center"/>
        </w:trPr>
        <w:tc>
          <w:tcPr>
            <w:tcW w:w="2929" w:type="dxa"/>
            <w:tcBorders>
              <w:top w:val="single" w:sz="12" w:space="0" w:color="000000"/>
            </w:tcBorders>
            <w:shd w:val="clear" w:color="auto" w:fill="auto"/>
          </w:tcPr>
          <w:p w:rsidR="00B008E9" w:rsidRPr="002D371A" w:rsidRDefault="00B008E9" w:rsidP="00DC301F">
            <w:pPr>
              <w:pStyle w:val="TableCell"/>
              <w:keepNext/>
              <w:jc w:val="left"/>
            </w:pPr>
            <w:r>
              <w:t>Yes, severely</w:t>
            </w:r>
          </w:p>
        </w:tc>
        <w:tc>
          <w:tcPr>
            <w:tcW w:w="2214" w:type="dxa"/>
            <w:tcBorders>
              <w:top w:val="single" w:sz="12" w:space="0" w:color="000000"/>
            </w:tcBorders>
            <w:shd w:val="clear" w:color="auto" w:fill="auto"/>
          </w:tcPr>
          <w:p w:rsidR="00B008E9" w:rsidRPr="002D371A" w:rsidRDefault="00B008E9" w:rsidP="00DC301F">
            <w:pPr>
              <w:pStyle w:val="TableCell"/>
              <w:keepNext/>
            </w:pPr>
            <w:r>
              <w:t>0.7</w:t>
            </w:r>
          </w:p>
        </w:tc>
        <w:tc>
          <w:tcPr>
            <w:tcW w:w="2214" w:type="dxa"/>
            <w:tcBorders>
              <w:top w:val="single" w:sz="12" w:space="0" w:color="000000"/>
            </w:tcBorders>
            <w:shd w:val="clear" w:color="auto" w:fill="auto"/>
          </w:tcPr>
          <w:p w:rsidR="00B008E9" w:rsidRPr="002D371A" w:rsidRDefault="00B008E9" w:rsidP="00DC301F">
            <w:pPr>
              <w:pStyle w:val="TableCell"/>
              <w:keepNext/>
            </w:pPr>
            <w:r>
              <w:t>0.8</w:t>
            </w:r>
          </w:p>
        </w:tc>
      </w:tr>
      <w:tr w:rsidR="00B008E9" w:rsidRPr="002D371A" w:rsidTr="00B008E9">
        <w:trPr>
          <w:jc w:val="center"/>
        </w:trPr>
        <w:tc>
          <w:tcPr>
            <w:tcW w:w="2929" w:type="dxa"/>
            <w:shd w:val="clear" w:color="auto" w:fill="auto"/>
          </w:tcPr>
          <w:p w:rsidR="00B008E9" w:rsidRPr="002D371A" w:rsidRDefault="00B008E9" w:rsidP="00DC301F">
            <w:pPr>
              <w:pStyle w:val="TableCell"/>
              <w:keepNext/>
              <w:jc w:val="left"/>
            </w:pPr>
            <w:r>
              <w:t>Yes, to some extent</w:t>
            </w:r>
          </w:p>
        </w:tc>
        <w:tc>
          <w:tcPr>
            <w:tcW w:w="2214" w:type="dxa"/>
            <w:shd w:val="clear" w:color="auto" w:fill="auto"/>
          </w:tcPr>
          <w:p w:rsidR="00B008E9" w:rsidRPr="002D371A" w:rsidRDefault="00B008E9" w:rsidP="00DC301F">
            <w:pPr>
              <w:pStyle w:val="TableCell"/>
              <w:keepNext/>
            </w:pPr>
            <w:r>
              <w:t>4.3</w:t>
            </w:r>
          </w:p>
        </w:tc>
        <w:tc>
          <w:tcPr>
            <w:tcW w:w="2214" w:type="dxa"/>
            <w:shd w:val="clear" w:color="auto" w:fill="auto"/>
          </w:tcPr>
          <w:p w:rsidR="00B008E9" w:rsidRPr="002D371A" w:rsidRDefault="00B008E9" w:rsidP="00DC301F">
            <w:pPr>
              <w:pStyle w:val="TableCell"/>
              <w:keepNext/>
            </w:pPr>
            <w:r>
              <w:t>5</w:t>
            </w:r>
          </w:p>
        </w:tc>
      </w:tr>
      <w:tr w:rsidR="00B008E9" w:rsidRPr="002D371A" w:rsidTr="00B008E9">
        <w:trPr>
          <w:jc w:val="center"/>
        </w:trPr>
        <w:tc>
          <w:tcPr>
            <w:tcW w:w="2929" w:type="dxa"/>
            <w:shd w:val="clear" w:color="auto" w:fill="auto"/>
          </w:tcPr>
          <w:p w:rsidR="00B008E9" w:rsidRPr="00AC77F6" w:rsidRDefault="00AC77F6" w:rsidP="00AC77F6">
            <w:pPr>
              <w:pStyle w:val="TableCell"/>
              <w:keepNext/>
              <w:jc w:val="left"/>
              <w:rPr>
                <w:b/>
              </w:rPr>
            </w:pPr>
            <w:r>
              <w:rPr>
                <w:b/>
              </w:rPr>
              <w:t>Total</w:t>
            </w:r>
          </w:p>
        </w:tc>
        <w:tc>
          <w:tcPr>
            <w:tcW w:w="2214" w:type="dxa"/>
            <w:shd w:val="clear" w:color="auto" w:fill="auto"/>
          </w:tcPr>
          <w:p w:rsidR="00B008E9" w:rsidRPr="00AC77F6" w:rsidRDefault="00B008E9" w:rsidP="00DC301F">
            <w:pPr>
              <w:pStyle w:val="TableCell"/>
              <w:keepNext/>
              <w:rPr>
                <w:b/>
              </w:rPr>
            </w:pPr>
            <w:r w:rsidRPr="00AC77F6">
              <w:rPr>
                <w:b/>
              </w:rPr>
              <w:t>5.0</w:t>
            </w:r>
          </w:p>
        </w:tc>
        <w:tc>
          <w:tcPr>
            <w:tcW w:w="2214" w:type="dxa"/>
            <w:shd w:val="clear" w:color="auto" w:fill="auto"/>
          </w:tcPr>
          <w:p w:rsidR="00B008E9" w:rsidRPr="00AC77F6" w:rsidRDefault="00B008E9" w:rsidP="00DC301F">
            <w:pPr>
              <w:pStyle w:val="TableCell"/>
              <w:keepNext/>
              <w:rPr>
                <w:b/>
              </w:rPr>
            </w:pPr>
            <w:r w:rsidRPr="00AC77F6">
              <w:rPr>
                <w:b/>
              </w:rPr>
              <w:t>5.8</w:t>
            </w:r>
          </w:p>
        </w:tc>
      </w:tr>
    </w:tbl>
    <w:p w:rsidR="00B008E9" w:rsidRDefault="00B008E9" w:rsidP="00DC301F">
      <w:pPr>
        <w:pStyle w:val="TableNote"/>
      </w:pPr>
      <w:r>
        <w:t>Source: GUI 13 and 9 year old data – note grossed to represent total population of 13 and 9 year olds</w:t>
      </w:r>
    </w:p>
    <w:p w:rsidR="00B008E9" w:rsidRDefault="00B008E9" w:rsidP="00B008E9">
      <w:r>
        <w:t xml:space="preserve">There is a slight increase in the number of children </w:t>
      </w:r>
      <w:r w:rsidR="00992970">
        <w:t xml:space="preserve">between the ages of 9 and 13 years </w:t>
      </w:r>
      <w:r>
        <w:t>who are hampered in their daily activities. Even though children may be hampered by a disability or impairment, it does not follow that all these children wil</w:t>
      </w:r>
      <w:r w:rsidR="00992970">
        <w:t>l need the services of an inter</w:t>
      </w:r>
      <w:r>
        <w:t xml:space="preserve">disciplinary team.  </w:t>
      </w:r>
    </w:p>
    <w:p w:rsidR="00B008E9" w:rsidRDefault="00B008E9" w:rsidP="00B008E9">
      <w:r>
        <w:t xml:space="preserve">Table 12 looks at number of disabilities and whether the child is hampered in daily life. This shows that </w:t>
      </w:r>
      <w:r w:rsidR="00992970">
        <w:t>al</w:t>
      </w:r>
      <w:r>
        <w:t>though there is a very good overlap between the number of disabilities and being hampered</w:t>
      </w:r>
      <w:r w:rsidR="00992970">
        <w:t>,</w:t>
      </w:r>
      <w:r>
        <w:t xml:space="preserve"> it is not a perfect overlap: some children without disabilities are hampered and some children with 4 or more disabilities are not hampered in </w:t>
      </w:r>
      <w:r w:rsidR="00992970">
        <w:t xml:space="preserve">their </w:t>
      </w:r>
      <w:r>
        <w:t xml:space="preserve">daily activities. </w:t>
      </w:r>
    </w:p>
    <w:p w:rsidR="00453926" w:rsidRDefault="00453926" w:rsidP="00B008E9">
      <w:r>
        <w:t>The question is which of these children will need the interventions of a multi-disciplinary team. Children with multiple disabilities who are hampered in their daily activities are likely to need the services of such a team. Some children with a single condition who are hampered in their daily activities may need multiple interventions.  For example, a child with ASD may require occupational therapy for sensory issues, speech and language therapy for communication, and psychology input to help with behaviour. Finally, it is also highly likely that children who are severely affected in their daily life would need the interventions of a multi-disciplinary team.</w:t>
      </w:r>
      <w:r>
        <w:rPr>
          <w:rStyle w:val="FootnoteReference"/>
        </w:rPr>
        <w:footnoteReference w:id="46"/>
      </w:r>
    </w:p>
    <w:p w:rsidR="00B008E9" w:rsidRDefault="00B008E9" w:rsidP="00AA7990">
      <w:pPr>
        <w:pStyle w:val="TableTitle"/>
      </w:pPr>
      <w:bookmarkStart w:id="110" w:name="_Toc403572512"/>
      <w:bookmarkStart w:id="111" w:name="_Toc419879415"/>
      <w:r>
        <w:t xml:space="preserve">Table 12: </w:t>
      </w:r>
      <w:r w:rsidRPr="000E7F9A">
        <w:t xml:space="preserve">Is </w:t>
      </w:r>
      <w:r w:rsidR="00992970">
        <w:t xml:space="preserve">the </w:t>
      </w:r>
      <w:r w:rsidRPr="000E7F9A">
        <w:t>child hampered in his/her daily activities by this problem, illness or disability</w:t>
      </w:r>
      <w:r>
        <w:t>, by h</w:t>
      </w:r>
      <w:r w:rsidRPr="000E7F9A">
        <w:t>ow many conditions or disabilities does Study Child have?</w:t>
      </w:r>
      <w:bookmarkEnd w:id="110"/>
      <w:bookmarkEnd w:id="111"/>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3F" w:firstRow="1" w:lastRow="0" w:firstColumn="0" w:lastColumn="0" w:noHBand="0" w:noVBand="0"/>
      </w:tblPr>
      <w:tblGrid>
        <w:gridCol w:w="2517"/>
        <w:gridCol w:w="1406"/>
        <w:gridCol w:w="1286"/>
        <w:gridCol w:w="1281"/>
        <w:gridCol w:w="872"/>
        <w:gridCol w:w="1248"/>
      </w:tblGrid>
      <w:tr w:rsidR="00B008E9" w:rsidRPr="000E7F9A" w:rsidTr="00B008E9">
        <w:trPr>
          <w:tblHeader/>
        </w:trPr>
        <w:tc>
          <w:tcPr>
            <w:tcW w:w="0" w:type="auto"/>
            <w:tcBorders>
              <w:bottom w:val="single" w:sz="12" w:space="0" w:color="000000"/>
            </w:tcBorders>
            <w:shd w:val="clear" w:color="auto" w:fill="auto"/>
          </w:tcPr>
          <w:p w:rsidR="00B008E9" w:rsidRPr="000E7F9A" w:rsidRDefault="00B008E9" w:rsidP="00AC77F6">
            <w:pPr>
              <w:pStyle w:val="TableHead"/>
              <w:keepNext/>
              <w:rPr>
                <w:lang w:eastAsia="en-IE"/>
              </w:rPr>
            </w:pPr>
            <w:r>
              <w:rPr>
                <w:lang w:eastAsia="en-IE"/>
              </w:rPr>
              <w:t xml:space="preserve">Number of conditions or disabilities </w:t>
            </w:r>
          </w:p>
        </w:tc>
        <w:tc>
          <w:tcPr>
            <w:tcW w:w="0" w:type="auto"/>
            <w:tcBorders>
              <w:bottom w:val="single" w:sz="12" w:space="0" w:color="000000"/>
            </w:tcBorders>
            <w:shd w:val="clear" w:color="auto" w:fill="auto"/>
          </w:tcPr>
          <w:p w:rsidR="00B008E9" w:rsidRPr="000E7F9A" w:rsidRDefault="00B008E9" w:rsidP="00AC77F6">
            <w:pPr>
              <w:pStyle w:val="TableHead"/>
              <w:keepNext/>
              <w:rPr>
                <w:lang w:eastAsia="en-IE"/>
              </w:rPr>
            </w:pPr>
            <w:r w:rsidRPr="000E7F9A">
              <w:rPr>
                <w:lang w:eastAsia="en-IE"/>
              </w:rPr>
              <w:t>Yes, severely</w:t>
            </w:r>
          </w:p>
        </w:tc>
        <w:tc>
          <w:tcPr>
            <w:tcW w:w="1286" w:type="dxa"/>
            <w:tcBorders>
              <w:bottom w:val="single" w:sz="12" w:space="0" w:color="000000"/>
            </w:tcBorders>
            <w:shd w:val="clear" w:color="auto" w:fill="auto"/>
          </w:tcPr>
          <w:p w:rsidR="00B008E9" w:rsidRPr="000E7F9A" w:rsidRDefault="00B008E9" w:rsidP="00AC77F6">
            <w:pPr>
              <w:pStyle w:val="TableHead"/>
              <w:keepNext/>
              <w:rPr>
                <w:lang w:eastAsia="en-IE"/>
              </w:rPr>
            </w:pPr>
            <w:r w:rsidRPr="000E7F9A">
              <w:rPr>
                <w:lang w:eastAsia="en-IE"/>
              </w:rPr>
              <w:t>Yes, to some extent</w:t>
            </w:r>
          </w:p>
        </w:tc>
        <w:tc>
          <w:tcPr>
            <w:tcW w:w="1281" w:type="dxa"/>
            <w:tcBorders>
              <w:bottom w:val="single" w:sz="12" w:space="0" w:color="000000"/>
            </w:tcBorders>
            <w:shd w:val="clear" w:color="auto" w:fill="auto"/>
          </w:tcPr>
          <w:p w:rsidR="00B008E9" w:rsidRPr="000E7F9A" w:rsidRDefault="00B008E9" w:rsidP="00AC77F6">
            <w:pPr>
              <w:pStyle w:val="TableHead"/>
              <w:keepNext/>
              <w:rPr>
                <w:lang w:eastAsia="en-IE"/>
              </w:rPr>
            </w:pPr>
            <w:r w:rsidRPr="000E7F9A">
              <w:rPr>
                <w:lang w:eastAsia="en-IE"/>
              </w:rPr>
              <w:t>No</w:t>
            </w:r>
          </w:p>
        </w:tc>
        <w:tc>
          <w:tcPr>
            <w:tcW w:w="0" w:type="auto"/>
            <w:tcBorders>
              <w:bottom w:val="single" w:sz="12" w:space="0" w:color="000000"/>
            </w:tcBorders>
          </w:tcPr>
          <w:p w:rsidR="00B008E9" w:rsidRPr="000E7F9A" w:rsidRDefault="00B008E9" w:rsidP="00AC77F6">
            <w:pPr>
              <w:pStyle w:val="TableHead"/>
              <w:keepNext/>
              <w:rPr>
                <w:lang w:eastAsia="en-IE"/>
              </w:rPr>
            </w:pPr>
            <w:r>
              <w:rPr>
                <w:lang w:eastAsia="en-IE"/>
              </w:rPr>
              <w:t>Total</w:t>
            </w:r>
          </w:p>
        </w:tc>
        <w:tc>
          <w:tcPr>
            <w:tcW w:w="0" w:type="auto"/>
            <w:tcBorders>
              <w:bottom w:val="single" w:sz="12" w:space="0" w:color="000000"/>
            </w:tcBorders>
          </w:tcPr>
          <w:p w:rsidR="00B008E9" w:rsidRPr="00660BAF" w:rsidRDefault="00B008E9" w:rsidP="00AC77F6">
            <w:pPr>
              <w:pStyle w:val="TableHead"/>
              <w:keepNext/>
            </w:pPr>
            <w:r w:rsidRPr="00660BAF">
              <w:t>Number</w:t>
            </w:r>
          </w:p>
        </w:tc>
      </w:tr>
      <w:tr w:rsidR="00B008E9" w:rsidRPr="000E7F9A" w:rsidTr="00B008E9">
        <w:tc>
          <w:tcPr>
            <w:tcW w:w="0" w:type="auto"/>
            <w:tcBorders>
              <w:top w:val="single" w:sz="12" w:space="0" w:color="000000"/>
            </w:tcBorders>
            <w:shd w:val="clear" w:color="auto" w:fill="auto"/>
            <w:vAlign w:val="center"/>
          </w:tcPr>
          <w:p w:rsidR="00B008E9" w:rsidRPr="00287C75" w:rsidRDefault="00B008E9" w:rsidP="00AC77F6">
            <w:pPr>
              <w:pStyle w:val="TableCell"/>
              <w:keepNext/>
              <w:jc w:val="left"/>
              <w:rPr>
                <w:lang w:eastAsia="en-IE"/>
              </w:rPr>
            </w:pPr>
            <w:r w:rsidRPr="00287C75">
              <w:rPr>
                <w:lang w:eastAsia="en-IE"/>
              </w:rPr>
              <w:t>0</w:t>
            </w:r>
          </w:p>
        </w:tc>
        <w:tc>
          <w:tcPr>
            <w:tcW w:w="0" w:type="auto"/>
            <w:tcBorders>
              <w:top w:val="single" w:sz="12" w:space="0" w:color="000000"/>
            </w:tcBorders>
            <w:shd w:val="clear" w:color="auto" w:fill="auto"/>
            <w:vAlign w:val="center"/>
          </w:tcPr>
          <w:p w:rsidR="00B008E9" w:rsidRPr="00860259" w:rsidRDefault="00B008E9" w:rsidP="00AC77F6">
            <w:pPr>
              <w:pStyle w:val="TableCell"/>
              <w:keepNext/>
              <w:rPr>
                <w:lang w:eastAsia="en-IE"/>
              </w:rPr>
            </w:pPr>
            <w:r w:rsidRPr="00860259">
              <w:rPr>
                <w:lang w:eastAsia="en-IE"/>
              </w:rPr>
              <w:t>0.2%</w:t>
            </w:r>
          </w:p>
        </w:tc>
        <w:tc>
          <w:tcPr>
            <w:tcW w:w="1286" w:type="dxa"/>
            <w:tcBorders>
              <w:top w:val="single" w:sz="12" w:space="0" w:color="000000"/>
            </w:tcBorders>
            <w:shd w:val="clear" w:color="auto" w:fill="auto"/>
            <w:vAlign w:val="center"/>
          </w:tcPr>
          <w:p w:rsidR="00B008E9" w:rsidRPr="00860259" w:rsidRDefault="00B008E9" w:rsidP="00AC77F6">
            <w:pPr>
              <w:pStyle w:val="TableCell"/>
              <w:keepNext/>
              <w:rPr>
                <w:lang w:eastAsia="en-IE"/>
              </w:rPr>
            </w:pPr>
            <w:r w:rsidRPr="00860259">
              <w:rPr>
                <w:lang w:eastAsia="en-IE"/>
              </w:rPr>
              <w:t>2.4%</w:t>
            </w:r>
          </w:p>
        </w:tc>
        <w:tc>
          <w:tcPr>
            <w:tcW w:w="1281" w:type="dxa"/>
            <w:tcBorders>
              <w:top w:val="single" w:sz="12" w:space="0" w:color="000000"/>
            </w:tcBorders>
            <w:shd w:val="clear" w:color="auto" w:fill="auto"/>
            <w:vAlign w:val="center"/>
          </w:tcPr>
          <w:p w:rsidR="00B008E9" w:rsidRPr="00860259" w:rsidRDefault="00B008E9" w:rsidP="00AC77F6">
            <w:pPr>
              <w:pStyle w:val="TableCell"/>
              <w:keepNext/>
              <w:rPr>
                <w:lang w:eastAsia="en-IE"/>
              </w:rPr>
            </w:pPr>
            <w:r w:rsidRPr="00860259">
              <w:rPr>
                <w:lang w:eastAsia="en-IE"/>
              </w:rPr>
              <w:t>97.4%</w:t>
            </w:r>
          </w:p>
        </w:tc>
        <w:tc>
          <w:tcPr>
            <w:tcW w:w="0" w:type="auto"/>
            <w:tcBorders>
              <w:top w:val="single" w:sz="12" w:space="0" w:color="000000"/>
            </w:tcBorders>
            <w:vAlign w:val="center"/>
          </w:tcPr>
          <w:p w:rsidR="00B008E9" w:rsidRPr="00860259" w:rsidRDefault="00B008E9" w:rsidP="00AC77F6">
            <w:pPr>
              <w:pStyle w:val="TableCell"/>
              <w:keepNext/>
              <w:rPr>
                <w:lang w:eastAsia="en-IE"/>
              </w:rPr>
            </w:pPr>
            <w:r w:rsidRPr="00860259">
              <w:rPr>
                <w:lang w:eastAsia="en-IE"/>
              </w:rPr>
              <w:t>100%</w:t>
            </w:r>
          </w:p>
        </w:tc>
        <w:tc>
          <w:tcPr>
            <w:tcW w:w="0" w:type="auto"/>
            <w:tcBorders>
              <w:top w:val="single" w:sz="12" w:space="0" w:color="000000"/>
            </w:tcBorders>
            <w:vAlign w:val="center"/>
          </w:tcPr>
          <w:p w:rsidR="00B008E9" w:rsidRPr="00860259" w:rsidRDefault="00B008E9" w:rsidP="00AC77F6">
            <w:pPr>
              <w:pStyle w:val="TableCell"/>
              <w:keepNext/>
              <w:rPr>
                <w:lang w:eastAsia="en-IE"/>
              </w:rPr>
            </w:pPr>
            <w:r w:rsidRPr="00860259">
              <w:rPr>
                <w:lang w:eastAsia="en-IE"/>
              </w:rPr>
              <w:t>45,066</w:t>
            </w:r>
          </w:p>
        </w:tc>
      </w:tr>
      <w:tr w:rsidR="00B008E9" w:rsidRPr="000E7F9A" w:rsidTr="00B008E9">
        <w:tc>
          <w:tcPr>
            <w:tcW w:w="0" w:type="auto"/>
            <w:shd w:val="clear" w:color="auto" w:fill="auto"/>
            <w:vAlign w:val="center"/>
          </w:tcPr>
          <w:p w:rsidR="00B008E9" w:rsidRPr="00287C75" w:rsidRDefault="00B008E9" w:rsidP="00AC77F6">
            <w:pPr>
              <w:pStyle w:val="TableCell"/>
              <w:keepNext/>
              <w:jc w:val="left"/>
              <w:rPr>
                <w:lang w:eastAsia="en-IE"/>
              </w:rPr>
            </w:pPr>
            <w:r w:rsidRPr="00287C75">
              <w:rPr>
                <w:lang w:eastAsia="en-IE"/>
              </w:rPr>
              <w:t>1</w:t>
            </w:r>
          </w:p>
        </w:tc>
        <w:tc>
          <w:tcPr>
            <w:tcW w:w="0" w:type="auto"/>
            <w:shd w:val="clear" w:color="auto" w:fill="auto"/>
            <w:vAlign w:val="center"/>
          </w:tcPr>
          <w:p w:rsidR="00B008E9" w:rsidRPr="00860259" w:rsidRDefault="00B008E9" w:rsidP="00AC77F6">
            <w:pPr>
              <w:pStyle w:val="TableCell"/>
              <w:keepNext/>
              <w:rPr>
                <w:lang w:eastAsia="en-IE"/>
              </w:rPr>
            </w:pPr>
            <w:r w:rsidRPr="00860259">
              <w:rPr>
                <w:lang w:eastAsia="en-IE"/>
              </w:rPr>
              <w:t>1.7%</w:t>
            </w:r>
          </w:p>
        </w:tc>
        <w:tc>
          <w:tcPr>
            <w:tcW w:w="1286" w:type="dxa"/>
            <w:shd w:val="clear" w:color="auto" w:fill="auto"/>
            <w:vAlign w:val="center"/>
          </w:tcPr>
          <w:p w:rsidR="00B008E9" w:rsidRPr="00860259" w:rsidRDefault="00B008E9" w:rsidP="00AC77F6">
            <w:pPr>
              <w:pStyle w:val="TableCell"/>
              <w:keepNext/>
              <w:rPr>
                <w:lang w:eastAsia="en-IE"/>
              </w:rPr>
            </w:pPr>
            <w:r w:rsidRPr="00860259">
              <w:rPr>
                <w:lang w:eastAsia="en-IE"/>
              </w:rPr>
              <w:t>11.8%</w:t>
            </w:r>
          </w:p>
        </w:tc>
        <w:tc>
          <w:tcPr>
            <w:tcW w:w="1281" w:type="dxa"/>
            <w:shd w:val="clear" w:color="auto" w:fill="auto"/>
            <w:vAlign w:val="center"/>
          </w:tcPr>
          <w:p w:rsidR="00B008E9" w:rsidRPr="00860259" w:rsidRDefault="00B008E9" w:rsidP="00AC77F6">
            <w:pPr>
              <w:pStyle w:val="TableCell"/>
              <w:keepNext/>
              <w:rPr>
                <w:lang w:eastAsia="en-IE"/>
              </w:rPr>
            </w:pPr>
            <w:r w:rsidRPr="00860259">
              <w:rPr>
                <w:lang w:eastAsia="en-IE"/>
              </w:rPr>
              <w:t>86.6%</w:t>
            </w:r>
          </w:p>
        </w:tc>
        <w:tc>
          <w:tcPr>
            <w:tcW w:w="0" w:type="auto"/>
            <w:vAlign w:val="center"/>
          </w:tcPr>
          <w:p w:rsidR="00B008E9" w:rsidRPr="00860259" w:rsidRDefault="00B008E9" w:rsidP="00AC77F6">
            <w:pPr>
              <w:pStyle w:val="TableCell"/>
              <w:keepNext/>
              <w:rPr>
                <w:lang w:eastAsia="en-IE"/>
              </w:rPr>
            </w:pPr>
            <w:r w:rsidRPr="00860259">
              <w:rPr>
                <w:lang w:eastAsia="en-IE"/>
              </w:rPr>
              <w:t>100%</w:t>
            </w:r>
          </w:p>
        </w:tc>
        <w:tc>
          <w:tcPr>
            <w:tcW w:w="0" w:type="auto"/>
            <w:vAlign w:val="center"/>
          </w:tcPr>
          <w:p w:rsidR="00B008E9" w:rsidRPr="00860259" w:rsidRDefault="00B008E9" w:rsidP="00AC77F6">
            <w:pPr>
              <w:pStyle w:val="TableCell"/>
              <w:keepNext/>
              <w:rPr>
                <w:lang w:eastAsia="en-IE"/>
              </w:rPr>
            </w:pPr>
            <w:r w:rsidRPr="00860259">
              <w:rPr>
                <w:lang w:eastAsia="en-IE"/>
              </w:rPr>
              <w:t>7,781</w:t>
            </w:r>
          </w:p>
        </w:tc>
      </w:tr>
      <w:tr w:rsidR="00B008E9" w:rsidRPr="000E7F9A" w:rsidTr="00B008E9">
        <w:tc>
          <w:tcPr>
            <w:tcW w:w="0" w:type="auto"/>
            <w:shd w:val="clear" w:color="auto" w:fill="auto"/>
            <w:vAlign w:val="center"/>
          </w:tcPr>
          <w:p w:rsidR="00B008E9" w:rsidRPr="00287C75" w:rsidRDefault="00B008E9" w:rsidP="00AC77F6">
            <w:pPr>
              <w:pStyle w:val="TableCell"/>
              <w:keepNext/>
              <w:jc w:val="left"/>
              <w:rPr>
                <w:lang w:eastAsia="en-IE"/>
              </w:rPr>
            </w:pPr>
            <w:r w:rsidRPr="00287C75">
              <w:rPr>
                <w:lang w:eastAsia="en-IE"/>
              </w:rPr>
              <w:t>2</w:t>
            </w:r>
          </w:p>
        </w:tc>
        <w:tc>
          <w:tcPr>
            <w:tcW w:w="0" w:type="auto"/>
            <w:shd w:val="clear" w:color="auto" w:fill="auto"/>
            <w:vAlign w:val="center"/>
          </w:tcPr>
          <w:p w:rsidR="00B008E9" w:rsidRPr="00860259" w:rsidRDefault="00B008E9" w:rsidP="00AC77F6">
            <w:pPr>
              <w:pStyle w:val="TableCell"/>
              <w:keepNext/>
              <w:rPr>
                <w:lang w:eastAsia="en-IE"/>
              </w:rPr>
            </w:pPr>
            <w:r w:rsidRPr="00860259">
              <w:rPr>
                <w:lang w:eastAsia="en-IE"/>
              </w:rPr>
              <w:t>3.8%</w:t>
            </w:r>
          </w:p>
        </w:tc>
        <w:tc>
          <w:tcPr>
            <w:tcW w:w="1286" w:type="dxa"/>
            <w:shd w:val="clear" w:color="auto" w:fill="auto"/>
            <w:vAlign w:val="center"/>
          </w:tcPr>
          <w:p w:rsidR="00B008E9" w:rsidRPr="00860259" w:rsidRDefault="00B008E9" w:rsidP="00AC77F6">
            <w:pPr>
              <w:pStyle w:val="TableCell"/>
              <w:keepNext/>
              <w:rPr>
                <w:lang w:eastAsia="en-IE"/>
              </w:rPr>
            </w:pPr>
            <w:r w:rsidRPr="00860259">
              <w:rPr>
                <w:lang w:eastAsia="en-IE"/>
              </w:rPr>
              <w:t>17.5%</w:t>
            </w:r>
          </w:p>
        </w:tc>
        <w:tc>
          <w:tcPr>
            <w:tcW w:w="1281" w:type="dxa"/>
            <w:shd w:val="clear" w:color="auto" w:fill="auto"/>
            <w:vAlign w:val="center"/>
          </w:tcPr>
          <w:p w:rsidR="00B008E9" w:rsidRPr="00860259" w:rsidRDefault="00B008E9" w:rsidP="00AC77F6">
            <w:pPr>
              <w:pStyle w:val="TableCell"/>
              <w:keepNext/>
              <w:rPr>
                <w:lang w:eastAsia="en-IE"/>
              </w:rPr>
            </w:pPr>
            <w:r w:rsidRPr="00860259">
              <w:rPr>
                <w:lang w:eastAsia="en-IE"/>
              </w:rPr>
              <w:t>78.7%</w:t>
            </w:r>
          </w:p>
        </w:tc>
        <w:tc>
          <w:tcPr>
            <w:tcW w:w="0" w:type="auto"/>
            <w:vAlign w:val="center"/>
          </w:tcPr>
          <w:p w:rsidR="00B008E9" w:rsidRPr="00860259" w:rsidRDefault="00B008E9" w:rsidP="00AC77F6">
            <w:pPr>
              <w:pStyle w:val="TableCell"/>
              <w:keepNext/>
              <w:rPr>
                <w:lang w:eastAsia="en-IE"/>
              </w:rPr>
            </w:pPr>
            <w:r w:rsidRPr="00860259">
              <w:rPr>
                <w:lang w:eastAsia="en-IE"/>
              </w:rPr>
              <w:t>100%</w:t>
            </w:r>
          </w:p>
        </w:tc>
        <w:tc>
          <w:tcPr>
            <w:tcW w:w="0" w:type="auto"/>
            <w:vAlign w:val="center"/>
          </w:tcPr>
          <w:p w:rsidR="00B008E9" w:rsidRPr="00860259" w:rsidRDefault="00B008E9" w:rsidP="00AC77F6">
            <w:pPr>
              <w:pStyle w:val="TableCell"/>
              <w:keepNext/>
              <w:rPr>
                <w:lang w:eastAsia="en-IE"/>
              </w:rPr>
            </w:pPr>
            <w:r w:rsidRPr="00860259">
              <w:rPr>
                <w:lang w:eastAsia="en-IE"/>
              </w:rPr>
              <w:t>1,771</w:t>
            </w:r>
          </w:p>
        </w:tc>
      </w:tr>
      <w:tr w:rsidR="00B008E9" w:rsidRPr="000E7F9A" w:rsidTr="00B008E9">
        <w:tc>
          <w:tcPr>
            <w:tcW w:w="0" w:type="auto"/>
            <w:shd w:val="clear" w:color="auto" w:fill="auto"/>
            <w:vAlign w:val="center"/>
          </w:tcPr>
          <w:p w:rsidR="00B008E9" w:rsidRPr="00287C75" w:rsidRDefault="00B008E9" w:rsidP="00AC77F6">
            <w:pPr>
              <w:pStyle w:val="TableCell"/>
              <w:keepNext/>
              <w:jc w:val="left"/>
              <w:rPr>
                <w:lang w:eastAsia="en-IE"/>
              </w:rPr>
            </w:pPr>
            <w:r w:rsidRPr="00287C75">
              <w:rPr>
                <w:lang w:eastAsia="en-IE"/>
              </w:rPr>
              <w:t>3</w:t>
            </w:r>
          </w:p>
        </w:tc>
        <w:tc>
          <w:tcPr>
            <w:tcW w:w="0" w:type="auto"/>
            <w:shd w:val="clear" w:color="auto" w:fill="auto"/>
            <w:vAlign w:val="center"/>
          </w:tcPr>
          <w:p w:rsidR="00B008E9" w:rsidRPr="00860259" w:rsidRDefault="00B008E9" w:rsidP="00AC77F6">
            <w:pPr>
              <w:pStyle w:val="TableCell"/>
              <w:keepNext/>
              <w:rPr>
                <w:lang w:eastAsia="en-IE"/>
              </w:rPr>
            </w:pPr>
            <w:r w:rsidRPr="00860259">
              <w:rPr>
                <w:lang w:eastAsia="en-IE"/>
              </w:rPr>
              <w:t>7.6%</w:t>
            </w:r>
          </w:p>
        </w:tc>
        <w:tc>
          <w:tcPr>
            <w:tcW w:w="1286" w:type="dxa"/>
            <w:shd w:val="clear" w:color="auto" w:fill="auto"/>
            <w:vAlign w:val="center"/>
          </w:tcPr>
          <w:p w:rsidR="00B008E9" w:rsidRPr="00860259" w:rsidRDefault="00B008E9" w:rsidP="00AC77F6">
            <w:pPr>
              <w:pStyle w:val="TableCell"/>
              <w:keepNext/>
              <w:rPr>
                <w:lang w:eastAsia="en-IE"/>
              </w:rPr>
            </w:pPr>
            <w:r w:rsidRPr="00860259">
              <w:rPr>
                <w:lang w:eastAsia="en-IE"/>
              </w:rPr>
              <w:t>47.3%</w:t>
            </w:r>
          </w:p>
        </w:tc>
        <w:tc>
          <w:tcPr>
            <w:tcW w:w="1281" w:type="dxa"/>
            <w:shd w:val="clear" w:color="auto" w:fill="auto"/>
            <w:vAlign w:val="center"/>
          </w:tcPr>
          <w:p w:rsidR="00B008E9" w:rsidRPr="00860259" w:rsidRDefault="00B008E9" w:rsidP="00AC77F6">
            <w:pPr>
              <w:pStyle w:val="TableCell"/>
              <w:keepNext/>
              <w:rPr>
                <w:lang w:eastAsia="en-IE"/>
              </w:rPr>
            </w:pPr>
            <w:r w:rsidRPr="00860259">
              <w:rPr>
                <w:lang w:eastAsia="en-IE"/>
              </w:rPr>
              <w:t>45.1%</w:t>
            </w:r>
          </w:p>
        </w:tc>
        <w:tc>
          <w:tcPr>
            <w:tcW w:w="0" w:type="auto"/>
            <w:vAlign w:val="center"/>
          </w:tcPr>
          <w:p w:rsidR="00B008E9" w:rsidRPr="00860259" w:rsidRDefault="00B008E9" w:rsidP="00AC77F6">
            <w:pPr>
              <w:pStyle w:val="TableCell"/>
              <w:keepNext/>
              <w:rPr>
                <w:lang w:eastAsia="en-IE"/>
              </w:rPr>
            </w:pPr>
            <w:r w:rsidRPr="00860259">
              <w:rPr>
                <w:lang w:eastAsia="en-IE"/>
              </w:rPr>
              <w:t>100%</w:t>
            </w:r>
          </w:p>
        </w:tc>
        <w:tc>
          <w:tcPr>
            <w:tcW w:w="0" w:type="auto"/>
            <w:vAlign w:val="center"/>
          </w:tcPr>
          <w:p w:rsidR="00B008E9" w:rsidRPr="00860259" w:rsidRDefault="00B008E9" w:rsidP="00AC77F6">
            <w:pPr>
              <w:pStyle w:val="TableCell"/>
              <w:keepNext/>
              <w:rPr>
                <w:lang w:eastAsia="en-IE"/>
              </w:rPr>
            </w:pPr>
            <w:r w:rsidRPr="00860259">
              <w:rPr>
                <w:lang w:eastAsia="en-IE"/>
              </w:rPr>
              <w:t>620</w:t>
            </w:r>
          </w:p>
        </w:tc>
      </w:tr>
      <w:tr w:rsidR="00B008E9" w:rsidRPr="000E7F9A" w:rsidTr="00B008E9">
        <w:tc>
          <w:tcPr>
            <w:tcW w:w="0" w:type="auto"/>
            <w:shd w:val="clear" w:color="auto" w:fill="auto"/>
            <w:vAlign w:val="center"/>
          </w:tcPr>
          <w:p w:rsidR="00B008E9" w:rsidRPr="00287C75" w:rsidRDefault="00B008E9" w:rsidP="00AC77F6">
            <w:pPr>
              <w:pStyle w:val="TableCell"/>
              <w:keepNext/>
              <w:jc w:val="left"/>
              <w:rPr>
                <w:lang w:eastAsia="en-IE"/>
              </w:rPr>
            </w:pPr>
            <w:r w:rsidRPr="00287C75">
              <w:rPr>
                <w:lang w:eastAsia="en-IE"/>
              </w:rPr>
              <w:t>4 or more</w:t>
            </w:r>
          </w:p>
        </w:tc>
        <w:tc>
          <w:tcPr>
            <w:tcW w:w="0" w:type="auto"/>
            <w:shd w:val="clear" w:color="auto" w:fill="auto"/>
            <w:vAlign w:val="center"/>
          </w:tcPr>
          <w:p w:rsidR="00B008E9" w:rsidRPr="00860259" w:rsidRDefault="00B008E9" w:rsidP="00AC77F6">
            <w:pPr>
              <w:pStyle w:val="TableCell"/>
              <w:keepNext/>
              <w:rPr>
                <w:lang w:eastAsia="en-IE"/>
              </w:rPr>
            </w:pPr>
            <w:r w:rsidRPr="00860259">
              <w:rPr>
                <w:lang w:eastAsia="en-IE"/>
              </w:rPr>
              <w:t>23.2%</w:t>
            </w:r>
          </w:p>
        </w:tc>
        <w:tc>
          <w:tcPr>
            <w:tcW w:w="1286" w:type="dxa"/>
            <w:shd w:val="clear" w:color="auto" w:fill="auto"/>
            <w:vAlign w:val="center"/>
          </w:tcPr>
          <w:p w:rsidR="00B008E9" w:rsidRPr="00860259" w:rsidRDefault="00B008E9" w:rsidP="00AC77F6">
            <w:pPr>
              <w:pStyle w:val="TableCell"/>
              <w:keepNext/>
              <w:rPr>
                <w:lang w:eastAsia="en-IE"/>
              </w:rPr>
            </w:pPr>
            <w:r w:rsidRPr="00860259">
              <w:rPr>
                <w:lang w:eastAsia="en-IE"/>
              </w:rPr>
              <w:t>38.9%</w:t>
            </w:r>
          </w:p>
        </w:tc>
        <w:tc>
          <w:tcPr>
            <w:tcW w:w="1281" w:type="dxa"/>
            <w:shd w:val="clear" w:color="auto" w:fill="auto"/>
            <w:vAlign w:val="center"/>
          </w:tcPr>
          <w:p w:rsidR="00B008E9" w:rsidRPr="00860259" w:rsidRDefault="00B008E9" w:rsidP="00AC77F6">
            <w:pPr>
              <w:pStyle w:val="TableCell"/>
              <w:keepNext/>
              <w:rPr>
                <w:lang w:eastAsia="en-IE"/>
              </w:rPr>
            </w:pPr>
            <w:r w:rsidRPr="00860259">
              <w:rPr>
                <w:lang w:eastAsia="en-IE"/>
              </w:rPr>
              <w:t>37.9%</w:t>
            </w:r>
          </w:p>
        </w:tc>
        <w:tc>
          <w:tcPr>
            <w:tcW w:w="0" w:type="auto"/>
            <w:vAlign w:val="center"/>
          </w:tcPr>
          <w:p w:rsidR="00B008E9" w:rsidRPr="00860259" w:rsidRDefault="00B008E9" w:rsidP="00AC77F6">
            <w:pPr>
              <w:pStyle w:val="TableCell"/>
              <w:keepNext/>
              <w:rPr>
                <w:lang w:eastAsia="en-IE"/>
              </w:rPr>
            </w:pPr>
            <w:r w:rsidRPr="00860259">
              <w:rPr>
                <w:lang w:eastAsia="en-IE"/>
              </w:rPr>
              <w:t>100%</w:t>
            </w:r>
          </w:p>
        </w:tc>
        <w:tc>
          <w:tcPr>
            <w:tcW w:w="0" w:type="auto"/>
            <w:vAlign w:val="center"/>
          </w:tcPr>
          <w:p w:rsidR="00B008E9" w:rsidRPr="00860259" w:rsidRDefault="00B008E9" w:rsidP="00AC77F6">
            <w:pPr>
              <w:pStyle w:val="TableCell"/>
              <w:keepNext/>
              <w:rPr>
                <w:lang w:eastAsia="en-IE"/>
              </w:rPr>
            </w:pPr>
            <w:r w:rsidRPr="00860259">
              <w:rPr>
                <w:lang w:eastAsia="en-IE"/>
              </w:rPr>
              <w:t>490</w:t>
            </w:r>
          </w:p>
        </w:tc>
      </w:tr>
      <w:tr w:rsidR="00B008E9" w:rsidRPr="000E7F9A" w:rsidTr="00B008E9">
        <w:tc>
          <w:tcPr>
            <w:tcW w:w="0" w:type="auto"/>
            <w:shd w:val="clear" w:color="auto" w:fill="auto"/>
            <w:vAlign w:val="center"/>
          </w:tcPr>
          <w:p w:rsidR="00B008E9" w:rsidRPr="00AC77F6" w:rsidRDefault="00B008E9" w:rsidP="00AC77F6">
            <w:pPr>
              <w:pStyle w:val="TableCell"/>
              <w:keepNext/>
              <w:jc w:val="left"/>
              <w:rPr>
                <w:b/>
              </w:rPr>
            </w:pPr>
            <w:r w:rsidRPr="00AC77F6">
              <w:rPr>
                <w:b/>
                <w:lang w:eastAsia="en-IE"/>
              </w:rPr>
              <w:t>Total</w:t>
            </w:r>
          </w:p>
        </w:tc>
        <w:tc>
          <w:tcPr>
            <w:tcW w:w="0" w:type="auto"/>
            <w:shd w:val="clear" w:color="auto" w:fill="auto"/>
            <w:vAlign w:val="center"/>
          </w:tcPr>
          <w:p w:rsidR="00B008E9" w:rsidRPr="00AC77F6" w:rsidRDefault="00B008E9" w:rsidP="00AC77F6">
            <w:pPr>
              <w:pStyle w:val="TableCell"/>
              <w:keepNext/>
              <w:rPr>
                <w:b/>
                <w:lang w:eastAsia="en-IE"/>
              </w:rPr>
            </w:pPr>
            <w:r w:rsidRPr="00AC77F6">
              <w:rPr>
                <w:b/>
                <w:lang w:eastAsia="en-IE"/>
              </w:rPr>
              <w:t>0.8%</w:t>
            </w:r>
          </w:p>
        </w:tc>
        <w:tc>
          <w:tcPr>
            <w:tcW w:w="1286" w:type="dxa"/>
            <w:shd w:val="clear" w:color="auto" w:fill="auto"/>
            <w:vAlign w:val="center"/>
          </w:tcPr>
          <w:p w:rsidR="00B008E9" w:rsidRPr="00AC77F6" w:rsidRDefault="00B008E9" w:rsidP="00AC77F6">
            <w:pPr>
              <w:pStyle w:val="TableCell"/>
              <w:keepNext/>
              <w:rPr>
                <w:b/>
                <w:lang w:eastAsia="en-IE"/>
              </w:rPr>
            </w:pPr>
            <w:r w:rsidRPr="00AC77F6">
              <w:rPr>
                <w:b/>
                <w:lang w:eastAsia="en-IE"/>
              </w:rPr>
              <w:t>5.0%</w:t>
            </w:r>
          </w:p>
        </w:tc>
        <w:tc>
          <w:tcPr>
            <w:tcW w:w="1281" w:type="dxa"/>
            <w:shd w:val="clear" w:color="auto" w:fill="auto"/>
            <w:vAlign w:val="center"/>
          </w:tcPr>
          <w:p w:rsidR="00B008E9" w:rsidRPr="00AC77F6" w:rsidRDefault="00B008E9" w:rsidP="00AC77F6">
            <w:pPr>
              <w:pStyle w:val="TableCell"/>
              <w:keepNext/>
              <w:rPr>
                <w:b/>
                <w:lang w:eastAsia="en-IE"/>
              </w:rPr>
            </w:pPr>
            <w:r w:rsidRPr="00AC77F6">
              <w:rPr>
                <w:b/>
                <w:lang w:eastAsia="en-IE"/>
              </w:rPr>
              <w:t>94.2%</w:t>
            </w:r>
          </w:p>
        </w:tc>
        <w:tc>
          <w:tcPr>
            <w:tcW w:w="0" w:type="auto"/>
            <w:vAlign w:val="center"/>
          </w:tcPr>
          <w:p w:rsidR="00B008E9" w:rsidRPr="00AC77F6" w:rsidRDefault="00B008E9" w:rsidP="00AC77F6">
            <w:pPr>
              <w:pStyle w:val="TableCell"/>
              <w:keepNext/>
              <w:rPr>
                <w:b/>
                <w:lang w:eastAsia="en-IE"/>
              </w:rPr>
            </w:pPr>
            <w:r w:rsidRPr="00AC77F6">
              <w:rPr>
                <w:b/>
                <w:lang w:eastAsia="en-IE"/>
              </w:rPr>
              <w:t>100%</w:t>
            </w:r>
          </w:p>
        </w:tc>
        <w:tc>
          <w:tcPr>
            <w:tcW w:w="0" w:type="auto"/>
            <w:vAlign w:val="center"/>
          </w:tcPr>
          <w:p w:rsidR="00B008E9" w:rsidRPr="00AC77F6" w:rsidRDefault="00B008E9" w:rsidP="00AC77F6">
            <w:pPr>
              <w:pStyle w:val="TableCell"/>
              <w:keepNext/>
              <w:rPr>
                <w:b/>
                <w:lang w:eastAsia="en-IE"/>
              </w:rPr>
            </w:pPr>
            <w:r w:rsidRPr="00AC77F6">
              <w:rPr>
                <w:b/>
                <w:lang w:eastAsia="en-IE"/>
              </w:rPr>
              <w:t>55,728</w:t>
            </w:r>
          </w:p>
        </w:tc>
      </w:tr>
    </w:tbl>
    <w:p w:rsidR="00B008E9" w:rsidRDefault="00B008E9" w:rsidP="00B008E9">
      <w:pPr>
        <w:pStyle w:val="TableNote"/>
      </w:pPr>
      <w:r>
        <w:t>Source: GUI13</w:t>
      </w:r>
    </w:p>
    <w:p w:rsidR="00453926" w:rsidRDefault="00B008E9" w:rsidP="00B008E9">
      <w:pPr>
        <w:spacing w:after="0"/>
      </w:pPr>
      <w:r>
        <w:t>There were 1,024 children aged 13 who have multiple disabilities who are hampered in their daily lives, this increases to 1,132 if all children with ASD who are hampered are added. This increases further to 1,377 if all children with ASD are included.  Finally, if all children who are severely hampered are added this totals 1,563 children.</w:t>
      </w:r>
    </w:p>
    <w:p w:rsidR="00B008E9" w:rsidRDefault="00453926" w:rsidP="00A313F9">
      <w:pPr>
        <w:spacing w:before="240"/>
      </w:pPr>
      <w:r>
        <w:t xml:space="preserve">If we look at the group of children with multiple disabilities who are hampered in daily living; plus all children with autism; plus children who are severely hampered, we see that nearly 14% receive no support in or outside school (table 13). The most frequent support received cited was </w:t>
      </w:r>
      <w:r w:rsidRPr="00DA6747">
        <w:t>Resource Teaching/ Learning Support</w:t>
      </w:r>
      <w:r>
        <w:t xml:space="preserve"> followed by Special Needs Assistant. This highlights that we have been relatively good at support learning and children in school but less good at supporting children’s health-related needs.</w:t>
      </w:r>
    </w:p>
    <w:p w:rsidR="00B008E9" w:rsidRDefault="00B008E9" w:rsidP="00AA7990">
      <w:pPr>
        <w:pStyle w:val="TableTitle"/>
      </w:pPr>
      <w:bookmarkStart w:id="112" w:name="_Toc403572513"/>
      <w:bookmarkStart w:id="113" w:name="_Toc419879416"/>
      <w:r>
        <w:t>Table 13: Children with multiple disabilities who are hampered + all children with autism + children who are severely hampered</w:t>
      </w:r>
      <w:bookmarkEnd w:id="112"/>
      <w:bookmarkEnd w:id="113"/>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3F" w:firstRow="1" w:lastRow="0" w:firstColumn="0" w:lastColumn="0" w:noHBand="0" w:noVBand="0"/>
      </w:tblPr>
      <w:tblGrid>
        <w:gridCol w:w="6771"/>
        <w:gridCol w:w="1042"/>
        <w:gridCol w:w="1043"/>
      </w:tblGrid>
      <w:tr w:rsidR="00C02FB9" w:rsidRPr="00E771C3" w:rsidTr="004F5891">
        <w:tblPrEx>
          <w:tblCellMar>
            <w:top w:w="0" w:type="dxa"/>
            <w:bottom w:w="0" w:type="dxa"/>
          </w:tblCellMar>
        </w:tblPrEx>
        <w:trPr>
          <w:tblHeader/>
        </w:trPr>
        <w:tc>
          <w:tcPr>
            <w:tcW w:w="6771" w:type="dxa"/>
            <w:tcBorders>
              <w:bottom w:val="single" w:sz="12" w:space="0" w:color="000000"/>
            </w:tcBorders>
            <w:shd w:val="clear" w:color="auto" w:fill="auto"/>
          </w:tcPr>
          <w:p w:rsidR="00C02FB9" w:rsidRPr="00330B12" w:rsidRDefault="00C02FB9" w:rsidP="004F5891">
            <w:pPr>
              <w:pStyle w:val="TableHead"/>
              <w:keepNext/>
            </w:pPr>
            <w:r w:rsidRPr="00330B12">
              <w:t>Number receiving</w:t>
            </w:r>
          </w:p>
        </w:tc>
        <w:tc>
          <w:tcPr>
            <w:tcW w:w="1042" w:type="dxa"/>
            <w:tcBorders>
              <w:bottom w:val="single" w:sz="12" w:space="0" w:color="000000"/>
            </w:tcBorders>
            <w:shd w:val="clear" w:color="auto" w:fill="auto"/>
          </w:tcPr>
          <w:p w:rsidR="00C02FB9" w:rsidRPr="004566BA" w:rsidRDefault="00C02FB9" w:rsidP="004F5891">
            <w:pPr>
              <w:pStyle w:val="TableHead"/>
              <w:keepNext/>
            </w:pPr>
          </w:p>
        </w:tc>
        <w:tc>
          <w:tcPr>
            <w:tcW w:w="1043" w:type="dxa"/>
            <w:tcBorders>
              <w:bottom w:val="single" w:sz="12" w:space="0" w:color="000000"/>
            </w:tcBorders>
            <w:shd w:val="clear" w:color="auto" w:fill="auto"/>
          </w:tcPr>
          <w:p w:rsidR="00C02FB9" w:rsidRPr="004566BA" w:rsidRDefault="00C02FB9" w:rsidP="004F5891">
            <w:pPr>
              <w:pStyle w:val="TableHead"/>
              <w:keepNext/>
            </w:pPr>
            <w:r w:rsidRPr="004566BA">
              <w:t>%</w:t>
            </w:r>
          </w:p>
        </w:tc>
      </w:tr>
      <w:tr w:rsidR="00C02FB9" w:rsidRPr="00E771C3" w:rsidTr="004F5891">
        <w:tblPrEx>
          <w:tblCellMar>
            <w:top w:w="0" w:type="dxa"/>
            <w:bottom w:w="0" w:type="dxa"/>
          </w:tblCellMar>
        </w:tblPrEx>
        <w:tc>
          <w:tcPr>
            <w:tcW w:w="6771" w:type="dxa"/>
            <w:tcBorders>
              <w:top w:val="single" w:sz="12" w:space="0" w:color="000000"/>
            </w:tcBorders>
            <w:shd w:val="clear" w:color="auto" w:fill="auto"/>
          </w:tcPr>
          <w:p w:rsidR="00C02FB9" w:rsidRPr="004566BA" w:rsidRDefault="00C02FB9" w:rsidP="004F5891">
            <w:pPr>
              <w:pStyle w:val="TableCell"/>
              <w:keepNext/>
              <w:jc w:val="left"/>
              <w:rPr>
                <w:rFonts w:eastAsia="SimSun"/>
              </w:rPr>
            </w:pPr>
            <w:r w:rsidRPr="004566BA">
              <w:rPr>
                <w:rFonts w:eastAsia="SimSun"/>
              </w:rPr>
              <w:t>School based Resource Teaching/ Learning Support</w:t>
            </w:r>
          </w:p>
        </w:tc>
        <w:tc>
          <w:tcPr>
            <w:tcW w:w="1042" w:type="dxa"/>
            <w:tcBorders>
              <w:top w:val="single" w:sz="12" w:space="0" w:color="000000"/>
            </w:tcBorders>
            <w:shd w:val="clear" w:color="auto" w:fill="auto"/>
          </w:tcPr>
          <w:p w:rsidR="00C02FB9" w:rsidRPr="004566BA" w:rsidRDefault="00C02FB9" w:rsidP="004F5891">
            <w:pPr>
              <w:pStyle w:val="TableCell"/>
              <w:keepNext/>
              <w:rPr>
                <w:rFonts w:eastAsia="SimSun"/>
              </w:rPr>
            </w:pPr>
            <w:r w:rsidRPr="004566BA">
              <w:rPr>
                <w:rFonts w:eastAsia="SimSun"/>
              </w:rPr>
              <w:t>954</w:t>
            </w:r>
          </w:p>
        </w:tc>
        <w:tc>
          <w:tcPr>
            <w:tcW w:w="1043" w:type="dxa"/>
            <w:tcBorders>
              <w:top w:val="single" w:sz="12" w:space="0" w:color="000000"/>
            </w:tcBorders>
            <w:shd w:val="clear" w:color="auto" w:fill="auto"/>
            <w:vAlign w:val="bottom"/>
          </w:tcPr>
          <w:p w:rsidR="00C02FB9" w:rsidRPr="004566BA" w:rsidRDefault="00C02FB9" w:rsidP="004F5891">
            <w:pPr>
              <w:pStyle w:val="TableCell"/>
              <w:keepNext/>
              <w:rPr>
                <w:rFonts w:cs="Calibri"/>
                <w:color w:val="000000"/>
                <w:szCs w:val="22"/>
              </w:rPr>
            </w:pPr>
            <w:r w:rsidRPr="004566BA">
              <w:rPr>
                <w:rFonts w:cs="Calibri"/>
                <w:color w:val="000000"/>
                <w:szCs w:val="22"/>
              </w:rPr>
              <w:t>61.0</w:t>
            </w:r>
          </w:p>
        </w:tc>
      </w:tr>
      <w:tr w:rsidR="00C02FB9" w:rsidRPr="00E771C3" w:rsidTr="004F5891">
        <w:tblPrEx>
          <w:tblCellMar>
            <w:top w:w="0" w:type="dxa"/>
            <w:bottom w:w="0" w:type="dxa"/>
          </w:tblCellMar>
        </w:tblPrEx>
        <w:tc>
          <w:tcPr>
            <w:tcW w:w="6771" w:type="dxa"/>
            <w:shd w:val="clear" w:color="auto" w:fill="auto"/>
          </w:tcPr>
          <w:p w:rsidR="00C02FB9" w:rsidRPr="004566BA" w:rsidRDefault="00C02FB9" w:rsidP="004F5891">
            <w:pPr>
              <w:pStyle w:val="TableCell"/>
              <w:keepNext/>
              <w:jc w:val="left"/>
              <w:rPr>
                <w:rFonts w:eastAsia="SimSun"/>
              </w:rPr>
            </w:pPr>
            <w:r w:rsidRPr="004566BA">
              <w:rPr>
                <w:rFonts w:eastAsia="SimSun"/>
              </w:rPr>
              <w:t>School based Special Needs Assistant</w:t>
            </w:r>
          </w:p>
        </w:tc>
        <w:tc>
          <w:tcPr>
            <w:tcW w:w="1042" w:type="dxa"/>
            <w:shd w:val="clear" w:color="auto" w:fill="auto"/>
          </w:tcPr>
          <w:p w:rsidR="00C02FB9" w:rsidRPr="004566BA" w:rsidRDefault="00C02FB9" w:rsidP="004F5891">
            <w:pPr>
              <w:pStyle w:val="TableCell"/>
              <w:keepNext/>
              <w:rPr>
                <w:rFonts w:eastAsia="SimSun"/>
              </w:rPr>
            </w:pPr>
            <w:r w:rsidRPr="004566BA">
              <w:rPr>
                <w:rFonts w:eastAsia="SimSun"/>
              </w:rPr>
              <w:t>527</w:t>
            </w:r>
          </w:p>
        </w:tc>
        <w:tc>
          <w:tcPr>
            <w:tcW w:w="1043" w:type="dxa"/>
            <w:shd w:val="clear" w:color="auto" w:fill="auto"/>
            <w:vAlign w:val="bottom"/>
          </w:tcPr>
          <w:p w:rsidR="00C02FB9" w:rsidRPr="004566BA" w:rsidRDefault="00C02FB9" w:rsidP="004F5891">
            <w:pPr>
              <w:pStyle w:val="TableCell"/>
              <w:keepNext/>
              <w:rPr>
                <w:rFonts w:cs="Calibri"/>
                <w:color w:val="000000"/>
                <w:szCs w:val="22"/>
              </w:rPr>
            </w:pPr>
            <w:r w:rsidRPr="004566BA">
              <w:rPr>
                <w:rFonts w:cs="Calibri"/>
                <w:color w:val="000000"/>
                <w:szCs w:val="22"/>
              </w:rPr>
              <w:t>33.7</w:t>
            </w:r>
          </w:p>
        </w:tc>
      </w:tr>
      <w:tr w:rsidR="00C02FB9" w:rsidRPr="00E771C3" w:rsidTr="004F5891">
        <w:tblPrEx>
          <w:tblCellMar>
            <w:top w:w="0" w:type="dxa"/>
            <w:bottom w:w="0" w:type="dxa"/>
          </w:tblCellMar>
        </w:tblPrEx>
        <w:tc>
          <w:tcPr>
            <w:tcW w:w="6771" w:type="dxa"/>
            <w:shd w:val="clear" w:color="auto" w:fill="auto"/>
          </w:tcPr>
          <w:p w:rsidR="00C02FB9" w:rsidRPr="004566BA" w:rsidRDefault="00C02FB9" w:rsidP="004F5891">
            <w:pPr>
              <w:pStyle w:val="TableCell"/>
              <w:keepNext/>
              <w:jc w:val="left"/>
              <w:rPr>
                <w:rFonts w:eastAsia="SimSun"/>
              </w:rPr>
            </w:pPr>
            <w:r w:rsidRPr="004566BA">
              <w:rPr>
                <w:rFonts w:eastAsia="SimSun"/>
              </w:rPr>
              <w:t>School based Technical Assistance</w:t>
            </w:r>
          </w:p>
        </w:tc>
        <w:tc>
          <w:tcPr>
            <w:tcW w:w="1042" w:type="dxa"/>
            <w:shd w:val="clear" w:color="auto" w:fill="auto"/>
          </w:tcPr>
          <w:p w:rsidR="00C02FB9" w:rsidRPr="004566BA" w:rsidRDefault="00C02FB9" w:rsidP="004F5891">
            <w:pPr>
              <w:pStyle w:val="TableCell"/>
              <w:keepNext/>
              <w:rPr>
                <w:rFonts w:eastAsia="SimSun"/>
              </w:rPr>
            </w:pPr>
            <w:r w:rsidRPr="004566BA">
              <w:rPr>
                <w:rFonts w:eastAsia="SimSun"/>
              </w:rPr>
              <w:t>135</w:t>
            </w:r>
          </w:p>
        </w:tc>
        <w:tc>
          <w:tcPr>
            <w:tcW w:w="1043" w:type="dxa"/>
            <w:shd w:val="clear" w:color="auto" w:fill="auto"/>
            <w:vAlign w:val="bottom"/>
          </w:tcPr>
          <w:p w:rsidR="00C02FB9" w:rsidRPr="004566BA" w:rsidRDefault="00C02FB9" w:rsidP="004F5891">
            <w:pPr>
              <w:pStyle w:val="TableCell"/>
              <w:keepNext/>
              <w:rPr>
                <w:rFonts w:cs="Calibri"/>
                <w:color w:val="000000"/>
                <w:szCs w:val="22"/>
              </w:rPr>
            </w:pPr>
            <w:r w:rsidRPr="004566BA">
              <w:rPr>
                <w:rFonts w:cs="Calibri"/>
                <w:color w:val="000000"/>
                <w:szCs w:val="22"/>
              </w:rPr>
              <w:t>8.6</w:t>
            </w:r>
          </w:p>
        </w:tc>
      </w:tr>
      <w:tr w:rsidR="00C02FB9" w:rsidRPr="00E771C3" w:rsidTr="004F5891">
        <w:tblPrEx>
          <w:tblCellMar>
            <w:top w:w="0" w:type="dxa"/>
            <w:bottom w:w="0" w:type="dxa"/>
          </w:tblCellMar>
        </w:tblPrEx>
        <w:tc>
          <w:tcPr>
            <w:tcW w:w="6771" w:type="dxa"/>
            <w:shd w:val="clear" w:color="auto" w:fill="auto"/>
          </w:tcPr>
          <w:p w:rsidR="00C02FB9" w:rsidRPr="004566BA" w:rsidRDefault="00C02FB9" w:rsidP="004F5891">
            <w:pPr>
              <w:pStyle w:val="TableCell"/>
              <w:keepNext/>
              <w:jc w:val="left"/>
              <w:rPr>
                <w:rFonts w:eastAsia="SimSun"/>
              </w:rPr>
            </w:pPr>
            <w:r w:rsidRPr="004566BA">
              <w:rPr>
                <w:rFonts w:eastAsia="SimSun"/>
              </w:rPr>
              <w:t>School based Visiting Teacher</w:t>
            </w:r>
          </w:p>
        </w:tc>
        <w:tc>
          <w:tcPr>
            <w:tcW w:w="1042" w:type="dxa"/>
            <w:shd w:val="clear" w:color="auto" w:fill="auto"/>
          </w:tcPr>
          <w:p w:rsidR="00C02FB9" w:rsidRPr="004566BA" w:rsidRDefault="00C02FB9" w:rsidP="004F5891">
            <w:pPr>
              <w:pStyle w:val="TableCell"/>
              <w:keepNext/>
              <w:rPr>
                <w:rFonts w:eastAsia="SimSun"/>
              </w:rPr>
            </w:pPr>
            <w:r w:rsidRPr="004566BA">
              <w:rPr>
                <w:rFonts w:eastAsia="SimSun"/>
              </w:rPr>
              <w:t>147</w:t>
            </w:r>
          </w:p>
        </w:tc>
        <w:tc>
          <w:tcPr>
            <w:tcW w:w="1043" w:type="dxa"/>
            <w:shd w:val="clear" w:color="auto" w:fill="auto"/>
            <w:vAlign w:val="bottom"/>
          </w:tcPr>
          <w:p w:rsidR="00C02FB9" w:rsidRPr="004566BA" w:rsidRDefault="00C02FB9" w:rsidP="004F5891">
            <w:pPr>
              <w:pStyle w:val="TableCell"/>
              <w:keepNext/>
              <w:rPr>
                <w:rFonts w:cs="Calibri"/>
                <w:color w:val="000000"/>
                <w:szCs w:val="22"/>
              </w:rPr>
            </w:pPr>
            <w:r w:rsidRPr="004566BA">
              <w:rPr>
                <w:rFonts w:cs="Calibri"/>
                <w:color w:val="000000"/>
                <w:szCs w:val="22"/>
              </w:rPr>
              <w:t>9.4</w:t>
            </w:r>
          </w:p>
        </w:tc>
      </w:tr>
      <w:tr w:rsidR="00C02FB9" w:rsidRPr="00E771C3" w:rsidTr="004F5891">
        <w:tblPrEx>
          <w:tblCellMar>
            <w:top w:w="0" w:type="dxa"/>
            <w:bottom w:w="0" w:type="dxa"/>
          </w:tblCellMar>
        </w:tblPrEx>
        <w:tc>
          <w:tcPr>
            <w:tcW w:w="6771" w:type="dxa"/>
            <w:shd w:val="clear" w:color="auto" w:fill="auto"/>
          </w:tcPr>
          <w:p w:rsidR="00C02FB9" w:rsidRPr="004566BA" w:rsidRDefault="00C02FB9" w:rsidP="004F5891">
            <w:pPr>
              <w:pStyle w:val="TableCell"/>
              <w:keepNext/>
              <w:jc w:val="left"/>
              <w:rPr>
                <w:rFonts w:eastAsia="SimSun"/>
              </w:rPr>
            </w:pPr>
            <w:r w:rsidRPr="004566BA">
              <w:rPr>
                <w:rFonts w:eastAsia="SimSun"/>
              </w:rPr>
              <w:t>School based Transport Service</w:t>
            </w:r>
          </w:p>
        </w:tc>
        <w:tc>
          <w:tcPr>
            <w:tcW w:w="1042" w:type="dxa"/>
            <w:shd w:val="clear" w:color="auto" w:fill="auto"/>
          </w:tcPr>
          <w:p w:rsidR="00C02FB9" w:rsidRPr="004566BA" w:rsidRDefault="00C02FB9" w:rsidP="004F5891">
            <w:pPr>
              <w:pStyle w:val="TableCell"/>
              <w:keepNext/>
              <w:rPr>
                <w:rFonts w:eastAsia="SimSun"/>
              </w:rPr>
            </w:pPr>
            <w:r w:rsidRPr="004566BA">
              <w:rPr>
                <w:rFonts w:eastAsia="SimSun"/>
              </w:rPr>
              <w:t>315</w:t>
            </w:r>
          </w:p>
        </w:tc>
        <w:tc>
          <w:tcPr>
            <w:tcW w:w="1043" w:type="dxa"/>
            <w:shd w:val="clear" w:color="auto" w:fill="auto"/>
            <w:vAlign w:val="bottom"/>
          </w:tcPr>
          <w:p w:rsidR="00C02FB9" w:rsidRPr="004566BA" w:rsidRDefault="00C02FB9" w:rsidP="004F5891">
            <w:pPr>
              <w:pStyle w:val="TableCell"/>
              <w:keepNext/>
              <w:rPr>
                <w:rFonts w:cs="Calibri"/>
                <w:color w:val="000000"/>
                <w:szCs w:val="22"/>
              </w:rPr>
            </w:pPr>
            <w:r w:rsidRPr="004566BA">
              <w:rPr>
                <w:rFonts w:cs="Calibri"/>
                <w:color w:val="000000"/>
                <w:szCs w:val="22"/>
              </w:rPr>
              <w:t>20.2</w:t>
            </w:r>
          </w:p>
        </w:tc>
      </w:tr>
      <w:tr w:rsidR="00C02FB9" w:rsidRPr="00E771C3" w:rsidTr="004F5891">
        <w:tblPrEx>
          <w:tblCellMar>
            <w:top w:w="0" w:type="dxa"/>
            <w:bottom w:w="0" w:type="dxa"/>
          </w:tblCellMar>
        </w:tblPrEx>
        <w:tc>
          <w:tcPr>
            <w:tcW w:w="6771" w:type="dxa"/>
            <w:shd w:val="clear" w:color="auto" w:fill="auto"/>
          </w:tcPr>
          <w:p w:rsidR="00C02FB9" w:rsidRPr="004566BA" w:rsidRDefault="00C02FB9" w:rsidP="004F5891">
            <w:pPr>
              <w:pStyle w:val="TableCell"/>
              <w:keepNext/>
              <w:jc w:val="left"/>
              <w:rPr>
                <w:rFonts w:eastAsia="SimSun"/>
              </w:rPr>
            </w:pPr>
            <w:r w:rsidRPr="004566BA">
              <w:rPr>
                <w:rFonts w:eastAsia="SimSun"/>
              </w:rPr>
              <w:t>School based Speech and Language Therapist</w:t>
            </w:r>
          </w:p>
        </w:tc>
        <w:tc>
          <w:tcPr>
            <w:tcW w:w="1042" w:type="dxa"/>
            <w:shd w:val="clear" w:color="auto" w:fill="auto"/>
          </w:tcPr>
          <w:p w:rsidR="00C02FB9" w:rsidRPr="004566BA" w:rsidRDefault="00C02FB9" w:rsidP="004F5891">
            <w:pPr>
              <w:pStyle w:val="TableCell"/>
              <w:keepNext/>
              <w:rPr>
                <w:rFonts w:eastAsia="SimSun"/>
              </w:rPr>
            </w:pPr>
            <w:r w:rsidRPr="004566BA">
              <w:rPr>
                <w:rFonts w:eastAsia="SimSun"/>
              </w:rPr>
              <w:t>262</w:t>
            </w:r>
          </w:p>
        </w:tc>
        <w:tc>
          <w:tcPr>
            <w:tcW w:w="1043" w:type="dxa"/>
            <w:shd w:val="clear" w:color="auto" w:fill="auto"/>
            <w:vAlign w:val="bottom"/>
          </w:tcPr>
          <w:p w:rsidR="00C02FB9" w:rsidRPr="004566BA" w:rsidRDefault="00C02FB9" w:rsidP="004F5891">
            <w:pPr>
              <w:pStyle w:val="TableCell"/>
              <w:keepNext/>
              <w:rPr>
                <w:rFonts w:cs="Calibri"/>
                <w:color w:val="000000"/>
                <w:szCs w:val="22"/>
              </w:rPr>
            </w:pPr>
            <w:r w:rsidRPr="004566BA">
              <w:rPr>
                <w:rFonts w:cs="Calibri"/>
                <w:color w:val="000000"/>
                <w:szCs w:val="22"/>
              </w:rPr>
              <w:t>16.8</w:t>
            </w:r>
          </w:p>
        </w:tc>
      </w:tr>
      <w:tr w:rsidR="00C02FB9" w:rsidRPr="00E771C3" w:rsidTr="004F5891">
        <w:tblPrEx>
          <w:tblCellMar>
            <w:top w:w="0" w:type="dxa"/>
            <w:bottom w:w="0" w:type="dxa"/>
          </w:tblCellMar>
        </w:tblPrEx>
        <w:tc>
          <w:tcPr>
            <w:tcW w:w="6771" w:type="dxa"/>
            <w:shd w:val="clear" w:color="auto" w:fill="auto"/>
          </w:tcPr>
          <w:p w:rsidR="00C02FB9" w:rsidRPr="004566BA" w:rsidRDefault="00C02FB9" w:rsidP="004F5891">
            <w:pPr>
              <w:pStyle w:val="TableCell"/>
              <w:keepNext/>
              <w:jc w:val="left"/>
              <w:rPr>
                <w:rFonts w:eastAsia="SimSun"/>
              </w:rPr>
            </w:pPr>
            <w:r w:rsidRPr="004566BA">
              <w:rPr>
                <w:rFonts w:eastAsia="SimSun"/>
              </w:rPr>
              <w:t>School based Behavioural Management Programme</w:t>
            </w:r>
          </w:p>
        </w:tc>
        <w:tc>
          <w:tcPr>
            <w:tcW w:w="1042" w:type="dxa"/>
            <w:shd w:val="clear" w:color="auto" w:fill="auto"/>
          </w:tcPr>
          <w:p w:rsidR="00C02FB9" w:rsidRPr="004566BA" w:rsidRDefault="00C02FB9" w:rsidP="004F5891">
            <w:pPr>
              <w:pStyle w:val="TableCell"/>
              <w:keepNext/>
              <w:rPr>
                <w:rFonts w:eastAsia="SimSun"/>
              </w:rPr>
            </w:pPr>
            <w:r w:rsidRPr="004566BA">
              <w:rPr>
                <w:rFonts w:eastAsia="SimSun"/>
              </w:rPr>
              <w:t>76</w:t>
            </w:r>
          </w:p>
        </w:tc>
        <w:tc>
          <w:tcPr>
            <w:tcW w:w="1043" w:type="dxa"/>
            <w:shd w:val="clear" w:color="auto" w:fill="auto"/>
            <w:vAlign w:val="bottom"/>
          </w:tcPr>
          <w:p w:rsidR="00C02FB9" w:rsidRPr="004566BA" w:rsidRDefault="00C02FB9" w:rsidP="004F5891">
            <w:pPr>
              <w:pStyle w:val="TableCell"/>
              <w:keepNext/>
              <w:rPr>
                <w:rFonts w:cs="Calibri"/>
                <w:color w:val="000000"/>
                <w:szCs w:val="22"/>
              </w:rPr>
            </w:pPr>
            <w:r w:rsidRPr="004566BA">
              <w:rPr>
                <w:rFonts w:cs="Calibri"/>
                <w:color w:val="000000"/>
                <w:szCs w:val="22"/>
              </w:rPr>
              <w:t>4.9</w:t>
            </w:r>
          </w:p>
        </w:tc>
      </w:tr>
      <w:tr w:rsidR="00C02FB9" w:rsidRPr="00E771C3" w:rsidTr="004F5891">
        <w:tblPrEx>
          <w:tblCellMar>
            <w:top w:w="0" w:type="dxa"/>
            <w:bottom w:w="0" w:type="dxa"/>
          </w:tblCellMar>
        </w:tblPrEx>
        <w:tc>
          <w:tcPr>
            <w:tcW w:w="6771" w:type="dxa"/>
            <w:shd w:val="clear" w:color="auto" w:fill="auto"/>
          </w:tcPr>
          <w:p w:rsidR="00C02FB9" w:rsidRPr="004566BA" w:rsidRDefault="00C02FB9" w:rsidP="004F5891">
            <w:pPr>
              <w:pStyle w:val="TableCell"/>
              <w:keepNext/>
              <w:jc w:val="left"/>
              <w:rPr>
                <w:rFonts w:eastAsia="SimSun"/>
              </w:rPr>
            </w:pPr>
            <w:r w:rsidRPr="004566BA">
              <w:rPr>
                <w:rFonts w:eastAsia="SimSun"/>
              </w:rPr>
              <w:t>School based School psychologist</w:t>
            </w:r>
          </w:p>
        </w:tc>
        <w:tc>
          <w:tcPr>
            <w:tcW w:w="1042" w:type="dxa"/>
            <w:shd w:val="clear" w:color="auto" w:fill="auto"/>
          </w:tcPr>
          <w:p w:rsidR="00C02FB9" w:rsidRPr="004566BA" w:rsidRDefault="00C02FB9" w:rsidP="004F5891">
            <w:pPr>
              <w:pStyle w:val="TableCell"/>
              <w:keepNext/>
              <w:rPr>
                <w:rFonts w:eastAsia="SimSun"/>
              </w:rPr>
            </w:pPr>
            <w:r w:rsidRPr="004566BA">
              <w:rPr>
                <w:rFonts w:eastAsia="SimSun"/>
              </w:rPr>
              <w:t>282</w:t>
            </w:r>
          </w:p>
        </w:tc>
        <w:tc>
          <w:tcPr>
            <w:tcW w:w="1043" w:type="dxa"/>
            <w:shd w:val="clear" w:color="auto" w:fill="auto"/>
            <w:vAlign w:val="bottom"/>
          </w:tcPr>
          <w:p w:rsidR="00C02FB9" w:rsidRPr="004566BA" w:rsidRDefault="00C02FB9" w:rsidP="004F5891">
            <w:pPr>
              <w:pStyle w:val="TableCell"/>
              <w:keepNext/>
              <w:rPr>
                <w:rFonts w:cs="Calibri"/>
                <w:color w:val="000000"/>
                <w:szCs w:val="22"/>
              </w:rPr>
            </w:pPr>
            <w:r w:rsidRPr="004566BA">
              <w:rPr>
                <w:rFonts w:cs="Calibri"/>
                <w:color w:val="000000"/>
                <w:szCs w:val="22"/>
              </w:rPr>
              <w:t>18.0</w:t>
            </w:r>
          </w:p>
        </w:tc>
      </w:tr>
      <w:tr w:rsidR="00C02FB9" w:rsidRPr="00E771C3" w:rsidTr="004F5891">
        <w:tblPrEx>
          <w:tblCellMar>
            <w:top w:w="0" w:type="dxa"/>
            <w:bottom w:w="0" w:type="dxa"/>
          </w:tblCellMar>
        </w:tblPrEx>
        <w:tc>
          <w:tcPr>
            <w:tcW w:w="6771" w:type="dxa"/>
            <w:shd w:val="clear" w:color="auto" w:fill="auto"/>
          </w:tcPr>
          <w:p w:rsidR="00C02FB9" w:rsidRPr="004566BA" w:rsidRDefault="00C02FB9" w:rsidP="004F5891">
            <w:pPr>
              <w:pStyle w:val="TableCell"/>
              <w:keepNext/>
              <w:jc w:val="left"/>
              <w:rPr>
                <w:rFonts w:eastAsia="SimSun"/>
              </w:rPr>
            </w:pPr>
            <w:r w:rsidRPr="004566BA">
              <w:rPr>
                <w:rFonts w:eastAsia="SimSun"/>
              </w:rPr>
              <w:t>National Educational Psychological Service</w:t>
            </w:r>
          </w:p>
        </w:tc>
        <w:tc>
          <w:tcPr>
            <w:tcW w:w="1042" w:type="dxa"/>
            <w:shd w:val="clear" w:color="auto" w:fill="auto"/>
          </w:tcPr>
          <w:p w:rsidR="00C02FB9" w:rsidRPr="004566BA" w:rsidRDefault="00C02FB9" w:rsidP="004F5891">
            <w:pPr>
              <w:pStyle w:val="TableCell"/>
              <w:keepNext/>
              <w:rPr>
                <w:rFonts w:eastAsia="SimSun"/>
              </w:rPr>
            </w:pPr>
            <w:r w:rsidRPr="004566BA">
              <w:rPr>
                <w:rFonts w:eastAsia="SimSun"/>
              </w:rPr>
              <w:t>267</w:t>
            </w:r>
          </w:p>
        </w:tc>
        <w:tc>
          <w:tcPr>
            <w:tcW w:w="1043" w:type="dxa"/>
            <w:shd w:val="clear" w:color="auto" w:fill="auto"/>
            <w:vAlign w:val="bottom"/>
          </w:tcPr>
          <w:p w:rsidR="00C02FB9" w:rsidRPr="004566BA" w:rsidRDefault="00C02FB9" w:rsidP="004F5891">
            <w:pPr>
              <w:pStyle w:val="TableCell"/>
              <w:keepNext/>
              <w:rPr>
                <w:rFonts w:cs="Calibri"/>
                <w:color w:val="000000"/>
                <w:szCs w:val="22"/>
              </w:rPr>
            </w:pPr>
            <w:r w:rsidRPr="004566BA">
              <w:rPr>
                <w:rFonts w:cs="Calibri"/>
                <w:color w:val="000000"/>
                <w:szCs w:val="22"/>
              </w:rPr>
              <w:t>17.1</w:t>
            </w:r>
          </w:p>
        </w:tc>
      </w:tr>
      <w:tr w:rsidR="00C02FB9" w:rsidRPr="00E771C3" w:rsidTr="004F5891">
        <w:tblPrEx>
          <w:tblCellMar>
            <w:top w:w="0" w:type="dxa"/>
            <w:bottom w:w="0" w:type="dxa"/>
          </w:tblCellMar>
        </w:tblPrEx>
        <w:tc>
          <w:tcPr>
            <w:tcW w:w="6771" w:type="dxa"/>
            <w:shd w:val="clear" w:color="auto" w:fill="auto"/>
          </w:tcPr>
          <w:p w:rsidR="00C02FB9" w:rsidRPr="004566BA" w:rsidRDefault="00C02FB9" w:rsidP="004F5891">
            <w:pPr>
              <w:pStyle w:val="TableCell"/>
              <w:keepNext/>
              <w:jc w:val="left"/>
              <w:rPr>
                <w:rFonts w:eastAsia="SimSun"/>
              </w:rPr>
            </w:pPr>
            <w:r>
              <w:rPr>
                <w:rFonts w:eastAsia="SimSun"/>
              </w:rPr>
              <w:t>Other (</w:t>
            </w:r>
            <w:r w:rsidRPr="004566BA">
              <w:rPr>
                <w:rFonts w:eastAsia="SimSun"/>
              </w:rPr>
              <w:t>school based)</w:t>
            </w:r>
          </w:p>
        </w:tc>
        <w:tc>
          <w:tcPr>
            <w:tcW w:w="1042" w:type="dxa"/>
            <w:shd w:val="clear" w:color="auto" w:fill="auto"/>
          </w:tcPr>
          <w:p w:rsidR="00C02FB9" w:rsidRPr="004566BA" w:rsidRDefault="00C02FB9" w:rsidP="004F5891">
            <w:pPr>
              <w:pStyle w:val="TableCell"/>
              <w:keepNext/>
              <w:rPr>
                <w:rFonts w:eastAsia="SimSun"/>
              </w:rPr>
            </w:pPr>
            <w:r w:rsidRPr="004566BA">
              <w:rPr>
                <w:rFonts w:eastAsia="SimSun"/>
              </w:rPr>
              <w:t>108</w:t>
            </w:r>
          </w:p>
        </w:tc>
        <w:tc>
          <w:tcPr>
            <w:tcW w:w="1043" w:type="dxa"/>
            <w:shd w:val="clear" w:color="auto" w:fill="auto"/>
            <w:vAlign w:val="bottom"/>
          </w:tcPr>
          <w:p w:rsidR="00C02FB9" w:rsidRPr="004566BA" w:rsidRDefault="00C02FB9" w:rsidP="004F5891">
            <w:pPr>
              <w:pStyle w:val="TableCell"/>
              <w:keepNext/>
              <w:rPr>
                <w:rFonts w:cs="Calibri"/>
                <w:color w:val="000000"/>
                <w:szCs w:val="22"/>
              </w:rPr>
            </w:pPr>
            <w:r w:rsidRPr="004566BA">
              <w:rPr>
                <w:rFonts w:cs="Calibri"/>
                <w:color w:val="000000"/>
                <w:szCs w:val="22"/>
              </w:rPr>
              <w:t>6.9</w:t>
            </w:r>
          </w:p>
        </w:tc>
      </w:tr>
      <w:tr w:rsidR="00C02FB9" w:rsidRPr="00E771C3" w:rsidTr="004F5891">
        <w:tblPrEx>
          <w:tblCellMar>
            <w:top w:w="0" w:type="dxa"/>
            <w:bottom w:w="0" w:type="dxa"/>
          </w:tblCellMar>
        </w:tblPrEx>
        <w:tc>
          <w:tcPr>
            <w:tcW w:w="6771" w:type="dxa"/>
            <w:shd w:val="clear" w:color="auto" w:fill="auto"/>
          </w:tcPr>
          <w:p w:rsidR="00C02FB9" w:rsidRPr="004566BA" w:rsidRDefault="00C02FB9" w:rsidP="004F5891">
            <w:pPr>
              <w:pStyle w:val="TableCell"/>
              <w:keepNext/>
              <w:jc w:val="left"/>
              <w:rPr>
                <w:rFonts w:eastAsia="SimSun"/>
              </w:rPr>
            </w:pPr>
            <w:r w:rsidRPr="004566BA">
              <w:rPr>
                <w:rFonts w:eastAsia="SimSun"/>
              </w:rPr>
              <w:t>Doesn’t receive any school based supports</w:t>
            </w:r>
          </w:p>
        </w:tc>
        <w:tc>
          <w:tcPr>
            <w:tcW w:w="1042" w:type="dxa"/>
            <w:shd w:val="clear" w:color="auto" w:fill="auto"/>
          </w:tcPr>
          <w:p w:rsidR="00C02FB9" w:rsidRPr="004566BA" w:rsidRDefault="00C02FB9" w:rsidP="004F5891">
            <w:pPr>
              <w:pStyle w:val="TableCell"/>
              <w:keepNext/>
              <w:rPr>
                <w:rFonts w:eastAsia="SimSun"/>
              </w:rPr>
            </w:pPr>
            <w:r w:rsidRPr="004566BA">
              <w:rPr>
                <w:rFonts w:eastAsia="SimSun"/>
              </w:rPr>
              <w:t>278</w:t>
            </w:r>
          </w:p>
        </w:tc>
        <w:tc>
          <w:tcPr>
            <w:tcW w:w="1043" w:type="dxa"/>
            <w:shd w:val="clear" w:color="auto" w:fill="auto"/>
            <w:vAlign w:val="bottom"/>
          </w:tcPr>
          <w:p w:rsidR="00C02FB9" w:rsidRPr="004566BA" w:rsidRDefault="00C02FB9" w:rsidP="004F5891">
            <w:pPr>
              <w:pStyle w:val="TableCell"/>
              <w:keepNext/>
              <w:rPr>
                <w:rFonts w:cs="Calibri"/>
                <w:color w:val="000000"/>
                <w:szCs w:val="22"/>
              </w:rPr>
            </w:pPr>
            <w:r w:rsidRPr="004566BA">
              <w:rPr>
                <w:rFonts w:cs="Calibri"/>
                <w:color w:val="000000"/>
                <w:szCs w:val="22"/>
              </w:rPr>
              <w:t>17.8</w:t>
            </w:r>
          </w:p>
        </w:tc>
      </w:tr>
      <w:tr w:rsidR="00C02FB9" w:rsidRPr="00E771C3" w:rsidTr="004F5891">
        <w:tblPrEx>
          <w:tblCellMar>
            <w:top w:w="0" w:type="dxa"/>
            <w:bottom w:w="0" w:type="dxa"/>
          </w:tblCellMar>
        </w:tblPrEx>
        <w:tc>
          <w:tcPr>
            <w:tcW w:w="6771" w:type="dxa"/>
            <w:shd w:val="clear" w:color="auto" w:fill="auto"/>
          </w:tcPr>
          <w:p w:rsidR="00C02FB9" w:rsidRPr="004566BA" w:rsidRDefault="00C02FB9" w:rsidP="004F5891">
            <w:pPr>
              <w:pStyle w:val="TableCell"/>
              <w:keepNext/>
              <w:jc w:val="left"/>
              <w:rPr>
                <w:rFonts w:eastAsia="SimSun"/>
              </w:rPr>
            </w:pPr>
            <w:r w:rsidRPr="004566BA">
              <w:rPr>
                <w:rFonts w:eastAsia="SimSun"/>
              </w:rPr>
              <w:t>Speech and Language Therapist</w:t>
            </w:r>
          </w:p>
        </w:tc>
        <w:tc>
          <w:tcPr>
            <w:tcW w:w="1042" w:type="dxa"/>
            <w:shd w:val="clear" w:color="auto" w:fill="auto"/>
          </w:tcPr>
          <w:p w:rsidR="00C02FB9" w:rsidRPr="004566BA" w:rsidRDefault="00C02FB9" w:rsidP="004F5891">
            <w:pPr>
              <w:pStyle w:val="TableCell"/>
              <w:keepNext/>
              <w:rPr>
                <w:rFonts w:eastAsia="SimSun"/>
              </w:rPr>
            </w:pPr>
            <w:r w:rsidRPr="004566BA">
              <w:rPr>
                <w:rFonts w:eastAsia="SimSun"/>
              </w:rPr>
              <w:t>237</w:t>
            </w:r>
          </w:p>
        </w:tc>
        <w:tc>
          <w:tcPr>
            <w:tcW w:w="1043" w:type="dxa"/>
            <w:shd w:val="clear" w:color="auto" w:fill="auto"/>
            <w:vAlign w:val="bottom"/>
          </w:tcPr>
          <w:p w:rsidR="00C02FB9" w:rsidRPr="004566BA" w:rsidRDefault="00C02FB9" w:rsidP="004F5891">
            <w:pPr>
              <w:pStyle w:val="TableCell"/>
              <w:keepNext/>
              <w:rPr>
                <w:rFonts w:cs="Calibri"/>
                <w:color w:val="000000"/>
                <w:szCs w:val="22"/>
              </w:rPr>
            </w:pPr>
            <w:r w:rsidRPr="004566BA">
              <w:rPr>
                <w:rFonts w:cs="Calibri"/>
                <w:color w:val="000000"/>
                <w:szCs w:val="22"/>
              </w:rPr>
              <w:t>15.2</w:t>
            </w:r>
          </w:p>
        </w:tc>
      </w:tr>
      <w:tr w:rsidR="00C02FB9" w:rsidRPr="00E771C3" w:rsidTr="004F5891">
        <w:tblPrEx>
          <w:tblCellMar>
            <w:top w:w="0" w:type="dxa"/>
            <w:bottom w:w="0" w:type="dxa"/>
          </w:tblCellMar>
        </w:tblPrEx>
        <w:tc>
          <w:tcPr>
            <w:tcW w:w="6771" w:type="dxa"/>
            <w:shd w:val="clear" w:color="auto" w:fill="auto"/>
          </w:tcPr>
          <w:p w:rsidR="00C02FB9" w:rsidRPr="004566BA" w:rsidRDefault="00C02FB9" w:rsidP="004F5891">
            <w:pPr>
              <w:pStyle w:val="TableCell"/>
              <w:keepNext/>
              <w:jc w:val="left"/>
              <w:rPr>
                <w:rFonts w:eastAsia="SimSun"/>
              </w:rPr>
            </w:pPr>
            <w:r w:rsidRPr="004566BA">
              <w:rPr>
                <w:rFonts w:eastAsia="SimSun"/>
              </w:rPr>
              <w:t>Occupational Therapist</w:t>
            </w:r>
          </w:p>
        </w:tc>
        <w:tc>
          <w:tcPr>
            <w:tcW w:w="1042" w:type="dxa"/>
            <w:shd w:val="clear" w:color="auto" w:fill="auto"/>
          </w:tcPr>
          <w:p w:rsidR="00C02FB9" w:rsidRPr="004566BA" w:rsidRDefault="00C02FB9" w:rsidP="004F5891">
            <w:pPr>
              <w:pStyle w:val="TableCell"/>
              <w:keepNext/>
              <w:rPr>
                <w:rFonts w:eastAsia="SimSun"/>
              </w:rPr>
            </w:pPr>
            <w:r w:rsidRPr="004566BA">
              <w:rPr>
                <w:rFonts w:eastAsia="SimSun"/>
              </w:rPr>
              <w:t>261</w:t>
            </w:r>
          </w:p>
        </w:tc>
        <w:tc>
          <w:tcPr>
            <w:tcW w:w="1043" w:type="dxa"/>
            <w:shd w:val="clear" w:color="auto" w:fill="auto"/>
            <w:vAlign w:val="bottom"/>
          </w:tcPr>
          <w:p w:rsidR="00C02FB9" w:rsidRPr="004566BA" w:rsidRDefault="00C02FB9" w:rsidP="004F5891">
            <w:pPr>
              <w:pStyle w:val="TableCell"/>
              <w:keepNext/>
              <w:rPr>
                <w:rFonts w:cs="Calibri"/>
                <w:color w:val="000000"/>
                <w:szCs w:val="22"/>
              </w:rPr>
            </w:pPr>
            <w:r w:rsidRPr="004566BA">
              <w:rPr>
                <w:rFonts w:cs="Calibri"/>
                <w:color w:val="000000"/>
                <w:szCs w:val="22"/>
              </w:rPr>
              <w:t>16.7</w:t>
            </w:r>
          </w:p>
        </w:tc>
      </w:tr>
      <w:tr w:rsidR="00C02FB9" w:rsidRPr="00E771C3" w:rsidTr="004F5891">
        <w:tblPrEx>
          <w:tblCellMar>
            <w:top w:w="0" w:type="dxa"/>
            <w:bottom w:w="0" w:type="dxa"/>
          </w:tblCellMar>
        </w:tblPrEx>
        <w:tc>
          <w:tcPr>
            <w:tcW w:w="6771" w:type="dxa"/>
            <w:shd w:val="clear" w:color="auto" w:fill="auto"/>
          </w:tcPr>
          <w:p w:rsidR="00C02FB9" w:rsidRPr="004566BA" w:rsidRDefault="00C02FB9" w:rsidP="004F5891">
            <w:pPr>
              <w:pStyle w:val="TableCell"/>
              <w:keepNext/>
              <w:jc w:val="left"/>
              <w:rPr>
                <w:rFonts w:eastAsia="SimSun"/>
              </w:rPr>
            </w:pPr>
            <w:r w:rsidRPr="004566BA">
              <w:rPr>
                <w:rFonts w:eastAsia="SimSun"/>
              </w:rPr>
              <w:t>Physiotherapist</w:t>
            </w:r>
          </w:p>
        </w:tc>
        <w:tc>
          <w:tcPr>
            <w:tcW w:w="1042" w:type="dxa"/>
            <w:shd w:val="clear" w:color="auto" w:fill="auto"/>
          </w:tcPr>
          <w:p w:rsidR="00C02FB9" w:rsidRPr="004566BA" w:rsidRDefault="00C02FB9" w:rsidP="004F5891">
            <w:pPr>
              <w:pStyle w:val="TableCell"/>
              <w:keepNext/>
              <w:rPr>
                <w:rFonts w:eastAsia="SimSun"/>
              </w:rPr>
            </w:pPr>
            <w:r w:rsidRPr="004566BA">
              <w:rPr>
                <w:rFonts w:eastAsia="SimSun"/>
              </w:rPr>
              <w:t>167</w:t>
            </w:r>
          </w:p>
        </w:tc>
        <w:tc>
          <w:tcPr>
            <w:tcW w:w="1043" w:type="dxa"/>
            <w:shd w:val="clear" w:color="auto" w:fill="auto"/>
            <w:vAlign w:val="bottom"/>
          </w:tcPr>
          <w:p w:rsidR="00C02FB9" w:rsidRPr="004566BA" w:rsidRDefault="00C02FB9" w:rsidP="004F5891">
            <w:pPr>
              <w:pStyle w:val="TableCell"/>
              <w:keepNext/>
              <w:rPr>
                <w:rFonts w:cs="Calibri"/>
                <w:color w:val="000000"/>
                <w:szCs w:val="22"/>
              </w:rPr>
            </w:pPr>
            <w:r w:rsidRPr="004566BA">
              <w:rPr>
                <w:rFonts w:cs="Calibri"/>
                <w:color w:val="000000"/>
                <w:szCs w:val="22"/>
              </w:rPr>
              <w:t>10.7</w:t>
            </w:r>
          </w:p>
        </w:tc>
      </w:tr>
      <w:tr w:rsidR="00C02FB9" w:rsidRPr="00E771C3" w:rsidTr="004F5891">
        <w:tblPrEx>
          <w:tblCellMar>
            <w:top w:w="0" w:type="dxa"/>
            <w:bottom w:w="0" w:type="dxa"/>
          </w:tblCellMar>
        </w:tblPrEx>
        <w:tc>
          <w:tcPr>
            <w:tcW w:w="6771" w:type="dxa"/>
            <w:shd w:val="clear" w:color="auto" w:fill="auto"/>
          </w:tcPr>
          <w:p w:rsidR="00C02FB9" w:rsidRPr="004566BA" w:rsidRDefault="00C02FB9" w:rsidP="004F5891">
            <w:pPr>
              <w:pStyle w:val="TableCell"/>
              <w:keepNext/>
              <w:jc w:val="left"/>
              <w:rPr>
                <w:rFonts w:eastAsia="SimSun"/>
              </w:rPr>
            </w:pPr>
            <w:r w:rsidRPr="004566BA">
              <w:rPr>
                <w:rFonts w:eastAsia="SimSun"/>
              </w:rPr>
              <w:t>Psychologist</w:t>
            </w:r>
          </w:p>
        </w:tc>
        <w:tc>
          <w:tcPr>
            <w:tcW w:w="1042" w:type="dxa"/>
            <w:shd w:val="clear" w:color="auto" w:fill="auto"/>
          </w:tcPr>
          <w:p w:rsidR="00C02FB9" w:rsidRPr="004566BA" w:rsidRDefault="00C02FB9" w:rsidP="004F5891">
            <w:pPr>
              <w:pStyle w:val="TableCell"/>
              <w:keepNext/>
              <w:rPr>
                <w:rFonts w:eastAsia="SimSun"/>
              </w:rPr>
            </w:pPr>
            <w:r w:rsidRPr="004566BA">
              <w:rPr>
                <w:rFonts w:eastAsia="SimSun"/>
              </w:rPr>
              <w:t>411</w:t>
            </w:r>
          </w:p>
        </w:tc>
        <w:tc>
          <w:tcPr>
            <w:tcW w:w="1043" w:type="dxa"/>
            <w:shd w:val="clear" w:color="auto" w:fill="auto"/>
            <w:vAlign w:val="bottom"/>
          </w:tcPr>
          <w:p w:rsidR="00C02FB9" w:rsidRPr="004566BA" w:rsidRDefault="00C02FB9" w:rsidP="004F5891">
            <w:pPr>
              <w:pStyle w:val="TableCell"/>
              <w:keepNext/>
              <w:rPr>
                <w:rFonts w:cs="Calibri"/>
                <w:color w:val="000000"/>
                <w:szCs w:val="22"/>
              </w:rPr>
            </w:pPr>
            <w:r w:rsidRPr="004566BA">
              <w:rPr>
                <w:rFonts w:cs="Calibri"/>
                <w:color w:val="000000"/>
                <w:szCs w:val="22"/>
              </w:rPr>
              <w:t>26.3</w:t>
            </w:r>
          </w:p>
        </w:tc>
      </w:tr>
      <w:tr w:rsidR="00C02FB9" w:rsidRPr="00E771C3" w:rsidTr="004F5891">
        <w:tblPrEx>
          <w:tblCellMar>
            <w:top w:w="0" w:type="dxa"/>
            <w:bottom w:w="0" w:type="dxa"/>
          </w:tblCellMar>
        </w:tblPrEx>
        <w:tc>
          <w:tcPr>
            <w:tcW w:w="6771" w:type="dxa"/>
            <w:shd w:val="clear" w:color="auto" w:fill="auto"/>
          </w:tcPr>
          <w:p w:rsidR="00C02FB9" w:rsidRPr="004566BA" w:rsidRDefault="00C02FB9" w:rsidP="004F5891">
            <w:pPr>
              <w:pStyle w:val="TableCell"/>
              <w:keepNext/>
              <w:jc w:val="left"/>
              <w:rPr>
                <w:rFonts w:eastAsia="SimSun"/>
              </w:rPr>
            </w:pPr>
            <w:r w:rsidRPr="004566BA">
              <w:rPr>
                <w:rFonts w:eastAsia="SimSun"/>
              </w:rPr>
              <w:t>Psychiatrist</w:t>
            </w:r>
          </w:p>
        </w:tc>
        <w:tc>
          <w:tcPr>
            <w:tcW w:w="1042" w:type="dxa"/>
            <w:shd w:val="clear" w:color="auto" w:fill="auto"/>
          </w:tcPr>
          <w:p w:rsidR="00C02FB9" w:rsidRPr="004566BA" w:rsidRDefault="00C02FB9" w:rsidP="004F5891">
            <w:pPr>
              <w:pStyle w:val="TableCell"/>
              <w:keepNext/>
              <w:rPr>
                <w:rFonts w:eastAsia="SimSun"/>
              </w:rPr>
            </w:pPr>
            <w:r w:rsidRPr="004566BA">
              <w:rPr>
                <w:rFonts w:eastAsia="SimSun"/>
              </w:rPr>
              <w:t>270</w:t>
            </w:r>
          </w:p>
        </w:tc>
        <w:tc>
          <w:tcPr>
            <w:tcW w:w="1043" w:type="dxa"/>
            <w:shd w:val="clear" w:color="auto" w:fill="auto"/>
            <w:vAlign w:val="bottom"/>
          </w:tcPr>
          <w:p w:rsidR="00C02FB9" w:rsidRPr="004566BA" w:rsidRDefault="00C02FB9" w:rsidP="004F5891">
            <w:pPr>
              <w:pStyle w:val="TableCell"/>
              <w:keepNext/>
              <w:rPr>
                <w:rFonts w:cs="Calibri"/>
                <w:color w:val="000000"/>
                <w:szCs w:val="22"/>
              </w:rPr>
            </w:pPr>
            <w:r w:rsidRPr="004566BA">
              <w:rPr>
                <w:rFonts w:cs="Calibri"/>
                <w:color w:val="000000"/>
                <w:szCs w:val="22"/>
              </w:rPr>
              <w:t>17.3</w:t>
            </w:r>
          </w:p>
        </w:tc>
      </w:tr>
      <w:tr w:rsidR="00C02FB9" w:rsidRPr="00E771C3" w:rsidTr="004F5891">
        <w:tblPrEx>
          <w:tblCellMar>
            <w:top w:w="0" w:type="dxa"/>
            <w:bottom w:w="0" w:type="dxa"/>
          </w:tblCellMar>
        </w:tblPrEx>
        <w:tc>
          <w:tcPr>
            <w:tcW w:w="6771" w:type="dxa"/>
            <w:shd w:val="clear" w:color="auto" w:fill="auto"/>
          </w:tcPr>
          <w:p w:rsidR="00C02FB9" w:rsidRPr="004566BA" w:rsidRDefault="00C02FB9" w:rsidP="004F5891">
            <w:pPr>
              <w:pStyle w:val="TableCell"/>
              <w:keepNext/>
              <w:jc w:val="left"/>
              <w:rPr>
                <w:rFonts w:eastAsia="SimSun"/>
              </w:rPr>
            </w:pPr>
            <w:r w:rsidRPr="004566BA">
              <w:rPr>
                <w:rFonts w:eastAsia="SimSun"/>
              </w:rPr>
              <w:t>Extra tuition/private tuition</w:t>
            </w:r>
          </w:p>
        </w:tc>
        <w:tc>
          <w:tcPr>
            <w:tcW w:w="1042" w:type="dxa"/>
            <w:shd w:val="clear" w:color="auto" w:fill="auto"/>
          </w:tcPr>
          <w:p w:rsidR="00C02FB9" w:rsidRPr="004566BA" w:rsidRDefault="00C02FB9" w:rsidP="004F5891">
            <w:pPr>
              <w:pStyle w:val="TableCell"/>
              <w:keepNext/>
              <w:rPr>
                <w:rFonts w:eastAsia="SimSun"/>
              </w:rPr>
            </w:pPr>
            <w:r w:rsidRPr="004566BA">
              <w:rPr>
                <w:rFonts w:eastAsia="SimSun"/>
              </w:rPr>
              <w:t>126</w:t>
            </w:r>
          </w:p>
        </w:tc>
        <w:tc>
          <w:tcPr>
            <w:tcW w:w="1043" w:type="dxa"/>
            <w:shd w:val="clear" w:color="auto" w:fill="auto"/>
            <w:vAlign w:val="bottom"/>
          </w:tcPr>
          <w:p w:rsidR="00C02FB9" w:rsidRPr="004566BA" w:rsidRDefault="00C02FB9" w:rsidP="004F5891">
            <w:pPr>
              <w:pStyle w:val="TableCell"/>
              <w:keepNext/>
              <w:rPr>
                <w:rFonts w:cs="Calibri"/>
                <w:color w:val="000000"/>
                <w:szCs w:val="22"/>
              </w:rPr>
            </w:pPr>
            <w:r w:rsidRPr="004566BA">
              <w:rPr>
                <w:rFonts w:cs="Calibri"/>
                <w:color w:val="000000"/>
                <w:szCs w:val="22"/>
              </w:rPr>
              <w:t>8.1</w:t>
            </w:r>
          </w:p>
        </w:tc>
      </w:tr>
      <w:tr w:rsidR="00C02FB9" w:rsidRPr="00E771C3" w:rsidTr="004F5891">
        <w:tblPrEx>
          <w:tblCellMar>
            <w:top w:w="0" w:type="dxa"/>
            <w:bottom w:w="0" w:type="dxa"/>
          </w:tblCellMar>
        </w:tblPrEx>
        <w:tc>
          <w:tcPr>
            <w:tcW w:w="6771" w:type="dxa"/>
            <w:shd w:val="clear" w:color="auto" w:fill="auto"/>
          </w:tcPr>
          <w:p w:rsidR="00C02FB9" w:rsidRPr="004566BA" w:rsidRDefault="00C02FB9" w:rsidP="004F5891">
            <w:pPr>
              <w:pStyle w:val="TableCell"/>
              <w:keepNext/>
              <w:jc w:val="left"/>
              <w:rPr>
                <w:rFonts w:eastAsia="SimSun"/>
              </w:rPr>
            </w:pPr>
            <w:r w:rsidRPr="004566BA">
              <w:rPr>
                <w:rFonts w:eastAsia="SimSun"/>
              </w:rPr>
              <w:t>Other</w:t>
            </w:r>
          </w:p>
        </w:tc>
        <w:tc>
          <w:tcPr>
            <w:tcW w:w="1042" w:type="dxa"/>
            <w:shd w:val="clear" w:color="auto" w:fill="auto"/>
          </w:tcPr>
          <w:p w:rsidR="00C02FB9" w:rsidRPr="004566BA" w:rsidRDefault="00C02FB9" w:rsidP="004F5891">
            <w:pPr>
              <w:pStyle w:val="TableCell"/>
              <w:keepNext/>
              <w:rPr>
                <w:rFonts w:eastAsia="SimSun"/>
              </w:rPr>
            </w:pPr>
            <w:r w:rsidRPr="004566BA">
              <w:rPr>
                <w:rFonts w:eastAsia="SimSun"/>
              </w:rPr>
              <w:t>92</w:t>
            </w:r>
          </w:p>
        </w:tc>
        <w:tc>
          <w:tcPr>
            <w:tcW w:w="1043" w:type="dxa"/>
            <w:shd w:val="clear" w:color="auto" w:fill="auto"/>
            <w:vAlign w:val="bottom"/>
          </w:tcPr>
          <w:p w:rsidR="00C02FB9" w:rsidRPr="004566BA" w:rsidRDefault="00C02FB9" w:rsidP="004F5891">
            <w:pPr>
              <w:pStyle w:val="TableCell"/>
              <w:keepNext/>
              <w:rPr>
                <w:rFonts w:cs="Calibri"/>
                <w:color w:val="000000"/>
                <w:szCs w:val="22"/>
              </w:rPr>
            </w:pPr>
            <w:r w:rsidRPr="004566BA">
              <w:rPr>
                <w:rFonts w:cs="Calibri"/>
                <w:color w:val="000000"/>
                <w:szCs w:val="22"/>
              </w:rPr>
              <w:t>5.9</w:t>
            </w:r>
          </w:p>
        </w:tc>
      </w:tr>
      <w:tr w:rsidR="00C02FB9" w:rsidRPr="00E771C3" w:rsidTr="004F5891">
        <w:tblPrEx>
          <w:tblCellMar>
            <w:top w:w="0" w:type="dxa"/>
            <w:bottom w:w="0" w:type="dxa"/>
          </w:tblCellMar>
        </w:tblPrEx>
        <w:tc>
          <w:tcPr>
            <w:tcW w:w="6771" w:type="dxa"/>
            <w:shd w:val="clear" w:color="auto" w:fill="auto"/>
          </w:tcPr>
          <w:p w:rsidR="00C02FB9" w:rsidRPr="004566BA" w:rsidRDefault="00C02FB9" w:rsidP="004F5891">
            <w:pPr>
              <w:pStyle w:val="TableCell"/>
              <w:keepNext/>
              <w:jc w:val="left"/>
              <w:rPr>
                <w:rFonts w:eastAsia="SimSun"/>
              </w:rPr>
            </w:pPr>
            <w:r w:rsidRPr="004566BA">
              <w:rPr>
                <w:rFonts w:eastAsia="SimSun"/>
              </w:rPr>
              <w:t>Doesn’t receive any supports (outside school)</w:t>
            </w:r>
          </w:p>
        </w:tc>
        <w:tc>
          <w:tcPr>
            <w:tcW w:w="1042" w:type="dxa"/>
            <w:shd w:val="clear" w:color="auto" w:fill="auto"/>
          </w:tcPr>
          <w:p w:rsidR="00C02FB9" w:rsidRPr="004566BA" w:rsidRDefault="00C02FB9" w:rsidP="004F5891">
            <w:pPr>
              <w:pStyle w:val="TableCell"/>
              <w:keepNext/>
              <w:rPr>
                <w:rFonts w:eastAsia="SimSun"/>
              </w:rPr>
            </w:pPr>
            <w:r w:rsidRPr="004566BA">
              <w:rPr>
                <w:rFonts w:eastAsia="SimSun"/>
              </w:rPr>
              <w:t>618</w:t>
            </w:r>
          </w:p>
        </w:tc>
        <w:tc>
          <w:tcPr>
            <w:tcW w:w="1043" w:type="dxa"/>
            <w:shd w:val="clear" w:color="auto" w:fill="auto"/>
            <w:vAlign w:val="bottom"/>
          </w:tcPr>
          <w:p w:rsidR="00C02FB9" w:rsidRPr="004566BA" w:rsidRDefault="00C02FB9" w:rsidP="004F5891">
            <w:pPr>
              <w:pStyle w:val="TableCell"/>
              <w:keepNext/>
              <w:rPr>
                <w:rFonts w:cs="Calibri"/>
                <w:color w:val="000000"/>
                <w:szCs w:val="22"/>
              </w:rPr>
            </w:pPr>
            <w:r w:rsidRPr="004566BA">
              <w:rPr>
                <w:rFonts w:cs="Calibri"/>
                <w:color w:val="000000"/>
                <w:szCs w:val="22"/>
              </w:rPr>
              <w:t>39.5</w:t>
            </w:r>
          </w:p>
        </w:tc>
      </w:tr>
      <w:tr w:rsidR="00C02FB9" w:rsidRPr="00E771C3" w:rsidTr="004F5891">
        <w:tblPrEx>
          <w:tblCellMar>
            <w:top w:w="0" w:type="dxa"/>
            <w:bottom w:w="0" w:type="dxa"/>
          </w:tblCellMar>
        </w:tblPrEx>
        <w:tc>
          <w:tcPr>
            <w:tcW w:w="6771" w:type="dxa"/>
            <w:shd w:val="clear" w:color="auto" w:fill="auto"/>
          </w:tcPr>
          <w:p w:rsidR="00C02FB9" w:rsidRPr="004566BA" w:rsidRDefault="00C02FB9" w:rsidP="004F5891">
            <w:pPr>
              <w:pStyle w:val="TableCell"/>
              <w:keepNext/>
              <w:jc w:val="left"/>
              <w:rPr>
                <w:rFonts w:eastAsia="SimSun"/>
              </w:rPr>
            </w:pPr>
            <w:r w:rsidRPr="004566BA">
              <w:rPr>
                <w:rFonts w:eastAsia="SimSun"/>
              </w:rPr>
              <w:t>No support in or out of school</w:t>
            </w:r>
          </w:p>
        </w:tc>
        <w:tc>
          <w:tcPr>
            <w:tcW w:w="1042" w:type="dxa"/>
            <w:shd w:val="clear" w:color="auto" w:fill="auto"/>
          </w:tcPr>
          <w:p w:rsidR="00C02FB9" w:rsidRPr="004566BA" w:rsidRDefault="00C02FB9" w:rsidP="004F5891">
            <w:pPr>
              <w:pStyle w:val="TableCell"/>
              <w:keepNext/>
              <w:rPr>
                <w:rFonts w:eastAsia="SimSun"/>
              </w:rPr>
            </w:pPr>
            <w:r w:rsidRPr="004566BA">
              <w:rPr>
                <w:rFonts w:eastAsia="SimSun"/>
              </w:rPr>
              <w:t>218</w:t>
            </w:r>
          </w:p>
        </w:tc>
        <w:tc>
          <w:tcPr>
            <w:tcW w:w="1043" w:type="dxa"/>
            <w:shd w:val="clear" w:color="auto" w:fill="auto"/>
            <w:vAlign w:val="bottom"/>
          </w:tcPr>
          <w:p w:rsidR="00C02FB9" w:rsidRPr="004566BA" w:rsidRDefault="00C02FB9" w:rsidP="004F5891">
            <w:pPr>
              <w:pStyle w:val="TableCell"/>
              <w:keepNext/>
              <w:rPr>
                <w:rFonts w:cs="Calibri"/>
                <w:color w:val="000000"/>
                <w:szCs w:val="22"/>
              </w:rPr>
            </w:pPr>
            <w:r w:rsidRPr="004566BA">
              <w:rPr>
                <w:rFonts w:cs="Calibri"/>
                <w:color w:val="000000"/>
                <w:szCs w:val="22"/>
              </w:rPr>
              <w:t>13.9</w:t>
            </w:r>
          </w:p>
        </w:tc>
      </w:tr>
    </w:tbl>
    <w:p w:rsidR="00B008E9" w:rsidRDefault="00B008E9" w:rsidP="00C02FB9">
      <w:pPr>
        <w:pStyle w:val="TableNote"/>
      </w:pPr>
      <w:r>
        <w:t>Source: GUI</w:t>
      </w:r>
    </w:p>
    <w:p w:rsidR="00B008E9" w:rsidRDefault="00B008E9" w:rsidP="00B008E9">
      <w:r>
        <w:t xml:space="preserve">The following table summarises the estimates of the number of 13-year-old children who need </w:t>
      </w:r>
      <w:r w:rsidR="00F20C4C">
        <w:t>disability</w:t>
      </w:r>
      <w:r>
        <w:t xml:space="preserve"> services. </w:t>
      </w:r>
    </w:p>
    <w:p w:rsidR="00B008E9" w:rsidRDefault="00B008E9" w:rsidP="00AA7990">
      <w:pPr>
        <w:pStyle w:val="TableTitle"/>
      </w:pPr>
      <w:bookmarkStart w:id="114" w:name="_Toc403572514"/>
      <w:bookmarkStart w:id="115" w:name="_Toc419879417"/>
      <w:r>
        <w:t>Table 14: Alternative estimates of the number of children who need multi-disciplinary disability services from the GUI survey</w:t>
      </w:r>
      <w:bookmarkEnd w:id="114"/>
      <w:bookmarkEnd w:id="115"/>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3F" w:firstRow="1" w:lastRow="0" w:firstColumn="0" w:lastColumn="0" w:noHBand="0" w:noVBand="0"/>
      </w:tblPr>
      <w:tblGrid>
        <w:gridCol w:w="6345"/>
        <w:gridCol w:w="1397"/>
        <w:gridCol w:w="1114"/>
      </w:tblGrid>
      <w:tr w:rsidR="004F5891" w:rsidRPr="00E771C3" w:rsidTr="004F5891">
        <w:tblPrEx>
          <w:tblCellMar>
            <w:top w:w="0" w:type="dxa"/>
            <w:bottom w:w="0" w:type="dxa"/>
          </w:tblCellMar>
        </w:tblPrEx>
        <w:trPr>
          <w:tblHeader/>
        </w:trPr>
        <w:tc>
          <w:tcPr>
            <w:tcW w:w="6345" w:type="dxa"/>
            <w:tcBorders>
              <w:bottom w:val="single" w:sz="12" w:space="0" w:color="000000"/>
            </w:tcBorders>
            <w:shd w:val="clear" w:color="auto" w:fill="auto"/>
          </w:tcPr>
          <w:p w:rsidR="004F5891" w:rsidRPr="00E771C3" w:rsidRDefault="004F5891" w:rsidP="004F5891">
            <w:pPr>
              <w:pStyle w:val="TableHead"/>
              <w:keepNext/>
              <w:jc w:val="right"/>
            </w:pPr>
          </w:p>
        </w:tc>
        <w:tc>
          <w:tcPr>
            <w:tcW w:w="1397" w:type="dxa"/>
            <w:tcBorders>
              <w:bottom w:val="single" w:sz="12" w:space="0" w:color="000000"/>
            </w:tcBorders>
            <w:shd w:val="clear" w:color="auto" w:fill="auto"/>
          </w:tcPr>
          <w:p w:rsidR="004F5891" w:rsidRPr="00A034D9" w:rsidRDefault="004F5891" w:rsidP="004F5891">
            <w:pPr>
              <w:pStyle w:val="TableHead"/>
              <w:keepNext/>
            </w:pPr>
            <w:r>
              <w:t>Number</w:t>
            </w:r>
          </w:p>
        </w:tc>
        <w:tc>
          <w:tcPr>
            <w:tcW w:w="1114" w:type="dxa"/>
            <w:tcBorders>
              <w:bottom w:val="single" w:sz="12" w:space="0" w:color="000000"/>
            </w:tcBorders>
            <w:shd w:val="clear" w:color="auto" w:fill="auto"/>
          </w:tcPr>
          <w:p w:rsidR="004F5891" w:rsidRPr="00A034D9" w:rsidRDefault="004F5891" w:rsidP="004F5891">
            <w:pPr>
              <w:pStyle w:val="TableHead"/>
              <w:keepNext/>
            </w:pPr>
            <w:r>
              <w:t>%</w:t>
            </w:r>
          </w:p>
        </w:tc>
      </w:tr>
      <w:tr w:rsidR="004F5891" w:rsidRPr="00E771C3" w:rsidTr="004F5891">
        <w:tblPrEx>
          <w:tblCellMar>
            <w:top w:w="0" w:type="dxa"/>
            <w:bottom w:w="0" w:type="dxa"/>
          </w:tblCellMar>
        </w:tblPrEx>
        <w:tc>
          <w:tcPr>
            <w:tcW w:w="6345" w:type="dxa"/>
            <w:tcBorders>
              <w:top w:val="single" w:sz="12" w:space="0" w:color="000000"/>
            </w:tcBorders>
            <w:shd w:val="clear" w:color="auto" w:fill="auto"/>
          </w:tcPr>
          <w:p w:rsidR="004F5891" w:rsidRPr="00C25DB9" w:rsidRDefault="004F5891" w:rsidP="004F5891">
            <w:pPr>
              <w:pStyle w:val="TableCell"/>
              <w:keepNext/>
              <w:jc w:val="left"/>
            </w:pPr>
            <w:r w:rsidRPr="00C25DB9">
              <w:t>Children with multiple disabilities who are hampered</w:t>
            </w:r>
          </w:p>
        </w:tc>
        <w:tc>
          <w:tcPr>
            <w:tcW w:w="1397" w:type="dxa"/>
            <w:tcBorders>
              <w:top w:val="single" w:sz="12" w:space="0" w:color="000000"/>
            </w:tcBorders>
            <w:shd w:val="clear" w:color="auto" w:fill="auto"/>
          </w:tcPr>
          <w:p w:rsidR="004F5891" w:rsidRDefault="004F5891" w:rsidP="004F5891">
            <w:pPr>
              <w:pStyle w:val="TableCell"/>
              <w:keepNext/>
            </w:pPr>
            <w:r>
              <w:t>1,024</w:t>
            </w:r>
          </w:p>
        </w:tc>
        <w:tc>
          <w:tcPr>
            <w:tcW w:w="1114" w:type="dxa"/>
            <w:tcBorders>
              <w:top w:val="single" w:sz="12" w:space="0" w:color="000000"/>
            </w:tcBorders>
            <w:shd w:val="clear" w:color="auto" w:fill="auto"/>
          </w:tcPr>
          <w:p w:rsidR="004F5891" w:rsidRPr="00351C70" w:rsidRDefault="004F5891" w:rsidP="004F5891">
            <w:pPr>
              <w:pStyle w:val="TableCell"/>
              <w:keepNext/>
            </w:pPr>
            <w:r>
              <w:t>1.8</w:t>
            </w:r>
          </w:p>
        </w:tc>
      </w:tr>
      <w:tr w:rsidR="004F5891" w:rsidRPr="00E771C3" w:rsidTr="004F5891">
        <w:tblPrEx>
          <w:tblCellMar>
            <w:top w:w="0" w:type="dxa"/>
            <w:bottom w:w="0" w:type="dxa"/>
          </w:tblCellMar>
        </w:tblPrEx>
        <w:tc>
          <w:tcPr>
            <w:tcW w:w="6345" w:type="dxa"/>
            <w:shd w:val="clear" w:color="auto" w:fill="auto"/>
          </w:tcPr>
          <w:p w:rsidR="004F5891" w:rsidRPr="00C25DB9" w:rsidRDefault="004F5891" w:rsidP="004F5891">
            <w:pPr>
              <w:pStyle w:val="TableCell"/>
              <w:keepNext/>
              <w:jc w:val="left"/>
            </w:pPr>
            <w:r w:rsidRPr="00C25DB9">
              <w:t>Children with multiple disabilities who are hampered + children with autism who are hampered</w:t>
            </w:r>
          </w:p>
        </w:tc>
        <w:tc>
          <w:tcPr>
            <w:tcW w:w="1397" w:type="dxa"/>
            <w:shd w:val="clear" w:color="auto" w:fill="auto"/>
          </w:tcPr>
          <w:p w:rsidR="004F5891" w:rsidRPr="00A034D9" w:rsidRDefault="004F5891" w:rsidP="004F5891">
            <w:pPr>
              <w:pStyle w:val="TableCell"/>
              <w:keepNext/>
            </w:pPr>
            <w:r>
              <w:t>1,132</w:t>
            </w:r>
          </w:p>
        </w:tc>
        <w:tc>
          <w:tcPr>
            <w:tcW w:w="1114" w:type="dxa"/>
            <w:shd w:val="clear" w:color="auto" w:fill="auto"/>
          </w:tcPr>
          <w:p w:rsidR="004F5891" w:rsidRPr="00351C70" w:rsidRDefault="004F5891" w:rsidP="004F5891">
            <w:pPr>
              <w:pStyle w:val="TableCell"/>
              <w:keepNext/>
            </w:pPr>
            <w:r w:rsidRPr="00351C70">
              <w:t>2.0</w:t>
            </w:r>
          </w:p>
        </w:tc>
      </w:tr>
      <w:tr w:rsidR="004F5891" w:rsidRPr="00E771C3" w:rsidTr="004F5891">
        <w:tblPrEx>
          <w:tblCellMar>
            <w:top w:w="0" w:type="dxa"/>
            <w:bottom w:w="0" w:type="dxa"/>
          </w:tblCellMar>
        </w:tblPrEx>
        <w:tc>
          <w:tcPr>
            <w:tcW w:w="6345" w:type="dxa"/>
            <w:shd w:val="clear" w:color="auto" w:fill="auto"/>
          </w:tcPr>
          <w:p w:rsidR="004F5891" w:rsidRPr="00C25DB9" w:rsidRDefault="004F5891" w:rsidP="004F5891">
            <w:pPr>
              <w:pStyle w:val="TableCell"/>
              <w:keepNext/>
              <w:jc w:val="left"/>
            </w:pPr>
            <w:r w:rsidRPr="00C25DB9">
              <w:t xml:space="preserve">Children with multiple disabilities who are hampered + children with autism </w:t>
            </w:r>
          </w:p>
        </w:tc>
        <w:tc>
          <w:tcPr>
            <w:tcW w:w="1397" w:type="dxa"/>
            <w:shd w:val="clear" w:color="auto" w:fill="auto"/>
          </w:tcPr>
          <w:p w:rsidR="004F5891" w:rsidRDefault="004F5891" w:rsidP="004F5891">
            <w:pPr>
              <w:pStyle w:val="TableCell"/>
              <w:keepNext/>
            </w:pPr>
            <w:r>
              <w:t>1,377</w:t>
            </w:r>
          </w:p>
        </w:tc>
        <w:tc>
          <w:tcPr>
            <w:tcW w:w="1114" w:type="dxa"/>
            <w:shd w:val="clear" w:color="auto" w:fill="auto"/>
          </w:tcPr>
          <w:p w:rsidR="004F5891" w:rsidRPr="00351C70" w:rsidRDefault="004F5891" w:rsidP="004F5891">
            <w:pPr>
              <w:pStyle w:val="TableCell"/>
              <w:keepNext/>
            </w:pPr>
            <w:r>
              <w:t>2.5</w:t>
            </w:r>
          </w:p>
        </w:tc>
      </w:tr>
      <w:tr w:rsidR="004F5891" w:rsidRPr="00E771C3" w:rsidTr="004F5891">
        <w:tblPrEx>
          <w:tblCellMar>
            <w:top w:w="0" w:type="dxa"/>
            <w:bottom w:w="0" w:type="dxa"/>
          </w:tblCellMar>
        </w:tblPrEx>
        <w:tc>
          <w:tcPr>
            <w:tcW w:w="6345" w:type="dxa"/>
            <w:shd w:val="clear" w:color="auto" w:fill="auto"/>
          </w:tcPr>
          <w:p w:rsidR="004F5891" w:rsidRPr="00C25DB9" w:rsidRDefault="004F5891" w:rsidP="004F5891">
            <w:pPr>
              <w:pStyle w:val="TableCell"/>
              <w:keepNext/>
              <w:jc w:val="left"/>
            </w:pPr>
            <w:r w:rsidRPr="00C25DB9">
              <w:t xml:space="preserve">Children with multiple disabilities who are hampered + all children with autism + children who are severely hampered </w:t>
            </w:r>
          </w:p>
        </w:tc>
        <w:tc>
          <w:tcPr>
            <w:tcW w:w="1397" w:type="dxa"/>
            <w:shd w:val="clear" w:color="auto" w:fill="auto"/>
          </w:tcPr>
          <w:p w:rsidR="004F5891" w:rsidRPr="00A034D9" w:rsidRDefault="004F5891" w:rsidP="004F5891">
            <w:pPr>
              <w:pStyle w:val="TableCell"/>
              <w:keepNext/>
            </w:pPr>
            <w:r>
              <w:t>1,563</w:t>
            </w:r>
          </w:p>
        </w:tc>
        <w:tc>
          <w:tcPr>
            <w:tcW w:w="1114" w:type="dxa"/>
            <w:shd w:val="clear" w:color="auto" w:fill="auto"/>
          </w:tcPr>
          <w:p w:rsidR="004F5891" w:rsidRPr="00351C70" w:rsidRDefault="004F5891" w:rsidP="004F5891">
            <w:pPr>
              <w:pStyle w:val="TableCell"/>
              <w:keepNext/>
            </w:pPr>
            <w:r>
              <w:t>2.8</w:t>
            </w:r>
          </w:p>
        </w:tc>
      </w:tr>
    </w:tbl>
    <w:p w:rsidR="00B008E9" w:rsidRDefault="00B008E9" w:rsidP="004F5891">
      <w:pPr>
        <w:pStyle w:val="TableNote"/>
      </w:pPr>
      <w:r>
        <w:t>Source: GUI 13</w:t>
      </w:r>
    </w:p>
    <w:p w:rsidR="00B008E9" w:rsidRDefault="00B008E9" w:rsidP="00B008E9">
      <w:r>
        <w:t xml:space="preserve">Therefore, </w:t>
      </w:r>
      <w:r w:rsidR="00EF4A77">
        <w:t xml:space="preserve">approximately </w:t>
      </w:r>
      <w:r>
        <w:t>2.8% of 13 year old children are likely to ne</w:t>
      </w:r>
      <w:r w:rsidR="00EF4A77">
        <w:t>ed the interventions of an inter</w:t>
      </w:r>
      <w:r>
        <w:t>disciplinary team. Some of these children may only need education interventions</w:t>
      </w:r>
      <w:r w:rsidR="00EF4A77">
        <w:t>, where as</w:t>
      </w:r>
      <w:r>
        <w:t xml:space="preserve"> some of the children with one disability who are somewhat hampered may ne</w:t>
      </w:r>
      <w:r w:rsidR="00EF4A77">
        <w:t>ed the interventions of an inter</w:t>
      </w:r>
      <w:r>
        <w:t>disciplinary team.</w:t>
      </w:r>
      <w:r>
        <w:rPr>
          <w:rStyle w:val="FootnoteReference"/>
        </w:rPr>
        <w:footnoteReference w:id="47"/>
      </w:r>
    </w:p>
    <w:p w:rsidR="00B008E9" w:rsidRDefault="00B008E9" w:rsidP="00B008E9">
      <w:r>
        <w:t>If 2.8% of 13 year olds need intervention</w:t>
      </w:r>
      <w:r w:rsidR="00EF4A77">
        <w:t>,</w:t>
      </w:r>
      <w:r>
        <w:t xml:space="preserve"> the next stage is to calculate how many of the total population of 0-18 need intervention. Disability rate</w:t>
      </w:r>
      <w:r w:rsidR="00EF4A77">
        <w:t>s change as children age (table 15</w:t>
      </w:r>
      <w:r>
        <w:t>) 1.6% of children under 1 are diagnosed as having a disability and this increases to 8.2% of 18 year olds. In 2011</w:t>
      </w:r>
      <w:r w:rsidR="00EF4A77">
        <w:t>,</w:t>
      </w:r>
      <w:r>
        <w:t xml:space="preserve"> 7.9% of 13 year olds were listed as having a disability.</w:t>
      </w:r>
      <w:r>
        <w:rPr>
          <w:rStyle w:val="FootnoteReference"/>
        </w:rPr>
        <w:footnoteReference w:id="48"/>
      </w:r>
      <w:r>
        <w:t xml:space="preserve"> A larger fraction of the younger cohort should be taken</w:t>
      </w:r>
      <w:r w:rsidR="00EF4A77">
        <w:t>,</w:t>
      </w:r>
      <w:r>
        <w:t xml:space="preserve"> as part of the role of the early intervention team will be diagnosis. </w:t>
      </w:r>
      <w:r w:rsidR="00EF4A77">
        <w:t xml:space="preserve">If we take the number of </w:t>
      </w:r>
      <w:r>
        <w:t xml:space="preserve">children with disabilities </w:t>
      </w:r>
      <w:r w:rsidR="00EF4A77">
        <w:t>who are aged 0 to</w:t>
      </w:r>
      <w:r>
        <w:t xml:space="preserve"> 6 and 2.8% of </w:t>
      </w:r>
      <w:r w:rsidR="00EF4A77">
        <w:t xml:space="preserve">all other </w:t>
      </w:r>
      <w:r>
        <w:t>children</w:t>
      </w:r>
      <w:r w:rsidR="00EF4A77">
        <w:t>, this</w:t>
      </w:r>
      <w:r>
        <w:t xml:space="preserve"> results in a </w:t>
      </w:r>
      <w:r w:rsidR="00EF4A77">
        <w:t xml:space="preserve">potential </w:t>
      </w:r>
      <w:r>
        <w:t xml:space="preserve">population </w:t>
      </w:r>
      <w:r w:rsidR="00EF4A77">
        <w:t xml:space="preserve">for interdisciplinary interventions </w:t>
      </w:r>
      <w:r>
        <w:t>of 2.9% of all children.</w:t>
      </w:r>
    </w:p>
    <w:p w:rsidR="00B008E9" w:rsidRDefault="00B008E9" w:rsidP="00AA7990">
      <w:pPr>
        <w:pStyle w:val="TableTitle"/>
      </w:pPr>
      <w:r>
        <w:t xml:space="preserve"> </w:t>
      </w:r>
      <w:bookmarkStart w:id="116" w:name="_Toc403572515"/>
      <w:bookmarkStart w:id="117" w:name="_Toc419879418"/>
      <w:r>
        <w:t>Table 15: Children with a disability by single year of age</w:t>
      </w:r>
      <w:bookmarkEnd w:id="117"/>
      <w:r>
        <w:t xml:space="preserve"> </w:t>
      </w:r>
      <w:bookmarkEnd w:id="116"/>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3F" w:firstRow="1" w:lastRow="0" w:firstColumn="0" w:lastColumn="0" w:noHBand="0" w:noVBand="0"/>
      </w:tblPr>
      <w:tblGrid>
        <w:gridCol w:w="2943"/>
        <w:gridCol w:w="1971"/>
        <w:gridCol w:w="1971"/>
        <w:gridCol w:w="1971"/>
      </w:tblGrid>
      <w:tr w:rsidR="004F5891" w:rsidRPr="00E771C3" w:rsidTr="004F5891">
        <w:tblPrEx>
          <w:tblCellMar>
            <w:top w:w="0" w:type="dxa"/>
            <w:bottom w:w="0" w:type="dxa"/>
          </w:tblCellMar>
        </w:tblPrEx>
        <w:trPr>
          <w:tblHeader/>
        </w:trPr>
        <w:tc>
          <w:tcPr>
            <w:tcW w:w="2943" w:type="dxa"/>
            <w:tcBorders>
              <w:bottom w:val="single" w:sz="12" w:space="0" w:color="000000"/>
            </w:tcBorders>
            <w:shd w:val="clear" w:color="auto" w:fill="auto"/>
            <w:vAlign w:val="bottom"/>
          </w:tcPr>
          <w:p w:rsidR="004F5891" w:rsidRPr="00186114" w:rsidRDefault="004F5891" w:rsidP="004F5891">
            <w:pPr>
              <w:pStyle w:val="TableHead"/>
              <w:keepNext/>
              <w:rPr>
                <w:lang w:eastAsia="en-IE"/>
              </w:rPr>
            </w:pPr>
            <w:r w:rsidRPr="00186114">
              <w:rPr>
                <w:lang w:eastAsia="en-IE"/>
              </w:rPr>
              <w:t> </w:t>
            </w:r>
          </w:p>
        </w:tc>
        <w:tc>
          <w:tcPr>
            <w:tcW w:w="1971" w:type="dxa"/>
            <w:tcBorders>
              <w:bottom w:val="single" w:sz="12" w:space="0" w:color="000000"/>
            </w:tcBorders>
            <w:shd w:val="clear" w:color="auto" w:fill="auto"/>
          </w:tcPr>
          <w:p w:rsidR="004F5891" w:rsidRPr="00BF714C" w:rsidRDefault="004F5891" w:rsidP="004F5891">
            <w:pPr>
              <w:pStyle w:val="TableHead"/>
              <w:keepNext/>
              <w:rPr>
                <w:rFonts w:ascii="Gill Sans MT" w:hAnsi="Gill Sans MT"/>
                <w:lang w:eastAsia="en-IE"/>
              </w:rPr>
            </w:pPr>
            <w:r>
              <w:rPr>
                <w:rFonts w:ascii="Gill Sans MT" w:hAnsi="Gill Sans MT"/>
                <w:lang w:eastAsia="en-IE"/>
              </w:rPr>
              <w:t>T</w:t>
            </w:r>
            <w:r w:rsidRPr="00BF714C">
              <w:rPr>
                <w:rFonts w:ascii="Gill Sans MT" w:hAnsi="Gill Sans MT"/>
                <w:lang w:eastAsia="en-IE"/>
              </w:rPr>
              <w:t>otal</w:t>
            </w:r>
          </w:p>
        </w:tc>
        <w:tc>
          <w:tcPr>
            <w:tcW w:w="1971" w:type="dxa"/>
            <w:tcBorders>
              <w:bottom w:val="single" w:sz="12" w:space="0" w:color="000000"/>
            </w:tcBorders>
            <w:shd w:val="clear" w:color="auto" w:fill="auto"/>
          </w:tcPr>
          <w:p w:rsidR="004F5891" w:rsidRPr="00BF714C" w:rsidRDefault="004F5891" w:rsidP="004F5891">
            <w:pPr>
              <w:pStyle w:val="TableHead"/>
              <w:keepNext/>
              <w:rPr>
                <w:rFonts w:ascii="Gill Sans MT" w:hAnsi="Gill Sans MT"/>
                <w:lang w:eastAsia="en-IE"/>
              </w:rPr>
            </w:pPr>
            <w:r>
              <w:rPr>
                <w:rFonts w:ascii="Gill Sans MT" w:hAnsi="Gill Sans MT"/>
                <w:lang w:eastAsia="en-IE"/>
              </w:rPr>
              <w:t>No. with a disability</w:t>
            </w:r>
          </w:p>
        </w:tc>
        <w:tc>
          <w:tcPr>
            <w:tcW w:w="1971" w:type="dxa"/>
            <w:tcBorders>
              <w:bottom w:val="single" w:sz="12" w:space="0" w:color="000000"/>
            </w:tcBorders>
            <w:shd w:val="clear" w:color="auto" w:fill="auto"/>
          </w:tcPr>
          <w:p w:rsidR="004F5891" w:rsidRPr="00BF714C" w:rsidRDefault="004F5891" w:rsidP="004F5891">
            <w:pPr>
              <w:pStyle w:val="TableHead"/>
              <w:keepNext/>
              <w:rPr>
                <w:rFonts w:ascii="Gill Sans MT" w:hAnsi="Gill Sans MT" w:cs="Calibri"/>
                <w:color w:val="000000"/>
                <w:lang w:eastAsia="en-IE"/>
              </w:rPr>
            </w:pPr>
            <w:r w:rsidRPr="00BF714C">
              <w:rPr>
                <w:rFonts w:ascii="Gill Sans MT" w:hAnsi="Gill Sans MT" w:cs="Calibri"/>
                <w:color w:val="000000"/>
                <w:lang w:eastAsia="en-IE"/>
              </w:rPr>
              <w:t>%</w:t>
            </w:r>
          </w:p>
        </w:tc>
      </w:tr>
      <w:tr w:rsidR="004F5891" w:rsidRPr="00E771C3" w:rsidTr="004F5891">
        <w:tblPrEx>
          <w:tblCellMar>
            <w:top w:w="0" w:type="dxa"/>
            <w:bottom w:w="0" w:type="dxa"/>
          </w:tblCellMar>
        </w:tblPrEx>
        <w:tc>
          <w:tcPr>
            <w:tcW w:w="2943" w:type="dxa"/>
            <w:tcBorders>
              <w:top w:val="single" w:sz="12" w:space="0" w:color="000000"/>
            </w:tcBorders>
            <w:shd w:val="clear" w:color="auto" w:fill="auto"/>
            <w:vAlign w:val="bottom"/>
          </w:tcPr>
          <w:p w:rsidR="004F5891" w:rsidRPr="005F1F9F" w:rsidRDefault="004F5891" w:rsidP="004F5891">
            <w:pPr>
              <w:pStyle w:val="TableCell"/>
              <w:keepNext/>
              <w:jc w:val="left"/>
              <w:rPr>
                <w:lang w:eastAsia="en-IE"/>
              </w:rPr>
            </w:pPr>
            <w:r w:rsidRPr="00D7359F">
              <w:rPr>
                <w:lang w:eastAsia="en-IE"/>
              </w:rPr>
              <w:t>Under 1 year</w:t>
            </w:r>
          </w:p>
        </w:tc>
        <w:tc>
          <w:tcPr>
            <w:tcW w:w="1971" w:type="dxa"/>
            <w:tcBorders>
              <w:top w:val="single" w:sz="12" w:space="0" w:color="000000"/>
            </w:tcBorders>
            <w:shd w:val="clear" w:color="auto" w:fill="auto"/>
            <w:vAlign w:val="bottom"/>
          </w:tcPr>
          <w:p w:rsidR="004F5891" w:rsidRPr="005F1F9F" w:rsidRDefault="004F5891" w:rsidP="004F5891">
            <w:pPr>
              <w:pStyle w:val="TableCell"/>
              <w:keepNext/>
              <w:rPr>
                <w:lang w:eastAsia="en-IE"/>
              </w:rPr>
            </w:pPr>
            <w:r w:rsidRPr="00D7359F">
              <w:rPr>
                <w:lang w:eastAsia="en-IE"/>
              </w:rPr>
              <w:t>72,410</w:t>
            </w:r>
          </w:p>
        </w:tc>
        <w:tc>
          <w:tcPr>
            <w:tcW w:w="1971" w:type="dxa"/>
            <w:tcBorders>
              <w:top w:val="single" w:sz="12" w:space="0" w:color="000000"/>
            </w:tcBorders>
            <w:shd w:val="clear" w:color="auto" w:fill="auto"/>
            <w:vAlign w:val="bottom"/>
          </w:tcPr>
          <w:p w:rsidR="004F5891" w:rsidRPr="005F1F9F" w:rsidRDefault="004F5891" w:rsidP="004F5891">
            <w:pPr>
              <w:pStyle w:val="TableCell"/>
              <w:keepNext/>
              <w:rPr>
                <w:lang w:eastAsia="en-IE"/>
              </w:rPr>
            </w:pPr>
            <w:r w:rsidRPr="00D7359F">
              <w:rPr>
                <w:lang w:eastAsia="en-IE"/>
              </w:rPr>
              <w:t>1,156</w:t>
            </w:r>
          </w:p>
        </w:tc>
        <w:tc>
          <w:tcPr>
            <w:tcW w:w="1971" w:type="dxa"/>
            <w:tcBorders>
              <w:top w:val="single" w:sz="12" w:space="0" w:color="000000"/>
            </w:tcBorders>
            <w:shd w:val="clear" w:color="auto" w:fill="auto"/>
            <w:vAlign w:val="bottom"/>
          </w:tcPr>
          <w:p w:rsidR="004F5891" w:rsidRPr="005F1F9F" w:rsidRDefault="004F5891" w:rsidP="004F5891">
            <w:pPr>
              <w:pStyle w:val="TableCell"/>
              <w:keepNext/>
              <w:rPr>
                <w:lang w:eastAsia="en-IE"/>
              </w:rPr>
            </w:pPr>
            <w:r w:rsidRPr="00D7359F">
              <w:rPr>
                <w:lang w:eastAsia="en-IE"/>
              </w:rPr>
              <w:t>1.6%</w:t>
            </w:r>
          </w:p>
        </w:tc>
      </w:tr>
      <w:tr w:rsidR="004F5891" w:rsidRPr="00E771C3" w:rsidTr="004F5891">
        <w:tblPrEx>
          <w:tblCellMar>
            <w:top w:w="0" w:type="dxa"/>
            <w:bottom w:w="0" w:type="dxa"/>
          </w:tblCellMar>
        </w:tblPrEx>
        <w:tc>
          <w:tcPr>
            <w:tcW w:w="2943" w:type="dxa"/>
            <w:shd w:val="clear" w:color="auto" w:fill="auto"/>
            <w:vAlign w:val="bottom"/>
          </w:tcPr>
          <w:p w:rsidR="004F5891" w:rsidRPr="005F1F9F" w:rsidRDefault="004F5891" w:rsidP="004F5891">
            <w:pPr>
              <w:pStyle w:val="TableCell"/>
              <w:keepNext/>
              <w:jc w:val="left"/>
              <w:rPr>
                <w:lang w:eastAsia="en-IE"/>
              </w:rPr>
            </w:pPr>
            <w:r w:rsidRPr="00D7359F">
              <w:rPr>
                <w:lang w:eastAsia="en-IE"/>
              </w:rPr>
              <w:t>1 year</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72,645</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1,532</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2.1%</w:t>
            </w:r>
          </w:p>
        </w:tc>
      </w:tr>
      <w:tr w:rsidR="004F5891" w:rsidRPr="00E771C3" w:rsidTr="004F5891">
        <w:tblPrEx>
          <w:tblCellMar>
            <w:top w:w="0" w:type="dxa"/>
            <w:bottom w:w="0" w:type="dxa"/>
          </w:tblCellMar>
        </w:tblPrEx>
        <w:tc>
          <w:tcPr>
            <w:tcW w:w="2943" w:type="dxa"/>
            <w:shd w:val="clear" w:color="auto" w:fill="auto"/>
            <w:vAlign w:val="bottom"/>
          </w:tcPr>
          <w:p w:rsidR="004F5891" w:rsidRPr="005F1F9F" w:rsidRDefault="004F5891" w:rsidP="004F5891">
            <w:pPr>
              <w:pStyle w:val="TableCell"/>
              <w:keepNext/>
              <w:jc w:val="left"/>
              <w:rPr>
                <w:lang w:eastAsia="en-IE"/>
              </w:rPr>
            </w:pPr>
            <w:r w:rsidRPr="00D7359F">
              <w:rPr>
                <w:lang w:eastAsia="en-IE"/>
              </w:rPr>
              <w:t>2 years</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72,566</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1,937</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2.7%</w:t>
            </w:r>
          </w:p>
        </w:tc>
      </w:tr>
      <w:tr w:rsidR="004F5891" w:rsidRPr="00E771C3" w:rsidTr="004F5891">
        <w:tblPrEx>
          <w:tblCellMar>
            <w:top w:w="0" w:type="dxa"/>
            <w:bottom w:w="0" w:type="dxa"/>
          </w:tblCellMar>
        </w:tblPrEx>
        <w:tc>
          <w:tcPr>
            <w:tcW w:w="2943" w:type="dxa"/>
            <w:shd w:val="clear" w:color="auto" w:fill="auto"/>
            <w:vAlign w:val="bottom"/>
          </w:tcPr>
          <w:p w:rsidR="004F5891" w:rsidRPr="005F1F9F" w:rsidRDefault="004F5891" w:rsidP="004F5891">
            <w:pPr>
              <w:pStyle w:val="TableCell"/>
              <w:keepNext/>
              <w:jc w:val="left"/>
              <w:rPr>
                <w:lang w:eastAsia="en-IE"/>
              </w:rPr>
            </w:pPr>
            <w:r w:rsidRPr="00D7359F">
              <w:rPr>
                <w:lang w:eastAsia="en-IE"/>
              </w:rPr>
              <w:t>3 years</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71,457</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2,503</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3.5%</w:t>
            </w:r>
          </w:p>
        </w:tc>
      </w:tr>
      <w:tr w:rsidR="004F5891" w:rsidRPr="00E771C3" w:rsidTr="004F5891">
        <w:tblPrEx>
          <w:tblCellMar>
            <w:top w:w="0" w:type="dxa"/>
            <w:bottom w:w="0" w:type="dxa"/>
          </w:tblCellMar>
        </w:tblPrEx>
        <w:tc>
          <w:tcPr>
            <w:tcW w:w="2943" w:type="dxa"/>
            <w:shd w:val="clear" w:color="auto" w:fill="auto"/>
            <w:vAlign w:val="bottom"/>
          </w:tcPr>
          <w:p w:rsidR="004F5891" w:rsidRPr="005F1F9F" w:rsidRDefault="004F5891" w:rsidP="004F5891">
            <w:pPr>
              <w:pStyle w:val="TableCell"/>
              <w:keepNext/>
              <w:jc w:val="left"/>
              <w:rPr>
                <w:lang w:eastAsia="en-IE"/>
              </w:rPr>
            </w:pPr>
            <w:r w:rsidRPr="00D7359F">
              <w:rPr>
                <w:lang w:eastAsia="en-IE"/>
              </w:rPr>
              <w:t>4 years</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67,251</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2,956</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4.4%</w:t>
            </w:r>
          </w:p>
        </w:tc>
      </w:tr>
      <w:tr w:rsidR="004F5891" w:rsidRPr="00E771C3" w:rsidTr="004F5891">
        <w:tblPrEx>
          <w:tblCellMar>
            <w:top w:w="0" w:type="dxa"/>
            <w:bottom w:w="0" w:type="dxa"/>
          </w:tblCellMar>
        </w:tblPrEx>
        <w:tc>
          <w:tcPr>
            <w:tcW w:w="2943" w:type="dxa"/>
            <w:shd w:val="clear" w:color="auto" w:fill="auto"/>
            <w:vAlign w:val="bottom"/>
          </w:tcPr>
          <w:p w:rsidR="004F5891" w:rsidRPr="005F1F9F" w:rsidRDefault="004F5891" w:rsidP="004F5891">
            <w:pPr>
              <w:pStyle w:val="TableCell"/>
              <w:keepNext/>
              <w:jc w:val="left"/>
              <w:rPr>
                <w:lang w:eastAsia="en-IE"/>
              </w:rPr>
            </w:pPr>
            <w:r w:rsidRPr="00D7359F">
              <w:rPr>
                <w:lang w:eastAsia="en-IE"/>
              </w:rPr>
              <w:t>5 years</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64,937</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3,201</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4.9%</w:t>
            </w:r>
          </w:p>
        </w:tc>
      </w:tr>
      <w:tr w:rsidR="004F5891" w:rsidRPr="00E771C3" w:rsidTr="004F5891">
        <w:tblPrEx>
          <w:tblCellMar>
            <w:top w:w="0" w:type="dxa"/>
            <w:bottom w:w="0" w:type="dxa"/>
          </w:tblCellMar>
        </w:tblPrEx>
        <w:tc>
          <w:tcPr>
            <w:tcW w:w="2943" w:type="dxa"/>
            <w:shd w:val="clear" w:color="auto" w:fill="auto"/>
            <w:vAlign w:val="bottom"/>
          </w:tcPr>
          <w:p w:rsidR="004F5891" w:rsidRPr="005F1F9F" w:rsidRDefault="004F5891" w:rsidP="004F5891">
            <w:pPr>
              <w:pStyle w:val="TableCell"/>
              <w:keepNext/>
              <w:jc w:val="left"/>
              <w:rPr>
                <w:lang w:eastAsia="en-IE"/>
              </w:rPr>
            </w:pPr>
            <w:r w:rsidRPr="00D7359F">
              <w:rPr>
                <w:lang w:eastAsia="en-IE"/>
              </w:rPr>
              <w:t>6 years</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64,976</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3,640</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5.6%</w:t>
            </w:r>
          </w:p>
        </w:tc>
      </w:tr>
      <w:tr w:rsidR="004F5891" w:rsidRPr="00E771C3" w:rsidTr="004F5891">
        <w:tblPrEx>
          <w:tblCellMar>
            <w:top w:w="0" w:type="dxa"/>
            <w:bottom w:w="0" w:type="dxa"/>
          </w:tblCellMar>
        </w:tblPrEx>
        <w:tc>
          <w:tcPr>
            <w:tcW w:w="2943" w:type="dxa"/>
            <w:shd w:val="clear" w:color="auto" w:fill="auto"/>
            <w:vAlign w:val="bottom"/>
          </w:tcPr>
          <w:p w:rsidR="004F5891" w:rsidRPr="005F1F9F" w:rsidRDefault="004F5891" w:rsidP="004F5891">
            <w:pPr>
              <w:pStyle w:val="TableCell"/>
              <w:keepNext/>
              <w:jc w:val="left"/>
              <w:rPr>
                <w:lang w:eastAsia="en-IE"/>
              </w:rPr>
            </w:pPr>
            <w:r w:rsidRPr="00D7359F">
              <w:rPr>
                <w:lang w:eastAsia="en-IE"/>
              </w:rPr>
              <w:t>7 years</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64,441</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3,937</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6.1%</w:t>
            </w:r>
          </w:p>
        </w:tc>
      </w:tr>
      <w:tr w:rsidR="004F5891" w:rsidRPr="00E771C3" w:rsidTr="004F5891">
        <w:tblPrEx>
          <w:tblCellMar>
            <w:top w:w="0" w:type="dxa"/>
            <w:bottom w:w="0" w:type="dxa"/>
          </w:tblCellMar>
        </w:tblPrEx>
        <w:tc>
          <w:tcPr>
            <w:tcW w:w="2943" w:type="dxa"/>
            <w:shd w:val="clear" w:color="auto" w:fill="auto"/>
            <w:vAlign w:val="bottom"/>
          </w:tcPr>
          <w:p w:rsidR="004F5891" w:rsidRPr="005F1F9F" w:rsidRDefault="004F5891" w:rsidP="004F5891">
            <w:pPr>
              <w:pStyle w:val="TableCell"/>
              <w:keepNext/>
              <w:jc w:val="left"/>
              <w:rPr>
                <w:lang w:eastAsia="en-IE"/>
              </w:rPr>
            </w:pPr>
            <w:r w:rsidRPr="00D7359F">
              <w:rPr>
                <w:lang w:eastAsia="en-IE"/>
              </w:rPr>
              <w:t>8 years</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63,816</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4,239</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6.6%</w:t>
            </w:r>
          </w:p>
        </w:tc>
      </w:tr>
      <w:tr w:rsidR="004F5891" w:rsidRPr="00E771C3" w:rsidTr="004F5891">
        <w:tblPrEx>
          <w:tblCellMar>
            <w:top w:w="0" w:type="dxa"/>
            <w:bottom w:w="0" w:type="dxa"/>
          </w:tblCellMar>
        </w:tblPrEx>
        <w:tc>
          <w:tcPr>
            <w:tcW w:w="2943" w:type="dxa"/>
            <w:shd w:val="clear" w:color="auto" w:fill="auto"/>
            <w:vAlign w:val="bottom"/>
          </w:tcPr>
          <w:p w:rsidR="004F5891" w:rsidRPr="005F1F9F" w:rsidRDefault="004F5891" w:rsidP="004F5891">
            <w:pPr>
              <w:pStyle w:val="TableCell"/>
              <w:keepNext/>
              <w:jc w:val="left"/>
              <w:rPr>
                <w:lang w:eastAsia="en-IE"/>
              </w:rPr>
            </w:pPr>
            <w:r w:rsidRPr="00D7359F">
              <w:rPr>
                <w:lang w:eastAsia="en-IE"/>
              </w:rPr>
              <w:t>9 years</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62,600</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4,545</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7.3%</w:t>
            </w:r>
          </w:p>
        </w:tc>
      </w:tr>
      <w:tr w:rsidR="004F5891" w:rsidRPr="00E771C3" w:rsidTr="004F5891">
        <w:tblPrEx>
          <w:tblCellMar>
            <w:top w:w="0" w:type="dxa"/>
            <w:bottom w:w="0" w:type="dxa"/>
          </w:tblCellMar>
        </w:tblPrEx>
        <w:tc>
          <w:tcPr>
            <w:tcW w:w="2943" w:type="dxa"/>
            <w:shd w:val="clear" w:color="auto" w:fill="auto"/>
            <w:vAlign w:val="bottom"/>
          </w:tcPr>
          <w:p w:rsidR="004F5891" w:rsidRPr="005F1F9F" w:rsidRDefault="004F5891" w:rsidP="004F5891">
            <w:pPr>
              <w:pStyle w:val="TableCell"/>
              <w:keepNext/>
              <w:jc w:val="left"/>
              <w:rPr>
                <w:lang w:eastAsia="en-IE"/>
              </w:rPr>
            </w:pPr>
            <w:r w:rsidRPr="00D7359F">
              <w:rPr>
                <w:lang w:eastAsia="en-IE"/>
              </w:rPr>
              <w:t>10 years</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61,429</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4,668</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7.6%</w:t>
            </w:r>
          </w:p>
        </w:tc>
      </w:tr>
      <w:tr w:rsidR="004F5891" w:rsidRPr="00E771C3" w:rsidTr="004F5891">
        <w:tblPrEx>
          <w:tblCellMar>
            <w:top w:w="0" w:type="dxa"/>
            <w:bottom w:w="0" w:type="dxa"/>
          </w:tblCellMar>
        </w:tblPrEx>
        <w:tc>
          <w:tcPr>
            <w:tcW w:w="2943" w:type="dxa"/>
            <w:shd w:val="clear" w:color="auto" w:fill="auto"/>
            <w:vAlign w:val="bottom"/>
          </w:tcPr>
          <w:p w:rsidR="004F5891" w:rsidRPr="005F1F9F" w:rsidRDefault="004F5891" w:rsidP="004F5891">
            <w:pPr>
              <w:pStyle w:val="TableCell"/>
              <w:keepNext/>
              <w:jc w:val="left"/>
              <w:rPr>
                <w:lang w:eastAsia="en-IE"/>
              </w:rPr>
            </w:pPr>
            <w:r w:rsidRPr="00D7359F">
              <w:rPr>
                <w:lang w:eastAsia="en-IE"/>
              </w:rPr>
              <w:t>11 years</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60,834</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4,702</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7.7%</w:t>
            </w:r>
          </w:p>
        </w:tc>
      </w:tr>
      <w:tr w:rsidR="004F5891" w:rsidRPr="00E771C3" w:rsidTr="004F5891">
        <w:tblPrEx>
          <w:tblCellMar>
            <w:top w:w="0" w:type="dxa"/>
            <w:bottom w:w="0" w:type="dxa"/>
          </w:tblCellMar>
        </w:tblPrEx>
        <w:tc>
          <w:tcPr>
            <w:tcW w:w="2943" w:type="dxa"/>
            <w:shd w:val="clear" w:color="auto" w:fill="auto"/>
            <w:vAlign w:val="bottom"/>
          </w:tcPr>
          <w:p w:rsidR="004F5891" w:rsidRPr="005F1F9F" w:rsidRDefault="004F5891" w:rsidP="004F5891">
            <w:pPr>
              <w:pStyle w:val="TableCell"/>
              <w:keepNext/>
              <w:jc w:val="left"/>
              <w:rPr>
                <w:lang w:eastAsia="en-IE"/>
              </w:rPr>
            </w:pPr>
            <w:r w:rsidRPr="00D7359F">
              <w:rPr>
                <w:lang w:eastAsia="en-IE"/>
              </w:rPr>
              <w:t>12 years</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61,234</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4,629</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7.6%</w:t>
            </w:r>
          </w:p>
        </w:tc>
      </w:tr>
      <w:tr w:rsidR="004F5891" w:rsidRPr="00E771C3" w:rsidTr="004F5891">
        <w:tblPrEx>
          <w:tblCellMar>
            <w:top w:w="0" w:type="dxa"/>
            <w:bottom w:w="0" w:type="dxa"/>
          </w:tblCellMar>
        </w:tblPrEx>
        <w:tc>
          <w:tcPr>
            <w:tcW w:w="2943" w:type="dxa"/>
            <w:shd w:val="clear" w:color="auto" w:fill="auto"/>
            <w:vAlign w:val="bottom"/>
          </w:tcPr>
          <w:p w:rsidR="004F5891" w:rsidRPr="005F1F9F" w:rsidRDefault="004F5891" w:rsidP="004F5891">
            <w:pPr>
              <w:pStyle w:val="TableCell"/>
              <w:keepNext/>
              <w:jc w:val="left"/>
              <w:rPr>
                <w:lang w:eastAsia="en-IE"/>
              </w:rPr>
            </w:pPr>
            <w:r w:rsidRPr="00D7359F">
              <w:rPr>
                <w:lang w:eastAsia="en-IE"/>
              </w:rPr>
              <w:t>13 years</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59,992</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4,731</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7.9%</w:t>
            </w:r>
          </w:p>
        </w:tc>
      </w:tr>
      <w:tr w:rsidR="004F5891" w:rsidRPr="00E771C3" w:rsidTr="004F5891">
        <w:tblPrEx>
          <w:tblCellMar>
            <w:top w:w="0" w:type="dxa"/>
            <w:bottom w:w="0" w:type="dxa"/>
          </w:tblCellMar>
        </w:tblPrEx>
        <w:tc>
          <w:tcPr>
            <w:tcW w:w="2943" w:type="dxa"/>
            <w:shd w:val="clear" w:color="auto" w:fill="auto"/>
            <w:vAlign w:val="bottom"/>
          </w:tcPr>
          <w:p w:rsidR="004F5891" w:rsidRPr="005F1F9F" w:rsidRDefault="004F5891" w:rsidP="004F5891">
            <w:pPr>
              <w:pStyle w:val="TableCell"/>
              <w:keepNext/>
              <w:jc w:val="left"/>
              <w:rPr>
                <w:lang w:eastAsia="en-IE"/>
              </w:rPr>
            </w:pPr>
            <w:r w:rsidRPr="00D7359F">
              <w:rPr>
                <w:lang w:eastAsia="en-IE"/>
              </w:rPr>
              <w:t>14 years</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59,002</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4,682</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7.9%</w:t>
            </w:r>
          </w:p>
        </w:tc>
      </w:tr>
      <w:tr w:rsidR="004F5891" w:rsidRPr="00E771C3" w:rsidTr="004F5891">
        <w:tblPrEx>
          <w:tblCellMar>
            <w:top w:w="0" w:type="dxa"/>
            <w:bottom w:w="0" w:type="dxa"/>
          </w:tblCellMar>
        </w:tblPrEx>
        <w:tc>
          <w:tcPr>
            <w:tcW w:w="2943" w:type="dxa"/>
            <w:shd w:val="clear" w:color="auto" w:fill="auto"/>
            <w:vAlign w:val="bottom"/>
          </w:tcPr>
          <w:p w:rsidR="004F5891" w:rsidRPr="005F1F9F" w:rsidRDefault="004F5891" w:rsidP="004F5891">
            <w:pPr>
              <w:pStyle w:val="TableCell"/>
              <w:keepNext/>
              <w:jc w:val="left"/>
              <w:rPr>
                <w:lang w:eastAsia="en-IE"/>
              </w:rPr>
            </w:pPr>
            <w:r w:rsidRPr="00D7359F">
              <w:rPr>
                <w:lang w:eastAsia="en-IE"/>
              </w:rPr>
              <w:t>15 years</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57,227</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4,637</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8.1%</w:t>
            </w:r>
          </w:p>
        </w:tc>
      </w:tr>
      <w:tr w:rsidR="004F5891" w:rsidRPr="00E771C3" w:rsidTr="004F5891">
        <w:tblPrEx>
          <w:tblCellMar>
            <w:top w:w="0" w:type="dxa"/>
            <w:bottom w:w="0" w:type="dxa"/>
          </w:tblCellMar>
        </w:tblPrEx>
        <w:tc>
          <w:tcPr>
            <w:tcW w:w="2943" w:type="dxa"/>
            <w:shd w:val="clear" w:color="auto" w:fill="auto"/>
            <w:vAlign w:val="bottom"/>
          </w:tcPr>
          <w:p w:rsidR="004F5891" w:rsidRPr="005F1F9F" w:rsidRDefault="004F5891" w:rsidP="004F5891">
            <w:pPr>
              <w:pStyle w:val="TableCell"/>
              <w:keepNext/>
              <w:jc w:val="left"/>
              <w:rPr>
                <w:lang w:eastAsia="en-IE"/>
              </w:rPr>
            </w:pPr>
            <w:r w:rsidRPr="00D7359F">
              <w:rPr>
                <w:lang w:eastAsia="en-IE"/>
              </w:rPr>
              <w:t>16 years</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56,005</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4,314</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7.7%</w:t>
            </w:r>
          </w:p>
        </w:tc>
      </w:tr>
      <w:tr w:rsidR="004F5891" w:rsidRPr="00E771C3" w:rsidTr="004F5891">
        <w:tblPrEx>
          <w:tblCellMar>
            <w:top w:w="0" w:type="dxa"/>
            <w:bottom w:w="0" w:type="dxa"/>
          </w:tblCellMar>
        </w:tblPrEx>
        <w:tc>
          <w:tcPr>
            <w:tcW w:w="2943" w:type="dxa"/>
            <w:shd w:val="clear" w:color="auto" w:fill="auto"/>
            <w:vAlign w:val="bottom"/>
          </w:tcPr>
          <w:p w:rsidR="004F5891" w:rsidRPr="005F1F9F" w:rsidRDefault="004F5891" w:rsidP="004F5891">
            <w:pPr>
              <w:pStyle w:val="TableCell"/>
              <w:keepNext/>
              <w:jc w:val="left"/>
              <w:rPr>
                <w:lang w:eastAsia="en-IE"/>
              </w:rPr>
            </w:pPr>
            <w:r w:rsidRPr="00D7359F">
              <w:rPr>
                <w:lang w:eastAsia="en-IE"/>
              </w:rPr>
              <w:t>17 years</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55,865</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4,428</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7.9%</w:t>
            </w:r>
          </w:p>
        </w:tc>
      </w:tr>
      <w:tr w:rsidR="004F5891" w:rsidRPr="00E771C3" w:rsidTr="004F5891">
        <w:tblPrEx>
          <w:tblCellMar>
            <w:top w:w="0" w:type="dxa"/>
            <w:bottom w:w="0" w:type="dxa"/>
          </w:tblCellMar>
        </w:tblPrEx>
        <w:tc>
          <w:tcPr>
            <w:tcW w:w="2943" w:type="dxa"/>
            <w:shd w:val="clear" w:color="auto" w:fill="auto"/>
            <w:vAlign w:val="bottom"/>
          </w:tcPr>
          <w:p w:rsidR="004F5891" w:rsidRPr="005F1F9F" w:rsidRDefault="004F5891" w:rsidP="004F5891">
            <w:pPr>
              <w:pStyle w:val="TableCell"/>
              <w:keepNext/>
              <w:jc w:val="left"/>
              <w:rPr>
                <w:lang w:eastAsia="en-IE"/>
              </w:rPr>
            </w:pPr>
            <w:r w:rsidRPr="00D7359F">
              <w:rPr>
                <w:lang w:eastAsia="en-IE"/>
              </w:rPr>
              <w:t>18 years</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56,840</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4,681</w:t>
            </w:r>
          </w:p>
        </w:tc>
        <w:tc>
          <w:tcPr>
            <w:tcW w:w="1971" w:type="dxa"/>
            <w:shd w:val="clear" w:color="auto" w:fill="auto"/>
            <w:vAlign w:val="bottom"/>
          </w:tcPr>
          <w:p w:rsidR="004F5891" w:rsidRPr="005F1F9F" w:rsidRDefault="004F5891" w:rsidP="004F5891">
            <w:pPr>
              <w:pStyle w:val="TableCell"/>
              <w:keepNext/>
              <w:rPr>
                <w:lang w:eastAsia="en-IE"/>
              </w:rPr>
            </w:pPr>
            <w:r w:rsidRPr="00D7359F">
              <w:rPr>
                <w:lang w:eastAsia="en-IE"/>
              </w:rPr>
              <w:t>8.2%</w:t>
            </w:r>
          </w:p>
        </w:tc>
      </w:tr>
    </w:tbl>
    <w:p w:rsidR="00B008E9" w:rsidRPr="00860259" w:rsidRDefault="00B008E9" w:rsidP="00FC6641">
      <w:pPr>
        <w:pStyle w:val="TableNote"/>
      </w:pPr>
      <w:r w:rsidRPr="00860259">
        <w:t>Source</w:t>
      </w:r>
      <w:r w:rsidR="00FC6641">
        <w:t>:</w:t>
      </w:r>
      <w:r w:rsidRPr="00860259">
        <w:t xml:space="preserve"> Census 2011</w:t>
      </w:r>
    </w:p>
    <w:p w:rsidR="00B008E9" w:rsidRDefault="00B008E9" w:rsidP="00DA1A61">
      <w:pPr>
        <w:pStyle w:val="Heading2"/>
        <w:numPr>
          <w:ilvl w:val="1"/>
          <w:numId w:val="10"/>
        </w:numPr>
        <w:ind w:hanging="1080"/>
      </w:pPr>
      <w:bookmarkStart w:id="118" w:name="_Toc403573118"/>
      <w:bookmarkStart w:id="119" w:name="_Toc415733707"/>
      <w:r>
        <w:t>Data from education system special needs</w:t>
      </w:r>
      <w:bookmarkEnd w:id="118"/>
      <w:bookmarkEnd w:id="119"/>
    </w:p>
    <w:p w:rsidR="00EF73A3" w:rsidRDefault="00EF73A3" w:rsidP="00EF73A3">
      <w:pPr>
        <w:rPr>
          <w:lang w:val="en-GB" w:eastAsia="en-GB"/>
        </w:rPr>
      </w:pPr>
      <w:r w:rsidRPr="00291CCD">
        <w:rPr>
          <w:lang w:val="en-GB" w:eastAsia="en-GB"/>
        </w:rPr>
        <w:t>There were an estimated 931,000 children in the school going age group in 2012.</w:t>
      </w:r>
    </w:p>
    <w:p w:rsidR="00B008E9" w:rsidRDefault="00EF73A3" w:rsidP="00B008E9">
      <w:r>
        <w:t xml:space="preserve">The National Council for Special Education has published data on the number of children with different types of special education need, relating to the school year 2012-13. </w:t>
      </w:r>
      <w:r w:rsidR="00B008E9">
        <w:t xml:space="preserve">These cover children in mainstream classes who get resource teaching; children in special classes; and children in special schools. It should be noted that there is no data from this source on the number of primary school children in mainstream classes with borderline or mild general learning disability, as their resource teaching is allocated through the General Allocation Model on a standard formula without individual assessments. </w:t>
      </w:r>
    </w:p>
    <w:p w:rsidR="00B008E9" w:rsidRDefault="00B008E9" w:rsidP="00AA7990">
      <w:pPr>
        <w:pStyle w:val="TableTitle"/>
      </w:pPr>
      <w:bookmarkStart w:id="120" w:name="_Toc419879419"/>
      <w:r>
        <w:t>Table 16: Estimated no. of school children receiving special education supports 2012-2013</w:t>
      </w:r>
      <w:bookmarkEnd w:id="120"/>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3F" w:firstRow="1" w:lastRow="0" w:firstColumn="0" w:lastColumn="0" w:noHBand="0" w:noVBand="0"/>
      </w:tblPr>
      <w:tblGrid>
        <w:gridCol w:w="1809"/>
        <w:gridCol w:w="1174"/>
        <w:gridCol w:w="1175"/>
        <w:gridCol w:w="1174"/>
        <w:gridCol w:w="1175"/>
        <w:gridCol w:w="1174"/>
        <w:gridCol w:w="1175"/>
      </w:tblGrid>
      <w:tr w:rsidR="008C6AAF" w:rsidRPr="00DC0FD7" w:rsidTr="00FC6641">
        <w:tblPrEx>
          <w:tblCellMar>
            <w:top w:w="0" w:type="dxa"/>
            <w:bottom w:w="0" w:type="dxa"/>
          </w:tblCellMar>
        </w:tblPrEx>
        <w:trPr>
          <w:tblHeader/>
        </w:trPr>
        <w:tc>
          <w:tcPr>
            <w:tcW w:w="1809" w:type="dxa"/>
            <w:tcBorders>
              <w:bottom w:val="single" w:sz="12" w:space="0" w:color="000000"/>
            </w:tcBorders>
            <w:shd w:val="clear" w:color="auto" w:fill="auto"/>
          </w:tcPr>
          <w:p w:rsidR="008C6AAF" w:rsidRPr="00DC0FD7" w:rsidRDefault="008C6AAF" w:rsidP="008C6AAF">
            <w:pPr>
              <w:pStyle w:val="TableHead"/>
              <w:keepNext/>
              <w:jc w:val="right"/>
            </w:pPr>
          </w:p>
        </w:tc>
        <w:tc>
          <w:tcPr>
            <w:tcW w:w="1174" w:type="dxa"/>
            <w:tcBorders>
              <w:bottom w:val="single" w:sz="12" w:space="0" w:color="000000"/>
            </w:tcBorders>
            <w:shd w:val="clear" w:color="auto" w:fill="auto"/>
          </w:tcPr>
          <w:p w:rsidR="008C6AAF" w:rsidRPr="00D82D59" w:rsidRDefault="008C6AAF" w:rsidP="008C6AAF">
            <w:pPr>
              <w:pStyle w:val="TableHead"/>
              <w:keepNext/>
              <w:rPr>
                <w:sz w:val="24"/>
                <w:lang w:eastAsia="en-IE"/>
              </w:rPr>
            </w:pPr>
            <w:r w:rsidRPr="00D82D59">
              <w:rPr>
                <w:sz w:val="24"/>
                <w:lang w:eastAsia="en-IE"/>
              </w:rPr>
              <w:t>Resource teaching</w:t>
            </w:r>
          </w:p>
          <w:p w:rsidR="008C6AAF" w:rsidRPr="00D82D59" w:rsidRDefault="008C6AAF" w:rsidP="008C6AAF">
            <w:pPr>
              <w:pStyle w:val="TableHead"/>
              <w:keepNext/>
              <w:rPr>
                <w:b w:val="0"/>
                <w:sz w:val="24"/>
                <w:lang w:eastAsia="en-IE"/>
              </w:rPr>
            </w:pPr>
            <w:r w:rsidRPr="00D82D59">
              <w:rPr>
                <w:b w:val="0"/>
                <w:sz w:val="24"/>
                <w:lang w:eastAsia="en-IE"/>
              </w:rPr>
              <w:t>Primary</w:t>
            </w:r>
          </w:p>
        </w:tc>
        <w:tc>
          <w:tcPr>
            <w:tcW w:w="1175" w:type="dxa"/>
            <w:tcBorders>
              <w:bottom w:val="single" w:sz="12" w:space="0" w:color="000000"/>
            </w:tcBorders>
            <w:shd w:val="clear" w:color="auto" w:fill="auto"/>
          </w:tcPr>
          <w:p w:rsidR="008C6AAF" w:rsidRPr="00D82D59" w:rsidRDefault="008C6AAF" w:rsidP="008C6AAF">
            <w:pPr>
              <w:pStyle w:val="TableHead"/>
              <w:keepNext/>
              <w:rPr>
                <w:sz w:val="24"/>
                <w:lang w:eastAsia="en-IE"/>
              </w:rPr>
            </w:pPr>
            <w:r w:rsidRPr="00D82D59">
              <w:rPr>
                <w:sz w:val="24"/>
                <w:lang w:eastAsia="en-IE"/>
              </w:rPr>
              <w:t>Resource  teaching</w:t>
            </w:r>
          </w:p>
          <w:p w:rsidR="008C6AAF" w:rsidRPr="00D82D59" w:rsidRDefault="008C6AAF" w:rsidP="008C6AAF">
            <w:pPr>
              <w:pStyle w:val="TableHead"/>
              <w:keepNext/>
              <w:rPr>
                <w:b w:val="0"/>
                <w:sz w:val="24"/>
                <w:lang w:eastAsia="en-IE"/>
              </w:rPr>
            </w:pPr>
            <w:r w:rsidRPr="00D82D59">
              <w:rPr>
                <w:b w:val="0"/>
                <w:sz w:val="24"/>
                <w:lang w:eastAsia="en-IE"/>
              </w:rPr>
              <w:t>Post-primary</w:t>
            </w:r>
          </w:p>
        </w:tc>
        <w:tc>
          <w:tcPr>
            <w:tcW w:w="1174" w:type="dxa"/>
            <w:tcBorders>
              <w:bottom w:val="single" w:sz="12" w:space="0" w:color="000000"/>
            </w:tcBorders>
            <w:shd w:val="clear" w:color="auto" w:fill="auto"/>
          </w:tcPr>
          <w:p w:rsidR="008C6AAF" w:rsidRPr="00D82D59" w:rsidRDefault="008C6AAF" w:rsidP="008C6AAF">
            <w:pPr>
              <w:pStyle w:val="TableHead"/>
              <w:keepNext/>
              <w:rPr>
                <w:sz w:val="24"/>
                <w:lang w:eastAsia="en-IE"/>
              </w:rPr>
            </w:pPr>
            <w:r w:rsidRPr="00D82D59">
              <w:rPr>
                <w:sz w:val="24"/>
                <w:lang w:eastAsia="en-IE"/>
              </w:rPr>
              <w:t>Special classes</w:t>
            </w:r>
          </w:p>
          <w:p w:rsidR="008C6AAF" w:rsidRPr="00D82D59" w:rsidRDefault="008C6AAF" w:rsidP="008C6AAF">
            <w:pPr>
              <w:pStyle w:val="TableHead"/>
              <w:keepNext/>
              <w:rPr>
                <w:b w:val="0"/>
                <w:sz w:val="24"/>
                <w:lang w:eastAsia="en-IE"/>
              </w:rPr>
            </w:pPr>
            <w:r w:rsidRPr="00D82D59">
              <w:rPr>
                <w:rFonts w:ascii="Gill Sans MT" w:hAnsi="Gill Sans MT" w:cs="Arial"/>
                <w:b w:val="0"/>
                <w:color w:val="000000"/>
                <w:sz w:val="24"/>
                <w:lang w:eastAsia="en-IE"/>
              </w:rPr>
              <w:t>All  main-stream schools </w:t>
            </w:r>
          </w:p>
        </w:tc>
        <w:tc>
          <w:tcPr>
            <w:tcW w:w="1175" w:type="dxa"/>
            <w:tcBorders>
              <w:bottom w:val="single" w:sz="12" w:space="0" w:color="000000"/>
            </w:tcBorders>
            <w:shd w:val="clear" w:color="auto" w:fill="auto"/>
          </w:tcPr>
          <w:p w:rsidR="008C6AAF" w:rsidRPr="00D82D59" w:rsidRDefault="008C6AAF" w:rsidP="008C6AAF">
            <w:pPr>
              <w:pStyle w:val="TableHead"/>
              <w:keepNext/>
              <w:rPr>
                <w:sz w:val="24"/>
                <w:lang w:eastAsia="en-IE"/>
              </w:rPr>
            </w:pPr>
            <w:r w:rsidRPr="00D82D59">
              <w:rPr>
                <w:sz w:val="24"/>
                <w:lang w:eastAsia="en-IE"/>
              </w:rPr>
              <w:t>Special schools</w:t>
            </w:r>
          </w:p>
          <w:p w:rsidR="008C6AAF" w:rsidRPr="00D82D59" w:rsidRDefault="008C6AAF" w:rsidP="008C6AAF">
            <w:pPr>
              <w:pStyle w:val="TableHead"/>
              <w:keepNext/>
              <w:rPr>
                <w:sz w:val="24"/>
                <w:lang w:eastAsia="en-IE"/>
              </w:rPr>
            </w:pPr>
            <w:r w:rsidRPr="00D82D59">
              <w:rPr>
                <w:rFonts w:ascii="Arial" w:hAnsi="Arial" w:cs="Arial"/>
                <w:color w:val="000000"/>
                <w:sz w:val="24"/>
                <w:lang w:eastAsia="en-IE"/>
              </w:rPr>
              <w:t> </w:t>
            </w:r>
          </w:p>
        </w:tc>
        <w:tc>
          <w:tcPr>
            <w:tcW w:w="1174" w:type="dxa"/>
            <w:tcBorders>
              <w:bottom w:val="single" w:sz="12" w:space="0" w:color="000000"/>
            </w:tcBorders>
            <w:shd w:val="clear" w:color="auto" w:fill="auto"/>
          </w:tcPr>
          <w:p w:rsidR="008C6AAF" w:rsidRPr="00D82D59" w:rsidRDefault="008C6AAF" w:rsidP="008C6AAF">
            <w:pPr>
              <w:pStyle w:val="TableHead"/>
              <w:keepNext/>
              <w:rPr>
                <w:sz w:val="24"/>
                <w:lang w:eastAsia="en-IE"/>
              </w:rPr>
            </w:pPr>
            <w:r w:rsidRPr="00D82D59">
              <w:rPr>
                <w:sz w:val="24"/>
                <w:lang w:eastAsia="en-IE"/>
              </w:rPr>
              <w:t>Total</w:t>
            </w:r>
          </w:p>
          <w:p w:rsidR="008C6AAF" w:rsidRPr="00D82D59" w:rsidRDefault="008C6AAF" w:rsidP="008C6AAF">
            <w:pPr>
              <w:pStyle w:val="TableHead"/>
              <w:keepNext/>
              <w:rPr>
                <w:sz w:val="24"/>
                <w:lang w:eastAsia="en-IE"/>
              </w:rPr>
            </w:pPr>
          </w:p>
        </w:tc>
        <w:tc>
          <w:tcPr>
            <w:tcW w:w="1175" w:type="dxa"/>
            <w:tcBorders>
              <w:bottom w:val="single" w:sz="12" w:space="0" w:color="000000"/>
            </w:tcBorders>
            <w:shd w:val="clear" w:color="auto" w:fill="auto"/>
          </w:tcPr>
          <w:p w:rsidR="008C6AAF" w:rsidRPr="00D82D59" w:rsidRDefault="008C6AAF" w:rsidP="008C6AAF">
            <w:pPr>
              <w:pStyle w:val="TableHead"/>
              <w:keepNext/>
              <w:rPr>
                <w:sz w:val="24"/>
                <w:lang w:eastAsia="en-IE"/>
              </w:rPr>
            </w:pPr>
            <w:r w:rsidRPr="00D82D59">
              <w:rPr>
                <w:sz w:val="24"/>
                <w:lang w:eastAsia="en-IE"/>
              </w:rPr>
              <w:t>% of age cohort</w:t>
            </w:r>
          </w:p>
        </w:tc>
      </w:tr>
      <w:tr w:rsidR="008C6AAF" w:rsidRPr="00DC0FD7" w:rsidTr="00FC6641">
        <w:tblPrEx>
          <w:tblCellMar>
            <w:top w:w="0" w:type="dxa"/>
            <w:bottom w:w="0" w:type="dxa"/>
          </w:tblCellMar>
        </w:tblPrEx>
        <w:tc>
          <w:tcPr>
            <w:tcW w:w="1809" w:type="dxa"/>
            <w:tcBorders>
              <w:top w:val="single" w:sz="12" w:space="0" w:color="000000"/>
            </w:tcBorders>
            <w:shd w:val="clear" w:color="auto" w:fill="auto"/>
          </w:tcPr>
          <w:p w:rsidR="008C6AAF" w:rsidRPr="008C6AAF" w:rsidRDefault="008C6AAF" w:rsidP="008C6AAF">
            <w:pPr>
              <w:pStyle w:val="TableCell"/>
              <w:keepNext/>
              <w:jc w:val="left"/>
              <w:rPr>
                <w:sz w:val="22"/>
                <w:szCs w:val="22"/>
                <w:lang w:eastAsia="en-IE"/>
              </w:rPr>
            </w:pPr>
            <w:r w:rsidRPr="008C6AAF">
              <w:rPr>
                <w:sz w:val="22"/>
                <w:szCs w:val="22"/>
                <w:lang w:eastAsia="en-IE"/>
              </w:rPr>
              <w:t xml:space="preserve">Assessed Syndrome </w:t>
            </w:r>
          </w:p>
        </w:tc>
        <w:tc>
          <w:tcPr>
            <w:tcW w:w="1174" w:type="dxa"/>
            <w:tcBorders>
              <w:top w:val="single" w:sz="12" w:space="0" w:color="000000"/>
            </w:tcBorders>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195</w:t>
            </w:r>
          </w:p>
        </w:tc>
        <w:tc>
          <w:tcPr>
            <w:tcW w:w="1175" w:type="dxa"/>
            <w:tcBorders>
              <w:top w:val="single" w:sz="12" w:space="0" w:color="000000"/>
            </w:tcBorders>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66</w:t>
            </w:r>
          </w:p>
        </w:tc>
        <w:tc>
          <w:tcPr>
            <w:tcW w:w="1174" w:type="dxa"/>
            <w:tcBorders>
              <w:top w:val="single" w:sz="12" w:space="0" w:color="000000"/>
            </w:tcBorders>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0</w:t>
            </w:r>
          </w:p>
        </w:tc>
        <w:tc>
          <w:tcPr>
            <w:tcW w:w="1175" w:type="dxa"/>
            <w:tcBorders>
              <w:top w:val="single" w:sz="12" w:space="0" w:color="000000"/>
            </w:tcBorders>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0</w:t>
            </w:r>
          </w:p>
        </w:tc>
        <w:tc>
          <w:tcPr>
            <w:tcW w:w="1174" w:type="dxa"/>
            <w:tcBorders>
              <w:top w:val="single" w:sz="12" w:space="0" w:color="000000"/>
            </w:tcBorders>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261</w:t>
            </w:r>
          </w:p>
        </w:tc>
        <w:tc>
          <w:tcPr>
            <w:tcW w:w="1175" w:type="dxa"/>
            <w:tcBorders>
              <w:top w:val="single" w:sz="12" w:space="0" w:color="000000"/>
            </w:tcBorders>
            <w:shd w:val="clear" w:color="auto" w:fill="auto"/>
          </w:tcPr>
          <w:p w:rsidR="008C6AAF" w:rsidRPr="008C6AAF" w:rsidRDefault="008C6AAF" w:rsidP="008C6AAF">
            <w:pPr>
              <w:pStyle w:val="TableCell"/>
              <w:keepNext/>
              <w:rPr>
                <w:sz w:val="22"/>
                <w:szCs w:val="22"/>
              </w:rPr>
            </w:pPr>
            <w:r w:rsidRPr="008C6AAF">
              <w:rPr>
                <w:sz w:val="22"/>
                <w:szCs w:val="22"/>
              </w:rPr>
              <w:t>0.03%</w:t>
            </w:r>
          </w:p>
        </w:tc>
      </w:tr>
      <w:tr w:rsidR="008C6AAF" w:rsidRPr="00DC0FD7" w:rsidTr="00FC6641">
        <w:tblPrEx>
          <w:tblCellMar>
            <w:top w:w="0" w:type="dxa"/>
            <w:bottom w:w="0" w:type="dxa"/>
          </w:tblCellMar>
        </w:tblPrEx>
        <w:tc>
          <w:tcPr>
            <w:tcW w:w="1809" w:type="dxa"/>
            <w:shd w:val="clear" w:color="auto" w:fill="auto"/>
          </w:tcPr>
          <w:p w:rsidR="008C6AAF" w:rsidRPr="008C6AAF" w:rsidRDefault="008C6AAF" w:rsidP="008C6AAF">
            <w:pPr>
              <w:pStyle w:val="TableCell"/>
              <w:keepNext/>
              <w:jc w:val="left"/>
              <w:rPr>
                <w:sz w:val="22"/>
                <w:szCs w:val="22"/>
                <w:lang w:eastAsia="en-IE"/>
              </w:rPr>
            </w:pPr>
            <w:r w:rsidRPr="008C6AAF">
              <w:rPr>
                <w:sz w:val="22"/>
                <w:szCs w:val="22"/>
                <w:lang w:eastAsia="en-IE"/>
              </w:rPr>
              <w:t xml:space="preserve">Autism/Autistic Spectrum Disorders </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4,919</w:t>
            </w:r>
          </w:p>
        </w:tc>
        <w:tc>
          <w:tcPr>
            <w:tcW w:w="1175"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2,148</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2,112</w:t>
            </w:r>
          </w:p>
        </w:tc>
        <w:tc>
          <w:tcPr>
            <w:tcW w:w="1175"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507</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9,686</w:t>
            </w:r>
          </w:p>
        </w:tc>
        <w:tc>
          <w:tcPr>
            <w:tcW w:w="1175" w:type="dxa"/>
            <w:shd w:val="clear" w:color="auto" w:fill="auto"/>
          </w:tcPr>
          <w:p w:rsidR="008C6AAF" w:rsidRPr="008C6AAF" w:rsidRDefault="008C6AAF" w:rsidP="008C6AAF">
            <w:pPr>
              <w:pStyle w:val="TableCell"/>
              <w:keepNext/>
              <w:rPr>
                <w:sz w:val="22"/>
                <w:szCs w:val="22"/>
              </w:rPr>
            </w:pPr>
            <w:r w:rsidRPr="008C6AAF">
              <w:rPr>
                <w:sz w:val="22"/>
                <w:szCs w:val="22"/>
              </w:rPr>
              <w:t>1.04%</w:t>
            </w:r>
          </w:p>
        </w:tc>
      </w:tr>
      <w:tr w:rsidR="008C6AAF" w:rsidRPr="00DC0FD7" w:rsidTr="00FC6641">
        <w:tblPrEx>
          <w:tblCellMar>
            <w:top w:w="0" w:type="dxa"/>
            <w:bottom w:w="0" w:type="dxa"/>
          </w:tblCellMar>
        </w:tblPrEx>
        <w:tc>
          <w:tcPr>
            <w:tcW w:w="1809" w:type="dxa"/>
            <w:shd w:val="clear" w:color="auto" w:fill="auto"/>
          </w:tcPr>
          <w:p w:rsidR="008C6AAF" w:rsidRPr="008C6AAF" w:rsidRDefault="008C6AAF" w:rsidP="008C6AAF">
            <w:pPr>
              <w:pStyle w:val="TableCell"/>
              <w:keepNext/>
              <w:jc w:val="left"/>
              <w:rPr>
                <w:sz w:val="22"/>
                <w:szCs w:val="22"/>
                <w:lang w:eastAsia="en-IE"/>
              </w:rPr>
            </w:pPr>
            <w:r w:rsidRPr="008C6AAF">
              <w:rPr>
                <w:sz w:val="22"/>
                <w:szCs w:val="22"/>
                <w:lang w:eastAsia="en-IE"/>
              </w:rPr>
              <w:t xml:space="preserve">Emotional/Behavioural Disturbance </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4,107</w:t>
            </w:r>
          </w:p>
        </w:tc>
        <w:tc>
          <w:tcPr>
            <w:tcW w:w="1175"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2,717</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34</w:t>
            </w:r>
          </w:p>
        </w:tc>
        <w:tc>
          <w:tcPr>
            <w:tcW w:w="1175"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0</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6,858</w:t>
            </w:r>
          </w:p>
        </w:tc>
        <w:tc>
          <w:tcPr>
            <w:tcW w:w="1175" w:type="dxa"/>
            <w:shd w:val="clear" w:color="auto" w:fill="auto"/>
          </w:tcPr>
          <w:p w:rsidR="008C6AAF" w:rsidRPr="008C6AAF" w:rsidRDefault="008C6AAF" w:rsidP="008C6AAF">
            <w:pPr>
              <w:pStyle w:val="TableCell"/>
              <w:keepNext/>
              <w:rPr>
                <w:sz w:val="22"/>
                <w:szCs w:val="22"/>
              </w:rPr>
            </w:pPr>
            <w:r w:rsidRPr="008C6AAF">
              <w:rPr>
                <w:sz w:val="22"/>
                <w:szCs w:val="22"/>
              </w:rPr>
              <w:t>0.74%</w:t>
            </w:r>
          </w:p>
        </w:tc>
      </w:tr>
      <w:tr w:rsidR="008C6AAF" w:rsidRPr="00DC0FD7" w:rsidTr="00FC6641">
        <w:tblPrEx>
          <w:tblCellMar>
            <w:top w:w="0" w:type="dxa"/>
            <w:bottom w:w="0" w:type="dxa"/>
          </w:tblCellMar>
        </w:tblPrEx>
        <w:tc>
          <w:tcPr>
            <w:tcW w:w="1809" w:type="dxa"/>
            <w:shd w:val="clear" w:color="auto" w:fill="auto"/>
          </w:tcPr>
          <w:p w:rsidR="008C6AAF" w:rsidRPr="008C6AAF" w:rsidRDefault="008C6AAF" w:rsidP="008C6AAF">
            <w:pPr>
              <w:pStyle w:val="TableCell"/>
              <w:keepNext/>
              <w:jc w:val="left"/>
              <w:rPr>
                <w:sz w:val="22"/>
                <w:szCs w:val="22"/>
                <w:lang w:eastAsia="en-IE"/>
              </w:rPr>
            </w:pPr>
            <w:r w:rsidRPr="008C6AAF">
              <w:rPr>
                <w:sz w:val="22"/>
                <w:szCs w:val="22"/>
                <w:lang w:eastAsia="en-IE"/>
              </w:rPr>
              <w:t xml:space="preserve">Hearing Impairment </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707</w:t>
            </w:r>
          </w:p>
        </w:tc>
        <w:tc>
          <w:tcPr>
            <w:tcW w:w="1175"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432</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89</w:t>
            </w:r>
          </w:p>
        </w:tc>
        <w:tc>
          <w:tcPr>
            <w:tcW w:w="1175"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120</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1,348</w:t>
            </w:r>
          </w:p>
        </w:tc>
        <w:tc>
          <w:tcPr>
            <w:tcW w:w="1175" w:type="dxa"/>
            <w:shd w:val="clear" w:color="auto" w:fill="auto"/>
          </w:tcPr>
          <w:p w:rsidR="008C6AAF" w:rsidRPr="008C6AAF" w:rsidRDefault="008C6AAF" w:rsidP="008C6AAF">
            <w:pPr>
              <w:pStyle w:val="TableCell"/>
              <w:keepNext/>
              <w:rPr>
                <w:sz w:val="22"/>
                <w:szCs w:val="22"/>
              </w:rPr>
            </w:pPr>
            <w:r w:rsidRPr="008C6AAF">
              <w:rPr>
                <w:sz w:val="22"/>
                <w:szCs w:val="22"/>
              </w:rPr>
              <w:t>0.14%</w:t>
            </w:r>
          </w:p>
        </w:tc>
      </w:tr>
      <w:tr w:rsidR="008C6AAF" w:rsidRPr="00DC0FD7" w:rsidTr="00FC6641">
        <w:tblPrEx>
          <w:tblCellMar>
            <w:top w:w="0" w:type="dxa"/>
            <w:bottom w:w="0" w:type="dxa"/>
          </w:tblCellMar>
        </w:tblPrEx>
        <w:tc>
          <w:tcPr>
            <w:tcW w:w="1809" w:type="dxa"/>
            <w:shd w:val="clear" w:color="auto" w:fill="auto"/>
          </w:tcPr>
          <w:p w:rsidR="008C6AAF" w:rsidRPr="008C6AAF" w:rsidRDefault="008C6AAF" w:rsidP="008C6AAF">
            <w:pPr>
              <w:pStyle w:val="TableCell"/>
              <w:keepNext/>
              <w:jc w:val="left"/>
              <w:rPr>
                <w:sz w:val="22"/>
                <w:szCs w:val="22"/>
                <w:lang w:eastAsia="en-IE"/>
              </w:rPr>
            </w:pPr>
            <w:r w:rsidRPr="008C6AAF">
              <w:rPr>
                <w:sz w:val="22"/>
                <w:szCs w:val="22"/>
                <w:lang w:eastAsia="en-IE"/>
              </w:rPr>
              <w:t xml:space="preserve">Moderate General Learning Disability </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540</w:t>
            </w:r>
          </w:p>
        </w:tc>
        <w:tc>
          <w:tcPr>
            <w:tcW w:w="1175"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221</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136</w:t>
            </w:r>
          </w:p>
        </w:tc>
        <w:tc>
          <w:tcPr>
            <w:tcW w:w="1175"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2,255</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3,152</w:t>
            </w:r>
          </w:p>
        </w:tc>
        <w:tc>
          <w:tcPr>
            <w:tcW w:w="1175" w:type="dxa"/>
            <w:shd w:val="clear" w:color="auto" w:fill="auto"/>
          </w:tcPr>
          <w:p w:rsidR="008C6AAF" w:rsidRPr="008C6AAF" w:rsidRDefault="008C6AAF" w:rsidP="008C6AAF">
            <w:pPr>
              <w:pStyle w:val="TableCell"/>
              <w:keepNext/>
              <w:rPr>
                <w:sz w:val="22"/>
                <w:szCs w:val="22"/>
              </w:rPr>
            </w:pPr>
            <w:r w:rsidRPr="008C6AAF">
              <w:rPr>
                <w:sz w:val="22"/>
                <w:szCs w:val="22"/>
              </w:rPr>
              <w:t>0.34%</w:t>
            </w:r>
          </w:p>
        </w:tc>
      </w:tr>
      <w:tr w:rsidR="008C6AAF" w:rsidRPr="00DC0FD7" w:rsidTr="00FC6641">
        <w:tblPrEx>
          <w:tblCellMar>
            <w:top w:w="0" w:type="dxa"/>
            <w:bottom w:w="0" w:type="dxa"/>
          </w:tblCellMar>
        </w:tblPrEx>
        <w:tc>
          <w:tcPr>
            <w:tcW w:w="1809" w:type="dxa"/>
            <w:shd w:val="clear" w:color="auto" w:fill="auto"/>
          </w:tcPr>
          <w:p w:rsidR="008C6AAF" w:rsidRPr="008C6AAF" w:rsidRDefault="008C6AAF" w:rsidP="008C6AAF">
            <w:pPr>
              <w:pStyle w:val="TableCell"/>
              <w:keepNext/>
              <w:jc w:val="left"/>
              <w:rPr>
                <w:sz w:val="22"/>
                <w:szCs w:val="22"/>
                <w:lang w:eastAsia="en-IE"/>
              </w:rPr>
            </w:pPr>
            <w:r w:rsidRPr="008C6AAF">
              <w:rPr>
                <w:sz w:val="22"/>
                <w:szCs w:val="22"/>
                <w:lang w:eastAsia="en-IE"/>
              </w:rPr>
              <w:t xml:space="preserve">Multiple Disabilities </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2,180</w:t>
            </w:r>
          </w:p>
        </w:tc>
        <w:tc>
          <w:tcPr>
            <w:tcW w:w="1175"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731</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23</w:t>
            </w:r>
          </w:p>
        </w:tc>
        <w:tc>
          <w:tcPr>
            <w:tcW w:w="1175"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72</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3,006</w:t>
            </w:r>
          </w:p>
        </w:tc>
        <w:tc>
          <w:tcPr>
            <w:tcW w:w="1175" w:type="dxa"/>
            <w:shd w:val="clear" w:color="auto" w:fill="auto"/>
          </w:tcPr>
          <w:p w:rsidR="008C6AAF" w:rsidRPr="008C6AAF" w:rsidRDefault="008C6AAF" w:rsidP="008C6AAF">
            <w:pPr>
              <w:pStyle w:val="TableCell"/>
              <w:keepNext/>
              <w:rPr>
                <w:sz w:val="22"/>
                <w:szCs w:val="22"/>
              </w:rPr>
            </w:pPr>
            <w:r w:rsidRPr="008C6AAF">
              <w:rPr>
                <w:sz w:val="22"/>
                <w:szCs w:val="22"/>
              </w:rPr>
              <w:t>0.32%</w:t>
            </w:r>
          </w:p>
        </w:tc>
      </w:tr>
      <w:tr w:rsidR="008C6AAF" w:rsidRPr="00DC0FD7" w:rsidTr="00FC6641">
        <w:tblPrEx>
          <w:tblCellMar>
            <w:top w:w="0" w:type="dxa"/>
            <w:bottom w:w="0" w:type="dxa"/>
          </w:tblCellMar>
        </w:tblPrEx>
        <w:tc>
          <w:tcPr>
            <w:tcW w:w="1809" w:type="dxa"/>
            <w:shd w:val="clear" w:color="auto" w:fill="auto"/>
          </w:tcPr>
          <w:p w:rsidR="008C6AAF" w:rsidRPr="008C6AAF" w:rsidRDefault="008C6AAF" w:rsidP="008C6AAF">
            <w:pPr>
              <w:pStyle w:val="TableCell"/>
              <w:keepNext/>
              <w:jc w:val="left"/>
              <w:rPr>
                <w:sz w:val="22"/>
                <w:szCs w:val="22"/>
                <w:lang w:eastAsia="en-IE"/>
              </w:rPr>
            </w:pPr>
            <w:r w:rsidRPr="008C6AAF">
              <w:rPr>
                <w:sz w:val="22"/>
                <w:szCs w:val="22"/>
                <w:lang w:eastAsia="en-IE"/>
              </w:rPr>
              <w:t xml:space="preserve">Other </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206</w:t>
            </w:r>
          </w:p>
        </w:tc>
        <w:tc>
          <w:tcPr>
            <w:tcW w:w="1175"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22</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0</w:t>
            </w:r>
          </w:p>
        </w:tc>
        <w:tc>
          <w:tcPr>
            <w:tcW w:w="1175"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0</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228</w:t>
            </w:r>
          </w:p>
        </w:tc>
        <w:tc>
          <w:tcPr>
            <w:tcW w:w="1175" w:type="dxa"/>
            <w:shd w:val="clear" w:color="auto" w:fill="auto"/>
          </w:tcPr>
          <w:p w:rsidR="008C6AAF" w:rsidRPr="008C6AAF" w:rsidRDefault="008C6AAF" w:rsidP="008C6AAF">
            <w:pPr>
              <w:pStyle w:val="TableCell"/>
              <w:keepNext/>
              <w:rPr>
                <w:sz w:val="22"/>
                <w:szCs w:val="22"/>
              </w:rPr>
            </w:pPr>
            <w:r w:rsidRPr="008C6AAF">
              <w:rPr>
                <w:sz w:val="22"/>
                <w:szCs w:val="22"/>
              </w:rPr>
              <w:t>0.02%</w:t>
            </w:r>
          </w:p>
        </w:tc>
      </w:tr>
      <w:tr w:rsidR="008C6AAF" w:rsidRPr="00DC0FD7" w:rsidTr="00FC6641">
        <w:tblPrEx>
          <w:tblCellMar>
            <w:top w:w="0" w:type="dxa"/>
            <w:bottom w:w="0" w:type="dxa"/>
          </w:tblCellMar>
        </w:tblPrEx>
        <w:tc>
          <w:tcPr>
            <w:tcW w:w="1809" w:type="dxa"/>
            <w:shd w:val="clear" w:color="auto" w:fill="auto"/>
          </w:tcPr>
          <w:p w:rsidR="008C6AAF" w:rsidRPr="008C6AAF" w:rsidRDefault="008C6AAF" w:rsidP="008C6AAF">
            <w:pPr>
              <w:pStyle w:val="TableCell"/>
              <w:keepNext/>
              <w:jc w:val="left"/>
              <w:rPr>
                <w:sz w:val="22"/>
                <w:szCs w:val="22"/>
                <w:lang w:eastAsia="en-IE"/>
              </w:rPr>
            </w:pPr>
            <w:r w:rsidRPr="008C6AAF">
              <w:rPr>
                <w:sz w:val="22"/>
                <w:szCs w:val="22"/>
                <w:lang w:eastAsia="en-IE"/>
              </w:rPr>
              <w:t xml:space="preserve">Physical Disability </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3,327</w:t>
            </w:r>
          </w:p>
        </w:tc>
        <w:tc>
          <w:tcPr>
            <w:tcW w:w="1175"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2,278</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8</w:t>
            </w:r>
          </w:p>
        </w:tc>
        <w:tc>
          <w:tcPr>
            <w:tcW w:w="1175"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288</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5,901</w:t>
            </w:r>
          </w:p>
        </w:tc>
        <w:tc>
          <w:tcPr>
            <w:tcW w:w="1175" w:type="dxa"/>
            <w:shd w:val="clear" w:color="auto" w:fill="auto"/>
          </w:tcPr>
          <w:p w:rsidR="008C6AAF" w:rsidRPr="008C6AAF" w:rsidRDefault="008C6AAF" w:rsidP="008C6AAF">
            <w:pPr>
              <w:pStyle w:val="TableCell"/>
              <w:keepNext/>
              <w:rPr>
                <w:sz w:val="22"/>
                <w:szCs w:val="22"/>
              </w:rPr>
            </w:pPr>
            <w:r w:rsidRPr="008C6AAF">
              <w:rPr>
                <w:sz w:val="22"/>
                <w:szCs w:val="22"/>
              </w:rPr>
              <w:t>0.63%</w:t>
            </w:r>
          </w:p>
        </w:tc>
      </w:tr>
      <w:tr w:rsidR="008C6AAF" w:rsidRPr="00DC0FD7" w:rsidTr="00FC6641">
        <w:tblPrEx>
          <w:tblCellMar>
            <w:top w:w="0" w:type="dxa"/>
            <w:bottom w:w="0" w:type="dxa"/>
          </w:tblCellMar>
        </w:tblPrEx>
        <w:tc>
          <w:tcPr>
            <w:tcW w:w="1809" w:type="dxa"/>
            <w:shd w:val="clear" w:color="auto" w:fill="auto"/>
          </w:tcPr>
          <w:p w:rsidR="008C6AAF" w:rsidRPr="008C6AAF" w:rsidRDefault="008C6AAF" w:rsidP="008C6AAF">
            <w:pPr>
              <w:pStyle w:val="TableCell"/>
              <w:keepNext/>
              <w:jc w:val="left"/>
              <w:rPr>
                <w:sz w:val="22"/>
                <w:szCs w:val="22"/>
                <w:lang w:eastAsia="en-IE"/>
              </w:rPr>
            </w:pPr>
            <w:r w:rsidRPr="008C6AAF">
              <w:rPr>
                <w:sz w:val="22"/>
                <w:szCs w:val="22"/>
                <w:lang w:eastAsia="en-IE"/>
              </w:rPr>
              <w:t>Severe Emotional/Behavioural Disturbance</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839</w:t>
            </w:r>
          </w:p>
        </w:tc>
        <w:tc>
          <w:tcPr>
            <w:tcW w:w="1175"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436</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5</w:t>
            </w:r>
          </w:p>
        </w:tc>
        <w:tc>
          <w:tcPr>
            <w:tcW w:w="1175"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373</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1,653</w:t>
            </w:r>
          </w:p>
        </w:tc>
        <w:tc>
          <w:tcPr>
            <w:tcW w:w="1175" w:type="dxa"/>
            <w:shd w:val="clear" w:color="auto" w:fill="auto"/>
          </w:tcPr>
          <w:p w:rsidR="008C6AAF" w:rsidRPr="008C6AAF" w:rsidRDefault="008C6AAF" w:rsidP="008C6AAF">
            <w:pPr>
              <w:pStyle w:val="TableCell"/>
              <w:keepNext/>
              <w:rPr>
                <w:sz w:val="22"/>
                <w:szCs w:val="22"/>
              </w:rPr>
            </w:pPr>
            <w:r w:rsidRPr="008C6AAF">
              <w:rPr>
                <w:sz w:val="22"/>
                <w:szCs w:val="22"/>
              </w:rPr>
              <w:t>0.18%</w:t>
            </w:r>
          </w:p>
        </w:tc>
      </w:tr>
      <w:tr w:rsidR="008C6AAF" w:rsidRPr="00DC0FD7" w:rsidTr="00FC6641">
        <w:tblPrEx>
          <w:tblCellMar>
            <w:top w:w="0" w:type="dxa"/>
            <w:bottom w:w="0" w:type="dxa"/>
          </w:tblCellMar>
        </w:tblPrEx>
        <w:tc>
          <w:tcPr>
            <w:tcW w:w="1809" w:type="dxa"/>
            <w:shd w:val="clear" w:color="auto" w:fill="auto"/>
          </w:tcPr>
          <w:p w:rsidR="008C6AAF" w:rsidRPr="008C6AAF" w:rsidRDefault="008C6AAF" w:rsidP="008C6AAF">
            <w:pPr>
              <w:pStyle w:val="TableCell"/>
              <w:keepNext/>
              <w:jc w:val="left"/>
              <w:rPr>
                <w:sz w:val="22"/>
                <w:szCs w:val="22"/>
                <w:lang w:eastAsia="en-IE"/>
              </w:rPr>
            </w:pPr>
            <w:r w:rsidRPr="008C6AAF">
              <w:rPr>
                <w:sz w:val="22"/>
                <w:szCs w:val="22"/>
                <w:lang w:eastAsia="en-IE"/>
              </w:rPr>
              <w:t>Severe/Profound General Learning Disability</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24</w:t>
            </w:r>
          </w:p>
        </w:tc>
        <w:tc>
          <w:tcPr>
            <w:tcW w:w="1175"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7</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28</w:t>
            </w:r>
          </w:p>
        </w:tc>
        <w:tc>
          <w:tcPr>
            <w:tcW w:w="1175"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312</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371</w:t>
            </w:r>
          </w:p>
        </w:tc>
        <w:tc>
          <w:tcPr>
            <w:tcW w:w="1175" w:type="dxa"/>
            <w:shd w:val="clear" w:color="auto" w:fill="auto"/>
          </w:tcPr>
          <w:p w:rsidR="008C6AAF" w:rsidRPr="008C6AAF" w:rsidRDefault="008C6AAF" w:rsidP="008C6AAF">
            <w:pPr>
              <w:pStyle w:val="TableCell"/>
              <w:keepNext/>
              <w:rPr>
                <w:sz w:val="22"/>
                <w:szCs w:val="22"/>
              </w:rPr>
            </w:pPr>
            <w:r w:rsidRPr="008C6AAF">
              <w:rPr>
                <w:sz w:val="22"/>
                <w:szCs w:val="22"/>
              </w:rPr>
              <w:t>0.04%</w:t>
            </w:r>
          </w:p>
        </w:tc>
      </w:tr>
      <w:tr w:rsidR="008C6AAF" w:rsidRPr="00DC0FD7" w:rsidTr="00FC6641">
        <w:tblPrEx>
          <w:tblCellMar>
            <w:top w:w="0" w:type="dxa"/>
            <w:bottom w:w="0" w:type="dxa"/>
          </w:tblCellMar>
        </w:tblPrEx>
        <w:tc>
          <w:tcPr>
            <w:tcW w:w="1809" w:type="dxa"/>
            <w:shd w:val="clear" w:color="auto" w:fill="auto"/>
          </w:tcPr>
          <w:p w:rsidR="008C6AAF" w:rsidRPr="008C6AAF" w:rsidRDefault="008C6AAF" w:rsidP="008C6AAF">
            <w:pPr>
              <w:pStyle w:val="TableCell"/>
              <w:keepNext/>
              <w:jc w:val="left"/>
              <w:rPr>
                <w:sz w:val="22"/>
                <w:szCs w:val="22"/>
                <w:lang w:eastAsia="en-IE"/>
              </w:rPr>
            </w:pPr>
            <w:r w:rsidRPr="008C6AAF">
              <w:rPr>
                <w:sz w:val="22"/>
                <w:szCs w:val="22"/>
                <w:lang w:eastAsia="en-IE"/>
              </w:rPr>
              <w:t>Specific Speech and Language Disorder</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4,934</w:t>
            </w:r>
          </w:p>
        </w:tc>
        <w:tc>
          <w:tcPr>
            <w:tcW w:w="1175"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931</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434</w:t>
            </w:r>
          </w:p>
        </w:tc>
        <w:tc>
          <w:tcPr>
            <w:tcW w:w="1175"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0</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6,299</w:t>
            </w:r>
          </w:p>
        </w:tc>
        <w:tc>
          <w:tcPr>
            <w:tcW w:w="1175" w:type="dxa"/>
            <w:shd w:val="clear" w:color="auto" w:fill="auto"/>
          </w:tcPr>
          <w:p w:rsidR="008C6AAF" w:rsidRPr="008C6AAF" w:rsidRDefault="008C6AAF" w:rsidP="008C6AAF">
            <w:pPr>
              <w:pStyle w:val="TableCell"/>
              <w:keepNext/>
              <w:rPr>
                <w:sz w:val="22"/>
                <w:szCs w:val="22"/>
              </w:rPr>
            </w:pPr>
            <w:r w:rsidRPr="008C6AAF">
              <w:rPr>
                <w:sz w:val="22"/>
                <w:szCs w:val="22"/>
              </w:rPr>
              <w:t>0.68%</w:t>
            </w:r>
          </w:p>
        </w:tc>
      </w:tr>
      <w:tr w:rsidR="008C6AAF" w:rsidRPr="00DC0FD7" w:rsidTr="00FC6641">
        <w:tblPrEx>
          <w:tblCellMar>
            <w:top w:w="0" w:type="dxa"/>
            <w:bottom w:w="0" w:type="dxa"/>
          </w:tblCellMar>
        </w:tblPrEx>
        <w:tc>
          <w:tcPr>
            <w:tcW w:w="1809" w:type="dxa"/>
            <w:shd w:val="clear" w:color="auto" w:fill="auto"/>
          </w:tcPr>
          <w:p w:rsidR="008C6AAF" w:rsidRPr="008C6AAF" w:rsidRDefault="008C6AAF" w:rsidP="008C6AAF">
            <w:pPr>
              <w:pStyle w:val="TableCell"/>
              <w:keepNext/>
              <w:jc w:val="left"/>
              <w:rPr>
                <w:sz w:val="22"/>
                <w:szCs w:val="22"/>
                <w:lang w:eastAsia="en-IE"/>
              </w:rPr>
            </w:pPr>
            <w:r w:rsidRPr="008C6AAF">
              <w:rPr>
                <w:sz w:val="22"/>
                <w:szCs w:val="22"/>
                <w:lang w:eastAsia="en-IE"/>
              </w:rPr>
              <w:t xml:space="preserve">Visual Impairment </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293</w:t>
            </w:r>
          </w:p>
        </w:tc>
        <w:tc>
          <w:tcPr>
            <w:tcW w:w="1175"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220</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0</w:t>
            </w:r>
          </w:p>
        </w:tc>
        <w:tc>
          <w:tcPr>
            <w:tcW w:w="1175"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40</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553</w:t>
            </w:r>
          </w:p>
        </w:tc>
        <w:tc>
          <w:tcPr>
            <w:tcW w:w="1175" w:type="dxa"/>
            <w:shd w:val="clear" w:color="auto" w:fill="auto"/>
          </w:tcPr>
          <w:p w:rsidR="008C6AAF" w:rsidRPr="008C6AAF" w:rsidRDefault="008C6AAF" w:rsidP="008C6AAF">
            <w:pPr>
              <w:pStyle w:val="TableCell"/>
              <w:keepNext/>
              <w:rPr>
                <w:sz w:val="22"/>
                <w:szCs w:val="22"/>
              </w:rPr>
            </w:pPr>
            <w:r w:rsidRPr="008C6AAF">
              <w:rPr>
                <w:sz w:val="22"/>
                <w:szCs w:val="22"/>
              </w:rPr>
              <w:t>0.06%</w:t>
            </w:r>
          </w:p>
        </w:tc>
      </w:tr>
      <w:tr w:rsidR="008C6AAF" w:rsidRPr="00DC0FD7" w:rsidTr="00FC6641">
        <w:tblPrEx>
          <w:tblCellMar>
            <w:top w:w="0" w:type="dxa"/>
            <w:bottom w:w="0" w:type="dxa"/>
          </w:tblCellMar>
        </w:tblPrEx>
        <w:tc>
          <w:tcPr>
            <w:tcW w:w="1809" w:type="dxa"/>
            <w:shd w:val="clear" w:color="auto" w:fill="auto"/>
          </w:tcPr>
          <w:p w:rsidR="008C6AAF" w:rsidRPr="008C6AAF" w:rsidRDefault="008C6AAF" w:rsidP="008C6AAF">
            <w:pPr>
              <w:pStyle w:val="TableCell"/>
              <w:keepNext/>
              <w:jc w:val="left"/>
              <w:rPr>
                <w:sz w:val="22"/>
                <w:szCs w:val="22"/>
                <w:lang w:eastAsia="en-IE"/>
              </w:rPr>
            </w:pPr>
            <w:r w:rsidRPr="008C6AAF">
              <w:rPr>
                <w:sz w:val="22"/>
                <w:szCs w:val="22"/>
                <w:lang w:eastAsia="en-IE"/>
              </w:rPr>
              <w:t>Borderline or mild GLD or specific learning disability</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Resource teachers via general allocation model </w:t>
            </w:r>
          </w:p>
        </w:tc>
        <w:tc>
          <w:tcPr>
            <w:tcW w:w="1175"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10,010</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809</w:t>
            </w:r>
          </w:p>
        </w:tc>
        <w:tc>
          <w:tcPr>
            <w:tcW w:w="1175"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3127</w:t>
            </w:r>
          </w:p>
        </w:tc>
        <w:tc>
          <w:tcPr>
            <w:tcW w:w="1174"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13,946</w:t>
            </w:r>
          </w:p>
        </w:tc>
        <w:tc>
          <w:tcPr>
            <w:tcW w:w="1175" w:type="dxa"/>
            <w:shd w:val="clear" w:color="auto" w:fill="auto"/>
          </w:tcPr>
          <w:p w:rsidR="008C6AAF" w:rsidRPr="008C6AAF" w:rsidRDefault="008C6AAF" w:rsidP="008C6AAF">
            <w:pPr>
              <w:pStyle w:val="TableCell"/>
              <w:keepNext/>
              <w:rPr>
                <w:sz w:val="22"/>
                <w:szCs w:val="22"/>
                <w:lang w:eastAsia="en-IE"/>
              </w:rPr>
            </w:pPr>
            <w:r w:rsidRPr="008C6AAF">
              <w:rPr>
                <w:sz w:val="22"/>
                <w:szCs w:val="22"/>
                <w:lang w:eastAsia="en-IE"/>
              </w:rPr>
              <w:t>-</w:t>
            </w:r>
          </w:p>
        </w:tc>
      </w:tr>
      <w:tr w:rsidR="008C6AAF" w:rsidRPr="00DC0FD7" w:rsidTr="00965E64">
        <w:tblPrEx>
          <w:tblCellMar>
            <w:top w:w="0" w:type="dxa"/>
            <w:bottom w:w="0" w:type="dxa"/>
          </w:tblCellMar>
        </w:tblPrEx>
        <w:trPr>
          <w:trHeight w:val="397"/>
        </w:trPr>
        <w:tc>
          <w:tcPr>
            <w:tcW w:w="1809" w:type="dxa"/>
            <w:shd w:val="clear" w:color="auto" w:fill="auto"/>
          </w:tcPr>
          <w:p w:rsidR="008C6AAF" w:rsidRPr="008C6AAF" w:rsidRDefault="008C6AAF" w:rsidP="00965E64">
            <w:pPr>
              <w:pStyle w:val="TableCell"/>
              <w:keepNext/>
              <w:spacing w:before="120"/>
              <w:jc w:val="left"/>
              <w:rPr>
                <w:b/>
                <w:bCs/>
                <w:sz w:val="22"/>
                <w:szCs w:val="22"/>
                <w:lang w:eastAsia="en-IE"/>
              </w:rPr>
            </w:pPr>
            <w:r w:rsidRPr="008C6AAF">
              <w:rPr>
                <w:b/>
                <w:bCs/>
                <w:sz w:val="22"/>
                <w:szCs w:val="22"/>
                <w:lang w:eastAsia="en-IE"/>
              </w:rPr>
              <w:t xml:space="preserve">Total </w:t>
            </w:r>
          </w:p>
        </w:tc>
        <w:tc>
          <w:tcPr>
            <w:tcW w:w="1174" w:type="dxa"/>
            <w:shd w:val="clear" w:color="auto" w:fill="auto"/>
          </w:tcPr>
          <w:p w:rsidR="008C6AAF" w:rsidRPr="008C6AAF" w:rsidRDefault="008C6AAF" w:rsidP="00965E64">
            <w:pPr>
              <w:pStyle w:val="TableCell"/>
              <w:keepNext/>
              <w:spacing w:before="120"/>
              <w:rPr>
                <w:b/>
                <w:bCs/>
                <w:sz w:val="22"/>
                <w:szCs w:val="22"/>
                <w:lang w:eastAsia="en-IE"/>
              </w:rPr>
            </w:pPr>
            <w:r w:rsidRPr="008C6AAF">
              <w:rPr>
                <w:b/>
                <w:bCs/>
                <w:sz w:val="22"/>
                <w:szCs w:val="22"/>
                <w:lang w:eastAsia="en-IE"/>
              </w:rPr>
              <w:t>22,271</w:t>
            </w:r>
          </w:p>
        </w:tc>
        <w:tc>
          <w:tcPr>
            <w:tcW w:w="1175" w:type="dxa"/>
            <w:shd w:val="clear" w:color="auto" w:fill="auto"/>
          </w:tcPr>
          <w:p w:rsidR="008C6AAF" w:rsidRPr="008C6AAF" w:rsidRDefault="008C6AAF" w:rsidP="00965E64">
            <w:pPr>
              <w:pStyle w:val="TableCell"/>
              <w:keepNext/>
              <w:spacing w:before="120"/>
              <w:rPr>
                <w:b/>
                <w:bCs/>
                <w:sz w:val="22"/>
                <w:szCs w:val="22"/>
                <w:lang w:eastAsia="en-IE"/>
              </w:rPr>
            </w:pPr>
            <w:r w:rsidRPr="008C6AAF">
              <w:rPr>
                <w:b/>
                <w:bCs/>
                <w:sz w:val="22"/>
                <w:szCs w:val="22"/>
                <w:lang w:eastAsia="en-IE"/>
              </w:rPr>
              <w:t>20,219</w:t>
            </w:r>
          </w:p>
        </w:tc>
        <w:tc>
          <w:tcPr>
            <w:tcW w:w="1174" w:type="dxa"/>
            <w:shd w:val="clear" w:color="auto" w:fill="auto"/>
          </w:tcPr>
          <w:p w:rsidR="008C6AAF" w:rsidRPr="008C6AAF" w:rsidRDefault="008C6AAF" w:rsidP="00965E64">
            <w:pPr>
              <w:pStyle w:val="TableCell"/>
              <w:keepNext/>
              <w:spacing w:before="120"/>
              <w:rPr>
                <w:b/>
                <w:bCs/>
                <w:sz w:val="22"/>
                <w:szCs w:val="22"/>
                <w:lang w:eastAsia="en-IE"/>
              </w:rPr>
            </w:pPr>
            <w:r w:rsidRPr="008C6AAF">
              <w:rPr>
                <w:b/>
                <w:bCs/>
                <w:sz w:val="22"/>
                <w:szCs w:val="22"/>
                <w:lang w:eastAsia="en-IE"/>
              </w:rPr>
              <w:t>3,678</w:t>
            </w:r>
          </w:p>
        </w:tc>
        <w:tc>
          <w:tcPr>
            <w:tcW w:w="1175" w:type="dxa"/>
            <w:shd w:val="clear" w:color="auto" w:fill="auto"/>
          </w:tcPr>
          <w:p w:rsidR="008C6AAF" w:rsidRPr="008C6AAF" w:rsidRDefault="008C6AAF" w:rsidP="00965E64">
            <w:pPr>
              <w:pStyle w:val="TableCell"/>
              <w:keepNext/>
              <w:spacing w:before="120"/>
              <w:rPr>
                <w:b/>
                <w:bCs/>
                <w:sz w:val="22"/>
                <w:szCs w:val="22"/>
                <w:lang w:eastAsia="en-IE"/>
              </w:rPr>
            </w:pPr>
            <w:r w:rsidRPr="008C6AAF">
              <w:rPr>
                <w:b/>
                <w:bCs/>
                <w:sz w:val="22"/>
                <w:szCs w:val="22"/>
                <w:lang w:eastAsia="en-IE"/>
              </w:rPr>
              <w:t>7,665</w:t>
            </w:r>
          </w:p>
        </w:tc>
        <w:tc>
          <w:tcPr>
            <w:tcW w:w="1174" w:type="dxa"/>
            <w:shd w:val="clear" w:color="auto" w:fill="auto"/>
          </w:tcPr>
          <w:p w:rsidR="008C6AAF" w:rsidRPr="008C6AAF" w:rsidRDefault="008C6AAF" w:rsidP="00965E64">
            <w:pPr>
              <w:pStyle w:val="TableCell"/>
              <w:keepNext/>
              <w:spacing w:before="120"/>
              <w:rPr>
                <w:b/>
                <w:bCs/>
                <w:sz w:val="22"/>
                <w:szCs w:val="22"/>
                <w:lang w:eastAsia="en-IE"/>
              </w:rPr>
            </w:pPr>
            <w:r w:rsidRPr="008C6AAF">
              <w:rPr>
                <w:b/>
                <w:bCs/>
                <w:sz w:val="22"/>
                <w:szCs w:val="22"/>
                <w:lang w:eastAsia="en-IE"/>
              </w:rPr>
              <w:t>53,833</w:t>
            </w:r>
          </w:p>
        </w:tc>
        <w:tc>
          <w:tcPr>
            <w:tcW w:w="1175" w:type="dxa"/>
            <w:shd w:val="clear" w:color="auto" w:fill="auto"/>
          </w:tcPr>
          <w:p w:rsidR="008C6AAF" w:rsidRPr="008C6AAF" w:rsidRDefault="008C6AAF" w:rsidP="00965E64">
            <w:pPr>
              <w:pStyle w:val="TableCell"/>
              <w:keepNext/>
              <w:spacing w:before="120"/>
              <w:rPr>
                <w:b/>
                <w:bCs/>
                <w:sz w:val="22"/>
                <w:szCs w:val="22"/>
                <w:lang w:eastAsia="en-IE"/>
              </w:rPr>
            </w:pPr>
          </w:p>
        </w:tc>
      </w:tr>
    </w:tbl>
    <w:p w:rsidR="00B008E9" w:rsidRDefault="00B008E9" w:rsidP="00965E64">
      <w:pPr>
        <w:spacing w:before="240"/>
      </w:pPr>
      <w:r>
        <w:t>The type of educational disability listed may give some broad guide as to whether these children may require specialist disability therapy services. Children with autistic spectrum disorders may require behavioural support, speech and language therapy, or occupational therapy, depending on the specific situation. If we assume that children with mild general learning disability, and children with a severe visual impairment do not require an ongoing therapy support, but children in all other categories do, then the proportion of the age cohort requiring therapy input would come to 6.4%.</w:t>
      </w:r>
      <w:r w:rsidR="00291CCD">
        <w:rPr>
          <w:rStyle w:val="FootnoteReference"/>
        </w:rPr>
        <w:footnoteReference w:id="49"/>
      </w:r>
      <w:r>
        <w:t xml:space="preserve"> </w:t>
      </w:r>
    </w:p>
    <w:p w:rsidR="00B008E9" w:rsidRPr="00956C75" w:rsidRDefault="00B008E9" w:rsidP="00B008E9">
      <w:r>
        <w:t>Without more detailed information</w:t>
      </w:r>
      <w:r w:rsidR="00291CCD">
        <w:t>, it is not possible to make an</w:t>
      </w:r>
      <w:r>
        <w:t xml:space="preserve"> assessment of </w:t>
      </w:r>
      <w:r w:rsidR="00291CCD">
        <w:t xml:space="preserve">the proportion of </w:t>
      </w:r>
      <w:r>
        <w:t xml:space="preserve">children </w:t>
      </w:r>
      <w:r w:rsidR="00291CCD">
        <w:t xml:space="preserve">who </w:t>
      </w:r>
      <w:r>
        <w:t>would require therapy input from a specialist disability team, as dis</w:t>
      </w:r>
      <w:r w:rsidR="008C6AAF">
        <w:t>tinct from a primary care team.</w:t>
      </w:r>
    </w:p>
    <w:p w:rsidR="00B008E9" w:rsidRDefault="00B008E9" w:rsidP="00DA1A61">
      <w:pPr>
        <w:pStyle w:val="Heading2"/>
        <w:numPr>
          <w:ilvl w:val="1"/>
          <w:numId w:val="10"/>
        </w:numPr>
        <w:ind w:hanging="1080"/>
        <w:rPr>
          <w:lang w:val="en-GB" w:eastAsia="en-GB"/>
        </w:rPr>
      </w:pPr>
      <w:bookmarkStart w:id="121" w:name="_Toc415733708"/>
      <w:r>
        <w:rPr>
          <w:lang w:val="en-GB" w:eastAsia="en-GB"/>
        </w:rPr>
        <w:t>GUI data 9-year olds – education perspective</w:t>
      </w:r>
      <w:bookmarkEnd w:id="121"/>
    </w:p>
    <w:p w:rsidR="00B008E9" w:rsidRDefault="00B008E9" w:rsidP="00B008E9">
      <w:pPr>
        <w:rPr>
          <w:lang w:val="en-GB" w:eastAsia="en-GB"/>
        </w:rPr>
      </w:pPr>
      <w:r>
        <w:rPr>
          <w:lang w:val="en-GB" w:eastAsia="en-GB"/>
        </w:rPr>
        <w:t xml:space="preserve">The Education Research Centre, St Patrick’s College, has </w:t>
      </w:r>
      <w:r w:rsidR="00AA7990">
        <w:rPr>
          <w:lang w:val="en-GB" w:eastAsia="en-GB"/>
        </w:rPr>
        <w:t xml:space="preserve">used the </w:t>
      </w:r>
      <w:r w:rsidR="00EF73A3">
        <w:rPr>
          <w:lang w:val="en-GB" w:eastAsia="en-GB"/>
        </w:rPr>
        <w:t>microdata from the G</w:t>
      </w:r>
      <w:r>
        <w:rPr>
          <w:lang w:val="en-GB" w:eastAsia="en-GB"/>
        </w:rPr>
        <w:t>rowing Up in Ireland data set on 9 year olds, looking at special ed</w:t>
      </w:r>
      <w:r w:rsidR="00EF73A3">
        <w:rPr>
          <w:lang w:val="en-GB" w:eastAsia="en-GB"/>
        </w:rPr>
        <w:t>ucation needs (Cosgrove et al for the NCSE, 2014</w:t>
      </w:r>
      <w:r w:rsidR="00C94235">
        <w:rPr>
          <w:rStyle w:val="FootnoteReference"/>
          <w:lang w:val="en-GB" w:eastAsia="en-GB"/>
        </w:rPr>
        <w:footnoteReference w:id="50"/>
      </w:r>
      <w:r>
        <w:rPr>
          <w:lang w:val="en-GB" w:eastAsia="en-GB"/>
        </w:rPr>
        <w:t xml:space="preserve">). </w:t>
      </w:r>
    </w:p>
    <w:p w:rsidR="00B008E9" w:rsidRDefault="00B008E9" w:rsidP="00B008E9">
      <w:pPr>
        <w:rPr>
          <w:lang w:val="en-GB" w:eastAsia="en-GB"/>
        </w:rPr>
      </w:pPr>
      <w:r>
        <w:rPr>
          <w:lang w:val="en-GB" w:eastAsia="en-GB"/>
        </w:rPr>
        <w:t xml:space="preserve">The data on children with social, emotional or </w:t>
      </w:r>
      <w:r w:rsidRPr="00F92730">
        <w:rPr>
          <w:lang w:val="en-GB" w:eastAsia="en-GB"/>
        </w:rPr>
        <w:t>behavioural difficulty</w:t>
      </w:r>
      <w:r>
        <w:rPr>
          <w:lang w:val="en-GB" w:eastAsia="en-GB"/>
        </w:rPr>
        <w:t xml:space="preserve"> </w:t>
      </w:r>
      <w:r w:rsidR="00AA7990">
        <w:rPr>
          <w:lang w:val="en-GB" w:eastAsia="en-GB"/>
        </w:rPr>
        <w:t xml:space="preserve">(SEBD) </w:t>
      </w:r>
      <w:r>
        <w:rPr>
          <w:lang w:val="en-GB" w:eastAsia="en-GB"/>
        </w:rPr>
        <w:t>was derived from teachers’ and parents’ reports on the SDQ questionnaire done as part of the study, and whether there was reported ADHD. The data on general learning disabili</w:t>
      </w:r>
      <w:r w:rsidR="00AA7990">
        <w:rPr>
          <w:lang w:val="en-GB" w:eastAsia="en-GB"/>
        </w:rPr>
        <w:t xml:space="preserve">ty was </w:t>
      </w:r>
      <w:r>
        <w:rPr>
          <w:lang w:val="en-GB" w:eastAsia="en-GB"/>
        </w:rPr>
        <w:t xml:space="preserve">derived from </w:t>
      </w:r>
      <w:r w:rsidR="00EF73A3">
        <w:rPr>
          <w:lang w:val="en-GB" w:eastAsia="en-GB"/>
        </w:rPr>
        <w:t xml:space="preserve">teachers’ and parents’ reports </w:t>
      </w:r>
      <w:r>
        <w:rPr>
          <w:lang w:val="en-GB" w:eastAsia="en-GB"/>
        </w:rPr>
        <w:t xml:space="preserve">of a learning difficulty (11% of the age cohort) and excluding those with a specific learning difficulty such as dyslexia. </w:t>
      </w:r>
    </w:p>
    <w:p w:rsidR="00B008E9" w:rsidRDefault="00B008E9" w:rsidP="00B008E9">
      <w:pPr>
        <w:rPr>
          <w:lang w:val="en-GB" w:eastAsia="en-GB"/>
        </w:rPr>
      </w:pPr>
      <w:r>
        <w:rPr>
          <w:lang w:val="en-GB" w:eastAsia="en-GB"/>
        </w:rPr>
        <w:t xml:space="preserve">The data from this analysis gives the following breakdown (N is the number of children in the sample of 9-year olds). </w:t>
      </w:r>
    </w:p>
    <w:p w:rsidR="00453926" w:rsidRDefault="00453926" w:rsidP="00B008E9">
      <w:pPr>
        <w:rPr>
          <w:lang w:val="en-GB" w:eastAsia="en-GB"/>
        </w:rPr>
      </w:pPr>
      <w:r>
        <w:rPr>
          <w:lang w:val="en-GB" w:eastAsia="en-GB"/>
        </w:rPr>
        <w:t>This highlights, that approximately one-third of children who received special education supports have either a specific leaning disability, or a physical or sensory disability and no other disability. This would reduce the prevalence of children who need the support of an interdisciplinary disability intervention team from 6.4% to 4.1%.</w:t>
      </w:r>
    </w:p>
    <w:p w:rsidR="00B008E9" w:rsidRDefault="00B008E9" w:rsidP="00AA7990">
      <w:pPr>
        <w:pStyle w:val="TableTitle"/>
        <w:rPr>
          <w:lang w:val="en-GB" w:eastAsia="en-GB"/>
        </w:rPr>
      </w:pPr>
      <w:bookmarkStart w:id="122" w:name="_Toc403572516"/>
      <w:bookmarkStart w:id="123" w:name="_Toc419879420"/>
      <w:r>
        <w:rPr>
          <w:lang w:val="en-GB" w:eastAsia="en-GB"/>
        </w:rPr>
        <w:t xml:space="preserve">Table 17: </w:t>
      </w:r>
      <w:bookmarkEnd w:id="122"/>
      <w:r w:rsidR="00AA7990">
        <w:rPr>
          <w:lang w:val="en-GB" w:eastAsia="en-GB"/>
        </w:rPr>
        <w:t>Children with various special education needs</w:t>
      </w:r>
      <w:bookmarkEnd w:id="123"/>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3F" w:firstRow="1" w:lastRow="0" w:firstColumn="0" w:lastColumn="0" w:noHBand="0" w:noVBand="0"/>
      </w:tblPr>
      <w:tblGrid>
        <w:gridCol w:w="2105"/>
        <w:gridCol w:w="1524"/>
        <w:gridCol w:w="1419"/>
        <w:gridCol w:w="1781"/>
        <w:gridCol w:w="1781"/>
      </w:tblGrid>
      <w:tr w:rsidR="00B008E9" w:rsidRPr="00E713E7" w:rsidTr="00FC6641">
        <w:trPr>
          <w:cantSplit/>
          <w:tblHeader/>
        </w:trPr>
        <w:tc>
          <w:tcPr>
            <w:tcW w:w="1223" w:type="pct"/>
            <w:tcBorders>
              <w:bottom w:val="single" w:sz="12" w:space="0" w:color="000000"/>
            </w:tcBorders>
            <w:shd w:val="clear" w:color="auto" w:fill="auto"/>
          </w:tcPr>
          <w:p w:rsidR="00B008E9" w:rsidRPr="00240C59" w:rsidRDefault="00B008E9" w:rsidP="00965E64">
            <w:pPr>
              <w:pStyle w:val="TableHead"/>
              <w:keepNext/>
              <w:jc w:val="right"/>
              <w:rPr>
                <w:sz w:val="22"/>
                <w:szCs w:val="22"/>
              </w:rPr>
            </w:pPr>
          </w:p>
        </w:tc>
        <w:tc>
          <w:tcPr>
            <w:tcW w:w="885" w:type="pct"/>
            <w:tcBorders>
              <w:bottom w:val="single" w:sz="12" w:space="0" w:color="000000"/>
            </w:tcBorders>
            <w:shd w:val="clear" w:color="auto" w:fill="auto"/>
          </w:tcPr>
          <w:p w:rsidR="00B008E9" w:rsidRPr="00240C59" w:rsidRDefault="00B008E9" w:rsidP="00965E64">
            <w:pPr>
              <w:pStyle w:val="TableHead"/>
              <w:keepNext/>
              <w:jc w:val="right"/>
              <w:rPr>
                <w:sz w:val="22"/>
                <w:szCs w:val="22"/>
              </w:rPr>
            </w:pPr>
            <w:r w:rsidRPr="00240C59">
              <w:rPr>
                <w:sz w:val="22"/>
                <w:szCs w:val="22"/>
              </w:rPr>
              <w:t xml:space="preserve">Children this need only </w:t>
            </w:r>
          </w:p>
          <w:p w:rsidR="00B008E9" w:rsidRPr="00240C59" w:rsidRDefault="00B008E9" w:rsidP="00965E64">
            <w:pPr>
              <w:pStyle w:val="TableHead"/>
              <w:keepNext/>
              <w:jc w:val="right"/>
              <w:rPr>
                <w:sz w:val="22"/>
                <w:szCs w:val="22"/>
              </w:rPr>
            </w:pPr>
            <w:r w:rsidRPr="00240C59">
              <w:rPr>
                <w:sz w:val="22"/>
                <w:szCs w:val="22"/>
              </w:rPr>
              <w:t>N</w:t>
            </w:r>
          </w:p>
        </w:tc>
        <w:tc>
          <w:tcPr>
            <w:tcW w:w="824" w:type="pct"/>
            <w:tcBorders>
              <w:bottom w:val="single" w:sz="12" w:space="0" w:color="000000"/>
            </w:tcBorders>
            <w:shd w:val="clear" w:color="auto" w:fill="auto"/>
          </w:tcPr>
          <w:p w:rsidR="00B008E9" w:rsidRPr="00240C59" w:rsidRDefault="00B008E9" w:rsidP="00965E64">
            <w:pPr>
              <w:pStyle w:val="TableHead"/>
              <w:keepNext/>
              <w:jc w:val="right"/>
              <w:rPr>
                <w:sz w:val="22"/>
                <w:szCs w:val="22"/>
              </w:rPr>
            </w:pPr>
            <w:r w:rsidRPr="00240C59">
              <w:rPr>
                <w:sz w:val="22"/>
                <w:szCs w:val="22"/>
              </w:rPr>
              <w:t>Children this need only</w:t>
            </w:r>
          </w:p>
          <w:p w:rsidR="00B008E9" w:rsidRPr="00240C59" w:rsidRDefault="00B008E9" w:rsidP="00965E64">
            <w:pPr>
              <w:pStyle w:val="TableHead"/>
              <w:keepNext/>
              <w:jc w:val="right"/>
              <w:rPr>
                <w:sz w:val="22"/>
                <w:szCs w:val="22"/>
              </w:rPr>
            </w:pPr>
            <w:r w:rsidRPr="00240C59">
              <w:rPr>
                <w:sz w:val="22"/>
                <w:szCs w:val="22"/>
              </w:rPr>
              <w:t>%</w:t>
            </w:r>
          </w:p>
        </w:tc>
        <w:tc>
          <w:tcPr>
            <w:tcW w:w="1034" w:type="pct"/>
            <w:tcBorders>
              <w:bottom w:val="single" w:sz="12" w:space="0" w:color="000000"/>
            </w:tcBorders>
          </w:tcPr>
          <w:p w:rsidR="00B008E9" w:rsidRPr="00240C59" w:rsidRDefault="00B008E9" w:rsidP="00965E64">
            <w:pPr>
              <w:pStyle w:val="TableHead"/>
              <w:keepNext/>
              <w:jc w:val="right"/>
              <w:rPr>
                <w:sz w:val="22"/>
                <w:szCs w:val="22"/>
                <w:lang w:eastAsia="en-GB"/>
              </w:rPr>
            </w:pPr>
            <w:r w:rsidRPr="00240C59">
              <w:rPr>
                <w:sz w:val="22"/>
                <w:szCs w:val="22"/>
                <w:lang w:eastAsia="en-GB"/>
              </w:rPr>
              <w:t xml:space="preserve">Children this need plus others </w:t>
            </w:r>
          </w:p>
          <w:p w:rsidR="00B008E9" w:rsidRPr="00240C59" w:rsidRDefault="00B008E9" w:rsidP="00965E64">
            <w:pPr>
              <w:pStyle w:val="TableHead"/>
              <w:keepNext/>
              <w:jc w:val="right"/>
              <w:rPr>
                <w:sz w:val="22"/>
                <w:szCs w:val="22"/>
                <w:lang w:eastAsia="en-GB"/>
              </w:rPr>
            </w:pPr>
            <w:r w:rsidRPr="00240C59">
              <w:rPr>
                <w:sz w:val="22"/>
                <w:szCs w:val="22"/>
                <w:lang w:eastAsia="en-GB"/>
              </w:rPr>
              <w:t>N</w:t>
            </w:r>
          </w:p>
        </w:tc>
        <w:tc>
          <w:tcPr>
            <w:tcW w:w="1034" w:type="pct"/>
            <w:tcBorders>
              <w:bottom w:val="single" w:sz="12" w:space="0" w:color="000000"/>
            </w:tcBorders>
          </w:tcPr>
          <w:p w:rsidR="00B008E9" w:rsidRPr="00240C59" w:rsidRDefault="00B008E9" w:rsidP="00965E64">
            <w:pPr>
              <w:pStyle w:val="TableHead"/>
              <w:keepNext/>
              <w:jc w:val="right"/>
              <w:rPr>
                <w:sz w:val="22"/>
                <w:szCs w:val="22"/>
                <w:lang w:eastAsia="en-GB"/>
              </w:rPr>
            </w:pPr>
            <w:r w:rsidRPr="00240C59">
              <w:rPr>
                <w:sz w:val="22"/>
                <w:szCs w:val="22"/>
                <w:lang w:eastAsia="en-GB"/>
              </w:rPr>
              <w:t xml:space="preserve">Children this need plus others </w:t>
            </w:r>
          </w:p>
          <w:p w:rsidR="00B008E9" w:rsidRPr="00240C59" w:rsidRDefault="00B008E9" w:rsidP="00965E64">
            <w:pPr>
              <w:pStyle w:val="TableHead"/>
              <w:keepNext/>
              <w:jc w:val="right"/>
              <w:rPr>
                <w:sz w:val="22"/>
                <w:szCs w:val="22"/>
                <w:lang w:eastAsia="en-GB"/>
              </w:rPr>
            </w:pPr>
            <w:r w:rsidRPr="00240C59">
              <w:rPr>
                <w:sz w:val="22"/>
                <w:szCs w:val="22"/>
                <w:lang w:eastAsia="en-GB"/>
              </w:rPr>
              <w:t>%</w:t>
            </w:r>
          </w:p>
        </w:tc>
      </w:tr>
      <w:tr w:rsidR="00B008E9" w:rsidTr="00FC6641">
        <w:trPr>
          <w:cantSplit/>
        </w:trPr>
        <w:tc>
          <w:tcPr>
            <w:tcW w:w="1223" w:type="pct"/>
            <w:tcBorders>
              <w:top w:val="single" w:sz="12" w:space="0" w:color="000000"/>
            </w:tcBorders>
            <w:shd w:val="clear" w:color="auto" w:fill="auto"/>
          </w:tcPr>
          <w:p w:rsidR="00B008E9" w:rsidRPr="00240C59" w:rsidRDefault="00B008E9" w:rsidP="00965E64">
            <w:pPr>
              <w:pStyle w:val="TableCell"/>
              <w:keepNext/>
              <w:jc w:val="left"/>
              <w:rPr>
                <w:sz w:val="22"/>
                <w:szCs w:val="22"/>
                <w:lang w:val="en-GB" w:eastAsia="en-GB"/>
              </w:rPr>
            </w:pPr>
            <w:r w:rsidRPr="00240C59">
              <w:rPr>
                <w:sz w:val="22"/>
                <w:szCs w:val="22"/>
                <w:lang w:val="en-GB" w:eastAsia="en-GB"/>
              </w:rPr>
              <w:t>Physical or sensory disability or dyspraxia</w:t>
            </w:r>
          </w:p>
        </w:tc>
        <w:tc>
          <w:tcPr>
            <w:tcW w:w="885" w:type="pct"/>
            <w:tcBorders>
              <w:top w:val="single" w:sz="12" w:space="0" w:color="000000"/>
            </w:tcBorders>
            <w:shd w:val="clear" w:color="auto" w:fill="auto"/>
          </w:tcPr>
          <w:p w:rsidR="00B008E9" w:rsidRPr="00240C59" w:rsidRDefault="00B008E9" w:rsidP="00965E64">
            <w:pPr>
              <w:pStyle w:val="TableCell"/>
              <w:keepNext/>
              <w:rPr>
                <w:sz w:val="22"/>
                <w:szCs w:val="22"/>
                <w:lang w:val="en-GB" w:eastAsia="en-GB"/>
              </w:rPr>
            </w:pPr>
            <w:r>
              <w:rPr>
                <w:sz w:val="22"/>
                <w:szCs w:val="22"/>
                <w:lang w:val="en-GB" w:eastAsia="en-GB"/>
              </w:rPr>
              <w:t>68</w:t>
            </w:r>
          </w:p>
        </w:tc>
        <w:tc>
          <w:tcPr>
            <w:tcW w:w="824" w:type="pct"/>
            <w:tcBorders>
              <w:top w:val="single" w:sz="12" w:space="0" w:color="000000"/>
            </w:tcBorders>
            <w:shd w:val="clear" w:color="auto" w:fill="auto"/>
          </w:tcPr>
          <w:p w:rsidR="00B008E9" w:rsidRPr="00240C59" w:rsidRDefault="00B008E9" w:rsidP="00965E64">
            <w:pPr>
              <w:pStyle w:val="TableCell"/>
              <w:keepNext/>
              <w:rPr>
                <w:sz w:val="22"/>
                <w:szCs w:val="22"/>
                <w:lang w:val="en-GB" w:eastAsia="en-GB"/>
              </w:rPr>
            </w:pPr>
            <w:r>
              <w:rPr>
                <w:sz w:val="22"/>
                <w:szCs w:val="22"/>
                <w:lang w:val="en-GB" w:eastAsia="en-GB"/>
              </w:rPr>
              <w:t>0.8</w:t>
            </w:r>
          </w:p>
        </w:tc>
        <w:tc>
          <w:tcPr>
            <w:tcW w:w="1034" w:type="pct"/>
            <w:tcBorders>
              <w:top w:val="single" w:sz="12" w:space="0" w:color="000000"/>
            </w:tcBorders>
          </w:tcPr>
          <w:p w:rsidR="00B008E9" w:rsidRPr="00240C59" w:rsidRDefault="00B008E9" w:rsidP="00965E64">
            <w:pPr>
              <w:pStyle w:val="TableCell"/>
              <w:keepNext/>
              <w:rPr>
                <w:sz w:val="22"/>
                <w:szCs w:val="22"/>
                <w:lang w:val="en-GB" w:eastAsia="en-GB"/>
              </w:rPr>
            </w:pPr>
            <w:r>
              <w:rPr>
                <w:sz w:val="22"/>
                <w:szCs w:val="22"/>
                <w:lang w:val="en-GB" w:eastAsia="en-GB"/>
              </w:rPr>
              <w:t>182</w:t>
            </w:r>
          </w:p>
        </w:tc>
        <w:tc>
          <w:tcPr>
            <w:tcW w:w="1034" w:type="pct"/>
            <w:tcBorders>
              <w:top w:val="single" w:sz="12" w:space="0" w:color="000000"/>
            </w:tcBorders>
          </w:tcPr>
          <w:p w:rsidR="00B008E9" w:rsidRPr="00240C59" w:rsidRDefault="00B008E9" w:rsidP="00965E64">
            <w:pPr>
              <w:pStyle w:val="TableCell"/>
              <w:keepNext/>
              <w:rPr>
                <w:sz w:val="22"/>
                <w:szCs w:val="22"/>
                <w:lang w:val="en-GB" w:eastAsia="en-GB"/>
              </w:rPr>
            </w:pPr>
            <w:r>
              <w:rPr>
                <w:sz w:val="22"/>
                <w:szCs w:val="22"/>
                <w:lang w:val="en-GB" w:eastAsia="en-GB"/>
              </w:rPr>
              <w:t>2.1</w:t>
            </w:r>
          </w:p>
        </w:tc>
      </w:tr>
      <w:tr w:rsidR="00B008E9" w:rsidTr="00FC6641">
        <w:trPr>
          <w:cantSplit/>
        </w:trPr>
        <w:tc>
          <w:tcPr>
            <w:tcW w:w="1223" w:type="pct"/>
            <w:shd w:val="clear" w:color="auto" w:fill="auto"/>
          </w:tcPr>
          <w:p w:rsidR="00B008E9" w:rsidRPr="00240C59" w:rsidRDefault="00B008E9" w:rsidP="00965E64">
            <w:pPr>
              <w:pStyle w:val="TableCell"/>
              <w:keepNext/>
              <w:jc w:val="left"/>
              <w:rPr>
                <w:sz w:val="22"/>
                <w:szCs w:val="22"/>
                <w:lang w:val="en-GB" w:eastAsia="en-GB"/>
              </w:rPr>
            </w:pPr>
            <w:r w:rsidRPr="00240C59">
              <w:rPr>
                <w:sz w:val="22"/>
                <w:szCs w:val="22"/>
                <w:lang w:val="en-GB" w:eastAsia="en-GB"/>
              </w:rPr>
              <w:t>Medium-risk social, emotional, behavioural difficulty or ADHD</w:t>
            </w:r>
          </w:p>
        </w:tc>
        <w:tc>
          <w:tcPr>
            <w:tcW w:w="885" w:type="pct"/>
            <w:shd w:val="clear" w:color="auto" w:fill="auto"/>
          </w:tcPr>
          <w:p w:rsidR="00B008E9" w:rsidRPr="00240C59" w:rsidRDefault="00B008E9" w:rsidP="00965E64">
            <w:pPr>
              <w:pStyle w:val="TableCell"/>
              <w:keepNext/>
              <w:rPr>
                <w:sz w:val="22"/>
                <w:szCs w:val="22"/>
                <w:lang w:val="en-GB" w:eastAsia="en-GB"/>
              </w:rPr>
            </w:pPr>
            <w:r>
              <w:rPr>
                <w:sz w:val="22"/>
                <w:szCs w:val="22"/>
                <w:lang w:val="en-GB" w:eastAsia="en-GB"/>
              </w:rPr>
              <w:t>619</w:t>
            </w:r>
          </w:p>
        </w:tc>
        <w:tc>
          <w:tcPr>
            <w:tcW w:w="824" w:type="pct"/>
            <w:shd w:val="clear" w:color="auto" w:fill="auto"/>
          </w:tcPr>
          <w:p w:rsidR="00B008E9" w:rsidRPr="00240C59" w:rsidRDefault="00B008E9" w:rsidP="00965E64">
            <w:pPr>
              <w:pStyle w:val="TableCell"/>
              <w:keepNext/>
              <w:rPr>
                <w:sz w:val="22"/>
                <w:szCs w:val="22"/>
                <w:lang w:val="en-GB" w:eastAsia="en-GB"/>
              </w:rPr>
            </w:pPr>
            <w:r>
              <w:rPr>
                <w:sz w:val="22"/>
                <w:szCs w:val="22"/>
                <w:lang w:val="en-GB" w:eastAsia="en-GB"/>
              </w:rPr>
              <w:t>7.2</w:t>
            </w:r>
          </w:p>
        </w:tc>
        <w:tc>
          <w:tcPr>
            <w:tcW w:w="1034" w:type="pct"/>
          </w:tcPr>
          <w:p w:rsidR="00B008E9" w:rsidRPr="00240C59" w:rsidRDefault="00B008E9" w:rsidP="00965E64">
            <w:pPr>
              <w:pStyle w:val="TableCell"/>
              <w:keepNext/>
              <w:rPr>
                <w:sz w:val="22"/>
                <w:szCs w:val="22"/>
                <w:lang w:val="en-GB" w:eastAsia="en-GB"/>
              </w:rPr>
            </w:pPr>
            <w:r>
              <w:rPr>
                <w:sz w:val="22"/>
                <w:szCs w:val="22"/>
                <w:lang w:val="en-GB" w:eastAsia="en-GB"/>
              </w:rPr>
              <w:t>321</w:t>
            </w:r>
          </w:p>
        </w:tc>
        <w:tc>
          <w:tcPr>
            <w:tcW w:w="1034" w:type="pct"/>
          </w:tcPr>
          <w:p w:rsidR="00B008E9" w:rsidRPr="00240C59" w:rsidRDefault="00B008E9" w:rsidP="00965E64">
            <w:pPr>
              <w:pStyle w:val="TableCell"/>
              <w:keepNext/>
              <w:rPr>
                <w:sz w:val="22"/>
                <w:szCs w:val="22"/>
                <w:lang w:val="en-GB" w:eastAsia="en-GB"/>
              </w:rPr>
            </w:pPr>
            <w:r>
              <w:rPr>
                <w:sz w:val="22"/>
                <w:szCs w:val="22"/>
                <w:lang w:val="en-GB" w:eastAsia="en-GB"/>
              </w:rPr>
              <w:t>3.7</w:t>
            </w:r>
          </w:p>
        </w:tc>
      </w:tr>
      <w:tr w:rsidR="00B008E9" w:rsidTr="00FC6641">
        <w:trPr>
          <w:cantSplit/>
        </w:trPr>
        <w:tc>
          <w:tcPr>
            <w:tcW w:w="1223" w:type="pct"/>
            <w:shd w:val="clear" w:color="auto" w:fill="auto"/>
          </w:tcPr>
          <w:p w:rsidR="00B008E9" w:rsidRPr="00240C59" w:rsidRDefault="00B008E9" w:rsidP="00965E64">
            <w:pPr>
              <w:pStyle w:val="TableCell"/>
              <w:keepNext/>
              <w:jc w:val="left"/>
              <w:rPr>
                <w:sz w:val="22"/>
                <w:szCs w:val="22"/>
                <w:lang w:val="en-GB" w:eastAsia="en-GB"/>
              </w:rPr>
            </w:pPr>
            <w:r w:rsidRPr="00240C59">
              <w:rPr>
                <w:sz w:val="22"/>
                <w:szCs w:val="22"/>
                <w:lang w:val="en-GB" w:eastAsia="en-GB"/>
              </w:rPr>
              <w:t>High-risk social, emotional, behavioural difficulty or ADHD</w:t>
            </w:r>
          </w:p>
        </w:tc>
        <w:tc>
          <w:tcPr>
            <w:tcW w:w="885" w:type="pct"/>
            <w:shd w:val="clear" w:color="auto" w:fill="auto"/>
          </w:tcPr>
          <w:p w:rsidR="00B008E9" w:rsidRPr="00240C59" w:rsidRDefault="00B008E9" w:rsidP="00965E64">
            <w:pPr>
              <w:pStyle w:val="TableCell"/>
              <w:keepNext/>
              <w:rPr>
                <w:sz w:val="22"/>
                <w:szCs w:val="22"/>
                <w:lang w:val="en-GB" w:eastAsia="en-GB"/>
              </w:rPr>
            </w:pPr>
            <w:r>
              <w:rPr>
                <w:sz w:val="22"/>
                <w:szCs w:val="22"/>
                <w:lang w:val="en-GB" w:eastAsia="en-GB"/>
              </w:rPr>
              <w:t>371</w:t>
            </w:r>
          </w:p>
        </w:tc>
        <w:tc>
          <w:tcPr>
            <w:tcW w:w="824" w:type="pct"/>
            <w:shd w:val="clear" w:color="auto" w:fill="auto"/>
          </w:tcPr>
          <w:p w:rsidR="00B008E9" w:rsidRPr="00240C59" w:rsidRDefault="00B008E9" w:rsidP="00965E64">
            <w:pPr>
              <w:pStyle w:val="TableCell"/>
              <w:keepNext/>
              <w:rPr>
                <w:sz w:val="22"/>
                <w:szCs w:val="22"/>
                <w:lang w:val="en-GB" w:eastAsia="en-GB"/>
              </w:rPr>
            </w:pPr>
            <w:r>
              <w:rPr>
                <w:sz w:val="22"/>
                <w:szCs w:val="22"/>
                <w:lang w:val="en-GB" w:eastAsia="en-GB"/>
              </w:rPr>
              <w:t>4.3</w:t>
            </w:r>
          </w:p>
        </w:tc>
        <w:tc>
          <w:tcPr>
            <w:tcW w:w="1034" w:type="pct"/>
          </w:tcPr>
          <w:p w:rsidR="00B008E9" w:rsidRPr="00240C59" w:rsidRDefault="00B008E9" w:rsidP="00965E64">
            <w:pPr>
              <w:pStyle w:val="TableCell"/>
              <w:keepNext/>
              <w:rPr>
                <w:sz w:val="22"/>
                <w:szCs w:val="22"/>
                <w:lang w:val="en-GB" w:eastAsia="en-GB"/>
              </w:rPr>
            </w:pPr>
            <w:r>
              <w:rPr>
                <w:sz w:val="22"/>
                <w:szCs w:val="22"/>
                <w:lang w:val="en-GB" w:eastAsia="en-GB"/>
              </w:rPr>
              <w:t>264</w:t>
            </w:r>
          </w:p>
        </w:tc>
        <w:tc>
          <w:tcPr>
            <w:tcW w:w="1034" w:type="pct"/>
          </w:tcPr>
          <w:p w:rsidR="00B008E9" w:rsidRPr="00240C59" w:rsidRDefault="00B008E9" w:rsidP="00965E64">
            <w:pPr>
              <w:pStyle w:val="TableCell"/>
              <w:keepNext/>
              <w:rPr>
                <w:sz w:val="22"/>
                <w:szCs w:val="22"/>
                <w:lang w:val="en-GB" w:eastAsia="en-GB"/>
              </w:rPr>
            </w:pPr>
            <w:r>
              <w:rPr>
                <w:sz w:val="22"/>
                <w:szCs w:val="22"/>
                <w:lang w:val="en-GB" w:eastAsia="en-GB"/>
              </w:rPr>
              <w:t>3.1</w:t>
            </w:r>
          </w:p>
        </w:tc>
      </w:tr>
      <w:tr w:rsidR="00B008E9" w:rsidTr="00FC6641">
        <w:trPr>
          <w:cantSplit/>
        </w:trPr>
        <w:tc>
          <w:tcPr>
            <w:tcW w:w="1223" w:type="pct"/>
            <w:shd w:val="clear" w:color="auto" w:fill="auto"/>
          </w:tcPr>
          <w:p w:rsidR="00B008E9" w:rsidRPr="00240C59" w:rsidRDefault="00B008E9" w:rsidP="00965E64">
            <w:pPr>
              <w:pStyle w:val="TableCell"/>
              <w:keepNext/>
              <w:jc w:val="left"/>
              <w:rPr>
                <w:sz w:val="22"/>
                <w:szCs w:val="22"/>
                <w:lang w:val="en-GB" w:eastAsia="en-GB"/>
              </w:rPr>
            </w:pPr>
            <w:r w:rsidRPr="00240C59">
              <w:rPr>
                <w:sz w:val="22"/>
                <w:szCs w:val="22"/>
                <w:lang w:val="en-GB" w:eastAsia="en-GB"/>
              </w:rPr>
              <w:t>General learning disability</w:t>
            </w:r>
          </w:p>
        </w:tc>
        <w:tc>
          <w:tcPr>
            <w:tcW w:w="885" w:type="pct"/>
            <w:shd w:val="clear" w:color="auto" w:fill="auto"/>
          </w:tcPr>
          <w:p w:rsidR="00B008E9" w:rsidRPr="00240C59" w:rsidRDefault="00B008E9" w:rsidP="00965E64">
            <w:pPr>
              <w:pStyle w:val="TableCell"/>
              <w:keepNext/>
              <w:rPr>
                <w:sz w:val="22"/>
                <w:szCs w:val="22"/>
                <w:lang w:val="en-GB" w:eastAsia="en-GB"/>
              </w:rPr>
            </w:pPr>
            <w:r>
              <w:rPr>
                <w:sz w:val="22"/>
                <w:szCs w:val="22"/>
                <w:lang w:val="en-GB" w:eastAsia="en-GB"/>
              </w:rPr>
              <w:t>246</w:t>
            </w:r>
          </w:p>
        </w:tc>
        <w:tc>
          <w:tcPr>
            <w:tcW w:w="824" w:type="pct"/>
            <w:shd w:val="clear" w:color="auto" w:fill="auto"/>
          </w:tcPr>
          <w:p w:rsidR="00B008E9" w:rsidRPr="00240C59" w:rsidRDefault="00B008E9" w:rsidP="00965E64">
            <w:pPr>
              <w:pStyle w:val="TableCell"/>
              <w:keepNext/>
              <w:rPr>
                <w:sz w:val="22"/>
                <w:szCs w:val="22"/>
                <w:lang w:val="en-GB" w:eastAsia="en-GB"/>
              </w:rPr>
            </w:pPr>
            <w:r>
              <w:rPr>
                <w:sz w:val="22"/>
                <w:szCs w:val="22"/>
                <w:lang w:val="en-GB" w:eastAsia="en-GB"/>
              </w:rPr>
              <w:t>2.9</w:t>
            </w:r>
          </w:p>
        </w:tc>
        <w:tc>
          <w:tcPr>
            <w:tcW w:w="1034" w:type="pct"/>
          </w:tcPr>
          <w:p w:rsidR="00B008E9" w:rsidRPr="00240C59" w:rsidRDefault="00B008E9" w:rsidP="00965E64">
            <w:pPr>
              <w:pStyle w:val="TableCell"/>
              <w:keepNext/>
              <w:rPr>
                <w:sz w:val="22"/>
                <w:szCs w:val="22"/>
                <w:lang w:val="en-GB" w:eastAsia="en-GB"/>
              </w:rPr>
            </w:pPr>
            <w:r>
              <w:rPr>
                <w:sz w:val="22"/>
                <w:szCs w:val="22"/>
                <w:lang w:val="en-GB" w:eastAsia="en-GB"/>
              </w:rPr>
              <w:t>161</w:t>
            </w:r>
          </w:p>
        </w:tc>
        <w:tc>
          <w:tcPr>
            <w:tcW w:w="1034" w:type="pct"/>
          </w:tcPr>
          <w:p w:rsidR="00B008E9" w:rsidRPr="00240C59" w:rsidRDefault="00B008E9" w:rsidP="00965E64">
            <w:pPr>
              <w:pStyle w:val="TableCell"/>
              <w:keepNext/>
              <w:rPr>
                <w:sz w:val="22"/>
                <w:szCs w:val="22"/>
                <w:lang w:val="en-GB" w:eastAsia="en-GB"/>
              </w:rPr>
            </w:pPr>
            <w:r>
              <w:rPr>
                <w:sz w:val="22"/>
                <w:szCs w:val="22"/>
                <w:lang w:val="en-GB" w:eastAsia="en-GB"/>
              </w:rPr>
              <w:t>1.9</w:t>
            </w:r>
          </w:p>
        </w:tc>
      </w:tr>
      <w:tr w:rsidR="00B008E9" w:rsidTr="00FC6641">
        <w:trPr>
          <w:cantSplit/>
        </w:trPr>
        <w:tc>
          <w:tcPr>
            <w:tcW w:w="1223" w:type="pct"/>
            <w:shd w:val="clear" w:color="auto" w:fill="auto"/>
          </w:tcPr>
          <w:p w:rsidR="00B008E9" w:rsidRPr="00240C59" w:rsidRDefault="00B008E9" w:rsidP="00965E64">
            <w:pPr>
              <w:pStyle w:val="TableCell"/>
              <w:keepNext/>
              <w:jc w:val="left"/>
              <w:rPr>
                <w:sz w:val="22"/>
                <w:szCs w:val="22"/>
                <w:lang w:val="en-GB" w:eastAsia="en-GB"/>
              </w:rPr>
            </w:pPr>
            <w:r w:rsidRPr="00240C59">
              <w:rPr>
                <w:sz w:val="22"/>
                <w:szCs w:val="22"/>
                <w:lang w:val="en-GB" w:eastAsia="en-GB"/>
              </w:rPr>
              <w:t>ASD/Asperger’s</w:t>
            </w:r>
          </w:p>
        </w:tc>
        <w:tc>
          <w:tcPr>
            <w:tcW w:w="885" w:type="pct"/>
            <w:shd w:val="clear" w:color="auto" w:fill="auto"/>
          </w:tcPr>
          <w:p w:rsidR="00B008E9" w:rsidRPr="00240C59" w:rsidRDefault="00B008E9" w:rsidP="00965E64">
            <w:pPr>
              <w:pStyle w:val="TableCell"/>
              <w:keepNext/>
              <w:rPr>
                <w:sz w:val="22"/>
                <w:szCs w:val="22"/>
                <w:lang w:val="en-GB" w:eastAsia="en-GB"/>
              </w:rPr>
            </w:pPr>
            <w:r>
              <w:rPr>
                <w:sz w:val="22"/>
                <w:szCs w:val="22"/>
                <w:lang w:val="en-GB" w:eastAsia="en-GB"/>
              </w:rPr>
              <w:t>3</w:t>
            </w:r>
          </w:p>
        </w:tc>
        <w:tc>
          <w:tcPr>
            <w:tcW w:w="824" w:type="pct"/>
            <w:shd w:val="clear" w:color="auto" w:fill="auto"/>
          </w:tcPr>
          <w:p w:rsidR="00B008E9" w:rsidRPr="00240C59" w:rsidRDefault="00B008E9" w:rsidP="00965E64">
            <w:pPr>
              <w:pStyle w:val="TableCell"/>
              <w:keepNext/>
              <w:rPr>
                <w:sz w:val="22"/>
                <w:szCs w:val="22"/>
                <w:lang w:val="en-GB" w:eastAsia="en-GB"/>
              </w:rPr>
            </w:pPr>
            <w:r>
              <w:rPr>
                <w:sz w:val="22"/>
                <w:szCs w:val="22"/>
                <w:lang w:val="en-GB" w:eastAsia="en-GB"/>
              </w:rPr>
              <w:t>-</w:t>
            </w:r>
          </w:p>
        </w:tc>
        <w:tc>
          <w:tcPr>
            <w:tcW w:w="1034" w:type="pct"/>
          </w:tcPr>
          <w:p w:rsidR="00B008E9" w:rsidRPr="00240C59" w:rsidRDefault="00B008E9" w:rsidP="00965E64">
            <w:pPr>
              <w:pStyle w:val="TableCell"/>
              <w:keepNext/>
              <w:rPr>
                <w:sz w:val="22"/>
                <w:szCs w:val="22"/>
                <w:lang w:val="en-GB" w:eastAsia="en-GB"/>
              </w:rPr>
            </w:pPr>
            <w:r>
              <w:rPr>
                <w:sz w:val="22"/>
                <w:szCs w:val="22"/>
                <w:lang w:val="en-GB" w:eastAsia="en-GB"/>
              </w:rPr>
              <w:t>66</w:t>
            </w:r>
          </w:p>
        </w:tc>
        <w:tc>
          <w:tcPr>
            <w:tcW w:w="1034" w:type="pct"/>
          </w:tcPr>
          <w:p w:rsidR="00B008E9" w:rsidRPr="00240C59" w:rsidRDefault="00B008E9" w:rsidP="00965E64">
            <w:pPr>
              <w:pStyle w:val="TableCell"/>
              <w:keepNext/>
              <w:rPr>
                <w:sz w:val="22"/>
                <w:szCs w:val="22"/>
                <w:lang w:val="en-GB" w:eastAsia="en-GB"/>
              </w:rPr>
            </w:pPr>
            <w:r>
              <w:rPr>
                <w:sz w:val="22"/>
                <w:szCs w:val="22"/>
                <w:lang w:val="en-GB" w:eastAsia="en-GB"/>
              </w:rPr>
              <w:t>0.8</w:t>
            </w:r>
          </w:p>
        </w:tc>
      </w:tr>
      <w:tr w:rsidR="00B008E9" w:rsidTr="00FC6641">
        <w:trPr>
          <w:cantSplit/>
        </w:trPr>
        <w:tc>
          <w:tcPr>
            <w:tcW w:w="1223" w:type="pct"/>
            <w:shd w:val="clear" w:color="auto" w:fill="auto"/>
          </w:tcPr>
          <w:p w:rsidR="00B008E9" w:rsidRPr="00240C59" w:rsidRDefault="00B008E9" w:rsidP="00965E64">
            <w:pPr>
              <w:pStyle w:val="TableCell"/>
              <w:keepNext/>
              <w:jc w:val="left"/>
              <w:rPr>
                <w:sz w:val="22"/>
                <w:szCs w:val="22"/>
                <w:lang w:val="en-GB" w:eastAsia="en-GB"/>
              </w:rPr>
            </w:pPr>
            <w:r>
              <w:rPr>
                <w:sz w:val="22"/>
                <w:szCs w:val="22"/>
                <w:lang w:val="en-GB" w:eastAsia="en-GB"/>
              </w:rPr>
              <w:t>Spe</w:t>
            </w:r>
            <w:r w:rsidRPr="00240C59">
              <w:rPr>
                <w:sz w:val="22"/>
                <w:szCs w:val="22"/>
                <w:lang w:val="en-GB" w:eastAsia="en-GB"/>
              </w:rPr>
              <w:t>ech/language disorder</w:t>
            </w:r>
          </w:p>
        </w:tc>
        <w:tc>
          <w:tcPr>
            <w:tcW w:w="885" w:type="pct"/>
            <w:shd w:val="clear" w:color="auto" w:fill="auto"/>
          </w:tcPr>
          <w:p w:rsidR="00B008E9" w:rsidRPr="00240C59" w:rsidRDefault="00B008E9" w:rsidP="00965E64">
            <w:pPr>
              <w:pStyle w:val="TableCell"/>
              <w:keepNext/>
              <w:rPr>
                <w:sz w:val="22"/>
                <w:szCs w:val="22"/>
                <w:lang w:val="en-GB" w:eastAsia="en-GB"/>
              </w:rPr>
            </w:pPr>
            <w:r>
              <w:rPr>
                <w:sz w:val="22"/>
                <w:szCs w:val="22"/>
                <w:lang w:val="en-GB" w:eastAsia="en-GB"/>
              </w:rPr>
              <w:t>77</w:t>
            </w:r>
          </w:p>
        </w:tc>
        <w:tc>
          <w:tcPr>
            <w:tcW w:w="824" w:type="pct"/>
            <w:shd w:val="clear" w:color="auto" w:fill="auto"/>
          </w:tcPr>
          <w:p w:rsidR="00B008E9" w:rsidRPr="00240C59" w:rsidRDefault="00B008E9" w:rsidP="00965E64">
            <w:pPr>
              <w:pStyle w:val="TableCell"/>
              <w:keepNext/>
              <w:rPr>
                <w:sz w:val="22"/>
                <w:szCs w:val="22"/>
                <w:lang w:val="en-GB" w:eastAsia="en-GB"/>
              </w:rPr>
            </w:pPr>
            <w:r>
              <w:rPr>
                <w:sz w:val="22"/>
                <w:szCs w:val="22"/>
                <w:lang w:val="en-GB" w:eastAsia="en-GB"/>
              </w:rPr>
              <w:t>0.9</w:t>
            </w:r>
          </w:p>
        </w:tc>
        <w:tc>
          <w:tcPr>
            <w:tcW w:w="1034" w:type="pct"/>
          </w:tcPr>
          <w:p w:rsidR="00B008E9" w:rsidRPr="00240C59" w:rsidRDefault="00B008E9" w:rsidP="00965E64">
            <w:pPr>
              <w:pStyle w:val="TableCell"/>
              <w:keepNext/>
              <w:rPr>
                <w:sz w:val="22"/>
                <w:szCs w:val="22"/>
                <w:lang w:val="en-GB" w:eastAsia="en-GB"/>
              </w:rPr>
            </w:pPr>
            <w:r>
              <w:rPr>
                <w:sz w:val="22"/>
                <w:szCs w:val="22"/>
                <w:lang w:val="en-GB" w:eastAsia="en-GB"/>
              </w:rPr>
              <w:t>237</w:t>
            </w:r>
          </w:p>
        </w:tc>
        <w:tc>
          <w:tcPr>
            <w:tcW w:w="1034" w:type="pct"/>
          </w:tcPr>
          <w:p w:rsidR="00B008E9" w:rsidRPr="00240C59" w:rsidRDefault="00B008E9" w:rsidP="00965E64">
            <w:pPr>
              <w:pStyle w:val="TableCell"/>
              <w:keepNext/>
              <w:rPr>
                <w:sz w:val="22"/>
                <w:szCs w:val="22"/>
                <w:lang w:val="en-GB" w:eastAsia="en-GB"/>
              </w:rPr>
            </w:pPr>
            <w:r>
              <w:rPr>
                <w:sz w:val="22"/>
                <w:szCs w:val="22"/>
                <w:lang w:val="en-GB" w:eastAsia="en-GB"/>
              </w:rPr>
              <w:t>2.8</w:t>
            </w:r>
          </w:p>
        </w:tc>
      </w:tr>
      <w:tr w:rsidR="00B008E9" w:rsidTr="00FC6641">
        <w:trPr>
          <w:cantSplit/>
        </w:trPr>
        <w:tc>
          <w:tcPr>
            <w:tcW w:w="1223" w:type="pct"/>
            <w:shd w:val="clear" w:color="auto" w:fill="auto"/>
          </w:tcPr>
          <w:p w:rsidR="00B008E9" w:rsidRPr="00240C59" w:rsidRDefault="00B008E9" w:rsidP="00965E64">
            <w:pPr>
              <w:pStyle w:val="TableCell"/>
              <w:keepNext/>
              <w:jc w:val="left"/>
              <w:rPr>
                <w:sz w:val="22"/>
                <w:szCs w:val="22"/>
                <w:lang w:val="en-GB" w:eastAsia="en-GB"/>
              </w:rPr>
            </w:pPr>
            <w:r w:rsidRPr="00240C59">
              <w:rPr>
                <w:sz w:val="22"/>
                <w:szCs w:val="22"/>
                <w:lang w:val="en-GB" w:eastAsia="en-GB"/>
              </w:rPr>
              <w:t>Dyslexia</w:t>
            </w:r>
          </w:p>
        </w:tc>
        <w:tc>
          <w:tcPr>
            <w:tcW w:w="885" w:type="pct"/>
            <w:shd w:val="clear" w:color="auto" w:fill="auto"/>
          </w:tcPr>
          <w:p w:rsidR="00B008E9" w:rsidRPr="00240C59" w:rsidRDefault="00B008E9" w:rsidP="00965E64">
            <w:pPr>
              <w:pStyle w:val="TableCell"/>
              <w:keepNext/>
              <w:rPr>
                <w:sz w:val="22"/>
                <w:szCs w:val="22"/>
                <w:lang w:val="en-GB" w:eastAsia="en-GB"/>
              </w:rPr>
            </w:pPr>
            <w:r>
              <w:rPr>
                <w:sz w:val="22"/>
                <w:szCs w:val="22"/>
                <w:lang w:val="en-GB" w:eastAsia="en-GB"/>
              </w:rPr>
              <w:t>171</w:t>
            </w:r>
          </w:p>
        </w:tc>
        <w:tc>
          <w:tcPr>
            <w:tcW w:w="824" w:type="pct"/>
            <w:shd w:val="clear" w:color="auto" w:fill="auto"/>
          </w:tcPr>
          <w:p w:rsidR="00B008E9" w:rsidRPr="00240C59" w:rsidRDefault="00B008E9" w:rsidP="00965E64">
            <w:pPr>
              <w:pStyle w:val="TableCell"/>
              <w:keepNext/>
              <w:rPr>
                <w:sz w:val="22"/>
                <w:szCs w:val="22"/>
                <w:lang w:val="en-GB" w:eastAsia="en-GB"/>
              </w:rPr>
            </w:pPr>
            <w:r>
              <w:rPr>
                <w:sz w:val="22"/>
                <w:szCs w:val="22"/>
                <w:lang w:val="en-GB" w:eastAsia="en-GB"/>
              </w:rPr>
              <w:t>2.0</w:t>
            </w:r>
          </w:p>
        </w:tc>
        <w:tc>
          <w:tcPr>
            <w:tcW w:w="1034" w:type="pct"/>
          </w:tcPr>
          <w:p w:rsidR="00B008E9" w:rsidRPr="00240C59" w:rsidRDefault="00B008E9" w:rsidP="00965E64">
            <w:pPr>
              <w:pStyle w:val="TableCell"/>
              <w:keepNext/>
              <w:rPr>
                <w:sz w:val="22"/>
                <w:szCs w:val="22"/>
                <w:lang w:val="en-GB" w:eastAsia="en-GB"/>
              </w:rPr>
            </w:pPr>
            <w:r>
              <w:rPr>
                <w:sz w:val="22"/>
                <w:szCs w:val="22"/>
                <w:lang w:val="en-GB" w:eastAsia="en-GB"/>
              </w:rPr>
              <w:t>190</w:t>
            </w:r>
          </w:p>
        </w:tc>
        <w:tc>
          <w:tcPr>
            <w:tcW w:w="1034" w:type="pct"/>
          </w:tcPr>
          <w:p w:rsidR="00B008E9" w:rsidRPr="00240C59" w:rsidRDefault="00B008E9" w:rsidP="00965E64">
            <w:pPr>
              <w:pStyle w:val="TableCell"/>
              <w:keepNext/>
              <w:rPr>
                <w:sz w:val="22"/>
                <w:szCs w:val="22"/>
                <w:lang w:val="en-GB" w:eastAsia="en-GB"/>
              </w:rPr>
            </w:pPr>
            <w:r>
              <w:rPr>
                <w:sz w:val="22"/>
                <w:szCs w:val="22"/>
                <w:lang w:val="en-GB" w:eastAsia="en-GB"/>
              </w:rPr>
              <w:t>2.2</w:t>
            </w:r>
          </w:p>
        </w:tc>
      </w:tr>
      <w:tr w:rsidR="00B008E9" w:rsidTr="00FC6641">
        <w:trPr>
          <w:cantSplit/>
        </w:trPr>
        <w:tc>
          <w:tcPr>
            <w:tcW w:w="1223" w:type="pct"/>
            <w:shd w:val="clear" w:color="auto" w:fill="auto"/>
          </w:tcPr>
          <w:p w:rsidR="00B008E9" w:rsidRPr="00240C59" w:rsidRDefault="00B008E9" w:rsidP="00965E64">
            <w:pPr>
              <w:pStyle w:val="TableCell"/>
              <w:keepNext/>
              <w:jc w:val="left"/>
              <w:rPr>
                <w:sz w:val="22"/>
                <w:szCs w:val="22"/>
                <w:lang w:val="en-GB" w:eastAsia="en-GB"/>
              </w:rPr>
            </w:pPr>
            <w:r w:rsidRPr="00240C59">
              <w:rPr>
                <w:sz w:val="22"/>
                <w:szCs w:val="22"/>
                <w:lang w:val="en-GB" w:eastAsia="en-GB"/>
              </w:rPr>
              <w:t>Other specific learning disability</w:t>
            </w:r>
          </w:p>
        </w:tc>
        <w:tc>
          <w:tcPr>
            <w:tcW w:w="885" w:type="pct"/>
            <w:shd w:val="clear" w:color="auto" w:fill="auto"/>
          </w:tcPr>
          <w:p w:rsidR="00B008E9" w:rsidRPr="00240C59" w:rsidRDefault="00B008E9" w:rsidP="00965E64">
            <w:pPr>
              <w:pStyle w:val="TableCell"/>
              <w:keepNext/>
              <w:rPr>
                <w:sz w:val="22"/>
                <w:szCs w:val="22"/>
                <w:lang w:val="en-GB" w:eastAsia="en-GB"/>
              </w:rPr>
            </w:pPr>
            <w:r>
              <w:rPr>
                <w:sz w:val="22"/>
                <w:szCs w:val="22"/>
                <w:lang w:val="en-GB" w:eastAsia="en-GB"/>
              </w:rPr>
              <w:t>119</w:t>
            </w:r>
          </w:p>
        </w:tc>
        <w:tc>
          <w:tcPr>
            <w:tcW w:w="824" w:type="pct"/>
            <w:shd w:val="clear" w:color="auto" w:fill="auto"/>
          </w:tcPr>
          <w:p w:rsidR="00B008E9" w:rsidRPr="00240C59" w:rsidRDefault="00B008E9" w:rsidP="00965E64">
            <w:pPr>
              <w:pStyle w:val="TableCell"/>
              <w:keepNext/>
              <w:rPr>
                <w:sz w:val="22"/>
                <w:szCs w:val="22"/>
                <w:lang w:val="en-GB" w:eastAsia="en-GB"/>
              </w:rPr>
            </w:pPr>
            <w:r>
              <w:rPr>
                <w:sz w:val="22"/>
                <w:szCs w:val="22"/>
                <w:lang w:val="en-GB" w:eastAsia="en-GB"/>
              </w:rPr>
              <w:t>1.4</w:t>
            </w:r>
          </w:p>
        </w:tc>
        <w:tc>
          <w:tcPr>
            <w:tcW w:w="1034" w:type="pct"/>
          </w:tcPr>
          <w:p w:rsidR="00B008E9" w:rsidRPr="00240C59" w:rsidRDefault="00B008E9" w:rsidP="00965E64">
            <w:pPr>
              <w:pStyle w:val="TableCell"/>
              <w:keepNext/>
              <w:rPr>
                <w:sz w:val="22"/>
                <w:szCs w:val="22"/>
                <w:lang w:val="en-GB" w:eastAsia="en-GB"/>
              </w:rPr>
            </w:pPr>
            <w:r>
              <w:rPr>
                <w:sz w:val="22"/>
                <w:szCs w:val="22"/>
                <w:lang w:val="en-GB" w:eastAsia="en-GB"/>
              </w:rPr>
              <w:t>213</w:t>
            </w:r>
          </w:p>
        </w:tc>
        <w:tc>
          <w:tcPr>
            <w:tcW w:w="1034" w:type="pct"/>
          </w:tcPr>
          <w:p w:rsidR="00B008E9" w:rsidRPr="00240C59" w:rsidRDefault="00B008E9" w:rsidP="00965E64">
            <w:pPr>
              <w:pStyle w:val="TableCell"/>
              <w:keepNext/>
              <w:rPr>
                <w:sz w:val="22"/>
                <w:szCs w:val="22"/>
                <w:lang w:val="en-GB" w:eastAsia="en-GB"/>
              </w:rPr>
            </w:pPr>
            <w:r>
              <w:rPr>
                <w:sz w:val="22"/>
                <w:szCs w:val="22"/>
                <w:lang w:val="en-GB" w:eastAsia="en-GB"/>
              </w:rPr>
              <w:t>2.5</w:t>
            </w:r>
          </w:p>
        </w:tc>
      </w:tr>
    </w:tbl>
    <w:p w:rsidR="00B008E9" w:rsidRPr="005E12D1" w:rsidRDefault="00FC6641" w:rsidP="00FC6641">
      <w:pPr>
        <w:pStyle w:val="TableNote"/>
        <w:rPr>
          <w:lang w:val="en-GB" w:eastAsia="en-GB"/>
        </w:rPr>
      </w:pPr>
      <w:r>
        <w:rPr>
          <w:lang w:val="en-GB" w:eastAsia="en-GB"/>
        </w:rPr>
        <w:t xml:space="preserve">Source: </w:t>
      </w:r>
      <w:r w:rsidR="00B008E9" w:rsidRPr="005E12D1">
        <w:rPr>
          <w:lang w:val="en-GB" w:eastAsia="en-GB"/>
        </w:rPr>
        <w:t xml:space="preserve">Cosgrove et al </w:t>
      </w:r>
      <w:r w:rsidR="00EF73A3" w:rsidRPr="005E12D1">
        <w:rPr>
          <w:lang w:val="en-GB" w:eastAsia="en-GB"/>
        </w:rPr>
        <w:t xml:space="preserve">for the NCSE </w:t>
      </w:r>
      <w:r w:rsidR="00B008E9" w:rsidRPr="005E12D1">
        <w:rPr>
          <w:lang w:val="en-GB" w:eastAsia="en-GB"/>
        </w:rPr>
        <w:t xml:space="preserve">(2014) Education experiences and outcomes for children with special education needs – a secondary analysis of data from the Growing Up in Ireland Study </w:t>
      </w:r>
    </w:p>
    <w:p w:rsidR="00B008E9" w:rsidRDefault="001A1B07" w:rsidP="001A1B07">
      <w:pPr>
        <w:pStyle w:val="Heading2"/>
      </w:pPr>
      <w:bookmarkStart w:id="124" w:name="_Toc415733709"/>
      <w:r>
        <w:t>3.11.</w:t>
      </w:r>
      <w:r>
        <w:tab/>
      </w:r>
      <w:r w:rsidR="00B008E9">
        <w:t>Range of estimat</w:t>
      </w:r>
      <w:r w:rsidR="00EF73A3">
        <w:t>es of % who need interdisciplinary disability</w:t>
      </w:r>
      <w:r w:rsidR="00B008E9">
        <w:t xml:space="preserve"> services</w:t>
      </w:r>
      <w:bookmarkEnd w:id="124"/>
      <w:r w:rsidR="00B008E9">
        <w:t xml:space="preserve"> </w:t>
      </w:r>
    </w:p>
    <w:p w:rsidR="00B008E9" w:rsidRDefault="00B008E9" w:rsidP="00B008E9">
      <w:r>
        <w:t>While it is difficult to get a precise picture of the number of children who need intervention services</w:t>
      </w:r>
      <w:r w:rsidR="00EF73A3">
        <w:t>,</w:t>
      </w:r>
      <w:r>
        <w:t xml:space="preserve"> many of the data sources result in similar estimates (table 18)</w:t>
      </w:r>
      <w:r w:rsidR="00EF73A3">
        <w:t>.</w:t>
      </w:r>
    </w:p>
    <w:p w:rsidR="00B008E9" w:rsidRDefault="00B008E9" w:rsidP="00AA7990">
      <w:pPr>
        <w:pStyle w:val="TableTitle"/>
        <w:rPr>
          <w:lang w:val="en-GB"/>
        </w:rPr>
      </w:pPr>
      <w:bookmarkStart w:id="125" w:name="_Toc403572517"/>
      <w:bookmarkStart w:id="126" w:name="_Toc419879421"/>
      <w:r>
        <w:rPr>
          <w:lang w:val="en-GB"/>
        </w:rPr>
        <w:t>Table 18: E</w:t>
      </w:r>
      <w:r w:rsidRPr="00853F36">
        <w:rPr>
          <w:lang w:val="en-GB"/>
        </w:rPr>
        <w:t xml:space="preserve">stimates of the </w:t>
      </w:r>
      <w:r>
        <w:rPr>
          <w:lang w:val="en-GB"/>
        </w:rPr>
        <w:t xml:space="preserve">proportion </w:t>
      </w:r>
      <w:r w:rsidRPr="00853F36">
        <w:rPr>
          <w:lang w:val="en-GB"/>
        </w:rPr>
        <w:t>of children</w:t>
      </w:r>
      <w:r>
        <w:rPr>
          <w:lang w:val="en-GB"/>
        </w:rPr>
        <w:t xml:space="preserve"> requiring children’s disability services</w:t>
      </w:r>
      <w:bookmarkEnd w:id="125"/>
      <w:bookmarkEnd w:id="126"/>
      <w:r>
        <w:rPr>
          <w:lang w:val="en-GB"/>
        </w:rPr>
        <w:t xml:space="preserve"> </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3F" w:firstRow="1" w:lastRow="0" w:firstColumn="0" w:lastColumn="0" w:noHBand="0" w:noVBand="0"/>
      </w:tblPr>
      <w:tblGrid>
        <w:gridCol w:w="4428"/>
        <w:gridCol w:w="4428"/>
      </w:tblGrid>
      <w:tr w:rsidR="00B008E9" w:rsidRPr="00853F36" w:rsidTr="00B008E9">
        <w:trPr>
          <w:tblHeader/>
        </w:trPr>
        <w:tc>
          <w:tcPr>
            <w:tcW w:w="4428" w:type="dxa"/>
            <w:tcBorders>
              <w:bottom w:val="single" w:sz="12" w:space="0" w:color="000000"/>
            </w:tcBorders>
            <w:shd w:val="clear" w:color="auto" w:fill="auto"/>
          </w:tcPr>
          <w:p w:rsidR="00B008E9" w:rsidRPr="00853F36" w:rsidRDefault="00B008E9" w:rsidP="00B008E9">
            <w:pPr>
              <w:pStyle w:val="TableHead"/>
            </w:pPr>
            <w:r>
              <w:t>S</w:t>
            </w:r>
            <w:r w:rsidRPr="00853F36">
              <w:t>ource</w:t>
            </w:r>
          </w:p>
        </w:tc>
        <w:tc>
          <w:tcPr>
            <w:tcW w:w="4428" w:type="dxa"/>
            <w:tcBorders>
              <w:bottom w:val="single" w:sz="12" w:space="0" w:color="000000"/>
            </w:tcBorders>
            <w:shd w:val="clear" w:color="auto" w:fill="auto"/>
          </w:tcPr>
          <w:p w:rsidR="00B008E9" w:rsidRPr="00853F36" w:rsidRDefault="00B008E9" w:rsidP="00B008E9">
            <w:pPr>
              <w:pStyle w:val="TableHead"/>
              <w:jc w:val="right"/>
            </w:pPr>
            <w:r w:rsidRPr="00853F36">
              <w:t>Estimate</w:t>
            </w:r>
            <w:r>
              <w:t xml:space="preserve"> of child population</w:t>
            </w:r>
          </w:p>
        </w:tc>
      </w:tr>
      <w:tr w:rsidR="00B008E9" w:rsidRPr="00853F36" w:rsidTr="00B008E9">
        <w:tc>
          <w:tcPr>
            <w:tcW w:w="4428" w:type="dxa"/>
            <w:tcBorders>
              <w:top w:val="single" w:sz="12" w:space="0" w:color="000000"/>
            </w:tcBorders>
            <w:shd w:val="clear" w:color="auto" w:fill="auto"/>
          </w:tcPr>
          <w:p w:rsidR="00B008E9" w:rsidRPr="00860259" w:rsidRDefault="00B008E9" w:rsidP="00B008E9">
            <w:pPr>
              <w:pStyle w:val="TableRowHead"/>
              <w:rPr>
                <w:rFonts w:ascii="Gill Sans" w:hAnsi="Gill Sans"/>
                <w:b w:val="0"/>
              </w:rPr>
            </w:pPr>
            <w:r w:rsidRPr="00860259">
              <w:rPr>
                <w:rFonts w:ascii="Gill Sans" w:hAnsi="Gill Sans"/>
                <w:b w:val="0"/>
              </w:rPr>
              <w:t>Census multiple disabilities</w:t>
            </w:r>
          </w:p>
        </w:tc>
        <w:tc>
          <w:tcPr>
            <w:tcW w:w="4428" w:type="dxa"/>
            <w:tcBorders>
              <w:top w:val="single" w:sz="12" w:space="0" w:color="000000"/>
            </w:tcBorders>
            <w:shd w:val="clear" w:color="auto" w:fill="auto"/>
          </w:tcPr>
          <w:p w:rsidR="00B008E9" w:rsidRPr="00853F36" w:rsidRDefault="00B008E9" w:rsidP="00B008E9">
            <w:pPr>
              <w:pStyle w:val="TableCell"/>
            </w:pPr>
            <w:r>
              <w:t>2.7%</w:t>
            </w:r>
          </w:p>
        </w:tc>
      </w:tr>
      <w:tr w:rsidR="00B008E9" w:rsidRPr="00853F36" w:rsidTr="00B008E9">
        <w:tc>
          <w:tcPr>
            <w:tcW w:w="4428" w:type="dxa"/>
            <w:shd w:val="clear" w:color="auto" w:fill="auto"/>
          </w:tcPr>
          <w:p w:rsidR="00B008E9" w:rsidRPr="00860259" w:rsidRDefault="00B008E9" w:rsidP="00B008E9">
            <w:pPr>
              <w:pStyle w:val="TableRowHead"/>
              <w:rPr>
                <w:rFonts w:ascii="Gill Sans" w:hAnsi="Gill Sans"/>
                <w:b w:val="0"/>
              </w:rPr>
            </w:pPr>
            <w:r w:rsidRPr="00860259">
              <w:rPr>
                <w:rFonts w:ascii="Gill Sans" w:hAnsi="Gill Sans"/>
                <w:b w:val="0"/>
              </w:rPr>
              <w:t xml:space="preserve">Growing up in Ireland </w:t>
            </w:r>
          </w:p>
        </w:tc>
        <w:tc>
          <w:tcPr>
            <w:tcW w:w="4428" w:type="dxa"/>
            <w:shd w:val="clear" w:color="auto" w:fill="auto"/>
          </w:tcPr>
          <w:p w:rsidR="00B008E9" w:rsidRPr="00853F36" w:rsidRDefault="00B008E9" w:rsidP="00B008E9">
            <w:pPr>
              <w:pStyle w:val="TableCell"/>
            </w:pPr>
            <w:r>
              <w:t>2.9%</w:t>
            </w:r>
          </w:p>
        </w:tc>
      </w:tr>
      <w:tr w:rsidR="00B008E9" w:rsidRPr="00853F36" w:rsidTr="00B008E9">
        <w:tc>
          <w:tcPr>
            <w:tcW w:w="4428" w:type="dxa"/>
            <w:shd w:val="clear" w:color="auto" w:fill="auto"/>
          </w:tcPr>
          <w:p w:rsidR="00B008E9" w:rsidRPr="00860259" w:rsidRDefault="00B008E9" w:rsidP="00B008E9">
            <w:pPr>
              <w:pStyle w:val="TableRowHead"/>
              <w:rPr>
                <w:rFonts w:ascii="Gill Sans" w:hAnsi="Gill Sans"/>
                <w:b w:val="0"/>
              </w:rPr>
            </w:pPr>
            <w:r w:rsidRPr="00860259">
              <w:rPr>
                <w:rFonts w:ascii="Gill Sans" w:hAnsi="Gill Sans"/>
                <w:b w:val="0"/>
              </w:rPr>
              <w:t>Education special needs</w:t>
            </w:r>
          </w:p>
        </w:tc>
        <w:tc>
          <w:tcPr>
            <w:tcW w:w="4428" w:type="dxa"/>
            <w:shd w:val="clear" w:color="auto" w:fill="auto"/>
          </w:tcPr>
          <w:p w:rsidR="00B008E9" w:rsidRPr="00853F36" w:rsidRDefault="00B008E9" w:rsidP="00B008E9">
            <w:pPr>
              <w:pStyle w:val="TableCell"/>
            </w:pPr>
            <w:r>
              <w:t>4.1%</w:t>
            </w:r>
          </w:p>
        </w:tc>
      </w:tr>
    </w:tbl>
    <w:p w:rsidR="00B008E9" w:rsidRPr="00853F36" w:rsidRDefault="00B008E9" w:rsidP="00B008E9">
      <w:pPr>
        <w:spacing w:before="240"/>
      </w:pPr>
      <w:r w:rsidRPr="00853F36">
        <w:t>Therefore</w:t>
      </w:r>
      <w:r w:rsidR="00EF73A3">
        <w:t>,</w:t>
      </w:r>
      <w:r w:rsidRPr="00853F36">
        <w:t xml:space="preserve"> the estimates for the number of children vary between </w:t>
      </w:r>
      <w:r>
        <w:t>2.7 and 4.1%.</w:t>
      </w:r>
      <w:r w:rsidRPr="00853F36">
        <w:t xml:space="preserve"> This is a wide margin of estimates and highlights the need to review the estimates as new data sources emerge and services become embedded.</w:t>
      </w:r>
    </w:p>
    <w:p w:rsidR="00B008E9" w:rsidRPr="00853F36" w:rsidRDefault="00B008E9" w:rsidP="00DA1A61">
      <w:pPr>
        <w:pStyle w:val="Heading2"/>
        <w:numPr>
          <w:ilvl w:val="1"/>
          <w:numId w:val="11"/>
        </w:numPr>
        <w:ind w:hanging="1800"/>
      </w:pPr>
      <w:bookmarkStart w:id="127" w:name="_Toc403573119"/>
      <w:bookmarkStart w:id="128" w:name="_Toc415733710"/>
      <w:r>
        <w:t>International practice</w:t>
      </w:r>
      <w:bookmarkEnd w:id="128"/>
      <w:r>
        <w:t xml:space="preserve"> </w:t>
      </w:r>
      <w:bookmarkEnd w:id="127"/>
    </w:p>
    <w:p w:rsidR="00B008E9" w:rsidRDefault="00B008E9" w:rsidP="00B008E9">
      <w:pPr>
        <w:rPr>
          <w:lang w:val="en-GB"/>
        </w:rPr>
      </w:pPr>
      <w:r>
        <w:rPr>
          <w:lang w:val="en-GB"/>
        </w:rPr>
        <w:t>In addition to the data sources on the number of children who need services when looking at the need for therapists</w:t>
      </w:r>
      <w:r w:rsidR="00EF73A3">
        <w:rPr>
          <w:lang w:val="en-GB"/>
        </w:rPr>
        <w:t>,</w:t>
      </w:r>
      <w:r>
        <w:rPr>
          <w:lang w:val="en-GB"/>
        </w:rPr>
        <w:t xml:space="preserve"> there is also some limited international evidence.</w:t>
      </w:r>
    </w:p>
    <w:p w:rsidR="00B008E9" w:rsidRPr="00DE1F7C" w:rsidRDefault="00B008E9" w:rsidP="001E0736">
      <w:pPr>
        <w:pStyle w:val="Heading3"/>
      </w:pPr>
      <w:bookmarkStart w:id="129" w:name="_Toc403573120"/>
      <w:bookmarkStart w:id="130" w:name="_Toc415667018"/>
      <w:bookmarkStart w:id="131" w:name="_Toc415733711"/>
      <w:r>
        <w:t>International population ratios</w:t>
      </w:r>
      <w:bookmarkEnd w:id="129"/>
      <w:bookmarkEnd w:id="130"/>
      <w:bookmarkEnd w:id="131"/>
    </w:p>
    <w:p w:rsidR="00B008E9" w:rsidRDefault="00B008E9" w:rsidP="00B008E9">
      <w:r>
        <w:t xml:space="preserve">Figures on the overall ratio of different therapists to population in other developed countries provide some limited indication as to what extent Ireland is out of line with norms elsewhere. An overall shortage of a particular therapy skill across all populations </w:t>
      </w:r>
      <w:r w:rsidR="00434BCD">
        <w:t>served</w:t>
      </w:r>
      <w:r>
        <w:t xml:space="preserve"> is likely to translate into a scarcity of that skill in specialist disability therapy services. </w:t>
      </w:r>
    </w:p>
    <w:p w:rsidR="00B008E9" w:rsidRDefault="00B008E9" w:rsidP="00B008E9">
      <w:r>
        <w:t xml:space="preserve">The data below </w:t>
      </w:r>
      <w:r w:rsidR="00EF73A3">
        <w:t xml:space="preserve">(tables 19 and 20) </w:t>
      </w:r>
      <w:r>
        <w:t xml:space="preserve">set out Ireland’s therapists per head of population in an international context. One </w:t>
      </w:r>
      <w:r w:rsidR="009C001A">
        <w:t>caveat</w:t>
      </w:r>
      <w:r>
        <w:t xml:space="preserve"> is that these data refer to the global number of therapy specialists as a percentage of the population of all ages, irrespective of whether they work with adults or children, in generic primary care, in specialist disability care, or in other settings, or in public or private practice. </w:t>
      </w:r>
      <w:r w:rsidR="00EF73A3">
        <w:t>Indeed, c</w:t>
      </w:r>
      <w:r>
        <w:t>ountries with a high proportion of elderly people may require more physiotherapists per head of population. So</w:t>
      </w:r>
      <w:r w:rsidR="00EF73A3">
        <w:t>,</w:t>
      </w:r>
      <w:r>
        <w:t xml:space="preserve"> the data presented here do not set out a comparison of ratios appropriate to children needing specialist disability therapy. </w:t>
      </w:r>
    </w:p>
    <w:p w:rsidR="00B008E9" w:rsidRDefault="00B008E9" w:rsidP="00B008E9">
      <w:r>
        <w:t xml:space="preserve">Another important </w:t>
      </w:r>
      <w:r w:rsidR="009C001A">
        <w:t>caveat</w:t>
      </w:r>
      <w:r>
        <w:t xml:space="preserve"> is that countries can differ in how their therapy services are organised. This includes the roles taken by individual specialties, to what extent therapists are employed in teams, to what extent the activities of therapists are complemented by auxiliary therapist </w:t>
      </w:r>
      <w:r w:rsidR="00434BCD">
        <w:t>grades</w:t>
      </w:r>
      <w:r>
        <w:t xml:space="preserve"> and the balance of one-to-one therapy, group sessions, and work with families around therapeutic routines. </w:t>
      </w:r>
    </w:p>
    <w:p w:rsidR="00B008E9" w:rsidRDefault="00B008E9" w:rsidP="00B008E9">
      <w:r>
        <w:t>It is clear from the data presented in the tables below</w:t>
      </w:r>
      <w:r w:rsidR="00EF73A3">
        <w:t>,</w:t>
      </w:r>
      <w:r>
        <w:t xml:space="preserve"> that there are very wide variations indeed</w:t>
      </w:r>
      <w:r w:rsidR="00EF73A3">
        <w:t>,</w:t>
      </w:r>
      <w:r>
        <w:t xml:space="preserve"> in the proportion of the named specialties per 100,000 population in different jurisdictions. Thus</w:t>
      </w:r>
      <w:r w:rsidR="00EF73A3">
        <w:t>,</w:t>
      </w:r>
      <w:r>
        <w:t xml:space="preserve"> while the ratio of physiotherapists per head in Ireland is higher than in England or New Zealand, it is about a fifth what it is in Finland. Ireland’s speech and language therapy ratio is a little bit lower than in the UK, Canada, or New Zealand, but about half that of the US. </w:t>
      </w:r>
    </w:p>
    <w:p w:rsidR="007F2E71" w:rsidRDefault="007F2E71" w:rsidP="007F2E71">
      <w:pPr>
        <w:pStyle w:val="TableTitle"/>
      </w:pPr>
      <w:bookmarkStart w:id="132" w:name="_Toc403572519"/>
      <w:bookmarkStart w:id="133" w:name="_Toc419879422"/>
      <w:r>
        <w:t>Table 19: No. of selected therapists per 100,000 population, c 2005</w:t>
      </w:r>
      <w:bookmarkEnd w:id="132"/>
      <w:bookmarkEnd w:id="133"/>
    </w:p>
    <w:tbl>
      <w:tblPr>
        <w:tblW w:w="7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2212"/>
        <w:gridCol w:w="1764"/>
        <w:gridCol w:w="1830"/>
      </w:tblGrid>
      <w:tr w:rsidR="007F2E71" w:rsidRPr="000E4E75" w:rsidTr="005A0B30">
        <w:trPr>
          <w:cantSplit/>
          <w:trHeight w:val="255"/>
          <w:jc w:val="center"/>
        </w:trPr>
        <w:tc>
          <w:tcPr>
            <w:tcW w:w="1732" w:type="dxa"/>
            <w:noWrap/>
            <w:vAlign w:val="center"/>
            <w:hideMark/>
          </w:tcPr>
          <w:p w:rsidR="007F2E71" w:rsidRPr="000E4E75" w:rsidRDefault="007F2E71" w:rsidP="005A0B30">
            <w:pPr>
              <w:keepNext/>
              <w:spacing w:after="0"/>
            </w:pPr>
          </w:p>
        </w:tc>
        <w:tc>
          <w:tcPr>
            <w:tcW w:w="2204" w:type="dxa"/>
            <w:noWrap/>
            <w:hideMark/>
          </w:tcPr>
          <w:p w:rsidR="007F2E71" w:rsidRPr="00184473" w:rsidRDefault="007F2E71" w:rsidP="005A0B30">
            <w:pPr>
              <w:pStyle w:val="TableHead"/>
              <w:keepNext/>
            </w:pPr>
            <w:r w:rsidRPr="00184473">
              <w:t>Physiotherapists</w:t>
            </w:r>
          </w:p>
        </w:tc>
        <w:tc>
          <w:tcPr>
            <w:tcW w:w="1764" w:type="dxa"/>
            <w:noWrap/>
            <w:hideMark/>
          </w:tcPr>
          <w:p w:rsidR="007F2E71" w:rsidRPr="00184473" w:rsidRDefault="007F2E71" w:rsidP="005A0B30">
            <w:pPr>
              <w:pStyle w:val="TableHead"/>
              <w:keepNext/>
            </w:pPr>
            <w:r w:rsidRPr="00184473">
              <w:t>Speech and language therapists</w:t>
            </w:r>
          </w:p>
        </w:tc>
        <w:tc>
          <w:tcPr>
            <w:tcW w:w="1830" w:type="dxa"/>
            <w:noWrap/>
            <w:hideMark/>
          </w:tcPr>
          <w:p w:rsidR="007F2E71" w:rsidRPr="00184473" w:rsidRDefault="007F2E71" w:rsidP="005A0B30">
            <w:pPr>
              <w:pStyle w:val="TableHead"/>
              <w:keepNext/>
            </w:pPr>
            <w:r w:rsidRPr="00184473">
              <w:t>Psychologists</w:t>
            </w:r>
          </w:p>
        </w:tc>
      </w:tr>
      <w:tr w:rsidR="007F2E71" w:rsidRPr="000E4E75" w:rsidTr="005A0B30">
        <w:trPr>
          <w:cantSplit/>
          <w:trHeight w:val="255"/>
          <w:jc w:val="center"/>
        </w:trPr>
        <w:tc>
          <w:tcPr>
            <w:tcW w:w="1732" w:type="dxa"/>
            <w:noWrap/>
            <w:vAlign w:val="center"/>
            <w:hideMark/>
          </w:tcPr>
          <w:p w:rsidR="007F2E71" w:rsidRPr="00184473" w:rsidRDefault="007F2E71" w:rsidP="005A0B30">
            <w:pPr>
              <w:keepNext/>
              <w:spacing w:after="0"/>
              <w:rPr>
                <w:b/>
                <w:bCs/>
              </w:rPr>
            </w:pPr>
            <w:r w:rsidRPr="00184473">
              <w:rPr>
                <w:b/>
                <w:bCs/>
              </w:rPr>
              <w:t>Ireland</w:t>
            </w:r>
          </w:p>
        </w:tc>
        <w:tc>
          <w:tcPr>
            <w:tcW w:w="2204" w:type="dxa"/>
            <w:noWrap/>
            <w:vAlign w:val="center"/>
            <w:hideMark/>
          </w:tcPr>
          <w:p w:rsidR="007F2E71" w:rsidRPr="00184473" w:rsidRDefault="007F2E71" w:rsidP="005A0B30">
            <w:pPr>
              <w:keepNext/>
              <w:spacing w:after="0"/>
              <w:jc w:val="right"/>
              <w:rPr>
                <w:b/>
                <w:bCs/>
              </w:rPr>
            </w:pPr>
            <w:r w:rsidRPr="00184473">
              <w:rPr>
                <w:b/>
                <w:bCs/>
              </w:rPr>
              <w:t>51</w:t>
            </w:r>
          </w:p>
        </w:tc>
        <w:tc>
          <w:tcPr>
            <w:tcW w:w="1764" w:type="dxa"/>
            <w:noWrap/>
            <w:vAlign w:val="center"/>
            <w:hideMark/>
          </w:tcPr>
          <w:p w:rsidR="007F2E71" w:rsidRPr="00184473" w:rsidRDefault="007F2E71" w:rsidP="005A0B30">
            <w:pPr>
              <w:keepNext/>
              <w:spacing w:after="0"/>
              <w:jc w:val="right"/>
              <w:rPr>
                <w:b/>
                <w:bCs/>
              </w:rPr>
            </w:pPr>
            <w:r w:rsidRPr="00184473">
              <w:rPr>
                <w:b/>
                <w:bCs/>
              </w:rPr>
              <w:t>19</w:t>
            </w:r>
          </w:p>
        </w:tc>
        <w:tc>
          <w:tcPr>
            <w:tcW w:w="1830" w:type="dxa"/>
            <w:noWrap/>
            <w:vAlign w:val="center"/>
            <w:hideMark/>
          </w:tcPr>
          <w:p w:rsidR="007F2E71" w:rsidRPr="00184473" w:rsidRDefault="007F2E71" w:rsidP="005A0B30">
            <w:pPr>
              <w:keepNext/>
              <w:spacing w:after="0"/>
              <w:jc w:val="right"/>
              <w:rPr>
                <w:b/>
                <w:bCs/>
              </w:rPr>
            </w:pPr>
            <w:r w:rsidRPr="00184473">
              <w:rPr>
                <w:b/>
                <w:bCs/>
              </w:rPr>
              <w:t>16</w:t>
            </w:r>
          </w:p>
        </w:tc>
      </w:tr>
      <w:tr w:rsidR="007F2E71" w:rsidRPr="000E4E75" w:rsidTr="005A0B30">
        <w:trPr>
          <w:cantSplit/>
          <w:trHeight w:val="255"/>
          <w:jc w:val="center"/>
        </w:trPr>
        <w:tc>
          <w:tcPr>
            <w:tcW w:w="1732" w:type="dxa"/>
            <w:noWrap/>
            <w:vAlign w:val="center"/>
            <w:hideMark/>
          </w:tcPr>
          <w:p w:rsidR="007F2E71" w:rsidRPr="000E4E75" w:rsidRDefault="007F2E71" w:rsidP="005A0B30">
            <w:pPr>
              <w:keepNext/>
              <w:spacing w:after="0"/>
            </w:pPr>
            <w:r w:rsidRPr="000E4E75">
              <w:t>Finland</w:t>
            </w:r>
          </w:p>
        </w:tc>
        <w:tc>
          <w:tcPr>
            <w:tcW w:w="2204" w:type="dxa"/>
            <w:noWrap/>
            <w:vAlign w:val="center"/>
            <w:hideMark/>
          </w:tcPr>
          <w:p w:rsidR="007F2E71" w:rsidRPr="000E4E75" w:rsidRDefault="007F2E71" w:rsidP="005A0B30">
            <w:pPr>
              <w:keepNext/>
              <w:spacing w:after="0"/>
              <w:jc w:val="right"/>
            </w:pPr>
            <w:r w:rsidRPr="000E4E75">
              <w:t>234</w:t>
            </w:r>
          </w:p>
        </w:tc>
        <w:tc>
          <w:tcPr>
            <w:tcW w:w="1764" w:type="dxa"/>
            <w:noWrap/>
            <w:vAlign w:val="center"/>
            <w:hideMark/>
          </w:tcPr>
          <w:p w:rsidR="007F2E71" w:rsidRPr="000E4E75" w:rsidRDefault="007F2E71" w:rsidP="005A0B30">
            <w:pPr>
              <w:keepNext/>
              <w:spacing w:after="0"/>
              <w:jc w:val="right"/>
            </w:pPr>
          </w:p>
        </w:tc>
        <w:tc>
          <w:tcPr>
            <w:tcW w:w="1830" w:type="dxa"/>
            <w:noWrap/>
            <w:vAlign w:val="center"/>
            <w:hideMark/>
          </w:tcPr>
          <w:p w:rsidR="007F2E71" w:rsidRPr="000E4E75" w:rsidRDefault="007F2E71" w:rsidP="005A0B30">
            <w:pPr>
              <w:keepNext/>
              <w:spacing w:after="0"/>
              <w:jc w:val="right"/>
            </w:pPr>
          </w:p>
        </w:tc>
      </w:tr>
      <w:tr w:rsidR="007F2E71" w:rsidRPr="000E4E75" w:rsidTr="005A0B30">
        <w:trPr>
          <w:cantSplit/>
          <w:trHeight w:val="255"/>
          <w:jc w:val="center"/>
        </w:trPr>
        <w:tc>
          <w:tcPr>
            <w:tcW w:w="1732" w:type="dxa"/>
            <w:noWrap/>
            <w:vAlign w:val="center"/>
            <w:hideMark/>
          </w:tcPr>
          <w:p w:rsidR="007F2E71" w:rsidRPr="000E4E75" w:rsidRDefault="007F2E71" w:rsidP="005A0B30">
            <w:pPr>
              <w:keepNext/>
              <w:spacing w:after="0"/>
            </w:pPr>
            <w:r w:rsidRPr="000E4E75">
              <w:t>Norway</w:t>
            </w:r>
          </w:p>
        </w:tc>
        <w:tc>
          <w:tcPr>
            <w:tcW w:w="2204" w:type="dxa"/>
            <w:noWrap/>
            <w:vAlign w:val="center"/>
            <w:hideMark/>
          </w:tcPr>
          <w:p w:rsidR="007F2E71" w:rsidRPr="000E4E75" w:rsidRDefault="007F2E71" w:rsidP="005A0B30">
            <w:pPr>
              <w:keepNext/>
              <w:spacing w:after="0"/>
              <w:jc w:val="right"/>
            </w:pPr>
            <w:r w:rsidRPr="000E4E75">
              <w:t>212</w:t>
            </w:r>
          </w:p>
        </w:tc>
        <w:tc>
          <w:tcPr>
            <w:tcW w:w="1764" w:type="dxa"/>
            <w:noWrap/>
            <w:vAlign w:val="center"/>
            <w:hideMark/>
          </w:tcPr>
          <w:p w:rsidR="007F2E71" w:rsidRPr="000E4E75" w:rsidRDefault="007F2E71" w:rsidP="005A0B30">
            <w:pPr>
              <w:keepNext/>
              <w:spacing w:after="0"/>
              <w:jc w:val="right"/>
            </w:pPr>
          </w:p>
        </w:tc>
        <w:tc>
          <w:tcPr>
            <w:tcW w:w="1830" w:type="dxa"/>
            <w:noWrap/>
            <w:vAlign w:val="center"/>
            <w:hideMark/>
          </w:tcPr>
          <w:p w:rsidR="007F2E71" w:rsidRPr="000E4E75" w:rsidRDefault="007F2E71" w:rsidP="005A0B30">
            <w:pPr>
              <w:keepNext/>
              <w:spacing w:after="0"/>
              <w:jc w:val="right"/>
            </w:pPr>
          </w:p>
        </w:tc>
      </w:tr>
      <w:tr w:rsidR="007F2E71" w:rsidRPr="000E4E75" w:rsidTr="005A0B30">
        <w:trPr>
          <w:cantSplit/>
          <w:trHeight w:val="255"/>
          <w:jc w:val="center"/>
        </w:trPr>
        <w:tc>
          <w:tcPr>
            <w:tcW w:w="1732" w:type="dxa"/>
            <w:noWrap/>
            <w:vAlign w:val="center"/>
            <w:hideMark/>
          </w:tcPr>
          <w:p w:rsidR="007F2E71" w:rsidRPr="000E4E75" w:rsidRDefault="007F2E71" w:rsidP="005A0B30">
            <w:pPr>
              <w:keepNext/>
              <w:spacing w:after="0"/>
            </w:pPr>
            <w:r w:rsidRPr="000E4E75">
              <w:t>Denm</w:t>
            </w:r>
            <w:r>
              <w:t>ar</w:t>
            </w:r>
            <w:r w:rsidRPr="000E4E75">
              <w:t>k</w:t>
            </w:r>
          </w:p>
        </w:tc>
        <w:tc>
          <w:tcPr>
            <w:tcW w:w="2204" w:type="dxa"/>
            <w:noWrap/>
            <w:vAlign w:val="center"/>
            <w:hideMark/>
          </w:tcPr>
          <w:p w:rsidR="007F2E71" w:rsidRPr="000E4E75" w:rsidRDefault="007F2E71" w:rsidP="005A0B30">
            <w:pPr>
              <w:keepNext/>
              <w:spacing w:after="0"/>
              <w:jc w:val="right"/>
            </w:pPr>
            <w:r w:rsidRPr="000E4E75">
              <w:t>176</w:t>
            </w:r>
          </w:p>
        </w:tc>
        <w:tc>
          <w:tcPr>
            <w:tcW w:w="1764" w:type="dxa"/>
            <w:noWrap/>
            <w:vAlign w:val="center"/>
            <w:hideMark/>
          </w:tcPr>
          <w:p w:rsidR="007F2E71" w:rsidRPr="000E4E75" w:rsidRDefault="007F2E71" w:rsidP="005A0B30">
            <w:pPr>
              <w:keepNext/>
              <w:spacing w:after="0"/>
              <w:jc w:val="right"/>
            </w:pPr>
          </w:p>
        </w:tc>
        <w:tc>
          <w:tcPr>
            <w:tcW w:w="1830" w:type="dxa"/>
            <w:noWrap/>
            <w:vAlign w:val="center"/>
            <w:hideMark/>
          </w:tcPr>
          <w:p w:rsidR="007F2E71" w:rsidRPr="000E4E75" w:rsidRDefault="007F2E71" w:rsidP="005A0B30">
            <w:pPr>
              <w:keepNext/>
              <w:spacing w:after="0"/>
              <w:jc w:val="right"/>
            </w:pPr>
          </w:p>
        </w:tc>
      </w:tr>
      <w:tr w:rsidR="007F2E71" w:rsidRPr="000E4E75" w:rsidTr="005A0B30">
        <w:trPr>
          <w:cantSplit/>
          <w:trHeight w:val="255"/>
          <w:jc w:val="center"/>
        </w:trPr>
        <w:tc>
          <w:tcPr>
            <w:tcW w:w="1732" w:type="dxa"/>
            <w:noWrap/>
            <w:vAlign w:val="center"/>
            <w:hideMark/>
          </w:tcPr>
          <w:p w:rsidR="007F2E71" w:rsidRPr="000E4E75" w:rsidRDefault="007F2E71" w:rsidP="005A0B30">
            <w:pPr>
              <w:keepNext/>
              <w:spacing w:after="0"/>
            </w:pPr>
            <w:r w:rsidRPr="000E4E75">
              <w:t>Iceland</w:t>
            </w:r>
          </w:p>
        </w:tc>
        <w:tc>
          <w:tcPr>
            <w:tcW w:w="2204" w:type="dxa"/>
            <w:noWrap/>
            <w:vAlign w:val="center"/>
            <w:hideMark/>
          </w:tcPr>
          <w:p w:rsidR="007F2E71" w:rsidRPr="000E4E75" w:rsidRDefault="007F2E71" w:rsidP="005A0B30">
            <w:pPr>
              <w:keepNext/>
              <w:spacing w:after="0"/>
              <w:jc w:val="right"/>
            </w:pPr>
            <w:r w:rsidRPr="000E4E75">
              <w:t>175</w:t>
            </w:r>
          </w:p>
        </w:tc>
        <w:tc>
          <w:tcPr>
            <w:tcW w:w="1764" w:type="dxa"/>
            <w:noWrap/>
            <w:vAlign w:val="center"/>
            <w:hideMark/>
          </w:tcPr>
          <w:p w:rsidR="007F2E71" w:rsidRPr="000E4E75" w:rsidRDefault="007F2E71" w:rsidP="005A0B30">
            <w:pPr>
              <w:keepNext/>
              <w:spacing w:after="0"/>
              <w:jc w:val="right"/>
            </w:pPr>
          </w:p>
        </w:tc>
        <w:tc>
          <w:tcPr>
            <w:tcW w:w="1830" w:type="dxa"/>
            <w:noWrap/>
            <w:vAlign w:val="center"/>
            <w:hideMark/>
          </w:tcPr>
          <w:p w:rsidR="007F2E71" w:rsidRPr="000E4E75" w:rsidRDefault="007F2E71" w:rsidP="005A0B30">
            <w:pPr>
              <w:keepNext/>
              <w:spacing w:after="0"/>
              <w:jc w:val="right"/>
            </w:pPr>
          </w:p>
        </w:tc>
      </w:tr>
      <w:tr w:rsidR="007F2E71" w:rsidRPr="000E4E75" w:rsidTr="005A0B30">
        <w:trPr>
          <w:cantSplit/>
          <w:trHeight w:val="255"/>
          <w:jc w:val="center"/>
        </w:trPr>
        <w:tc>
          <w:tcPr>
            <w:tcW w:w="1732" w:type="dxa"/>
            <w:noWrap/>
            <w:vAlign w:val="center"/>
            <w:hideMark/>
          </w:tcPr>
          <w:p w:rsidR="007F2E71" w:rsidRPr="000E4E75" w:rsidRDefault="007F2E71" w:rsidP="005A0B30">
            <w:pPr>
              <w:keepNext/>
              <w:spacing w:after="0"/>
            </w:pPr>
            <w:r w:rsidRPr="000E4E75">
              <w:t>Belg</w:t>
            </w:r>
            <w:r>
              <w:t>ium</w:t>
            </w:r>
          </w:p>
        </w:tc>
        <w:tc>
          <w:tcPr>
            <w:tcW w:w="2204" w:type="dxa"/>
            <w:noWrap/>
            <w:vAlign w:val="center"/>
            <w:hideMark/>
          </w:tcPr>
          <w:p w:rsidR="007F2E71" w:rsidRPr="000E4E75" w:rsidRDefault="007F2E71" w:rsidP="005A0B30">
            <w:pPr>
              <w:keepNext/>
              <w:spacing w:after="0"/>
              <w:jc w:val="right"/>
            </w:pPr>
            <w:r w:rsidRPr="000E4E75">
              <w:t>174</w:t>
            </w:r>
          </w:p>
        </w:tc>
        <w:tc>
          <w:tcPr>
            <w:tcW w:w="1764" w:type="dxa"/>
            <w:noWrap/>
            <w:vAlign w:val="center"/>
            <w:hideMark/>
          </w:tcPr>
          <w:p w:rsidR="007F2E71" w:rsidRPr="000E4E75" w:rsidRDefault="007F2E71" w:rsidP="005A0B30">
            <w:pPr>
              <w:keepNext/>
              <w:spacing w:after="0"/>
              <w:jc w:val="right"/>
            </w:pPr>
          </w:p>
        </w:tc>
        <w:tc>
          <w:tcPr>
            <w:tcW w:w="1830" w:type="dxa"/>
            <w:noWrap/>
            <w:vAlign w:val="center"/>
            <w:hideMark/>
          </w:tcPr>
          <w:p w:rsidR="007F2E71" w:rsidRPr="000E4E75" w:rsidRDefault="007F2E71" w:rsidP="005A0B30">
            <w:pPr>
              <w:keepNext/>
              <w:spacing w:after="0"/>
              <w:jc w:val="right"/>
            </w:pPr>
          </w:p>
        </w:tc>
      </w:tr>
      <w:tr w:rsidR="007F2E71" w:rsidRPr="000E4E75" w:rsidTr="005A0B30">
        <w:trPr>
          <w:cantSplit/>
          <w:trHeight w:val="255"/>
          <w:jc w:val="center"/>
        </w:trPr>
        <w:tc>
          <w:tcPr>
            <w:tcW w:w="1732" w:type="dxa"/>
            <w:noWrap/>
            <w:vAlign w:val="center"/>
            <w:hideMark/>
          </w:tcPr>
          <w:p w:rsidR="007F2E71" w:rsidRPr="000E4E75" w:rsidRDefault="007F2E71" w:rsidP="005A0B30">
            <w:pPr>
              <w:keepNext/>
              <w:spacing w:after="0"/>
            </w:pPr>
            <w:r w:rsidRPr="000E4E75">
              <w:t>Sweden</w:t>
            </w:r>
          </w:p>
        </w:tc>
        <w:tc>
          <w:tcPr>
            <w:tcW w:w="2204" w:type="dxa"/>
            <w:noWrap/>
            <w:vAlign w:val="center"/>
            <w:hideMark/>
          </w:tcPr>
          <w:p w:rsidR="007F2E71" w:rsidRPr="000E4E75" w:rsidRDefault="007F2E71" w:rsidP="005A0B30">
            <w:pPr>
              <w:keepNext/>
              <w:spacing w:after="0"/>
              <w:jc w:val="right"/>
            </w:pPr>
            <w:r w:rsidRPr="000E4E75">
              <w:t>174</w:t>
            </w:r>
          </w:p>
        </w:tc>
        <w:tc>
          <w:tcPr>
            <w:tcW w:w="1764" w:type="dxa"/>
            <w:noWrap/>
            <w:vAlign w:val="center"/>
            <w:hideMark/>
          </w:tcPr>
          <w:p w:rsidR="007F2E71" w:rsidRPr="000E4E75" w:rsidRDefault="007F2E71" w:rsidP="005A0B30">
            <w:pPr>
              <w:keepNext/>
              <w:spacing w:after="0"/>
              <w:jc w:val="right"/>
            </w:pPr>
          </w:p>
        </w:tc>
        <w:tc>
          <w:tcPr>
            <w:tcW w:w="1830" w:type="dxa"/>
            <w:noWrap/>
            <w:vAlign w:val="center"/>
            <w:hideMark/>
          </w:tcPr>
          <w:p w:rsidR="007F2E71" w:rsidRPr="000E4E75" w:rsidRDefault="007F2E71" w:rsidP="005A0B30">
            <w:pPr>
              <w:keepNext/>
              <w:spacing w:after="0"/>
              <w:jc w:val="right"/>
            </w:pPr>
          </w:p>
        </w:tc>
      </w:tr>
      <w:tr w:rsidR="007F2E71" w:rsidRPr="000E4E75" w:rsidTr="005A0B30">
        <w:trPr>
          <w:cantSplit/>
          <w:trHeight w:val="255"/>
          <w:jc w:val="center"/>
        </w:trPr>
        <w:tc>
          <w:tcPr>
            <w:tcW w:w="1732" w:type="dxa"/>
            <w:noWrap/>
            <w:vAlign w:val="center"/>
            <w:hideMark/>
          </w:tcPr>
          <w:p w:rsidR="007F2E71" w:rsidRPr="000E4E75" w:rsidRDefault="007F2E71" w:rsidP="005A0B30">
            <w:pPr>
              <w:keepNext/>
              <w:spacing w:after="0"/>
            </w:pPr>
            <w:r w:rsidRPr="000E4E75">
              <w:t>Switz</w:t>
            </w:r>
            <w:r>
              <w:t>erland</w:t>
            </w:r>
          </w:p>
        </w:tc>
        <w:tc>
          <w:tcPr>
            <w:tcW w:w="2204" w:type="dxa"/>
            <w:noWrap/>
            <w:vAlign w:val="center"/>
            <w:hideMark/>
          </w:tcPr>
          <w:p w:rsidR="007F2E71" w:rsidRPr="000E4E75" w:rsidRDefault="007F2E71" w:rsidP="005A0B30">
            <w:pPr>
              <w:keepNext/>
              <w:spacing w:after="0"/>
              <w:jc w:val="right"/>
            </w:pPr>
            <w:r w:rsidRPr="000E4E75">
              <w:t>138</w:t>
            </w:r>
          </w:p>
        </w:tc>
        <w:tc>
          <w:tcPr>
            <w:tcW w:w="1764" w:type="dxa"/>
            <w:noWrap/>
            <w:vAlign w:val="center"/>
            <w:hideMark/>
          </w:tcPr>
          <w:p w:rsidR="007F2E71" w:rsidRPr="000E4E75" w:rsidRDefault="007F2E71" w:rsidP="005A0B30">
            <w:pPr>
              <w:keepNext/>
              <w:spacing w:after="0"/>
              <w:jc w:val="right"/>
            </w:pPr>
          </w:p>
        </w:tc>
        <w:tc>
          <w:tcPr>
            <w:tcW w:w="1830" w:type="dxa"/>
            <w:noWrap/>
            <w:vAlign w:val="center"/>
            <w:hideMark/>
          </w:tcPr>
          <w:p w:rsidR="007F2E71" w:rsidRPr="000E4E75" w:rsidRDefault="007F2E71" w:rsidP="005A0B30">
            <w:pPr>
              <w:keepNext/>
              <w:spacing w:after="0"/>
              <w:jc w:val="right"/>
            </w:pPr>
          </w:p>
        </w:tc>
      </w:tr>
      <w:tr w:rsidR="007F2E71" w:rsidRPr="000E4E75" w:rsidTr="005A0B30">
        <w:trPr>
          <w:cantSplit/>
          <w:trHeight w:val="255"/>
          <w:jc w:val="center"/>
        </w:trPr>
        <w:tc>
          <w:tcPr>
            <w:tcW w:w="1732" w:type="dxa"/>
            <w:noWrap/>
            <w:vAlign w:val="center"/>
            <w:hideMark/>
          </w:tcPr>
          <w:p w:rsidR="007F2E71" w:rsidRPr="000E4E75" w:rsidRDefault="007F2E71" w:rsidP="005A0B30">
            <w:pPr>
              <w:keepNext/>
              <w:spacing w:after="0"/>
            </w:pPr>
            <w:r w:rsidRPr="000E4E75">
              <w:t>Neth</w:t>
            </w:r>
            <w:r>
              <w:t>erlands</w:t>
            </w:r>
          </w:p>
        </w:tc>
        <w:tc>
          <w:tcPr>
            <w:tcW w:w="2204" w:type="dxa"/>
            <w:noWrap/>
            <w:vAlign w:val="center"/>
            <w:hideMark/>
          </w:tcPr>
          <w:p w:rsidR="007F2E71" w:rsidRPr="000E4E75" w:rsidRDefault="007F2E71" w:rsidP="005A0B30">
            <w:pPr>
              <w:keepNext/>
              <w:spacing w:after="0"/>
              <w:jc w:val="right"/>
            </w:pPr>
            <w:r w:rsidRPr="000E4E75">
              <w:t>120</w:t>
            </w:r>
          </w:p>
        </w:tc>
        <w:tc>
          <w:tcPr>
            <w:tcW w:w="1764" w:type="dxa"/>
            <w:noWrap/>
            <w:vAlign w:val="center"/>
            <w:hideMark/>
          </w:tcPr>
          <w:p w:rsidR="007F2E71" w:rsidRPr="000E4E75" w:rsidRDefault="007F2E71" w:rsidP="005A0B30">
            <w:pPr>
              <w:keepNext/>
              <w:spacing w:after="0"/>
              <w:jc w:val="right"/>
            </w:pPr>
          </w:p>
        </w:tc>
        <w:tc>
          <w:tcPr>
            <w:tcW w:w="1830" w:type="dxa"/>
            <w:noWrap/>
            <w:vAlign w:val="center"/>
            <w:hideMark/>
          </w:tcPr>
          <w:p w:rsidR="007F2E71" w:rsidRPr="000E4E75" w:rsidRDefault="007F2E71" w:rsidP="005A0B30">
            <w:pPr>
              <w:keepNext/>
              <w:spacing w:after="0"/>
              <w:jc w:val="right"/>
            </w:pPr>
          </w:p>
        </w:tc>
      </w:tr>
      <w:tr w:rsidR="007F2E71" w:rsidRPr="000E4E75" w:rsidTr="005A0B30">
        <w:trPr>
          <w:cantSplit/>
          <w:trHeight w:val="255"/>
          <w:jc w:val="center"/>
        </w:trPr>
        <w:tc>
          <w:tcPr>
            <w:tcW w:w="1732" w:type="dxa"/>
            <w:noWrap/>
            <w:vAlign w:val="center"/>
            <w:hideMark/>
          </w:tcPr>
          <w:p w:rsidR="007F2E71" w:rsidRPr="000E4E75" w:rsidRDefault="007F2E71" w:rsidP="005A0B30">
            <w:pPr>
              <w:keepNext/>
              <w:spacing w:after="0"/>
            </w:pPr>
            <w:r>
              <w:t>G</w:t>
            </w:r>
            <w:r w:rsidRPr="000E4E75">
              <w:t>ermany</w:t>
            </w:r>
          </w:p>
        </w:tc>
        <w:tc>
          <w:tcPr>
            <w:tcW w:w="2204" w:type="dxa"/>
            <w:noWrap/>
            <w:vAlign w:val="center"/>
            <w:hideMark/>
          </w:tcPr>
          <w:p w:rsidR="007F2E71" w:rsidRPr="000E4E75" w:rsidRDefault="007F2E71" w:rsidP="005A0B30">
            <w:pPr>
              <w:keepNext/>
              <w:spacing w:after="0"/>
              <w:jc w:val="right"/>
            </w:pPr>
            <w:r w:rsidRPr="000E4E75">
              <w:t>91</w:t>
            </w:r>
          </w:p>
        </w:tc>
        <w:tc>
          <w:tcPr>
            <w:tcW w:w="1764" w:type="dxa"/>
            <w:noWrap/>
            <w:vAlign w:val="center"/>
            <w:hideMark/>
          </w:tcPr>
          <w:p w:rsidR="007F2E71" w:rsidRPr="000E4E75" w:rsidRDefault="007F2E71" w:rsidP="005A0B30">
            <w:pPr>
              <w:keepNext/>
              <w:spacing w:after="0"/>
              <w:jc w:val="right"/>
            </w:pPr>
          </w:p>
        </w:tc>
        <w:tc>
          <w:tcPr>
            <w:tcW w:w="1830" w:type="dxa"/>
            <w:noWrap/>
            <w:vAlign w:val="center"/>
            <w:hideMark/>
          </w:tcPr>
          <w:p w:rsidR="007F2E71" w:rsidRPr="000E4E75" w:rsidRDefault="007F2E71" w:rsidP="005A0B30">
            <w:pPr>
              <w:keepNext/>
              <w:spacing w:after="0"/>
              <w:jc w:val="right"/>
            </w:pPr>
          </w:p>
        </w:tc>
      </w:tr>
      <w:tr w:rsidR="007F2E71" w:rsidRPr="000E4E75" w:rsidTr="005A0B30">
        <w:trPr>
          <w:cantSplit/>
          <w:trHeight w:val="255"/>
          <w:jc w:val="center"/>
        </w:trPr>
        <w:tc>
          <w:tcPr>
            <w:tcW w:w="1732" w:type="dxa"/>
            <w:noWrap/>
            <w:vAlign w:val="center"/>
            <w:hideMark/>
          </w:tcPr>
          <w:p w:rsidR="007F2E71" w:rsidRPr="000E4E75" w:rsidRDefault="007F2E71" w:rsidP="005A0B30">
            <w:pPr>
              <w:keepNext/>
              <w:spacing w:after="0"/>
            </w:pPr>
            <w:r w:rsidRPr="000E4E75">
              <w:t>France</w:t>
            </w:r>
          </w:p>
        </w:tc>
        <w:tc>
          <w:tcPr>
            <w:tcW w:w="2204" w:type="dxa"/>
            <w:noWrap/>
            <w:vAlign w:val="center"/>
            <w:hideMark/>
          </w:tcPr>
          <w:p w:rsidR="007F2E71" w:rsidRPr="000E4E75" w:rsidRDefault="007F2E71" w:rsidP="005A0B30">
            <w:pPr>
              <w:keepNext/>
              <w:spacing w:after="0"/>
              <w:jc w:val="right"/>
            </w:pPr>
            <w:r w:rsidRPr="000E4E75">
              <w:t>76</w:t>
            </w:r>
          </w:p>
        </w:tc>
        <w:tc>
          <w:tcPr>
            <w:tcW w:w="1764" w:type="dxa"/>
            <w:noWrap/>
            <w:vAlign w:val="center"/>
            <w:hideMark/>
          </w:tcPr>
          <w:p w:rsidR="007F2E71" w:rsidRPr="000E4E75" w:rsidRDefault="007F2E71" w:rsidP="005A0B30">
            <w:pPr>
              <w:keepNext/>
              <w:spacing w:after="0"/>
              <w:jc w:val="right"/>
            </w:pPr>
          </w:p>
        </w:tc>
        <w:tc>
          <w:tcPr>
            <w:tcW w:w="1830" w:type="dxa"/>
            <w:noWrap/>
            <w:vAlign w:val="center"/>
            <w:hideMark/>
          </w:tcPr>
          <w:p w:rsidR="007F2E71" w:rsidRPr="000E4E75" w:rsidRDefault="007F2E71" w:rsidP="005A0B30">
            <w:pPr>
              <w:keepNext/>
              <w:spacing w:after="0"/>
              <w:jc w:val="right"/>
            </w:pPr>
          </w:p>
        </w:tc>
      </w:tr>
      <w:tr w:rsidR="007F2E71" w:rsidRPr="000E4E75" w:rsidTr="005A0B30">
        <w:trPr>
          <w:cantSplit/>
          <w:trHeight w:val="255"/>
          <w:jc w:val="center"/>
        </w:trPr>
        <w:tc>
          <w:tcPr>
            <w:tcW w:w="1732" w:type="dxa"/>
            <w:noWrap/>
            <w:vAlign w:val="center"/>
            <w:hideMark/>
          </w:tcPr>
          <w:p w:rsidR="007F2E71" w:rsidRPr="000E4E75" w:rsidRDefault="007F2E71" w:rsidP="005A0B30">
            <w:pPr>
              <w:keepNext/>
              <w:spacing w:after="0"/>
            </w:pPr>
            <w:r w:rsidRPr="000E4E75">
              <w:t>Austria</w:t>
            </w:r>
          </w:p>
        </w:tc>
        <w:tc>
          <w:tcPr>
            <w:tcW w:w="2204" w:type="dxa"/>
            <w:noWrap/>
            <w:vAlign w:val="center"/>
            <w:hideMark/>
          </w:tcPr>
          <w:p w:rsidR="007F2E71" w:rsidRPr="000E4E75" w:rsidRDefault="007F2E71" w:rsidP="005A0B30">
            <w:pPr>
              <w:keepNext/>
              <w:spacing w:after="0"/>
              <w:jc w:val="right"/>
            </w:pPr>
            <w:r w:rsidRPr="000E4E75">
              <w:t>73</w:t>
            </w:r>
          </w:p>
        </w:tc>
        <w:tc>
          <w:tcPr>
            <w:tcW w:w="1764" w:type="dxa"/>
            <w:noWrap/>
            <w:vAlign w:val="center"/>
            <w:hideMark/>
          </w:tcPr>
          <w:p w:rsidR="007F2E71" w:rsidRPr="000E4E75" w:rsidRDefault="007F2E71" w:rsidP="005A0B30">
            <w:pPr>
              <w:keepNext/>
              <w:spacing w:after="0"/>
              <w:jc w:val="right"/>
            </w:pPr>
          </w:p>
        </w:tc>
        <w:tc>
          <w:tcPr>
            <w:tcW w:w="1830" w:type="dxa"/>
            <w:noWrap/>
            <w:vAlign w:val="center"/>
            <w:hideMark/>
          </w:tcPr>
          <w:p w:rsidR="007F2E71" w:rsidRPr="000E4E75" w:rsidRDefault="007F2E71" w:rsidP="005A0B30">
            <w:pPr>
              <w:keepNext/>
              <w:spacing w:after="0"/>
              <w:jc w:val="right"/>
            </w:pPr>
          </w:p>
        </w:tc>
      </w:tr>
      <w:tr w:rsidR="007F2E71" w:rsidRPr="000E4E75" w:rsidTr="005A0B30">
        <w:trPr>
          <w:cantSplit/>
          <w:trHeight w:val="255"/>
          <w:jc w:val="center"/>
        </w:trPr>
        <w:tc>
          <w:tcPr>
            <w:tcW w:w="1732" w:type="dxa"/>
            <w:noWrap/>
            <w:vAlign w:val="center"/>
            <w:hideMark/>
          </w:tcPr>
          <w:p w:rsidR="007F2E71" w:rsidRPr="000E4E75" w:rsidRDefault="007F2E71" w:rsidP="005A0B30">
            <w:pPr>
              <w:keepNext/>
              <w:spacing w:after="0"/>
            </w:pPr>
            <w:r w:rsidRPr="000E4E75">
              <w:t>Italy</w:t>
            </w:r>
          </w:p>
        </w:tc>
        <w:tc>
          <w:tcPr>
            <w:tcW w:w="2204" w:type="dxa"/>
            <w:noWrap/>
            <w:vAlign w:val="center"/>
            <w:hideMark/>
          </w:tcPr>
          <w:p w:rsidR="007F2E71" w:rsidRPr="000E4E75" w:rsidRDefault="007F2E71" w:rsidP="005A0B30">
            <w:pPr>
              <w:keepNext/>
              <w:spacing w:after="0"/>
              <w:jc w:val="right"/>
            </w:pPr>
            <w:r w:rsidRPr="000E4E75">
              <w:t>69</w:t>
            </w:r>
          </w:p>
        </w:tc>
        <w:tc>
          <w:tcPr>
            <w:tcW w:w="1764" w:type="dxa"/>
            <w:noWrap/>
            <w:vAlign w:val="center"/>
            <w:hideMark/>
          </w:tcPr>
          <w:p w:rsidR="007F2E71" w:rsidRPr="000E4E75" w:rsidRDefault="007F2E71" w:rsidP="005A0B30">
            <w:pPr>
              <w:keepNext/>
              <w:spacing w:after="0"/>
              <w:jc w:val="right"/>
            </w:pPr>
          </w:p>
        </w:tc>
        <w:tc>
          <w:tcPr>
            <w:tcW w:w="1830" w:type="dxa"/>
            <w:noWrap/>
            <w:vAlign w:val="center"/>
            <w:hideMark/>
          </w:tcPr>
          <w:p w:rsidR="007F2E71" w:rsidRPr="000E4E75" w:rsidRDefault="007F2E71" w:rsidP="005A0B30">
            <w:pPr>
              <w:keepNext/>
              <w:spacing w:after="0"/>
              <w:jc w:val="right"/>
            </w:pPr>
          </w:p>
        </w:tc>
      </w:tr>
      <w:tr w:rsidR="007F2E71" w:rsidRPr="000E4E75" w:rsidTr="005A0B30">
        <w:trPr>
          <w:cantSplit/>
          <w:trHeight w:val="255"/>
          <w:jc w:val="center"/>
        </w:trPr>
        <w:tc>
          <w:tcPr>
            <w:tcW w:w="1732" w:type="dxa"/>
            <w:noWrap/>
            <w:vAlign w:val="center"/>
            <w:hideMark/>
          </w:tcPr>
          <w:p w:rsidR="007F2E71" w:rsidRPr="000E4E75" w:rsidRDefault="007F2E71" w:rsidP="005A0B30">
            <w:pPr>
              <w:keepNext/>
              <w:spacing w:after="0"/>
            </w:pPr>
            <w:r w:rsidRPr="000E4E75">
              <w:t>UK</w:t>
            </w:r>
          </w:p>
        </w:tc>
        <w:tc>
          <w:tcPr>
            <w:tcW w:w="2204" w:type="dxa"/>
            <w:noWrap/>
            <w:vAlign w:val="center"/>
            <w:hideMark/>
          </w:tcPr>
          <w:p w:rsidR="007F2E71" w:rsidRPr="000E4E75" w:rsidRDefault="007F2E71" w:rsidP="005A0B30">
            <w:pPr>
              <w:keepNext/>
              <w:spacing w:after="0"/>
              <w:jc w:val="right"/>
            </w:pPr>
            <w:r w:rsidRPr="000E4E75">
              <w:t>60</w:t>
            </w:r>
          </w:p>
        </w:tc>
        <w:tc>
          <w:tcPr>
            <w:tcW w:w="1764" w:type="dxa"/>
            <w:noWrap/>
            <w:vAlign w:val="center"/>
            <w:hideMark/>
          </w:tcPr>
          <w:p w:rsidR="007F2E71" w:rsidRPr="000E4E75" w:rsidRDefault="007F2E71" w:rsidP="005A0B30">
            <w:pPr>
              <w:keepNext/>
              <w:spacing w:after="0"/>
              <w:jc w:val="right"/>
            </w:pPr>
            <w:r w:rsidRPr="000E4E75">
              <w:t>23</w:t>
            </w:r>
          </w:p>
        </w:tc>
        <w:tc>
          <w:tcPr>
            <w:tcW w:w="1830" w:type="dxa"/>
            <w:noWrap/>
            <w:vAlign w:val="center"/>
            <w:hideMark/>
          </w:tcPr>
          <w:p w:rsidR="007F2E71" w:rsidRPr="000E4E75" w:rsidRDefault="007F2E71" w:rsidP="005A0B30">
            <w:pPr>
              <w:keepNext/>
              <w:spacing w:after="0"/>
              <w:jc w:val="right"/>
            </w:pPr>
            <w:r w:rsidRPr="000E4E75">
              <w:t>14</w:t>
            </w:r>
          </w:p>
        </w:tc>
      </w:tr>
      <w:tr w:rsidR="007F2E71" w:rsidRPr="000E4E75" w:rsidTr="005A0B30">
        <w:trPr>
          <w:cantSplit/>
          <w:trHeight w:val="255"/>
          <w:jc w:val="center"/>
        </w:trPr>
        <w:tc>
          <w:tcPr>
            <w:tcW w:w="1732" w:type="dxa"/>
            <w:noWrap/>
            <w:vAlign w:val="center"/>
            <w:hideMark/>
          </w:tcPr>
          <w:p w:rsidR="007F2E71" w:rsidRPr="000E4E75" w:rsidRDefault="007F2E71" w:rsidP="005A0B30">
            <w:pPr>
              <w:keepNext/>
              <w:spacing w:after="0"/>
            </w:pPr>
            <w:r w:rsidRPr="000E4E75">
              <w:t>Spain</w:t>
            </w:r>
          </w:p>
        </w:tc>
        <w:tc>
          <w:tcPr>
            <w:tcW w:w="2204" w:type="dxa"/>
            <w:noWrap/>
            <w:vAlign w:val="center"/>
            <w:hideMark/>
          </w:tcPr>
          <w:p w:rsidR="007F2E71" w:rsidRPr="000E4E75" w:rsidRDefault="007F2E71" w:rsidP="005A0B30">
            <w:pPr>
              <w:keepNext/>
              <w:spacing w:after="0"/>
              <w:jc w:val="right"/>
            </w:pPr>
            <w:r w:rsidRPr="000E4E75">
              <w:t>55</w:t>
            </w:r>
          </w:p>
        </w:tc>
        <w:tc>
          <w:tcPr>
            <w:tcW w:w="1764" w:type="dxa"/>
            <w:noWrap/>
            <w:vAlign w:val="center"/>
            <w:hideMark/>
          </w:tcPr>
          <w:p w:rsidR="007F2E71" w:rsidRPr="000E4E75" w:rsidRDefault="007F2E71" w:rsidP="005A0B30">
            <w:pPr>
              <w:keepNext/>
              <w:spacing w:after="0"/>
              <w:jc w:val="right"/>
            </w:pPr>
          </w:p>
        </w:tc>
        <w:tc>
          <w:tcPr>
            <w:tcW w:w="1830" w:type="dxa"/>
            <w:noWrap/>
            <w:vAlign w:val="center"/>
            <w:hideMark/>
          </w:tcPr>
          <w:p w:rsidR="007F2E71" w:rsidRPr="000E4E75" w:rsidRDefault="007F2E71" w:rsidP="005A0B30">
            <w:pPr>
              <w:keepNext/>
              <w:spacing w:after="0"/>
              <w:jc w:val="right"/>
            </w:pPr>
          </w:p>
        </w:tc>
      </w:tr>
      <w:tr w:rsidR="007F2E71" w:rsidRPr="000E4E75" w:rsidTr="005A0B30">
        <w:trPr>
          <w:cantSplit/>
          <w:trHeight w:val="255"/>
          <w:jc w:val="center"/>
        </w:trPr>
        <w:tc>
          <w:tcPr>
            <w:tcW w:w="1732" w:type="dxa"/>
            <w:noWrap/>
            <w:vAlign w:val="center"/>
            <w:hideMark/>
          </w:tcPr>
          <w:p w:rsidR="007F2E71" w:rsidRPr="000E4E75" w:rsidRDefault="007F2E71" w:rsidP="005A0B30">
            <w:pPr>
              <w:keepNext/>
              <w:spacing w:after="0"/>
            </w:pPr>
            <w:r w:rsidRPr="000E4E75">
              <w:t>Greece</w:t>
            </w:r>
          </w:p>
        </w:tc>
        <w:tc>
          <w:tcPr>
            <w:tcW w:w="2204" w:type="dxa"/>
            <w:noWrap/>
            <w:vAlign w:val="center"/>
            <w:hideMark/>
          </w:tcPr>
          <w:p w:rsidR="007F2E71" w:rsidRPr="000E4E75" w:rsidRDefault="007F2E71" w:rsidP="005A0B30">
            <w:pPr>
              <w:keepNext/>
              <w:spacing w:after="0"/>
              <w:jc w:val="right"/>
            </w:pPr>
            <w:r w:rsidRPr="000E4E75">
              <w:t>47</w:t>
            </w:r>
          </w:p>
        </w:tc>
        <w:tc>
          <w:tcPr>
            <w:tcW w:w="1764" w:type="dxa"/>
            <w:noWrap/>
            <w:vAlign w:val="center"/>
            <w:hideMark/>
          </w:tcPr>
          <w:p w:rsidR="007F2E71" w:rsidRPr="000E4E75" w:rsidRDefault="007F2E71" w:rsidP="005A0B30">
            <w:pPr>
              <w:keepNext/>
              <w:spacing w:after="0"/>
              <w:jc w:val="right"/>
            </w:pPr>
          </w:p>
        </w:tc>
        <w:tc>
          <w:tcPr>
            <w:tcW w:w="1830" w:type="dxa"/>
            <w:noWrap/>
            <w:vAlign w:val="center"/>
            <w:hideMark/>
          </w:tcPr>
          <w:p w:rsidR="007F2E71" w:rsidRPr="000E4E75" w:rsidRDefault="007F2E71" w:rsidP="005A0B30">
            <w:pPr>
              <w:keepNext/>
              <w:spacing w:after="0"/>
              <w:jc w:val="right"/>
            </w:pPr>
          </w:p>
        </w:tc>
      </w:tr>
      <w:tr w:rsidR="007F2E71" w:rsidRPr="000E4E75" w:rsidTr="005A0B30">
        <w:trPr>
          <w:cantSplit/>
          <w:trHeight w:val="255"/>
          <w:jc w:val="center"/>
        </w:trPr>
        <w:tc>
          <w:tcPr>
            <w:tcW w:w="1732" w:type="dxa"/>
            <w:noWrap/>
            <w:vAlign w:val="center"/>
            <w:hideMark/>
          </w:tcPr>
          <w:p w:rsidR="007F2E71" w:rsidRPr="000E4E75" w:rsidRDefault="007F2E71" w:rsidP="005A0B30">
            <w:pPr>
              <w:keepNext/>
              <w:spacing w:after="0"/>
            </w:pPr>
            <w:r w:rsidRPr="000E4E75">
              <w:t>USA</w:t>
            </w:r>
          </w:p>
        </w:tc>
        <w:tc>
          <w:tcPr>
            <w:tcW w:w="2204" w:type="dxa"/>
            <w:noWrap/>
            <w:vAlign w:val="center"/>
            <w:hideMark/>
          </w:tcPr>
          <w:p w:rsidR="007F2E71" w:rsidRPr="000E4E75" w:rsidRDefault="007F2E71" w:rsidP="005A0B30">
            <w:pPr>
              <w:keepNext/>
              <w:spacing w:after="0"/>
              <w:jc w:val="right"/>
            </w:pPr>
          </w:p>
        </w:tc>
        <w:tc>
          <w:tcPr>
            <w:tcW w:w="1764" w:type="dxa"/>
            <w:noWrap/>
            <w:vAlign w:val="center"/>
            <w:hideMark/>
          </w:tcPr>
          <w:p w:rsidR="007F2E71" w:rsidRPr="000E4E75" w:rsidRDefault="007F2E71" w:rsidP="005A0B30">
            <w:pPr>
              <w:keepNext/>
              <w:spacing w:after="0"/>
              <w:jc w:val="right"/>
            </w:pPr>
            <w:r w:rsidRPr="000E4E75">
              <w:t>35</w:t>
            </w:r>
          </w:p>
        </w:tc>
        <w:tc>
          <w:tcPr>
            <w:tcW w:w="1830" w:type="dxa"/>
            <w:noWrap/>
            <w:vAlign w:val="center"/>
            <w:hideMark/>
          </w:tcPr>
          <w:p w:rsidR="007F2E71" w:rsidRPr="000E4E75" w:rsidRDefault="007F2E71" w:rsidP="005A0B30">
            <w:pPr>
              <w:keepNext/>
              <w:spacing w:after="0"/>
              <w:jc w:val="right"/>
            </w:pPr>
            <w:r w:rsidRPr="000E4E75">
              <w:t>14</w:t>
            </w:r>
          </w:p>
        </w:tc>
      </w:tr>
      <w:tr w:rsidR="007F2E71" w:rsidRPr="000E4E75" w:rsidTr="005A0B30">
        <w:trPr>
          <w:cantSplit/>
          <w:trHeight w:val="255"/>
          <w:jc w:val="center"/>
        </w:trPr>
        <w:tc>
          <w:tcPr>
            <w:tcW w:w="1732" w:type="dxa"/>
            <w:noWrap/>
            <w:vAlign w:val="center"/>
            <w:hideMark/>
          </w:tcPr>
          <w:p w:rsidR="007F2E71" w:rsidRPr="000E4E75" w:rsidRDefault="007F2E71" w:rsidP="005A0B30">
            <w:pPr>
              <w:keepNext/>
              <w:spacing w:after="0"/>
            </w:pPr>
            <w:r w:rsidRPr="000E4E75">
              <w:t>NZ</w:t>
            </w:r>
          </w:p>
        </w:tc>
        <w:tc>
          <w:tcPr>
            <w:tcW w:w="2204" w:type="dxa"/>
            <w:noWrap/>
            <w:vAlign w:val="center"/>
            <w:hideMark/>
          </w:tcPr>
          <w:p w:rsidR="007F2E71" w:rsidRPr="000E4E75" w:rsidRDefault="007F2E71" w:rsidP="005A0B30">
            <w:pPr>
              <w:keepNext/>
              <w:spacing w:after="0"/>
              <w:jc w:val="right"/>
            </w:pPr>
          </w:p>
        </w:tc>
        <w:tc>
          <w:tcPr>
            <w:tcW w:w="1764" w:type="dxa"/>
            <w:noWrap/>
            <w:vAlign w:val="center"/>
            <w:hideMark/>
          </w:tcPr>
          <w:p w:rsidR="007F2E71" w:rsidRPr="000E4E75" w:rsidRDefault="007F2E71" w:rsidP="005A0B30">
            <w:pPr>
              <w:keepNext/>
              <w:spacing w:after="0"/>
              <w:jc w:val="right"/>
            </w:pPr>
            <w:r w:rsidRPr="000E4E75">
              <w:t>24</w:t>
            </w:r>
          </w:p>
        </w:tc>
        <w:tc>
          <w:tcPr>
            <w:tcW w:w="1830" w:type="dxa"/>
            <w:noWrap/>
            <w:vAlign w:val="center"/>
            <w:hideMark/>
          </w:tcPr>
          <w:p w:rsidR="007F2E71" w:rsidRPr="000E4E75" w:rsidRDefault="007F2E71" w:rsidP="005A0B30">
            <w:pPr>
              <w:keepNext/>
              <w:spacing w:after="0"/>
              <w:jc w:val="right"/>
            </w:pPr>
          </w:p>
        </w:tc>
      </w:tr>
      <w:tr w:rsidR="007F2E71" w:rsidRPr="000E4E75" w:rsidTr="005A0B30">
        <w:trPr>
          <w:cantSplit/>
          <w:trHeight w:val="255"/>
          <w:jc w:val="center"/>
        </w:trPr>
        <w:tc>
          <w:tcPr>
            <w:tcW w:w="1732" w:type="dxa"/>
            <w:noWrap/>
            <w:vAlign w:val="center"/>
            <w:hideMark/>
          </w:tcPr>
          <w:p w:rsidR="007F2E71" w:rsidRPr="000E4E75" w:rsidRDefault="007F2E71" w:rsidP="005A0B30">
            <w:pPr>
              <w:keepNext/>
              <w:spacing w:after="0"/>
            </w:pPr>
            <w:r w:rsidRPr="000E4E75">
              <w:t>Canada</w:t>
            </w:r>
          </w:p>
        </w:tc>
        <w:tc>
          <w:tcPr>
            <w:tcW w:w="2204" w:type="dxa"/>
            <w:noWrap/>
            <w:vAlign w:val="center"/>
            <w:hideMark/>
          </w:tcPr>
          <w:p w:rsidR="007F2E71" w:rsidRPr="000E4E75" w:rsidRDefault="007F2E71" w:rsidP="005A0B30">
            <w:pPr>
              <w:keepNext/>
              <w:spacing w:after="0"/>
              <w:jc w:val="right"/>
            </w:pPr>
          </w:p>
        </w:tc>
        <w:tc>
          <w:tcPr>
            <w:tcW w:w="1764" w:type="dxa"/>
            <w:noWrap/>
            <w:vAlign w:val="center"/>
            <w:hideMark/>
          </w:tcPr>
          <w:p w:rsidR="007F2E71" w:rsidRPr="000E4E75" w:rsidRDefault="007F2E71" w:rsidP="005A0B30">
            <w:pPr>
              <w:keepNext/>
              <w:spacing w:after="0"/>
              <w:jc w:val="right"/>
            </w:pPr>
            <w:r w:rsidRPr="000E4E75">
              <w:t>20</w:t>
            </w:r>
          </w:p>
        </w:tc>
        <w:tc>
          <w:tcPr>
            <w:tcW w:w="1830" w:type="dxa"/>
            <w:noWrap/>
            <w:vAlign w:val="center"/>
            <w:hideMark/>
          </w:tcPr>
          <w:p w:rsidR="007F2E71" w:rsidRPr="000E4E75" w:rsidRDefault="007F2E71" w:rsidP="005A0B30">
            <w:pPr>
              <w:keepNext/>
              <w:spacing w:after="0"/>
              <w:jc w:val="right"/>
            </w:pPr>
          </w:p>
        </w:tc>
      </w:tr>
    </w:tbl>
    <w:p w:rsidR="007F2E71" w:rsidRPr="007F4DEE" w:rsidRDefault="007F2E71" w:rsidP="005A0B30">
      <w:pPr>
        <w:pStyle w:val="TableNote"/>
        <w:spacing w:after="120"/>
      </w:pPr>
      <w:r w:rsidRPr="007F4DEE">
        <w:t>Source: HSE Report on Workforce Planning for Future Health Needs</w:t>
      </w:r>
    </w:p>
    <w:p w:rsidR="007F2E71" w:rsidRDefault="007F2E71" w:rsidP="005A0B30">
      <w:pPr>
        <w:pStyle w:val="TableNote"/>
      </w:pPr>
      <w:hyperlink r:id="rId10" w:history="1">
        <w:r w:rsidRPr="007F4DEE">
          <w:rPr>
            <w:rStyle w:val="Hyperlink"/>
            <w:color w:val="auto"/>
            <w:sz w:val="22"/>
          </w:rPr>
          <w:t>http://www.hse.ie/eng/staff/Resources/hrstrategiesreports/Workforce_planning_for_future_healthcare_needs.pdf</w:t>
        </w:r>
      </w:hyperlink>
    </w:p>
    <w:p w:rsidR="00B008E9" w:rsidRDefault="00B008E9" w:rsidP="00B008E9">
      <w:pPr>
        <w:spacing w:after="120"/>
      </w:pPr>
      <w:r>
        <w:t>The Bacon Report (2001) looked at ratios in four jurisdictions in about 2000.</w:t>
      </w:r>
    </w:p>
    <w:p w:rsidR="00B008E9" w:rsidRDefault="007F2E71" w:rsidP="00AA7990">
      <w:pPr>
        <w:pStyle w:val="TableTitle"/>
      </w:pPr>
      <w:bookmarkStart w:id="134" w:name="_Toc403572518"/>
      <w:bookmarkStart w:id="135" w:name="_Toc419879423"/>
      <w:r>
        <w:t>Table 20</w:t>
      </w:r>
      <w:r w:rsidR="00B008E9">
        <w:t>: Therapists per 100,000 population, c 2000</w:t>
      </w:r>
      <w:bookmarkEnd w:id="134"/>
      <w:bookmarkEnd w:id="1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2214"/>
        <w:gridCol w:w="2177"/>
        <w:gridCol w:w="2136"/>
      </w:tblGrid>
      <w:tr w:rsidR="00B008E9" w:rsidTr="00B008E9">
        <w:tc>
          <w:tcPr>
            <w:tcW w:w="2214" w:type="dxa"/>
          </w:tcPr>
          <w:p w:rsidR="00B008E9" w:rsidRDefault="00B008E9" w:rsidP="005A0B30">
            <w:pPr>
              <w:keepNext/>
              <w:spacing w:after="0"/>
            </w:pPr>
          </w:p>
        </w:tc>
        <w:tc>
          <w:tcPr>
            <w:tcW w:w="2214" w:type="dxa"/>
          </w:tcPr>
          <w:p w:rsidR="00B008E9" w:rsidRDefault="00B008E9" w:rsidP="005A0B30">
            <w:pPr>
              <w:pStyle w:val="TableHead"/>
              <w:keepNext/>
            </w:pPr>
            <w:r>
              <w:t>Physiotherapists</w:t>
            </w:r>
          </w:p>
        </w:tc>
        <w:tc>
          <w:tcPr>
            <w:tcW w:w="2214" w:type="dxa"/>
          </w:tcPr>
          <w:p w:rsidR="00B008E9" w:rsidRDefault="00B008E9" w:rsidP="005A0B30">
            <w:pPr>
              <w:pStyle w:val="TableHead"/>
              <w:keepNext/>
            </w:pPr>
            <w:r>
              <w:t>Occupational therapists</w:t>
            </w:r>
          </w:p>
        </w:tc>
        <w:tc>
          <w:tcPr>
            <w:tcW w:w="2214" w:type="dxa"/>
          </w:tcPr>
          <w:p w:rsidR="00B008E9" w:rsidRDefault="00B008E9" w:rsidP="005A0B30">
            <w:pPr>
              <w:pStyle w:val="TableHead"/>
              <w:keepNext/>
            </w:pPr>
            <w:r>
              <w:t>Speech and language therapists</w:t>
            </w:r>
          </w:p>
        </w:tc>
      </w:tr>
      <w:tr w:rsidR="00B008E9" w:rsidTr="00B008E9">
        <w:tc>
          <w:tcPr>
            <w:tcW w:w="2214" w:type="dxa"/>
          </w:tcPr>
          <w:p w:rsidR="00B008E9" w:rsidRPr="00184473" w:rsidRDefault="00B008E9" w:rsidP="005A0B30">
            <w:pPr>
              <w:keepNext/>
              <w:spacing w:after="0"/>
              <w:rPr>
                <w:b/>
              </w:rPr>
            </w:pPr>
            <w:r w:rsidRPr="00184473">
              <w:rPr>
                <w:b/>
              </w:rPr>
              <w:t>Ireland</w:t>
            </w:r>
          </w:p>
        </w:tc>
        <w:tc>
          <w:tcPr>
            <w:tcW w:w="2214" w:type="dxa"/>
          </w:tcPr>
          <w:p w:rsidR="00B008E9" w:rsidRDefault="00B008E9" w:rsidP="005A0B30">
            <w:pPr>
              <w:pStyle w:val="TableCell"/>
              <w:keepNext/>
            </w:pPr>
            <w:r>
              <w:t>35.0</w:t>
            </w:r>
          </w:p>
        </w:tc>
        <w:tc>
          <w:tcPr>
            <w:tcW w:w="2214" w:type="dxa"/>
          </w:tcPr>
          <w:p w:rsidR="00B008E9" w:rsidRDefault="00B008E9" w:rsidP="005A0B30">
            <w:pPr>
              <w:pStyle w:val="TableCell"/>
              <w:keepNext/>
            </w:pPr>
            <w:r>
              <w:t>14.9</w:t>
            </w:r>
          </w:p>
        </w:tc>
        <w:tc>
          <w:tcPr>
            <w:tcW w:w="2214" w:type="dxa"/>
          </w:tcPr>
          <w:p w:rsidR="00B008E9" w:rsidRDefault="00B008E9" w:rsidP="005A0B30">
            <w:pPr>
              <w:pStyle w:val="TableCell"/>
              <w:keepNext/>
            </w:pPr>
            <w:r>
              <w:t>8.1</w:t>
            </w:r>
          </w:p>
        </w:tc>
      </w:tr>
      <w:tr w:rsidR="00B008E9" w:rsidTr="00B008E9">
        <w:tc>
          <w:tcPr>
            <w:tcW w:w="2214" w:type="dxa"/>
          </w:tcPr>
          <w:p w:rsidR="00B008E9" w:rsidRDefault="00B008E9" w:rsidP="005A0B30">
            <w:pPr>
              <w:keepNext/>
              <w:spacing w:after="0"/>
            </w:pPr>
            <w:r>
              <w:t>England</w:t>
            </w:r>
          </w:p>
        </w:tc>
        <w:tc>
          <w:tcPr>
            <w:tcW w:w="2214" w:type="dxa"/>
          </w:tcPr>
          <w:p w:rsidR="00B008E9" w:rsidRDefault="00B008E9" w:rsidP="005A0B30">
            <w:pPr>
              <w:pStyle w:val="TableCell"/>
              <w:keepNext/>
            </w:pPr>
            <w:r>
              <w:t>29.7</w:t>
            </w:r>
          </w:p>
        </w:tc>
        <w:tc>
          <w:tcPr>
            <w:tcW w:w="2214" w:type="dxa"/>
          </w:tcPr>
          <w:p w:rsidR="00B008E9" w:rsidRDefault="00B008E9" w:rsidP="005A0B30">
            <w:pPr>
              <w:pStyle w:val="TableCell"/>
              <w:keepNext/>
            </w:pPr>
            <w:r>
              <w:t>8.7</w:t>
            </w:r>
          </w:p>
        </w:tc>
        <w:tc>
          <w:tcPr>
            <w:tcW w:w="2214" w:type="dxa"/>
          </w:tcPr>
          <w:p w:rsidR="00B008E9" w:rsidRDefault="00B008E9" w:rsidP="005A0B30">
            <w:pPr>
              <w:pStyle w:val="TableCell"/>
              <w:keepNext/>
            </w:pPr>
            <w:r>
              <w:t>9.6</w:t>
            </w:r>
          </w:p>
        </w:tc>
      </w:tr>
      <w:tr w:rsidR="00B008E9" w:rsidTr="00B008E9">
        <w:tc>
          <w:tcPr>
            <w:tcW w:w="2214" w:type="dxa"/>
          </w:tcPr>
          <w:p w:rsidR="00B008E9" w:rsidRDefault="00B008E9" w:rsidP="005A0B30">
            <w:pPr>
              <w:keepNext/>
              <w:spacing w:after="0"/>
            </w:pPr>
            <w:r>
              <w:t>New Zealand</w:t>
            </w:r>
          </w:p>
        </w:tc>
        <w:tc>
          <w:tcPr>
            <w:tcW w:w="2214" w:type="dxa"/>
          </w:tcPr>
          <w:p w:rsidR="00B008E9" w:rsidRDefault="00B008E9" w:rsidP="005A0B30">
            <w:pPr>
              <w:pStyle w:val="TableCell"/>
              <w:keepNext/>
            </w:pPr>
            <w:r>
              <w:t>29.7</w:t>
            </w:r>
          </w:p>
        </w:tc>
        <w:tc>
          <w:tcPr>
            <w:tcW w:w="2214" w:type="dxa"/>
          </w:tcPr>
          <w:p w:rsidR="00B008E9" w:rsidRDefault="00B008E9" w:rsidP="005A0B30">
            <w:pPr>
              <w:pStyle w:val="TableCell"/>
              <w:keepNext/>
            </w:pPr>
            <w:r>
              <w:t>15.7</w:t>
            </w:r>
          </w:p>
        </w:tc>
        <w:tc>
          <w:tcPr>
            <w:tcW w:w="2214" w:type="dxa"/>
          </w:tcPr>
          <w:p w:rsidR="00B008E9" w:rsidRDefault="00B008E9" w:rsidP="005A0B30">
            <w:pPr>
              <w:pStyle w:val="TableCell"/>
              <w:keepNext/>
            </w:pPr>
            <w:r>
              <w:t>11.4</w:t>
            </w:r>
          </w:p>
        </w:tc>
      </w:tr>
      <w:tr w:rsidR="00B008E9" w:rsidTr="00B008E9">
        <w:tc>
          <w:tcPr>
            <w:tcW w:w="2214" w:type="dxa"/>
          </w:tcPr>
          <w:p w:rsidR="00B008E9" w:rsidRDefault="00B008E9" w:rsidP="005A0B30">
            <w:pPr>
              <w:keepNext/>
              <w:spacing w:after="0"/>
            </w:pPr>
            <w:r>
              <w:t>Indiana, US</w:t>
            </w:r>
          </w:p>
        </w:tc>
        <w:tc>
          <w:tcPr>
            <w:tcW w:w="2214" w:type="dxa"/>
          </w:tcPr>
          <w:p w:rsidR="00B008E9" w:rsidRDefault="00B008E9" w:rsidP="005A0B30">
            <w:pPr>
              <w:pStyle w:val="TableCell"/>
              <w:keepNext/>
            </w:pPr>
            <w:r>
              <w:t>44.0</w:t>
            </w:r>
          </w:p>
        </w:tc>
        <w:tc>
          <w:tcPr>
            <w:tcW w:w="2214" w:type="dxa"/>
          </w:tcPr>
          <w:p w:rsidR="00B008E9" w:rsidRDefault="00B008E9" w:rsidP="005A0B30">
            <w:pPr>
              <w:pStyle w:val="TableCell"/>
              <w:keepNext/>
            </w:pPr>
            <w:r>
              <w:t>34.0</w:t>
            </w:r>
          </w:p>
        </w:tc>
        <w:tc>
          <w:tcPr>
            <w:tcW w:w="2214" w:type="dxa"/>
          </w:tcPr>
          <w:p w:rsidR="00B008E9" w:rsidRDefault="00B008E9" w:rsidP="005A0B30">
            <w:pPr>
              <w:pStyle w:val="TableCell"/>
              <w:keepNext/>
            </w:pPr>
            <w:r>
              <w:t>29.0</w:t>
            </w:r>
          </w:p>
        </w:tc>
      </w:tr>
    </w:tbl>
    <w:p w:rsidR="00B008E9" w:rsidRPr="00711FD1" w:rsidRDefault="00B008E9" w:rsidP="005A0B30">
      <w:pPr>
        <w:pStyle w:val="TableNote"/>
      </w:pPr>
      <w:r>
        <w:t xml:space="preserve">Source: </w:t>
      </w:r>
      <w:r w:rsidRPr="00711FD1">
        <w:t>Peter Bacon (2001) Supply and demand for therapy health professionals, Table 2.7</w:t>
      </w:r>
    </w:p>
    <w:p w:rsidR="00B008E9" w:rsidRPr="00DE1F7C" w:rsidRDefault="00B008E9" w:rsidP="001E0736">
      <w:pPr>
        <w:pStyle w:val="Heading3"/>
      </w:pPr>
      <w:bookmarkStart w:id="136" w:name="_Toc403573121"/>
      <w:bookmarkStart w:id="137" w:name="_Toc415667019"/>
      <w:bookmarkStart w:id="138" w:name="_Toc415733712"/>
      <w:r>
        <w:t>Therapists per child in other jurisdictions</w:t>
      </w:r>
      <w:bookmarkEnd w:id="137"/>
      <w:bookmarkEnd w:id="138"/>
      <w:r>
        <w:t xml:space="preserve"> </w:t>
      </w:r>
      <w:bookmarkEnd w:id="136"/>
    </w:p>
    <w:p w:rsidR="00B008E9" w:rsidRPr="00853F36" w:rsidRDefault="00B008E9" w:rsidP="00B008E9">
      <w:pPr>
        <w:rPr>
          <w:lang w:val="en-GB"/>
        </w:rPr>
      </w:pPr>
      <w:r w:rsidRPr="00853F36">
        <w:rPr>
          <w:lang w:val="en-GB"/>
        </w:rPr>
        <w:t>The literature listed recommendations and sources for th</w:t>
      </w:r>
      <w:r>
        <w:rPr>
          <w:lang w:val="en-GB"/>
        </w:rPr>
        <w:t>e number of therapists. Table 21</w:t>
      </w:r>
      <w:r w:rsidR="00445A92">
        <w:rPr>
          <w:lang w:val="en-GB"/>
        </w:rPr>
        <w:t xml:space="preserve"> lists these. F</w:t>
      </w:r>
      <w:r w:rsidRPr="00853F36">
        <w:rPr>
          <w:lang w:val="en-GB"/>
        </w:rPr>
        <w:t>or ease of comparison</w:t>
      </w:r>
      <w:r w:rsidR="00445A92">
        <w:rPr>
          <w:lang w:val="en-GB"/>
        </w:rPr>
        <w:t>,</w:t>
      </w:r>
      <w:r w:rsidRPr="00853F36">
        <w:rPr>
          <w:lang w:val="en-GB"/>
        </w:rPr>
        <w:t xml:space="preserve"> all estimates have been converted to therapists per 100 children.</w:t>
      </w:r>
    </w:p>
    <w:p w:rsidR="00B008E9" w:rsidRDefault="00B008E9" w:rsidP="00AA7990">
      <w:pPr>
        <w:pStyle w:val="TableTitle"/>
      </w:pPr>
      <w:bookmarkStart w:id="139" w:name="_Toc403572520"/>
      <w:bookmarkStart w:id="140" w:name="_Toc419879424"/>
      <w:r>
        <w:t>Table 21:</w:t>
      </w:r>
      <w:r w:rsidRPr="00853F36">
        <w:t xml:space="preserve"> various therapists per 100 children in different jurisdictions</w:t>
      </w:r>
      <w:bookmarkEnd w:id="139"/>
      <w:bookmarkEnd w:id="140"/>
      <w:r w:rsidRPr="00853F36">
        <w:t xml:space="preserve"> </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3F" w:firstRow="1" w:lastRow="0" w:firstColumn="0" w:lastColumn="0" w:noHBand="0" w:noVBand="0"/>
      </w:tblPr>
      <w:tblGrid>
        <w:gridCol w:w="2380"/>
        <w:gridCol w:w="2282"/>
        <w:gridCol w:w="1782"/>
        <w:gridCol w:w="2166"/>
      </w:tblGrid>
      <w:tr w:rsidR="00B008E9" w:rsidRPr="00853F36" w:rsidTr="00CD6CD7">
        <w:trPr>
          <w:tblHeader/>
        </w:trPr>
        <w:tc>
          <w:tcPr>
            <w:tcW w:w="1382" w:type="pct"/>
            <w:tcBorders>
              <w:bottom w:val="single" w:sz="12" w:space="0" w:color="000000"/>
            </w:tcBorders>
            <w:shd w:val="clear" w:color="auto" w:fill="auto"/>
          </w:tcPr>
          <w:p w:rsidR="00B008E9" w:rsidRPr="00093E17" w:rsidRDefault="00B008E9" w:rsidP="00567255">
            <w:pPr>
              <w:pStyle w:val="TableHead"/>
              <w:keepNext/>
              <w:rPr>
                <w:sz w:val="22"/>
                <w:szCs w:val="22"/>
              </w:rPr>
            </w:pPr>
            <w:r w:rsidRPr="00093E17">
              <w:rPr>
                <w:sz w:val="22"/>
                <w:szCs w:val="22"/>
              </w:rPr>
              <w:t>Country</w:t>
            </w:r>
          </w:p>
        </w:tc>
        <w:tc>
          <w:tcPr>
            <w:tcW w:w="1325" w:type="pct"/>
            <w:tcBorders>
              <w:bottom w:val="single" w:sz="12" w:space="0" w:color="000000"/>
            </w:tcBorders>
            <w:shd w:val="clear" w:color="auto" w:fill="auto"/>
          </w:tcPr>
          <w:p w:rsidR="00B008E9" w:rsidRPr="00093E17" w:rsidRDefault="00B008E9" w:rsidP="00567255">
            <w:pPr>
              <w:pStyle w:val="TableHead"/>
              <w:keepNext/>
              <w:rPr>
                <w:sz w:val="22"/>
                <w:szCs w:val="22"/>
              </w:rPr>
            </w:pPr>
            <w:r w:rsidRPr="00093E17">
              <w:rPr>
                <w:sz w:val="22"/>
                <w:szCs w:val="22"/>
              </w:rPr>
              <w:t>Type of therapist</w:t>
            </w:r>
          </w:p>
        </w:tc>
        <w:tc>
          <w:tcPr>
            <w:tcW w:w="1035" w:type="pct"/>
            <w:tcBorders>
              <w:bottom w:val="single" w:sz="12" w:space="0" w:color="000000"/>
            </w:tcBorders>
            <w:shd w:val="clear" w:color="auto" w:fill="auto"/>
          </w:tcPr>
          <w:p w:rsidR="00B008E9" w:rsidRPr="00093E17" w:rsidRDefault="00B008E9" w:rsidP="00567255">
            <w:pPr>
              <w:pStyle w:val="TableHead"/>
              <w:keepNext/>
              <w:rPr>
                <w:sz w:val="22"/>
                <w:szCs w:val="22"/>
              </w:rPr>
            </w:pPr>
            <w:r w:rsidRPr="00093E17">
              <w:rPr>
                <w:sz w:val="22"/>
                <w:szCs w:val="22"/>
              </w:rPr>
              <w:t>E</w:t>
            </w:r>
            <w:r w:rsidR="001B248F" w:rsidRPr="00093E17">
              <w:rPr>
                <w:sz w:val="22"/>
                <w:szCs w:val="22"/>
              </w:rPr>
              <w:t xml:space="preserve">arly </w:t>
            </w:r>
            <w:r w:rsidRPr="00093E17">
              <w:rPr>
                <w:sz w:val="22"/>
                <w:szCs w:val="22"/>
              </w:rPr>
              <w:t>I</w:t>
            </w:r>
            <w:r w:rsidR="001B248F" w:rsidRPr="00093E17">
              <w:rPr>
                <w:sz w:val="22"/>
                <w:szCs w:val="22"/>
              </w:rPr>
              <w:t xml:space="preserve">ntervention </w:t>
            </w:r>
            <w:r w:rsidRPr="00093E17">
              <w:rPr>
                <w:sz w:val="22"/>
                <w:szCs w:val="22"/>
              </w:rPr>
              <w:t>T</w:t>
            </w:r>
            <w:r w:rsidR="001B248F" w:rsidRPr="00093E17">
              <w:rPr>
                <w:sz w:val="22"/>
                <w:szCs w:val="22"/>
              </w:rPr>
              <w:t>eams</w:t>
            </w:r>
          </w:p>
        </w:tc>
        <w:tc>
          <w:tcPr>
            <w:tcW w:w="1258" w:type="pct"/>
            <w:tcBorders>
              <w:bottom w:val="single" w:sz="12" w:space="0" w:color="000000"/>
            </w:tcBorders>
            <w:shd w:val="clear" w:color="auto" w:fill="auto"/>
          </w:tcPr>
          <w:p w:rsidR="00B008E9" w:rsidRPr="00093E17" w:rsidRDefault="00B008E9" w:rsidP="00567255">
            <w:pPr>
              <w:pStyle w:val="TableHead"/>
              <w:keepNext/>
              <w:rPr>
                <w:sz w:val="22"/>
                <w:szCs w:val="22"/>
              </w:rPr>
            </w:pPr>
            <w:r w:rsidRPr="00093E17">
              <w:rPr>
                <w:sz w:val="22"/>
                <w:szCs w:val="22"/>
              </w:rPr>
              <w:t>S</w:t>
            </w:r>
            <w:r w:rsidR="001B248F" w:rsidRPr="00093E17">
              <w:rPr>
                <w:sz w:val="22"/>
                <w:szCs w:val="22"/>
              </w:rPr>
              <w:t xml:space="preserve">chool </w:t>
            </w:r>
            <w:r w:rsidRPr="00093E17">
              <w:rPr>
                <w:sz w:val="22"/>
                <w:szCs w:val="22"/>
              </w:rPr>
              <w:t>A</w:t>
            </w:r>
            <w:r w:rsidR="001B248F" w:rsidRPr="00093E17">
              <w:rPr>
                <w:sz w:val="22"/>
                <w:szCs w:val="22"/>
              </w:rPr>
              <w:t xml:space="preserve">ged </w:t>
            </w:r>
            <w:r w:rsidRPr="00093E17">
              <w:rPr>
                <w:sz w:val="22"/>
                <w:szCs w:val="22"/>
              </w:rPr>
              <w:t>T</w:t>
            </w:r>
            <w:r w:rsidR="001B248F" w:rsidRPr="00093E17">
              <w:rPr>
                <w:sz w:val="22"/>
                <w:szCs w:val="22"/>
              </w:rPr>
              <w:t>eams</w:t>
            </w:r>
          </w:p>
        </w:tc>
      </w:tr>
      <w:tr w:rsidR="00B008E9" w:rsidRPr="00853F36" w:rsidTr="00CD6CD7">
        <w:tc>
          <w:tcPr>
            <w:tcW w:w="1382" w:type="pct"/>
            <w:tcBorders>
              <w:top w:val="single" w:sz="6" w:space="0" w:color="000000"/>
            </w:tcBorders>
            <w:shd w:val="clear" w:color="auto" w:fill="auto"/>
          </w:tcPr>
          <w:p w:rsidR="00B008E9" w:rsidRPr="00853F36" w:rsidRDefault="00B008E9" w:rsidP="00567255">
            <w:pPr>
              <w:pStyle w:val="TableRowHead"/>
              <w:rPr>
                <w:rFonts w:ascii="Gill Sans" w:hAnsi="Gill Sans"/>
                <w:sz w:val="22"/>
                <w:szCs w:val="22"/>
              </w:rPr>
            </w:pPr>
            <w:smartTag w:uri="urn:schemas-microsoft-com:office:smarttags" w:element="State">
              <w:smartTag w:uri="urn:schemas-microsoft-com:office:smarttags" w:element="place">
                <w:r w:rsidRPr="00853F36">
                  <w:rPr>
                    <w:rFonts w:ascii="Gill Sans" w:hAnsi="Gill Sans"/>
                    <w:sz w:val="22"/>
                    <w:szCs w:val="22"/>
                  </w:rPr>
                  <w:t>British Columbia</w:t>
                </w:r>
              </w:smartTag>
            </w:smartTag>
            <w:r w:rsidRPr="00853F36">
              <w:rPr>
                <w:rFonts w:ascii="Gill Sans" w:hAnsi="Gill Sans"/>
                <w:sz w:val="22"/>
                <w:szCs w:val="22"/>
              </w:rPr>
              <w:t xml:space="preserve"> –sole therapist</w:t>
            </w:r>
            <w:r>
              <w:rPr>
                <w:rFonts w:ascii="Gill Sans" w:hAnsi="Gill Sans"/>
                <w:sz w:val="22"/>
                <w:szCs w:val="22"/>
              </w:rPr>
              <w:t xml:space="preserve"> </w:t>
            </w:r>
            <w:r w:rsidR="001A1B07">
              <w:rPr>
                <w:rFonts w:ascii="Gill Sans" w:hAnsi="Gill Sans"/>
                <w:sz w:val="22"/>
                <w:szCs w:val="22"/>
              </w:rPr>
              <w:t>–</w:t>
            </w:r>
            <w:r>
              <w:rPr>
                <w:rFonts w:ascii="Gill Sans" w:hAnsi="Gill Sans"/>
                <w:sz w:val="22"/>
                <w:szCs w:val="22"/>
              </w:rPr>
              <w:t xml:space="preserve"> recommended</w:t>
            </w:r>
          </w:p>
        </w:tc>
        <w:tc>
          <w:tcPr>
            <w:tcW w:w="1325" w:type="pct"/>
            <w:tcBorders>
              <w:top w:val="single" w:sz="6" w:space="0" w:color="000000"/>
            </w:tcBorders>
            <w:shd w:val="clear" w:color="auto" w:fill="auto"/>
          </w:tcPr>
          <w:p w:rsidR="00B008E9" w:rsidRPr="00853F36" w:rsidRDefault="00B008E9" w:rsidP="00567255">
            <w:pPr>
              <w:pStyle w:val="TableCell"/>
              <w:keepNext/>
              <w:jc w:val="left"/>
              <w:rPr>
                <w:sz w:val="22"/>
                <w:szCs w:val="22"/>
              </w:rPr>
            </w:pPr>
            <w:r w:rsidRPr="00853F36">
              <w:rPr>
                <w:sz w:val="22"/>
                <w:szCs w:val="22"/>
              </w:rPr>
              <w:t>All</w:t>
            </w:r>
          </w:p>
        </w:tc>
        <w:tc>
          <w:tcPr>
            <w:tcW w:w="1035" w:type="pct"/>
            <w:tcBorders>
              <w:top w:val="single" w:sz="6" w:space="0" w:color="000000"/>
            </w:tcBorders>
            <w:shd w:val="clear" w:color="auto" w:fill="auto"/>
          </w:tcPr>
          <w:p w:rsidR="00B008E9" w:rsidRPr="00853F36" w:rsidRDefault="00B008E9" w:rsidP="00567255">
            <w:pPr>
              <w:pStyle w:val="TableCell"/>
              <w:keepNext/>
              <w:rPr>
                <w:sz w:val="22"/>
                <w:szCs w:val="22"/>
              </w:rPr>
            </w:pPr>
            <w:r w:rsidRPr="00853F36">
              <w:rPr>
                <w:sz w:val="22"/>
                <w:szCs w:val="22"/>
              </w:rPr>
              <w:t>2.85-4</w:t>
            </w:r>
          </w:p>
        </w:tc>
        <w:tc>
          <w:tcPr>
            <w:tcW w:w="1258" w:type="pct"/>
            <w:tcBorders>
              <w:top w:val="single" w:sz="6" w:space="0" w:color="000000"/>
            </w:tcBorders>
            <w:shd w:val="clear" w:color="auto" w:fill="auto"/>
          </w:tcPr>
          <w:p w:rsidR="00B008E9" w:rsidRPr="00853F36" w:rsidRDefault="00B008E9" w:rsidP="00567255">
            <w:pPr>
              <w:pStyle w:val="TableCell"/>
              <w:keepNext/>
              <w:rPr>
                <w:sz w:val="22"/>
                <w:szCs w:val="22"/>
              </w:rPr>
            </w:pPr>
            <w:r w:rsidRPr="00853F36">
              <w:rPr>
                <w:sz w:val="22"/>
                <w:szCs w:val="22"/>
              </w:rPr>
              <w:t>1.8-2.2</w:t>
            </w:r>
          </w:p>
        </w:tc>
      </w:tr>
      <w:tr w:rsidR="00B008E9" w:rsidRPr="00853F36" w:rsidTr="00CD6CD7">
        <w:tc>
          <w:tcPr>
            <w:tcW w:w="1382" w:type="pct"/>
            <w:tcBorders>
              <w:top w:val="single" w:sz="6" w:space="0" w:color="000000"/>
            </w:tcBorders>
            <w:shd w:val="clear" w:color="auto" w:fill="auto"/>
          </w:tcPr>
          <w:p w:rsidR="00B008E9" w:rsidRPr="00853F36" w:rsidRDefault="00B008E9" w:rsidP="00567255">
            <w:pPr>
              <w:pStyle w:val="TableRowHead"/>
              <w:rPr>
                <w:rFonts w:ascii="Gill Sans" w:hAnsi="Gill Sans"/>
                <w:sz w:val="22"/>
                <w:szCs w:val="22"/>
              </w:rPr>
            </w:pPr>
            <w:smartTag w:uri="urn:schemas-microsoft-com:office:smarttags" w:element="State">
              <w:smartTag w:uri="urn:schemas-microsoft-com:office:smarttags" w:element="place">
                <w:r w:rsidRPr="00853F36">
                  <w:rPr>
                    <w:rFonts w:ascii="Gill Sans" w:hAnsi="Gill Sans"/>
                    <w:sz w:val="22"/>
                    <w:szCs w:val="22"/>
                  </w:rPr>
                  <w:t>British Columbia</w:t>
                </w:r>
              </w:smartTag>
            </w:smartTag>
            <w:r w:rsidRPr="00853F36">
              <w:rPr>
                <w:rFonts w:ascii="Gill Sans" w:hAnsi="Gill Sans"/>
                <w:sz w:val="22"/>
                <w:szCs w:val="22"/>
              </w:rPr>
              <w:t xml:space="preserve"> –team member</w:t>
            </w:r>
            <w:r>
              <w:rPr>
                <w:rFonts w:ascii="Gill Sans" w:hAnsi="Gill Sans"/>
                <w:sz w:val="22"/>
                <w:szCs w:val="22"/>
              </w:rPr>
              <w:t xml:space="preserve"> </w:t>
            </w:r>
            <w:r w:rsidR="001A1B07">
              <w:rPr>
                <w:rFonts w:ascii="Gill Sans" w:hAnsi="Gill Sans"/>
                <w:sz w:val="22"/>
                <w:szCs w:val="22"/>
              </w:rPr>
              <w:t>–</w:t>
            </w:r>
            <w:r>
              <w:rPr>
                <w:rFonts w:ascii="Gill Sans" w:hAnsi="Gill Sans"/>
                <w:sz w:val="22"/>
                <w:szCs w:val="22"/>
              </w:rPr>
              <w:t xml:space="preserve"> recommended</w:t>
            </w:r>
          </w:p>
        </w:tc>
        <w:tc>
          <w:tcPr>
            <w:tcW w:w="1325" w:type="pct"/>
            <w:tcBorders>
              <w:top w:val="single" w:sz="6" w:space="0" w:color="000000"/>
            </w:tcBorders>
            <w:shd w:val="clear" w:color="auto" w:fill="auto"/>
          </w:tcPr>
          <w:p w:rsidR="00B008E9" w:rsidRPr="00853F36" w:rsidRDefault="00B008E9" w:rsidP="00567255">
            <w:pPr>
              <w:pStyle w:val="TableCell"/>
              <w:keepNext/>
              <w:jc w:val="left"/>
              <w:rPr>
                <w:sz w:val="22"/>
                <w:szCs w:val="22"/>
              </w:rPr>
            </w:pPr>
            <w:r w:rsidRPr="00853F36">
              <w:rPr>
                <w:sz w:val="22"/>
                <w:szCs w:val="22"/>
              </w:rPr>
              <w:t>All</w:t>
            </w:r>
          </w:p>
        </w:tc>
        <w:tc>
          <w:tcPr>
            <w:tcW w:w="1035" w:type="pct"/>
            <w:tcBorders>
              <w:top w:val="single" w:sz="6" w:space="0" w:color="000000"/>
            </w:tcBorders>
            <w:shd w:val="clear" w:color="auto" w:fill="auto"/>
          </w:tcPr>
          <w:p w:rsidR="00B008E9" w:rsidRPr="00853F36" w:rsidRDefault="00B008E9" w:rsidP="00567255">
            <w:pPr>
              <w:pStyle w:val="TableCell"/>
              <w:keepNext/>
              <w:rPr>
                <w:sz w:val="22"/>
                <w:szCs w:val="22"/>
              </w:rPr>
            </w:pPr>
            <w:r w:rsidRPr="00853F36">
              <w:rPr>
                <w:sz w:val="22"/>
                <w:szCs w:val="22"/>
              </w:rPr>
              <w:t>2.5-3.3</w:t>
            </w:r>
          </w:p>
        </w:tc>
        <w:tc>
          <w:tcPr>
            <w:tcW w:w="1258" w:type="pct"/>
            <w:tcBorders>
              <w:top w:val="single" w:sz="6" w:space="0" w:color="000000"/>
            </w:tcBorders>
            <w:shd w:val="clear" w:color="auto" w:fill="auto"/>
          </w:tcPr>
          <w:p w:rsidR="00B008E9" w:rsidRPr="00853F36" w:rsidRDefault="00B008E9" w:rsidP="00567255">
            <w:pPr>
              <w:pStyle w:val="TableCell"/>
              <w:keepNext/>
              <w:rPr>
                <w:sz w:val="22"/>
                <w:szCs w:val="22"/>
              </w:rPr>
            </w:pPr>
            <w:r w:rsidRPr="00853F36">
              <w:rPr>
                <w:sz w:val="22"/>
                <w:szCs w:val="22"/>
              </w:rPr>
              <w:t>1.5-2</w:t>
            </w:r>
          </w:p>
        </w:tc>
      </w:tr>
      <w:tr w:rsidR="00B008E9" w:rsidRPr="00853F36" w:rsidTr="00CD6CD7">
        <w:tc>
          <w:tcPr>
            <w:tcW w:w="1382" w:type="pct"/>
            <w:tcBorders>
              <w:top w:val="single" w:sz="6" w:space="0" w:color="000000"/>
            </w:tcBorders>
            <w:shd w:val="clear" w:color="auto" w:fill="auto"/>
          </w:tcPr>
          <w:p w:rsidR="00B008E9" w:rsidRPr="00853F36" w:rsidRDefault="00B008E9" w:rsidP="00567255">
            <w:pPr>
              <w:pStyle w:val="TableRowHead"/>
              <w:rPr>
                <w:rFonts w:ascii="Gill Sans" w:hAnsi="Gill Sans"/>
                <w:sz w:val="22"/>
                <w:szCs w:val="22"/>
              </w:rPr>
            </w:pPr>
            <w:smartTag w:uri="urn:schemas-microsoft-com:office:smarttags" w:element="place">
              <w:smartTag w:uri="urn:schemas-microsoft-com:office:smarttags" w:element="country-region">
                <w:r w:rsidRPr="00853F36">
                  <w:rPr>
                    <w:rFonts w:ascii="Gill Sans" w:hAnsi="Gill Sans"/>
                    <w:sz w:val="22"/>
                    <w:szCs w:val="22"/>
                  </w:rPr>
                  <w:t>Scotland-</w:t>
                </w:r>
              </w:smartTag>
            </w:smartTag>
            <w:r w:rsidRPr="00853F36">
              <w:rPr>
                <w:rFonts w:ascii="Gill Sans" w:hAnsi="Gill Sans"/>
                <w:sz w:val="22"/>
                <w:szCs w:val="22"/>
              </w:rPr>
              <w:t xml:space="preserve"> actual</w:t>
            </w:r>
          </w:p>
        </w:tc>
        <w:tc>
          <w:tcPr>
            <w:tcW w:w="1325" w:type="pct"/>
            <w:tcBorders>
              <w:top w:val="single" w:sz="6" w:space="0" w:color="000000"/>
            </w:tcBorders>
            <w:shd w:val="clear" w:color="auto" w:fill="auto"/>
          </w:tcPr>
          <w:p w:rsidR="00B008E9" w:rsidRPr="00853F36" w:rsidRDefault="00B008E9" w:rsidP="00567255">
            <w:pPr>
              <w:pStyle w:val="TableCell"/>
              <w:keepNext/>
              <w:jc w:val="left"/>
              <w:rPr>
                <w:sz w:val="22"/>
                <w:szCs w:val="22"/>
              </w:rPr>
            </w:pPr>
            <w:r w:rsidRPr="00853F36">
              <w:rPr>
                <w:sz w:val="22"/>
                <w:szCs w:val="22"/>
              </w:rPr>
              <w:t>Physiotherapist</w:t>
            </w:r>
          </w:p>
        </w:tc>
        <w:tc>
          <w:tcPr>
            <w:tcW w:w="1035" w:type="pct"/>
            <w:tcBorders>
              <w:top w:val="single" w:sz="6" w:space="0" w:color="000000"/>
            </w:tcBorders>
            <w:shd w:val="clear" w:color="auto" w:fill="auto"/>
          </w:tcPr>
          <w:p w:rsidR="00B008E9" w:rsidRPr="00853F36" w:rsidRDefault="00B008E9" w:rsidP="00567255">
            <w:pPr>
              <w:pStyle w:val="TableCell"/>
              <w:keepNext/>
              <w:rPr>
                <w:sz w:val="22"/>
                <w:szCs w:val="22"/>
              </w:rPr>
            </w:pPr>
            <w:r w:rsidRPr="00853F36">
              <w:rPr>
                <w:sz w:val="22"/>
                <w:szCs w:val="22"/>
              </w:rPr>
              <w:t>0.7-1.7 (mean=1.5)</w:t>
            </w:r>
          </w:p>
        </w:tc>
        <w:tc>
          <w:tcPr>
            <w:tcW w:w="1258" w:type="pct"/>
            <w:tcBorders>
              <w:top w:val="single" w:sz="6" w:space="0" w:color="000000"/>
            </w:tcBorders>
            <w:shd w:val="clear" w:color="auto" w:fill="auto"/>
          </w:tcPr>
          <w:p w:rsidR="00B008E9" w:rsidRPr="00853F36" w:rsidRDefault="00B008E9" w:rsidP="00567255">
            <w:pPr>
              <w:pStyle w:val="TableCell"/>
              <w:keepNext/>
              <w:rPr>
                <w:sz w:val="22"/>
                <w:szCs w:val="22"/>
              </w:rPr>
            </w:pPr>
            <w:r w:rsidRPr="00853F36">
              <w:rPr>
                <w:sz w:val="22"/>
                <w:szCs w:val="22"/>
              </w:rPr>
              <w:t>0.7-1.7 (mean=1.5)</w:t>
            </w:r>
          </w:p>
        </w:tc>
      </w:tr>
      <w:tr w:rsidR="00B008E9" w:rsidRPr="00853F36" w:rsidTr="00CD6CD7">
        <w:tc>
          <w:tcPr>
            <w:tcW w:w="1382" w:type="pct"/>
            <w:shd w:val="clear" w:color="auto" w:fill="auto"/>
          </w:tcPr>
          <w:p w:rsidR="00B008E9" w:rsidRPr="00853F36" w:rsidRDefault="00B008E9" w:rsidP="00567255">
            <w:pPr>
              <w:pStyle w:val="TableRowHead"/>
              <w:rPr>
                <w:rFonts w:ascii="Gill Sans" w:hAnsi="Gill Sans"/>
                <w:sz w:val="22"/>
                <w:szCs w:val="22"/>
              </w:rPr>
            </w:pPr>
            <w:smartTag w:uri="urn:schemas-microsoft-com:office:smarttags" w:element="place">
              <w:smartTag w:uri="urn:schemas-microsoft-com:office:smarttags" w:element="country-region">
                <w:r w:rsidRPr="00853F36">
                  <w:rPr>
                    <w:rFonts w:ascii="Gill Sans" w:hAnsi="Gill Sans"/>
                    <w:sz w:val="22"/>
                    <w:szCs w:val="22"/>
                  </w:rPr>
                  <w:t>Scotland</w:t>
                </w:r>
              </w:smartTag>
            </w:smartTag>
            <w:r w:rsidRPr="00853F36">
              <w:rPr>
                <w:rFonts w:ascii="Gill Sans" w:hAnsi="Gill Sans"/>
                <w:sz w:val="22"/>
                <w:szCs w:val="22"/>
              </w:rPr>
              <w:t xml:space="preserve"> – actual</w:t>
            </w:r>
          </w:p>
        </w:tc>
        <w:tc>
          <w:tcPr>
            <w:tcW w:w="1325" w:type="pct"/>
            <w:shd w:val="clear" w:color="auto" w:fill="auto"/>
          </w:tcPr>
          <w:p w:rsidR="00B008E9" w:rsidRPr="00853F36" w:rsidRDefault="00B008E9" w:rsidP="00567255">
            <w:pPr>
              <w:pStyle w:val="TableCell"/>
              <w:keepNext/>
              <w:jc w:val="left"/>
              <w:rPr>
                <w:sz w:val="22"/>
                <w:szCs w:val="22"/>
              </w:rPr>
            </w:pPr>
            <w:r w:rsidRPr="00853F36">
              <w:rPr>
                <w:sz w:val="22"/>
                <w:szCs w:val="22"/>
              </w:rPr>
              <w:t xml:space="preserve">Occupational Therapy </w:t>
            </w:r>
          </w:p>
        </w:tc>
        <w:tc>
          <w:tcPr>
            <w:tcW w:w="1035" w:type="pct"/>
            <w:shd w:val="clear" w:color="auto" w:fill="auto"/>
          </w:tcPr>
          <w:p w:rsidR="00B008E9" w:rsidRPr="00853F36" w:rsidRDefault="00B008E9" w:rsidP="00567255">
            <w:pPr>
              <w:pStyle w:val="TableCell"/>
              <w:keepNext/>
              <w:rPr>
                <w:sz w:val="22"/>
                <w:szCs w:val="22"/>
              </w:rPr>
            </w:pPr>
            <w:r w:rsidRPr="00853F36">
              <w:rPr>
                <w:sz w:val="22"/>
                <w:szCs w:val="22"/>
              </w:rPr>
              <w:t>0.7-3 (mean =1.7)</w:t>
            </w:r>
          </w:p>
        </w:tc>
        <w:tc>
          <w:tcPr>
            <w:tcW w:w="1258" w:type="pct"/>
            <w:shd w:val="clear" w:color="auto" w:fill="auto"/>
          </w:tcPr>
          <w:p w:rsidR="00B008E9" w:rsidRPr="00853F36" w:rsidRDefault="00B008E9" w:rsidP="00567255">
            <w:pPr>
              <w:pStyle w:val="TableCell"/>
              <w:keepNext/>
              <w:rPr>
                <w:sz w:val="22"/>
                <w:szCs w:val="22"/>
              </w:rPr>
            </w:pPr>
            <w:r w:rsidRPr="00853F36">
              <w:rPr>
                <w:sz w:val="22"/>
                <w:szCs w:val="22"/>
              </w:rPr>
              <w:t>0.7-3 (mean =1.7)</w:t>
            </w:r>
          </w:p>
        </w:tc>
      </w:tr>
      <w:tr w:rsidR="00B008E9" w:rsidRPr="00853F36" w:rsidTr="00CD6CD7">
        <w:tc>
          <w:tcPr>
            <w:tcW w:w="1382" w:type="pct"/>
            <w:shd w:val="clear" w:color="auto" w:fill="auto"/>
          </w:tcPr>
          <w:p w:rsidR="00B008E9" w:rsidRPr="00853F36" w:rsidRDefault="00B008E9" w:rsidP="00567255">
            <w:pPr>
              <w:pStyle w:val="TableRowHead"/>
              <w:rPr>
                <w:rFonts w:ascii="Gill Sans" w:hAnsi="Gill Sans"/>
                <w:sz w:val="22"/>
                <w:szCs w:val="22"/>
              </w:rPr>
            </w:pPr>
            <w:smartTag w:uri="urn:schemas-microsoft-com:office:smarttags" w:element="place">
              <w:smartTag w:uri="urn:schemas-microsoft-com:office:smarttags" w:element="country-region">
                <w:r w:rsidRPr="00853F36">
                  <w:rPr>
                    <w:rFonts w:ascii="Gill Sans" w:hAnsi="Gill Sans"/>
                    <w:sz w:val="22"/>
                    <w:szCs w:val="22"/>
                  </w:rPr>
                  <w:t>Scotland</w:t>
                </w:r>
              </w:smartTag>
            </w:smartTag>
            <w:r w:rsidRPr="00853F36">
              <w:rPr>
                <w:rFonts w:ascii="Gill Sans" w:hAnsi="Gill Sans"/>
                <w:sz w:val="22"/>
                <w:szCs w:val="22"/>
              </w:rPr>
              <w:t xml:space="preserve"> – actual</w:t>
            </w:r>
          </w:p>
        </w:tc>
        <w:tc>
          <w:tcPr>
            <w:tcW w:w="1325" w:type="pct"/>
            <w:shd w:val="clear" w:color="auto" w:fill="auto"/>
          </w:tcPr>
          <w:p w:rsidR="00B008E9" w:rsidRPr="00853F36" w:rsidRDefault="00B008E9" w:rsidP="00567255">
            <w:pPr>
              <w:pStyle w:val="TableCell"/>
              <w:keepNext/>
              <w:jc w:val="left"/>
              <w:rPr>
                <w:sz w:val="22"/>
                <w:szCs w:val="22"/>
              </w:rPr>
            </w:pPr>
            <w:r w:rsidRPr="00853F36">
              <w:rPr>
                <w:sz w:val="22"/>
                <w:szCs w:val="22"/>
              </w:rPr>
              <w:t>Speech and language</w:t>
            </w:r>
          </w:p>
        </w:tc>
        <w:tc>
          <w:tcPr>
            <w:tcW w:w="1035" w:type="pct"/>
            <w:shd w:val="clear" w:color="auto" w:fill="auto"/>
          </w:tcPr>
          <w:p w:rsidR="00B008E9" w:rsidRPr="00853F36" w:rsidRDefault="00B008E9" w:rsidP="00567255">
            <w:pPr>
              <w:pStyle w:val="TableCell"/>
              <w:keepNext/>
              <w:rPr>
                <w:sz w:val="22"/>
                <w:szCs w:val="22"/>
              </w:rPr>
            </w:pPr>
            <w:r w:rsidRPr="00853F36">
              <w:rPr>
                <w:sz w:val="22"/>
                <w:szCs w:val="22"/>
              </w:rPr>
              <w:t>0.4-2.7 (mean =1)</w:t>
            </w:r>
          </w:p>
        </w:tc>
        <w:tc>
          <w:tcPr>
            <w:tcW w:w="1258" w:type="pct"/>
            <w:shd w:val="clear" w:color="auto" w:fill="auto"/>
          </w:tcPr>
          <w:p w:rsidR="00B008E9" w:rsidRPr="00853F36" w:rsidRDefault="00B008E9" w:rsidP="00567255">
            <w:pPr>
              <w:pStyle w:val="TableCell"/>
              <w:keepNext/>
              <w:rPr>
                <w:sz w:val="22"/>
                <w:szCs w:val="22"/>
              </w:rPr>
            </w:pPr>
            <w:r w:rsidRPr="00853F36">
              <w:rPr>
                <w:sz w:val="22"/>
                <w:szCs w:val="22"/>
              </w:rPr>
              <w:t>0.4-2.7 (mean =1)</w:t>
            </w:r>
          </w:p>
        </w:tc>
      </w:tr>
      <w:tr w:rsidR="00B008E9" w:rsidRPr="00853F36" w:rsidTr="00CD6CD7">
        <w:tc>
          <w:tcPr>
            <w:tcW w:w="1382" w:type="pct"/>
            <w:shd w:val="clear" w:color="auto" w:fill="auto"/>
          </w:tcPr>
          <w:p w:rsidR="00B008E9" w:rsidRPr="00853F36" w:rsidRDefault="00B008E9" w:rsidP="00567255">
            <w:pPr>
              <w:pStyle w:val="TableRowHead"/>
              <w:rPr>
                <w:rFonts w:ascii="Gill Sans" w:hAnsi="Gill Sans"/>
                <w:sz w:val="22"/>
                <w:szCs w:val="22"/>
              </w:rPr>
            </w:pPr>
            <w:smartTag w:uri="urn:schemas-microsoft-com:office:smarttags" w:element="country-region">
              <w:r w:rsidRPr="00853F36">
                <w:rPr>
                  <w:rFonts w:ascii="Gill Sans" w:hAnsi="Gill Sans"/>
                  <w:sz w:val="22"/>
                  <w:szCs w:val="22"/>
                </w:rPr>
                <w:t>England</w:t>
              </w:r>
            </w:smartTag>
            <w:r w:rsidRPr="00853F36">
              <w:rPr>
                <w:rFonts w:ascii="Gill Sans" w:hAnsi="Gill Sans"/>
                <w:sz w:val="22"/>
                <w:szCs w:val="22"/>
              </w:rPr>
              <w:t xml:space="preserve"> and </w:t>
            </w:r>
            <w:smartTag w:uri="urn:schemas-microsoft-com:office:smarttags" w:element="place">
              <w:smartTag w:uri="urn:schemas-microsoft-com:office:smarttags" w:element="country-region">
                <w:r w:rsidRPr="00853F36">
                  <w:rPr>
                    <w:rFonts w:ascii="Gill Sans" w:hAnsi="Gill Sans"/>
                    <w:sz w:val="22"/>
                    <w:szCs w:val="22"/>
                  </w:rPr>
                  <w:t>Wales</w:t>
                </w:r>
              </w:smartTag>
            </w:smartTag>
            <w:r w:rsidRPr="00853F36">
              <w:rPr>
                <w:rFonts w:ascii="Gill Sans" w:hAnsi="Gill Sans"/>
                <w:sz w:val="22"/>
                <w:szCs w:val="22"/>
              </w:rPr>
              <w:t xml:space="preserve"> – actual</w:t>
            </w:r>
          </w:p>
        </w:tc>
        <w:tc>
          <w:tcPr>
            <w:tcW w:w="1325" w:type="pct"/>
            <w:shd w:val="clear" w:color="auto" w:fill="auto"/>
          </w:tcPr>
          <w:p w:rsidR="00B008E9" w:rsidRPr="00853F36" w:rsidRDefault="00B008E9" w:rsidP="00567255">
            <w:pPr>
              <w:pStyle w:val="TableCell"/>
              <w:keepNext/>
              <w:jc w:val="left"/>
              <w:rPr>
                <w:sz w:val="22"/>
                <w:szCs w:val="22"/>
              </w:rPr>
            </w:pPr>
            <w:r w:rsidRPr="00853F36">
              <w:rPr>
                <w:sz w:val="22"/>
                <w:szCs w:val="22"/>
              </w:rPr>
              <w:t>Speech and language</w:t>
            </w:r>
          </w:p>
        </w:tc>
        <w:tc>
          <w:tcPr>
            <w:tcW w:w="1035" w:type="pct"/>
            <w:shd w:val="clear" w:color="auto" w:fill="auto"/>
          </w:tcPr>
          <w:p w:rsidR="00B008E9" w:rsidRPr="00853F36" w:rsidRDefault="00B008E9" w:rsidP="00567255">
            <w:pPr>
              <w:pStyle w:val="TableCell"/>
              <w:keepNext/>
              <w:rPr>
                <w:sz w:val="22"/>
                <w:szCs w:val="22"/>
              </w:rPr>
            </w:pPr>
            <w:r w:rsidRPr="00853F36">
              <w:rPr>
                <w:sz w:val="22"/>
                <w:szCs w:val="22"/>
              </w:rPr>
              <w:t>0.6-2.7 (benchmark 2.5 for senior S&amp;LT)</w:t>
            </w:r>
          </w:p>
        </w:tc>
        <w:tc>
          <w:tcPr>
            <w:tcW w:w="1258" w:type="pct"/>
            <w:shd w:val="clear" w:color="auto" w:fill="auto"/>
          </w:tcPr>
          <w:p w:rsidR="00B008E9" w:rsidRPr="00853F36" w:rsidRDefault="00B008E9" w:rsidP="00567255">
            <w:pPr>
              <w:pStyle w:val="TableCell"/>
              <w:keepNext/>
              <w:rPr>
                <w:sz w:val="22"/>
                <w:szCs w:val="22"/>
              </w:rPr>
            </w:pPr>
          </w:p>
        </w:tc>
      </w:tr>
      <w:tr w:rsidR="00B008E9" w:rsidRPr="00853F36" w:rsidTr="00CD6CD7">
        <w:tc>
          <w:tcPr>
            <w:tcW w:w="1382" w:type="pct"/>
            <w:shd w:val="clear" w:color="auto" w:fill="auto"/>
          </w:tcPr>
          <w:p w:rsidR="00B008E9" w:rsidRPr="00853F36" w:rsidRDefault="00B008E9" w:rsidP="00567255">
            <w:pPr>
              <w:pStyle w:val="TableRowHead"/>
              <w:rPr>
                <w:rFonts w:ascii="Gill Sans" w:hAnsi="Gill Sans"/>
                <w:sz w:val="22"/>
                <w:szCs w:val="22"/>
              </w:rPr>
            </w:pPr>
            <w:smartTag w:uri="urn:schemas-microsoft-com:office:smarttags" w:element="place">
              <w:smartTag w:uri="urn:schemas-microsoft-com:office:smarttags" w:element="country-region">
                <w:r w:rsidRPr="00853F36">
                  <w:rPr>
                    <w:rFonts w:ascii="Gill Sans" w:hAnsi="Gill Sans"/>
                    <w:sz w:val="22"/>
                    <w:szCs w:val="22"/>
                  </w:rPr>
                  <w:t>UK-</w:t>
                </w:r>
              </w:smartTag>
            </w:smartTag>
            <w:r w:rsidRPr="00853F36">
              <w:rPr>
                <w:rFonts w:ascii="Gill Sans" w:hAnsi="Gill Sans"/>
                <w:sz w:val="22"/>
                <w:szCs w:val="22"/>
              </w:rPr>
              <w:t xml:space="preserve"> managers opinion</w:t>
            </w:r>
          </w:p>
        </w:tc>
        <w:tc>
          <w:tcPr>
            <w:tcW w:w="1325" w:type="pct"/>
            <w:shd w:val="clear" w:color="auto" w:fill="auto"/>
          </w:tcPr>
          <w:p w:rsidR="00B008E9" w:rsidRPr="00853F36" w:rsidRDefault="00B008E9" w:rsidP="00567255">
            <w:pPr>
              <w:pStyle w:val="TableCell"/>
              <w:keepNext/>
              <w:jc w:val="left"/>
              <w:rPr>
                <w:sz w:val="22"/>
                <w:szCs w:val="22"/>
              </w:rPr>
            </w:pPr>
            <w:r w:rsidRPr="00853F36">
              <w:rPr>
                <w:sz w:val="22"/>
                <w:szCs w:val="22"/>
              </w:rPr>
              <w:t>Speech and language</w:t>
            </w:r>
          </w:p>
        </w:tc>
        <w:tc>
          <w:tcPr>
            <w:tcW w:w="1035" w:type="pct"/>
            <w:shd w:val="clear" w:color="auto" w:fill="auto"/>
          </w:tcPr>
          <w:p w:rsidR="00B008E9" w:rsidRPr="00853F36" w:rsidRDefault="00B008E9" w:rsidP="00567255">
            <w:pPr>
              <w:pStyle w:val="TableCell"/>
              <w:keepNext/>
              <w:rPr>
                <w:sz w:val="22"/>
                <w:szCs w:val="22"/>
              </w:rPr>
            </w:pPr>
            <w:r w:rsidRPr="00853F36">
              <w:rPr>
                <w:sz w:val="22"/>
                <w:szCs w:val="22"/>
              </w:rPr>
              <w:t>1.7-2.5</w:t>
            </w:r>
          </w:p>
          <w:p w:rsidR="00B008E9" w:rsidRPr="00853F36" w:rsidRDefault="00B008E9" w:rsidP="00567255">
            <w:pPr>
              <w:pStyle w:val="TableCell"/>
              <w:keepNext/>
              <w:rPr>
                <w:sz w:val="22"/>
                <w:szCs w:val="22"/>
              </w:rPr>
            </w:pPr>
          </w:p>
        </w:tc>
        <w:tc>
          <w:tcPr>
            <w:tcW w:w="1258" w:type="pct"/>
            <w:shd w:val="clear" w:color="auto" w:fill="auto"/>
          </w:tcPr>
          <w:p w:rsidR="00B008E9" w:rsidRPr="00853F36" w:rsidRDefault="00B008E9" w:rsidP="00567255">
            <w:pPr>
              <w:pStyle w:val="TableCell"/>
              <w:keepNext/>
              <w:rPr>
                <w:sz w:val="22"/>
                <w:szCs w:val="22"/>
              </w:rPr>
            </w:pPr>
          </w:p>
        </w:tc>
      </w:tr>
      <w:tr w:rsidR="00B008E9" w:rsidRPr="00853F36" w:rsidTr="00CD6CD7">
        <w:tc>
          <w:tcPr>
            <w:tcW w:w="1382" w:type="pct"/>
            <w:shd w:val="clear" w:color="auto" w:fill="auto"/>
          </w:tcPr>
          <w:p w:rsidR="00B008E9" w:rsidRPr="00853F36" w:rsidRDefault="00B008E9" w:rsidP="00567255">
            <w:pPr>
              <w:pStyle w:val="TableRowHead"/>
              <w:rPr>
                <w:rFonts w:ascii="Gill Sans" w:hAnsi="Gill Sans"/>
                <w:sz w:val="22"/>
                <w:szCs w:val="22"/>
              </w:rPr>
            </w:pPr>
            <w:smartTag w:uri="urn:schemas-microsoft-com:office:smarttags" w:element="place">
              <w:smartTag w:uri="urn:schemas-microsoft-com:office:smarttags" w:element="country-region">
                <w:r w:rsidRPr="00853F36">
                  <w:rPr>
                    <w:rFonts w:ascii="Gill Sans" w:hAnsi="Gill Sans"/>
                    <w:sz w:val="22"/>
                    <w:szCs w:val="22"/>
                  </w:rPr>
                  <w:t>USA</w:t>
                </w:r>
              </w:smartTag>
            </w:smartTag>
            <w:r w:rsidRPr="00853F36">
              <w:rPr>
                <w:rFonts w:ascii="Gill Sans" w:hAnsi="Gill Sans"/>
                <w:sz w:val="22"/>
                <w:szCs w:val="22"/>
              </w:rPr>
              <w:t xml:space="preserve"> actual</w:t>
            </w:r>
          </w:p>
        </w:tc>
        <w:tc>
          <w:tcPr>
            <w:tcW w:w="1325" w:type="pct"/>
            <w:shd w:val="clear" w:color="auto" w:fill="auto"/>
          </w:tcPr>
          <w:p w:rsidR="00B008E9" w:rsidRPr="00853F36" w:rsidRDefault="00B008E9" w:rsidP="00567255">
            <w:pPr>
              <w:pStyle w:val="TableCell"/>
              <w:keepNext/>
              <w:jc w:val="left"/>
              <w:rPr>
                <w:sz w:val="22"/>
                <w:szCs w:val="22"/>
              </w:rPr>
            </w:pPr>
            <w:r w:rsidRPr="00853F36">
              <w:rPr>
                <w:sz w:val="22"/>
                <w:szCs w:val="22"/>
              </w:rPr>
              <w:t>Occupational Therapy</w:t>
            </w:r>
          </w:p>
        </w:tc>
        <w:tc>
          <w:tcPr>
            <w:tcW w:w="1035" w:type="pct"/>
            <w:shd w:val="clear" w:color="auto" w:fill="auto"/>
          </w:tcPr>
          <w:p w:rsidR="00B008E9" w:rsidRPr="00853F36" w:rsidRDefault="00B008E9" w:rsidP="00567255">
            <w:pPr>
              <w:pStyle w:val="TableCell"/>
              <w:keepNext/>
              <w:rPr>
                <w:sz w:val="22"/>
                <w:szCs w:val="22"/>
              </w:rPr>
            </w:pPr>
            <w:r w:rsidRPr="00853F36">
              <w:rPr>
                <w:sz w:val="22"/>
                <w:szCs w:val="22"/>
              </w:rPr>
              <w:t>-</w:t>
            </w:r>
          </w:p>
        </w:tc>
        <w:tc>
          <w:tcPr>
            <w:tcW w:w="1258" w:type="pct"/>
            <w:shd w:val="clear" w:color="auto" w:fill="auto"/>
          </w:tcPr>
          <w:p w:rsidR="00B008E9" w:rsidRPr="00853F36" w:rsidRDefault="00B008E9" w:rsidP="00567255">
            <w:pPr>
              <w:pStyle w:val="TableCell"/>
              <w:keepNext/>
              <w:rPr>
                <w:sz w:val="22"/>
                <w:szCs w:val="22"/>
              </w:rPr>
            </w:pPr>
            <w:r w:rsidRPr="00853F36">
              <w:rPr>
                <w:sz w:val="22"/>
                <w:szCs w:val="22"/>
              </w:rPr>
              <w:t>2.3(mean)</w:t>
            </w:r>
          </w:p>
        </w:tc>
      </w:tr>
      <w:tr w:rsidR="00B008E9" w:rsidRPr="00853F36" w:rsidTr="00CD6CD7">
        <w:tc>
          <w:tcPr>
            <w:tcW w:w="1382" w:type="pct"/>
            <w:shd w:val="clear" w:color="auto" w:fill="auto"/>
          </w:tcPr>
          <w:p w:rsidR="00B008E9" w:rsidRDefault="00B008E9" w:rsidP="00567255">
            <w:pPr>
              <w:pStyle w:val="TableRowHead"/>
              <w:rPr>
                <w:rFonts w:ascii="Gill Sans" w:hAnsi="Gill Sans"/>
                <w:sz w:val="22"/>
                <w:szCs w:val="22"/>
              </w:rPr>
            </w:pPr>
            <w:smartTag w:uri="urn:schemas-microsoft-com:office:smarttags" w:element="place">
              <w:smartTag w:uri="urn:schemas-microsoft-com:office:smarttags" w:element="country-region">
                <w:r>
                  <w:rPr>
                    <w:rFonts w:ascii="Gill Sans" w:hAnsi="Gill Sans"/>
                    <w:sz w:val="22"/>
                    <w:szCs w:val="22"/>
                  </w:rPr>
                  <w:t>USA</w:t>
                </w:r>
              </w:smartTag>
            </w:smartTag>
            <w:r>
              <w:rPr>
                <w:rFonts w:ascii="Gill Sans" w:hAnsi="Gill Sans"/>
                <w:sz w:val="22"/>
                <w:szCs w:val="22"/>
              </w:rPr>
              <w:t xml:space="preserve"> (2004) actual </w:t>
            </w:r>
          </w:p>
        </w:tc>
        <w:tc>
          <w:tcPr>
            <w:tcW w:w="1325" w:type="pct"/>
            <w:shd w:val="clear" w:color="auto" w:fill="auto"/>
          </w:tcPr>
          <w:p w:rsidR="00B008E9" w:rsidRDefault="00B008E9" w:rsidP="00567255">
            <w:pPr>
              <w:pStyle w:val="TableCell"/>
              <w:keepNext/>
              <w:jc w:val="left"/>
              <w:rPr>
                <w:sz w:val="22"/>
                <w:szCs w:val="22"/>
              </w:rPr>
            </w:pPr>
            <w:r>
              <w:rPr>
                <w:sz w:val="22"/>
                <w:szCs w:val="22"/>
              </w:rPr>
              <w:t xml:space="preserve">School Psychologist </w:t>
            </w:r>
          </w:p>
        </w:tc>
        <w:tc>
          <w:tcPr>
            <w:tcW w:w="1035" w:type="pct"/>
            <w:shd w:val="clear" w:color="auto" w:fill="auto"/>
          </w:tcPr>
          <w:p w:rsidR="00B008E9" w:rsidRDefault="00B008E9" w:rsidP="00567255">
            <w:pPr>
              <w:pStyle w:val="TableCell"/>
              <w:keepNext/>
              <w:rPr>
                <w:sz w:val="22"/>
                <w:szCs w:val="22"/>
              </w:rPr>
            </w:pPr>
          </w:p>
        </w:tc>
        <w:tc>
          <w:tcPr>
            <w:tcW w:w="1258" w:type="pct"/>
            <w:shd w:val="clear" w:color="auto" w:fill="auto"/>
          </w:tcPr>
          <w:p w:rsidR="00B008E9" w:rsidRDefault="00B008E9" w:rsidP="00567255">
            <w:pPr>
              <w:pStyle w:val="TableCell"/>
              <w:keepNext/>
              <w:rPr>
                <w:sz w:val="22"/>
                <w:szCs w:val="22"/>
              </w:rPr>
            </w:pPr>
            <w:r>
              <w:rPr>
                <w:sz w:val="22"/>
                <w:szCs w:val="22"/>
              </w:rPr>
              <w:t>0.06 (mean)</w:t>
            </w:r>
          </w:p>
        </w:tc>
      </w:tr>
      <w:tr w:rsidR="00B008E9" w:rsidRPr="00853F36" w:rsidTr="00CD6CD7">
        <w:tc>
          <w:tcPr>
            <w:tcW w:w="1382" w:type="pct"/>
            <w:shd w:val="clear" w:color="auto" w:fill="auto"/>
          </w:tcPr>
          <w:p w:rsidR="00B008E9" w:rsidRPr="00853F36" w:rsidRDefault="00B008E9" w:rsidP="00567255">
            <w:pPr>
              <w:pStyle w:val="TableRowHead"/>
              <w:rPr>
                <w:rFonts w:ascii="Gill Sans" w:hAnsi="Gill Sans"/>
                <w:sz w:val="22"/>
                <w:szCs w:val="22"/>
              </w:rPr>
            </w:pPr>
            <w:smartTag w:uri="urn:schemas-microsoft-com:office:smarttags" w:element="country-region">
              <w:r>
                <w:rPr>
                  <w:rFonts w:ascii="Gill Sans" w:hAnsi="Gill Sans"/>
                  <w:sz w:val="22"/>
                  <w:szCs w:val="22"/>
                </w:rPr>
                <w:t>USA</w:t>
              </w:r>
            </w:smartTag>
            <w:r>
              <w:rPr>
                <w:rFonts w:ascii="Gill Sans" w:hAnsi="Gill Sans"/>
                <w:sz w:val="22"/>
                <w:szCs w:val="22"/>
              </w:rPr>
              <w:t xml:space="preserve"> (</w:t>
            </w:r>
            <w:smartTag w:uri="urn:schemas-microsoft-com:office:smarttags" w:element="place">
              <w:smartTag w:uri="urn:schemas-microsoft-com:office:smarttags" w:element="State">
                <w:r>
                  <w:rPr>
                    <w:rFonts w:ascii="Gill Sans" w:hAnsi="Gill Sans"/>
                    <w:sz w:val="22"/>
                    <w:szCs w:val="22"/>
                  </w:rPr>
                  <w:t>OHIO</w:t>
                </w:r>
              </w:smartTag>
            </w:smartTag>
            <w:r>
              <w:rPr>
                <w:rFonts w:ascii="Gill Sans" w:hAnsi="Gill Sans"/>
                <w:sz w:val="22"/>
                <w:szCs w:val="22"/>
              </w:rPr>
              <w:t>) mandated</w:t>
            </w:r>
          </w:p>
        </w:tc>
        <w:tc>
          <w:tcPr>
            <w:tcW w:w="1325" w:type="pct"/>
            <w:shd w:val="clear" w:color="auto" w:fill="auto"/>
          </w:tcPr>
          <w:p w:rsidR="00B008E9" w:rsidRPr="00853F36" w:rsidRDefault="00B008E9" w:rsidP="00567255">
            <w:pPr>
              <w:pStyle w:val="TableCell"/>
              <w:keepNext/>
              <w:jc w:val="left"/>
              <w:rPr>
                <w:sz w:val="22"/>
                <w:szCs w:val="22"/>
              </w:rPr>
            </w:pPr>
            <w:r>
              <w:rPr>
                <w:sz w:val="22"/>
                <w:szCs w:val="22"/>
              </w:rPr>
              <w:t xml:space="preserve">Psychologist </w:t>
            </w:r>
          </w:p>
        </w:tc>
        <w:tc>
          <w:tcPr>
            <w:tcW w:w="1035" w:type="pct"/>
            <w:shd w:val="clear" w:color="auto" w:fill="auto"/>
          </w:tcPr>
          <w:p w:rsidR="00B008E9" w:rsidRPr="00853F36" w:rsidRDefault="00B008E9" w:rsidP="00567255">
            <w:pPr>
              <w:pStyle w:val="TableCell"/>
              <w:keepNext/>
              <w:rPr>
                <w:sz w:val="22"/>
                <w:szCs w:val="22"/>
              </w:rPr>
            </w:pPr>
            <w:r>
              <w:rPr>
                <w:sz w:val="22"/>
                <w:szCs w:val="22"/>
              </w:rPr>
              <w:t>1.3</w:t>
            </w:r>
          </w:p>
        </w:tc>
        <w:tc>
          <w:tcPr>
            <w:tcW w:w="1258" w:type="pct"/>
            <w:shd w:val="clear" w:color="auto" w:fill="auto"/>
          </w:tcPr>
          <w:p w:rsidR="00B008E9" w:rsidRPr="00853F36" w:rsidRDefault="00B008E9" w:rsidP="00567255">
            <w:pPr>
              <w:pStyle w:val="TableCell"/>
              <w:keepNext/>
              <w:rPr>
                <w:sz w:val="22"/>
                <w:szCs w:val="22"/>
              </w:rPr>
            </w:pPr>
            <w:r>
              <w:rPr>
                <w:sz w:val="22"/>
                <w:szCs w:val="22"/>
              </w:rPr>
              <w:t>0.8</w:t>
            </w:r>
          </w:p>
        </w:tc>
      </w:tr>
      <w:tr w:rsidR="00B008E9" w:rsidRPr="00853F36" w:rsidTr="00CD6CD7">
        <w:tc>
          <w:tcPr>
            <w:tcW w:w="1382" w:type="pct"/>
            <w:shd w:val="clear" w:color="auto" w:fill="auto"/>
          </w:tcPr>
          <w:p w:rsidR="00B008E9" w:rsidRPr="00853F36" w:rsidRDefault="00B008E9" w:rsidP="00567255">
            <w:pPr>
              <w:pStyle w:val="TableRowHead"/>
              <w:rPr>
                <w:rFonts w:ascii="Gill Sans" w:hAnsi="Gill Sans"/>
                <w:sz w:val="22"/>
                <w:szCs w:val="22"/>
              </w:rPr>
            </w:pPr>
            <w:r w:rsidRPr="00853F36">
              <w:rPr>
                <w:rFonts w:ascii="Gill Sans" w:hAnsi="Gill Sans"/>
                <w:sz w:val="22"/>
                <w:szCs w:val="22"/>
              </w:rPr>
              <w:t>USA recommended ASHA</w:t>
            </w:r>
          </w:p>
        </w:tc>
        <w:tc>
          <w:tcPr>
            <w:tcW w:w="1325" w:type="pct"/>
            <w:shd w:val="clear" w:color="auto" w:fill="auto"/>
          </w:tcPr>
          <w:p w:rsidR="00B008E9" w:rsidRPr="00853F36" w:rsidRDefault="00B008E9" w:rsidP="00567255">
            <w:pPr>
              <w:pStyle w:val="TableCell"/>
              <w:keepNext/>
              <w:jc w:val="left"/>
              <w:rPr>
                <w:sz w:val="22"/>
                <w:szCs w:val="22"/>
              </w:rPr>
            </w:pPr>
            <w:r w:rsidRPr="00853F36">
              <w:rPr>
                <w:sz w:val="22"/>
                <w:szCs w:val="22"/>
              </w:rPr>
              <w:t>Speech and language</w:t>
            </w:r>
          </w:p>
        </w:tc>
        <w:tc>
          <w:tcPr>
            <w:tcW w:w="1035" w:type="pct"/>
            <w:shd w:val="clear" w:color="auto" w:fill="auto"/>
          </w:tcPr>
          <w:p w:rsidR="00B008E9" w:rsidRPr="00853F36" w:rsidRDefault="00B008E9" w:rsidP="00567255">
            <w:pPr>
              <w:pStyle w:val="TableCell"/>
              <w:keepNext/>
              <w:rPr>
                <w:sz w:val="22"/>
                <w:szCs w:val="22"/>
              </w:rPr>
            </w:pPr>
            <w:r w:rsidRPr="00853F36">
              <w:rPr>
                <w:sz w:val="22"/>
                <w:szCs w:val="22"/>
              </w:rPr>
              <w:t>2.5 or more</w:t>
            </w:r>
          </w:p>
        </w:tc>
        <w:tc>
          <w:tcPr>
            <w:tcW w:w="1258" w:type="pct"/>
            <w:shd w:val="clear" w:color="auto" w:fill="auto"/>
          </w:tcPr>
          <w:p w:rsidR="00B008E9" w:rsidRPr="00853F36" w:rsidRDefault="00B008E9" w:rsidP="00567255">
            <w:pPr>
              <w:pStyle w:val="TableCell"/>
              <w:keepNext/>
              <w:rPr>
                <w:sz w:val="22"/>
                <w:szCs w:val="22"/>
              </w:rPr>
            </w:pPr>
          </w:p>
        </w:tc>
      </w:tr>
      <w:tr w:rsidR="00B008E9" w:rsidRPr="00853F36" w:rsidTr="00CD6CD7">
        <w:tc>
          <w:tcPr>
            <w:tcW w:w="1382" w:type="pct"/>
            <w:shd w:val="clear" w:color="auto" w:fill="auto"/>
          </w:tcPr>
          <w:p w:rsidR="00B008E9" w:rsidRPr="00853F36" w:rsidRDefault="00B008E9" w:rsidP="00567255">
            <w:pPr>
              <w:pStyle w:val="TableRowHead"/>
              <w:rPr>
                <w:rFonts w:ascii="Gill Sans" w:hAnsi="Gill Sans"/>
                <w:sz w:val="22"/>
                <w:szCs w:val="22"/>
              </w:rPr>
            </w:pPr>
            <w:r w:rsidRPr="00853F36">
              <w:rPr>
                <w:rFonts w:ascii="Gill Sans" w:hAnsi="Gill Sans"/>
                <w:sz w:val="22"/>
                <w:szCs w:val="22"/>
              </w:rPr>
              <w:t>USA actual ASHA</w:t>
            </w:r>
          </w:p>
        </w:tc>
        <w:tc>
          <w:tcPr>
            <w:tcW w:w="1325" w:type="pct"/>
            <w:shd w:val="clear" w:color="auto" w:fill="auto"/>
          </w:tcPr>
          <w:p w:rsidR="00B008E9" w:rsidRPr="00853F36" w:rsidRDefault="00B008E9" w:rsidP="00567255">
            <w:pPr>
              <w:pStyle w:val="TableCell"/>
              <w:keepNext/>
              <w:jc w:val="left"/>
              <w:rPr>
                <w:sz w:val="22"/>
                <w:szCs w:val="22"/>
              </w:rPr>
            </w:pPr>
            <w:r w:rsidRPr="00853F36">
              <w:rPr>
                <w:sz w:val="22"/>
                <w:szCs w:val="22"/>
              </w:rPr>
              <w:t>Speech and language</w:t>
            </w:r>
          </w:p>
        </w:tc>
        <w:tc>
          <w:tcPr>
            <w:tcW w:w="1035" w:type="pct"/>
            <w:shd w:val="clear" w:color="auto" w:fill="auto"/>
          </w:tcPr>
          <w:p w:rsidR="00B008E9" w:rsidRPr="00853F36" w:rsidRDefault="00B008E9" w:rsidP="00567255">
            <w:pPr>
              <w:pStyle w:val="TableCell"/>
              <w:keepNext/>
              <w:rPr>
                <w:sz w:val="22"/>
                <w:szCs w:val="22"/>
              </w:rPr>
            </w:pPr>
          </w:p>
        </w:tc>
        <w:tc>
          <w:tcPr>
            <w:tcW w:w="1258" w:type="pct"/>
            <w:shd w:val="clear" w:color="auto" w:fill="auto"/>
          </w:tcPr>
          <w:p w:rsidR="00B008E9" w:rsidRPr="00853F36" w:rsidRDefault="00B008E9" w:rsidP="00567255">
            <w:pPr>
              <w:pStyle w:val="TableCell"/>
              <w:keepNext/>
              <w:rPr>
                <w:sz w:val="22"/>
                <w:szCs w:val="22"/>
              </w:rPr>
            </w:pPr>
            <w:r w:rsidRPr="00853F36">
              <w:rPr>
                <w:sz w:val="22"/>
                <w:szCs w:val="22"/>
              </w:rPr>
              <w:t>1.9-5 (median 2)</w:t>
            </w:r>
          </w:p>
        </w:tc>
      </w:tr>
      <w:tr w:rsidR="00B008E9" w:rsidRPr="00853F36" w:rsidTr="00CD6CD7">
        <w:tc>
          <w:tcPr>
            <w:tcW w:w="1382" w:type="pct"/>
            <w:shd w:val="clear" w:color="auto" w:fill="auto"/>
          </w:tcPr>
          <w:p w:rsidR="00B008E9" w:rsidRPr="00853F36" w:rsidRDefault="00B008E9" w:rsidP="00567255">
            <w:pPr>
              <w:pStyle w:val="TableRowHead"/>
              <w:rPr>
                <w:rFonts w:ascii="Gill Sans" w:hAnsi="Gill Sans"/>
                <w:sz w:val="22"/>
                <w:szCs w:val="22"/>
              </w:rPr>
            </w:pPr>
            <w:smartTag w:uri="urn:schemas-microsoft-com:office:smarttags" w:element="place">
              <w:smartTag w:uri="urn:schemas-microsoft-com:office:smarttags" w:element="country-region">
                <w:r w:rsidRPr="00853F36">
                  <w:rPr>
                    <w:rFonts w:ascii="Gill Sans" w:hAnsi="Gill Sans"/>
                    <w:sz w:val="22"/>
                    <w:szCs w:val="22"/>
                  </w:rPr>
                  <w:t>New Zealand</w:t>
                </w:r>
              </w:smartTag>
            </w:smartTag>
            <w:r w:rsidRPr="00853F36">
              <w:rPr>
                <w:rFonts w:ascii="Gill Sans" w:hAnsi="Gill Sans"/>
                <w:sz w:val="22"/>
                <w:szCs w:val="22"/>
              </w:rPr>
              <w:t xml:space="preserve"> actual</w:t>
            </w:r>
          </w:p>
        </w:tc>
        <w:tc>
          <w:tcPr>
            <w:tcW w:w="1325" w:type="pct"/>
            <w:shd w:val="clear" w:color="auto" w:fill="auto"/>
          </w:tcPr>
          <w:p w:rsidR="00B008E9" w:rsidRPr="00853F36" w:rsidRDefault="00B008E9" w:rsidP="00567255">
            <w:pPr>
              <w:pStyle w:val="TableCell"/>
              <w:keepNext/>
              <w:jc w:val="left"/>
              <w:rPr>
                <w:sz w:val="22"/>
                <w:szCs w:val="22"/>
              </w:rPr>
            </w:pPr>
            <w:r w:rsidRPr="00853F36">
              <w:rPr>
                <w:sz w:val="22"/>
                <w:szCs w:val="22"/>
              </w:rPr>
              <w:t xml:space="preserve">All (including educational psychologist) </w:t>
            </w:r>
          </w:p>
        </w:tc>
        <w:tc>
          <w:tcPr>
            <w:tcW w:w="1035" w:type="pct"/>
            <w:shd w:val="clear" w:color="auto" w:fill="auto"/>
          </w:tcPr>
          <w:p w:rsidR="00B008E9" w:rsidRPr="00853F36" w:rsidRDefault="00B008E9" w:rsidP="00567255">
            <w:pPr>
              <w:pStyle w:val="TableCell"/>
              <w:keepNext/>
              <w:rPr>
                <w:sz w:val="22"/>
                <w:szCs w:val="22"/>
              </w:rPr>
            </w:pPr>
            <w:r w:rsidRPr="00853F36">
              <w:rPr>
                <w:sz w:val="22"/>
                <w:szCs w:val="22"/>
              </w:rPr>
              <w:t>2.3</w:t>
            </w:r>
          </w:p>
        </w:tc>
        <w:tc>
          <w:tcPr>
            <w:tcW w:w="1258" w:type="pct"/>
            <w:shd w:val="clear" w:color="auto" w:fill="auto"/>
          </w:tcPr>
          <w:p w:rsidR="00B008E9" w:rsidRPr="00853F36" w:rsidRDefault="00B008E9" w:rsidP="00567255">
            <w:pPr>
              <w:pStyle w:val="TableCell"/>
              <w:keepNext/>
              <w:rPr>
                <w:sz w:val="22"/>
                <w:szCs w:val="22"/>
              </w:rPr>
            </w:pPr>
            <w:r w:rsidRPr="00853F36">
              <w:rPr>
                <w:sz w:val="22"/>
                <w:szCs w:val="22"/>
              </w:rPr>
              <w:t>2.9 for complex needs, 2 for behaviour services</w:t>
            </w:r>
          </w:p>
          <w:p w:rsidR="00B008E9" w:rsidRPr="00853F36" w:rsidRDefault="00B008E9" w:rsidP="00567255">
            <w:pPr>
              <w:pStyle w:val="TableCell"/>
              <w:keepNext/>
              <w:rPr>
                <w:sz w:val="22"/>
                <w:szCs w:val="22"/>
              </w:rPr>
            </w:pPr>
            <w:r w:rsidRPr="00853F36">
              <w:rPr>
                <w:sz w:val="22"/>
                <w:szCs w:val="22"/>
              </w:rPr>
              <w:t xml:space="preserve">2.9 for communication </w:t>
            </w:r>
          </w:p>
        </w:tc>
      </w:tr>
      <w:tr w:rsidR="00B008E9" w:rsidRPr="00853F36" w:rsidTr="00CD6CD7">
        <w:tc>
          <w:tcPr>
            <w:tcW w:w="1382" w:type="pct"/>
            <w:shd w:val="clear" w:color="auto" w:fill="auto"/>
          </w:tcPr>
          <w:p w:rsidR="00B008E9" w:rsidRPr="00853F36" w:rsidRDefault="00B008E9" w:rsidP="00567255">
            <w:pPr>
              <w:pStyle w:val="TableRowHead"/>
              <w:rPr>
                <w:rFonts w:ascii="Gill Sans" w:hAnsi="Gill Sans"/>
                <w:sz w:val="22"/>
                <w:szCs w:val="22"/>
              </w:rPr>
            </w:pPr>
            <w:smartTag w:uri="urn:schemas-microsoft-com:office:smarttags" w:element="place">
              <w:smartTag w:uri="urn:schemas-microsoft-com:office:smarttags" w:element="country-region">
                <w:r w:rsidRPr="00853F36">
                  <w:rPr>
                    <w:rFonts w:ascii="Gill Sans" w:hAnsi="Gill Sans"/>
                    <w:sz w:val="22"/>
                    <w:szCs w:val="22"/>
                  </w:rPr>
                  <w:t>New Zealand</w:t>
                </w:r>
              </w:smartTag>
            </w:smartTag>
            <w:r w:rsidRPr="00853F36">
              <w:rPr>
                <w:rFonts w:ascii="Gill Sans" w:hAnsi="Gill Sans"/>
                <w:sz w:val="22"/>
                <w:szCs w:val="22"/>
              </w:rPr>
              <w:t xml:space="preserve"> actual</w:t>
            </w:r>
          </w:p>
        </w:tc>
        <w:tc>
          <w:tcPr>
            <w:tcW w:w="1325" w:type="pct"/>
            <w:shd w:val="clear" w:color="auto" w:fill="auto"/>
          </w:tcPr>
          <w:p w:rsidR="00B008E9" w:rsidRPr="00853F36" w:rsidRDefault="00B008E9" w:rsidP="00567255">
            <w:pPr>
              <w:pStyle w:val="TableCell"/>
              <w:keepNext/>
              <w:jc w:val="left"/>
              <w:rPr>
                <w:sz w:val="22"/>
                <w:szCs w:val="22"/>
              </w:rPr>
            </w:pPr>
            <w:r w:rsidRPr="00853F36">
              <w:rPr>
                <w:sz w:val="22"/>
                <w:szCs w:val="22"/>
              </w:rPr>
              <w:t xml:space="preserve">Speech and language </w:t>
            </w:r>
          </w:p>
        </w:tc>
        <w:tc>
          <w:tcPr>
            <w:tcW w:w="1035" w:type="pct"/>
            <w:shd w:val="clear" w:color="auto" w:fill="auto"/>
          </w:tcPr>
          <w:p w:rsidR="00B008E9" w:rsidRPr="00853F36" w:rsidRDefault="00B008E9" w:rsidP="00567255">
            <w:pPr>
              <w:pStyle w:val="TableCell"/>
              <w:keepNext/>
              <w:rPr>
                <w:sz w:val="22"/>
                <w:szCs w:val="22"/>
              </w:rPr>
            </w:pPr>
            <w:r w:rsidRPr="00853F36">
              <w:rPr>
                <w:sz w:val="22"/>
                <w:szCs w:val="22"/>
              </w:rPr>
              <w:t>4-5</w:t>
            </w:r>
          </w:p>
        </w:tc>
        <w:tc>
          <w:tcPr>
            <w:tcW w:w="1258" w:type="pct"/>
            <w:shd w:val="clear" w:color="auto" w:fill="auto"/>
          </w:tcPr>
          <w:p w:rsidR="00B008E9" w:rsidRPr="00853F36" w:rsidRDefault="00B008E9" w:rsidP="00567255">
            <w:pPr>
              <w:pStyle w:val="TableCell"/>
              <w:keepNext/>
              <w:rPr>
                <w:sz w:val="22"/>
                <w:szCs w:val="22"/>
              </w:rPr>
            </w:pPr>
            <w:r w:rsidRPr="00853F36">
              <w:rPr>
                <w:sz w:val="22"/>
                <w:szCs w:val="22"/>
              </w:rPr>
              <w:t>2.5-3.3</w:t>
            </w:r>
          </w:p>
        </w:tc>
      </w:tr>
      <w:tr w:rsidR="00B008E9" w:rsidRPr="00853F36" w:rsidTr="00CD6CD7">
        <w:tc>
          <w:tcPr>
            <w:tcW w:w="1382" w:type="pct"/>
            <w:shd w:val="clear" w:color="auto" w:fill="auto"/>
          </w:tcPr>
          <w:p w:rsidR="00B008E9" w:rsidRPr="00853F36" w:rsidRDefault="00B008E9" w:rsidP="00567255">
            <w:pPr>
              <w:pStyle w:val="TableRowHead"/>
              <w:rPr>
                <w:rFonts w:ascii="Gill Sans" w:hAnsi="Gill Sans"/>
                <w:sz w:val="22"/>
                <w:szCs w:val="22"/>
              </w:rPr>
            </w:pPr>
            <w:smartTag w:uri="urn:schemas-microsoft-com:office:smarttags" w:element="place">
              <w:smartTag w:uri="urn:schemas-microsoft-com:office:smarttags" w:element="country-region">
                <w:r w:rsidRPr="00853F36">
                  <w:rPr>
                    <w:rFonts w:ascii="Gill Sans" w:hAnsi="Gill Sans"/>
                    <w:sz w:val="22"/>
                    <w:szCs w:val="22"/>
                  </w:rPr>
                  <w:t>New Zealand</w:t>
                </w:r>
              </w:smartTag>
            </w:smartTag>
            <w:r w:rsidRPr="00853F36">
              <w:rPr>
                <w:rFonts w:ascii="Gill Sans" w:hAnsi="Gill Sans"/>
                <w:sz w:val="22"/>
                <w:szCs w:val="22"/>
              </w:rPr>
              <w:t xml:space="preserve"> </w:t>
            </w:r>
            <w:r>
              <w:rPr>
                <w:rFonts w:ascii="Gill Sans" w:hAnsi="Gill Sans"/>
                <w:sz w:val="22"/>
                <w:szCs w:val="22"/>
              </w:rPr>
              <w:t xml:space="preserve">actual </w:t>
            </w:r>
          </w:p>
        </w:tc>
        <w:tc>
          <w:tcPr>
            <w:tcW w:w="1325" w:type="pct"/>
            <w:shd w:val="clear" w:color="auto" w:fill="auto"/>
          </w:tcPr>
          <w:p w:rsidR="00B008E9" w:rsidRPr="00853F36" w:rsidRDefault="00B008E9" w:rsidP="00567255">
            <w:pPr>
              <w:pStyle w:val="TableCell"/>
              <w:keepNext/>
              <w:jc w:val="left"/>
              <w:rPr>
                <w:sz w:val="22"/>
                <w:szCs w:val="22"/>
              </w:rPr>
            </w:pPr>
            <w:r>
              <w:rPr>
                <w:sz w:val="22"/>
                <w:szCs w:val="22"/>
              </w:rPr>
              <w:t xml:space="preserve">Educational </w:t>
            </w:r>
            <w:r w:rsidRPr="00853F36">
              <w:rPr>
                <w:sz w:val="22"/>
                <w:szCs w:val="22"/>
              </w:rPr>
              <w:t>psychologist</w:t>
            </w:r>
            <w:r>
              <w:rPr>
                <w:sz w:val="22"/>
                <w:szCs w:val="22"/>
              </w:rPr>
              <w:t xml:space="preserve"> complex preschool and school</w:t>
            </w:r>
          </w:p>
        </w:tc>
        <w:tc>
          <w:tcPr>
            <w:tcW w:w="1035" w:type="pct"/>
            <w:shd w:val="clear" w:color="auto" w:fill="auto"/>
          </w:tcPr>
          <w:p w:rsidR="00B008E9" w:rsidRPr="00853F36" w:rsidRDefault="00B008E9" w:rsidP="00567255">
            <w:pPr>
              <w:pStyle w:val="TableCell"/>
              <w:keepNext/>
              <w:rPr>
                <w:sz w:val="22"/>
                <w:szCs w:val="22"/>
              </w:rPr>
            </w:pPr>
            <w:r>
              <w:rPr>
                <w:sz w:val="22"/>
                <w:szCs w:val="22"/>
              </w:rPr>
              <w:t>5</w:t>
            </w:r>
            <w:r w:rsidRPr="00853F36">
              <w:rPr>
                <w:sz w:val="22"/>
                <w:szCs w:val="22"/>
              </w:rPr>
              <w:t>-6.7</w:t>
            </w:r>
          </w:p>
        </w:tc>
        <w:tc>
          <w:tcPr>
            <w:tcW w:w="1258" w:type="pct"/>
            <w:shd w:val="clear" w:color="auto" w:fill="auto"/>
          </w:tcPr>
          <w:p w:rsidR="00B008E9" w:rsidRPr="00853F36" w:rsidRDefault="00B008E9" w:rsidP="00567255">
            <w:pPr>
              <w:pStyle w:val="TableCell"/>
              <w:keepNext/>
              <w:rPr>
                <w:sz w:val="22"/>
                <w:szCs w:val="22"/>
              </w:rPr>
            </w:pPr>
            <w:r w:rsidRPr="00853F36">
              <w:rPr>
                <w:sz w:val="22"/>
                <w:szCs w:val="22"/>
              </w:rPr>
              <w:t>5-6.7</w:t>
            </w:r>
          </w:p>
        </w:tc>
      </w:tr>
      <w:tr w:rsidR="00B008E9" w:rsidRPr="00853F36" w:rsidTr="00CD6CD7">
        <w:tc>
          <w:tcPr>
            <w:tcW w:w="1382" w:type="pct"/>
            <w:shd w:val="clear" w:color="auto" w:fill="auto"/>
          </w:tcPr>
          <w:p w:rsidR="00B008E9" w:rsidRPr="00853F36" w:rsidRDefault="00B008E9" w:rsidP="00567255">
            <w:pPr>
              <w:pStyle w:val="TableRowHead"/>
              <w:rPr>
                <w:rFonts w:ascii="Gill Sans" w:hAnsi="Gill Sans"/>
                <w:sz w:val="22"/>
                <w:szCs w:val="22"/>
              </w:rPr>
            </w:pPr>
            <w:smartTag w:uri="urn:schemas-microsoft-com:office:smarttags" w:element="place">
              <w:smartTag w:uri="urn:schemas-microsoft-com:office:smarttags" w:element="country-region">
                <w:r w:rsidRPr="00853F36">
                  <w:rPr>
                    <w:rFonts w:ascii="Gill Sans" w:hAnsi="Gill Sans"/>
                    <w:sz w:val="22"/>
                    <w:szCs w:val="22"/>
                  </w:rPr>
                  <w:t>Slovakia</w:t>
                </w:r>
              </w:smartTag>
            </w:smartTag>
            <w:r w:rsidRPr="00853F36">
              <w:rPr>
                <w:rFonts w:ascii="Gill Sans" w:hAnsi="Gill Sans"/>
                <w:sz w:val="22"/>
                <w:szCs w:val="22"/>
              </w:rPr>
              <w:t xml:space="preserve"> actual</w:t>
            </w:r>
          </w:p>
        </w:tc>
        <w:tc>
          <w:tcPr>
            <w:tcW w:w="1325" w:type="pct"/>
            <w:shd w:val="clear" w:color="auto" w:fill="auto"/>
          </w:tcPr>
          <w:p w:rsidR="00B008E9" w:rsidRPr="00853F36" w:rsidRDefault="00B008E9" w:rsidP="00567255">
            <w:pPr>
              <w:pStyle w:val="TableCell"/>
              <w:keepNext/>
              <w:jc w:val="left"/>
              <w:rPr>
                <w:sz w:val="22"/>
                <w:szCs w:val="22"/>
              </w:rPr>
            </w:pPr>
            <w:r>
              <w:rPr>
                <w:sz w:val="22"/>
                <w:szCs w:val="22"/>
              </w:rPr>
              <w:t>Educational psychologist</w:t>
            </w:r>
          </w:p>
        </w:tc>
        <w:tc>
          <w:tcPr>
            <w:tcW w:w="1035" w:type="pct"/>
            <w:shd w:val="clear" w:color="auto" w:fill="auto"/>
          </w:tcPr>
          <w:p w:rsidR="00B008E9" w:rsidRPr="00853F36" w:rsidRDefault="00B008E9" w:rsidP="00567255">
            <w:pPr>
              <w:pStyle w:val="TableCell"/>
              <w:keepNext/>
              <w:rPr>
                <w:sz w:val="22"/>
                <w:szCs w:val="22"/>
              </w:rPr>
            </w:pPr>
          </w:p>
        </w:tc>
        <w:tc>
          <w:tcPr>
            <w:tcW w:w="1258" w:type="pct"/>
            <w:shd w:val="clear" w:color="auto" w:fill="auto"/>
          </w:tcPr>
          <w:p w:rsidR="00B008E9" w:rsidRPr="00853F36" w:rsidRDefault="00B008E9" w:rsidP="00567255">
            <w:pPr>
              <w:pStyle w:val="TableCell"/>
              <w:keepNext/>
              <w:rPr>
                <w:sz w:val="22"/>
                <w:szCs w:val="22"/>
              </w:rPr>
            </w:pPr>
            <w:r w:rsidRPr="00853F36">
              <w:rPr>
                <w:sz w:val="22"/>
                <w:szCs w:val="22"/>
              </w:rPr>
              <w:t>0.2</w:t>
            </w:r>
          </w:p>
        </w:tc>
      </w:tr>
      <w:tr w:rsidR="00B008E9" w:rsidRPr="00853F36" w:rsidTr="00CD6CD7">
        <w:tc>
          <w:tcPr>
            <w:tcW w:w="1382" w:type="pct"/>
            <w:shd w:val="clear" w:color="auto" w:fill="auto"/>
          </w:tcPr>
          <w:p w:rsidR="00B008E9" w:rsidRPr="00853F36" w:rsidRDefault="00B008E9" w:rsidP="00567255">
            <w:pPr>
              <w:pStyle w:val="TableRowHead"/>
              <w:rPr>
                <w:rFonts w:ascii="Gill Sans" w:hAnsi="Gill Sans"/>
                <w:sz w:val="22"/>
                <w:szCs w:val="22"/>
              </w:rPr>
            </w:pPr>
            <w:smartTag w:uri="urn:schemas-microsoft-com:office:smarttags" w:element="place">
              <w:smartTag w:uri="urn:schemas-microsoft-com:office:smarttags" w:element="country-region">
                <w:r w:rsidRPr="00853F36">
                  <w:rPr>
                    <w:rFonts w:ascii="Gill Sans" w:hAnsi="Gill Sans"/>
                    <w:sz w:val="22"/>
                    <w:szCs w:val="22"/>
                  </w:rPr>
                  <w:t>Slovakia</w:t>
                </w:r>
              </w:smartTag>
            </w:smartTag>
            <w:r w:rsidRPr="00853F36">
              <w:rPr>
                <w:rFonts w:ascii="Gill Sans" w:hAnsi="Gill Sans"/>
                <w:sz w:val="22"/>
                <w:szCs w:val="22"/>
              </w:rPr>
              <w:t xml:space="preserve"> actual</w:t>
            </w:r>
          </w:p>
        </w:tc>
        <w:tc>
          <w:tcPr>
            <w:tcW w:w="1325" w:type="pct"/>
            <w:shd w:val="clear" w:color="auto" w:fill="auto"/>
          </w:tcPr>
          <w:p w:rsidR="00B008E9" w:rsidRPr="00853F36" w:rsidRDefault="00B008E9" w:rsidP="00567255">
            <w:pPr>
              <w:pStyle w:val="TableCell"/>
              <w:keepNext/>
              <w:jc w:val="left"/>
              <w:rPr>
                <w:sz w:val="22"/>
                <w:szCs w:val="22"/>
              </w:rPr>
            </w:pPr>
            <w:r w:rsidRPr="00853F36">
              <w:rPr>
                <w:sz w:val="22"/>
                <w:szCs w:val="22"/>
              </w:rPr>
              <w:t>Special education including S&amp;LT</w:t>
            </w:r>
          </w:p>
        </w:tc>
        <w:tc>
          <w:tcPr>
            <w:tcW w:w="1035" w:type="pct"/>
            <w:shd w:val="clear" w:color="auto" w:fill="auto"/>
          </w:tcPr>
          <w:p w:rsidR="00B008E9" w:rsidRPr="00853F36" w:rsidRDefault="00B008E9" w:rsidP="00567255">
            <w:pPr>
              <w:pStyle w:val="TableCell"/>
              <w:keepNext/>
              <w:rPr>
                <w:sz w:val="22"/>
                <w:szCs w:val="22"/>
              </w:rPr>
            </w:pPr>
          </w:p>
        </w:tc>
        <w:tc>
          <w:tcPr>
            <w:tcW w:w="1258" w:type="pct"/>
            <w:shd w:val="clear" w:color="auto" w:fill="auto"/>
          </w:tcPr>
          <w:p w:rsidR="00B008E9" w:rsidRPr="00853F36" w:rsidRDefault="00B008E9" w:rsidP="00567255">
            <w:pPr>
              <w:pStyle w:val="TableCell"/>
              <w:keepNext/>
              <w:rPr>
                <w:sz w:val="22"/>
                <w:szCs w:val="22"/>
              </w:rPr>
            </w:pPr>
            <w:r w:rsidRPr="00853F36">
              <w:rPr>
                <w:sz w:val="22"/>
                <w:szCs w:val="22"/>
              </w:rPr>
              <w:t>0.5</w:t>
            </w:r>
          </w:p>
        </w:tc>
      </w:tr>
      <w:tr w:rsidR="00B008E9" w:rsidRPr="00853F36" w:rsidTr="00CD6CD7">
        <w:tc>
          <w:tcPr>
            <w:tcW w:w="1382" w:type="pct"/>
            <w:shd w:val="clear" w:color="auto" w:fill="auto"/>
          </w:tcPr>
          <w:p w:rsidR="00B008E9" w:rsidRPr="00853F36" w:rsidRDefault="00B008E9" w:rsidP="00567255">
            <w:pPr>
              <w:pStyle w:val="TableRowHead"/>
              <w:rPr>
                <w:rFonts w:ascii="Gill Sans" w:hAnsi="Gill Sans"/>
                <w:sz w:val="22"/>
                <w:szCs w:val="22"/>
              </w:rPr>
            </w:pPr>
            <w:smartTag w:uri="urn:schemas-microsoft-com:office:smarttags" w:element="place">
              <w:smartTag w:uri="urn:schemas-microsoft-com:office:smarttags" w:element="country-region">
                <w:r w:rsidRPr="00853F36">
                  <w:rPr>
                    <w:rFonts w:ascii="Gill Sans" w:hAnsi="Gill Sans"/>
                    <w:sz w:val="22"/>
                    <w:szCs w:val="22"/>
                  </w:rPr>
                  <w:t>Australia</w:t>
                </w:r>
              </w:smartTag>
            </w:smartTag>
            <w:r w:rsidRPr="00853F36">
              <w:rPr>
                <w:rFonts w:ascii="Gill Sans" w:hAnsi="Gill Sans"/>
                <w:sz w:val="22"/>
                <w:szCs w:val="22"/>
              </w:rPr>
              <w:t xml:space="preserve"> actual</w:t>
            </w:r>
          </w:p>
        </w:tc>
        <w:tc>
          <w:tcPr>
            <w:tcW w:w="1325" w:type="pct"/>
            <w:shd w:val="clear" w:color="auto" w:fill="auto"/>
          </w:tcPr>
          <w:p w:rsidR="00B008E9" w:rsidRPr="00853F36" w:rsidRDefault="00B008E9" w:rsidP="00567255">
            <w:pPr>
              <w:pStyle w:val="TableCell"/>
              <w:keepNext/>
              <w:jc w:val="left"/>
              <w:rPr>
                <w:sz w:val="22"/>
                <w:szCs w:val="22"/>
              </w:rPr>
            </w:pPr>
            <w:r w:rsidRPr="00853F36">
              <w:rPr>
                <w:sz w:val="22"/>
                <w:szCs w:val="22"/>
              </w:rPr>
              <w:t>All</w:t>
            </w:r>
          </w:p>
        </w:tc>
        <w:tc>
          <w:tcPr>
            <w:tcW w:w="1035" w:type="pct"/>
            <w:shd w:val="clear" w:color="auto" w:fill="auto"/>
          </w:tcPr>
          <w:p w:rsidR="00B008E9" w:rsidRPr="00853F36" w:rsidRDefault="00B008E9" w:rsidP="00567255">
            <w:pPr>
              <w:pStyle w:val="TableCell"/>
              <w:keepNext/>
              <w:rPr>
                <w:sz w:val="22"/>
                <w:szCs w:val="22"/>
              </w:rPr>
            </w:pPr>
          </w:p>
        </w:tc>
        <w:tc>
          <w:tcPr>
            <w:tcW w:w="1258" w:type="pct"/>
            <w:shd w:val="clear" w:color="auto" w:fill="auto"/>
          </w:tcPr>
          <w:p w:rsidR="00B008E9" w:rsidRPr="00853F36" w:rsidRDefault="00B008E9" w:rsidP="00567255">
            <w:pPr>
              <w:pStyle w:val="TableCell"/>
              <w:keepNext/>
              <w:rPr>
                <w:sz w:val="22"/>
                <w:szCs w:val="22"/>
              </w:rPr>
            </w:pPr>
            <w:r w:rsidRPr="00853F36">
              <w:rPr>
                <w:sz w:val="22"/>
                <w:szCs w:val="22"/>
              </w:rPr>
              <w:t>5 (individual)</w:t>
            </w:r>
          </w:p>
          <w:p w:rsidR="00B008E9" w:rsidRPr="00853F36" w:rsidRDefault="00B008E9" w:rsidP="00567255">
            <w:pPr>
              <w:pStyle w:val="TableCell"/>
              <w:keepNext/>
              <w:rPr>
                <w:sz w:val="22"/>
                <w:szCs w:val="22"/>
              </w:rPr>
            </w:pPr>
            <w:r w:rsidRPr="00853F36">
              <w:rPr>
                <w:sz w:val="22"/>
                <w:szCs w:val="22"/>
              </w:rPr>
              <w:t>Intensive 10-12.5</w:t>
            </w:r>
          </w:p>
          <w:p w:rsidR="00B008E9" w:rsidRPr="00853F36" w:rsidRDefault="00B008E9" w:rsidP="00567255">
            <w:pPr>
              <w:pStyle w:val="TableCell"/>
              <w:keepNext/>
              <w:rPr>
                <w:sz w:val="22"/>
                <w:szCs w:val="22"/>
              </w:rPr>
            </w:pPr>
            <w:r w:rsidRPr="00853F36">
              <w:rPr>
                <w:sz w:val="22"/>
                <w:szCs w:val="22"/>
              </w:rPr>
              <w:t>Mixed case loads 2.85</w:t>
            </w:r>
          </w:p>
        </w:tc>
      </w:tr>
      <w:tr w:rsidR="00B008E9" w:rsidRPr="00853F36" w:rsidTr="00CD6CD7">
        <w:tc>
          <w:tcPr>
            <w:tcW w:w="1382" w:type="pct"/>
            <w:shd w:val="clear" w:color="auto" w:fill="auto"/>
          </w:tcPr>
          <w:p w:rsidR="00B008E9" w:rsidRPr="00853F36" w:rsidRDefault="00B008E9" w:rsidP="00567255">
            <w:pPr>
              <w:pStyle w:val="TableRowHead"/>
              <w:rPr>
                <w:rFonts w:ascii="Gill Sans" w:hAnsi="Gill Sans"/>
                <w:sz w:val="22"/>
                <w:szCs w:val="22"/>
              </w:rPr>
            </w:pPr>
            <w:smartTag w:uri="urn:schemas-microsoft-com:office:smarttags" w:element="place">
              <w:smartTag w:uri="urn:schemas-microsoft-com:office:smarttags" w:element="country-region">
                <w:r w:rsidRPr="00853F36">
                  <w:rPr>
                    <w:rFonts w:ascii="Gill Sans" w:hAnsi="Gill Sans"/>
                    <w:sz w:val="22"/>
                    <w:szCs w:val="22"/>
                  </w:rPr>
                  <w:t>Ireland</w:t>
                </w:r>
              </w:smartTag>
            </w:smartTag>
            <w:r w:rsidRPr="00853F36">
              <w:rPr>
                <w:rFonts w:ascii="Gill Sans" w:hAnsi="Gill Sans"/>
                <w:sz w:val="22"/>
                <w:szCs w:val="22"/>
              </w:rPr>
              <w:t xml:space="preserve"> submission (recommended) (see appendix 3)</w:t>
            </w:r>
          </w:p>
        </w:tc>
        <w:tc>
          <w:tcPr>
            <w:tcW w:w="1325" w:type="pct"/>
            <w:shd w:val="clear" w:color="auto" w:fill="auto"/>
          </w:tcPr>
          <w:p w:rsidR="00B008E9" w:rsidRPr="00853F36" w:rsidRDefault="00B008E9" w:rsidP="00567255">
            <w:pPr>
              <w:pStyle w:val="TableCell"/>
              <w:keepNext/>
              <w:jc w:val="left"/>
              <w:rPr>
                <w:sz w:val="22"/>
                <w:szCs w:val="22"/>
              </w:rPr>
            </w:pPr>
            <w:r w:rsidRPr="00853F36">
              <w:rPr>
                <w:sz w:val="22"/>
                <w:szCs w:val="22"/>
              </w:rPr>
              <w:t>Paediatrician</w:t>
            </w:r>
          </w:p>
        </w:tc>
        <w:tc>
          <w:tcPr>
            <w:tcW w:w="1035" w:type="pct"/>
            <w:shd w:val="clear" w:color="auto" w:fill="auto"/>
          </w:tcPr>
          <w:p w:rsidR="00B008E9" w:rsidRPr="00853F36" w:rsidRDefault="00B008E9" w:rsidP="00567255">
            <w:pPr>
              <w:pStyle w:val="TableCell"/>
              <w:keepNext/>
              <w:rPr>
                <w:sz w:val="22"/>
                <w:szCs w:val="22"/>
              </w:rPr>
            </w:pPr>
            <w:r w:rsidRPr="00853F36">
              <w:rPr>
                <w:sz w:val="22"/>
                <w:szCs w:val="22"/>
              </w:rPr>
              <w:t>0.07</w:t>
            </w:r>
          </w:p>
        </w:tc>
        <w:tc>
          <w:tcPr>
            <w:tcW w:w="1258" w:type="pct"/>
            <w:shd w:val="clear" w:color="auto" w:fill="auto"/>
          </w:tcPr>
          <w:p w:rsidR="00B008E9" w:rsidRPr="00853F36" w:rsidRDefault="00B008E9" w:rsidP="00567255">
            <w:pPr>
              <w:pStyle w:val="TableCell"/>
              <w:keepNext/>
              <w:rPr>
                <w:sz w:val="22"/>
                <w:szCs w:val="22"/>
              </w:rPr>
            </w:pPr>
            <w:r w:rsidRPr="00853F36">
              <w:rPr>
                <w:sz w:val="22"/>
                <w:szCs w:val="22"/>
              </w:rPr>
              <w:t>0.07</w:t>
            </w:r>
          </w:p>
        </w:tc>
      </w:tr>
    </w:tbl>
    <w:p w:rsidR="00B008E9" w:rsidRPr="00853F36" w:rsidRDefault="00B008E9" w:rsidP="00B008E9">
      <w:pPr>
        <w:pStyle w:val="TableNote"/>
        <w:spacing w:before="0" w:after="0"/>
      </w:pPr>
      <w:r w:rsidRPr="00853F36">
        <w:t xml:space="preserve">Source: </w:t>
      </w:r>
      <w:r>
        <w:t>NDA review of international literature</w:t>
      </w:r>
    </w:p>
    <w:p w:rsidR="00B008E9" w:rsidRDefault="00B008E9" w:rsidP="00B008E9">
      <w:pPr>
        <w:spacing w:before="240"/>
      </w:pPr>
      <w:r w:rsidRPr="00853F36">
        <w:t>In summary, for 100 children who need the services of early intervention or school aged teams, the following ratios of therapists to children are based on both actual ratios internationally and on ‘recommended’ estimates (based on experience and research) as recorded in the international literature. The lower ratios reflect actual ratios and the higher figures reflect recommendations.</w:t>
      </w:r>
    </w:p>
    <w:p w:rsidR="00B008E9" w:rsidRPr="00853F36" w:rsidRDefault="00B008E9" w:rsidP="00AA7990">
      <w:pPr>
        <w:pStyle w:val="TableTitle"/>
      </w:pPr>
      <w:bookmarkStart w:id="141" w:name="_Toc419879425"/>
      <w:r>
        <w:rPr>
          <w:lang w:val="en-GB"/>
        </w:rPr>
        <w:t>Table 22: Summary</w:t>
      </w:r>
      <w:r w:rsidRPr="00853F36">
        <w:rPr>
          <w:lang w:val="en-GB"/>
        </w:rPr>
        <w:t xml:space="preserve"> of </w:t>
      </w:r>
      <w:r>
        <w:rPr>
          <w:lang w:val="en-GB"/>
        </w:rPr>
        <w:t>international data on therapists per</w:t>
      </w:r>
      <w:r w:rsidRPr="00853F36">
        <w:rPr>
          <w:lang w:val="en-GB"/>
        </w:rPr>
        <w:t xml:space="preserve"> 100 children</w:t>
      </w:r>
      <w:bookmarkEnd w:id="1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2608"/>
        <w:gridCol w:w="3100"/>
      </w:tblGrid>
      <w:tr w:rsidR="00B008E9" w:rsidRPr="007445B3" w:rsidTr="00B008E9">
        <w:tc>
          <w:tcPr>
            <w:tcW w:w="2988" w:type="dxa"/>
          </w:tcPr>
          <w:p w:rsidR="00B008E9" w:rsidRPr="00177DBD" w:rsidRDefault="00B008E9" w:rsidP="00567255">
            <w:pPr>
              <w:pStyle w:val="TableHead"/>
              <w:keepNext/>
              <w:rPr>
                <w:lang w:val="en-GB"/>
              </w:rPr>
            </w:pPr>
            <w:r w:rsidRPr="00177DBD">
              <w:rPr>
                <w:lang w:val="en-GB"/>
              </w:rPr>
              <w:t>Type of therapist</w:t>
            </w:r>
          </w:p>
        </w:tc>
        <w:tc>
          <w:tcPr>
            <w:tcW w:w="2700" w:type="dxa"/>
          </w:tcPr>
          <w:p w:rsidR="00B008E9" w:rsidRPr="00177DBD" w:rsidRDefault="00445A92" w:rsidP="00567255">
            <w:pPr>
              <w:pStyle w:val="TableHead"/>
              <w:keepNext/>
              <w:rPr>
                <w:lang w:val="en-GB"/>
              </w:rPr>
            </w:pPr>
            <w:r>
              <w:rPr>
                <w:lang w:val="en-GB"/>
              </w:rPr>
              <w:t>A</w:t>
            </w:r>
            <w:r w:rsidR="00B008E9" w:rsidRPr="00177DBD">
              <w:rPr>
                <w:lang w:val="en-GB"/>
              </w:rPr>
              <w:t>ctual ratio per 100 children range</w:t>
            </w:r>
          </w:p>
        </w:tc>
        <w:tc>
          <w:tcPr>
            <w:tcW w:w="3168" w:type="dxa"/>
          </w:tcPr>
          <w:p w:rsidR="00B008E9" w:rsidRPr="00177DBD" w:rsidRDefault="00445A92" w:rsidP="00567255">
            <w:pPr>
              <w:pStyle w:val="TableHead"/>
              <w:keepNext/>
              <w:rPr>
                <w:lang w:val="en-GB"/>
              </w:rPr>
            </w:pPr>
            <w:r>
              <w:rPr>
                <w:lang w:val="en-GB"/>
              </w:rPr>
              <w:t>R</w:t>
            </w:r>
            <w:r w:rsidR="00B008E9" w:rsidRPr="00177DBD">
              <w:rPr>
                <w:lang w:val="en-GB"/>
              </w:rPr>
              <w:t>ecommended ratio per 100 children range</w:t>
            </w:r>
          </w:p>
        </w:tc>
      </w:tr>
      <w:tr w:rsidR="00B008E9" w:rsidRPr="007445B3" w:rsidTr="00B008E9">
        <w:tc>
          <w:tcPr>
            <w:tcW w:w="2988" w:type="dxa"/>
          </w:tcPr>
          <w:p w:rsidR="00B008E9" w:rsidRPr="007445B3" w:rsidRDefault="00B008E9" w:rsidP="00567255">
            <w:pPr>
              <w:keepNext/>
              <w:spacing w:after="0"/>
            </w:pPr>
            <w:r w:rsidRPr="007445B3">
              <w:t xml:space="preserve">Physiotherapists </w:t>
            </w:r>
          </w:p>
        </w:tc>
        <w:tc>
          <w:tcPr>
            <w:tcW w:w="2700" w:type="dxa"/>
          </w:tcPr>
          <w:p w:rsidR="00B008E9" w:rsidRPr="007445B3" w:rsidRDefault="00B008E9" w:rsidP="00567255">
            <w:pPr>
              <w:keepNext/>
              <w:spacing w:after="0"/>
              <w:jc w:val="right"/>
            </w:pPr>
            <w:r>
              <w:t>0.7-2.9</w:t>
            </w:r>
          </w:p>
        </w:tc>
        <w:tc>
          <w:tcPr>
            <w:tcW w:w="3168" w:type="dxa"/>
          </w:tcPr>
          <w:p w:rsidR="00B008E9" w:rsidRPr="007445B3" w:rsidRDefault="00B008E9" w:rsidP="00567255">
            <w:pPr>
              <w:keepNext/>
              <w:spacing w:after="0"/>
              <w:jc w:val="right"/>
            </w:pPr>
            <w:r>
              <w:t>1.5-3.3</w:t>
            </w:r>
          </w:p>
        </w:tc>
      </w:tr>
      <w:tr w:rsidR="00B008E9" w:rsidRPr="007445B3" w:rsidTr="00B008E9">
        <w:tc>
          <w:tcPr>
            <w:tcW w:w="2988" w:type="dxa"/>
          </w:tcPr>
          <w:p w:rsidR="00B008E9" w:rsidRPr="007445B3" w:rsidRDefault="00B008E9" w:rsidP="00567255">
            <w:pPr>
              <w:keepNext/>
              <w:spacing w:after="0"/>
            </w:pPr>
            <w:r w:rsidRPr="007445B3">
              <w:t xml:space="preserve">Occupational therapists </w:t>
            </w:r>
          </w:p>
        </w:tc>
        <w:tc>
          <w:tcPr>
            <w:tcW w:w="2700" w:type="dxa"/>
          </w:tcPr>
          <w:p w:rsidR="00B008E9" w:rsidRPr="007445B3" w:rsidRDefault="00B008E9" w:rsidP="00567255">
            <w:pPr>
              <w:keepNext/>
              <w:spacing w:after="0"/>
              <w:jc w:val="right"/>
            </w:pPr>
            <w:r>
              <w:t>0.7-3</w:t>
            </w:r>
          </w:p>
        </w:tc>
        <w:tc>
          <w:tcPr>
            <w:tcW w:w="3168" w:type="dxa"/>
          </w:tcPr>
          <w:p w:rsidR="00B008E9" w:rsidRPr="007445B3" w:rsidRDefault="00B008E9" w:rsidP="00567255">
            <w:pPr>
              <w:keepNext/>
              <w:spacing w:after="0"/>
              <w:jc w:val="right"/>
            </w:pPr>
            <w:r>
              <w:t>1.5-3.3</w:t>
            </w:r>
          </w:p>
        </w:tc>
      </w:tr>
      <w:tr w:rsidR="00B008E9" w:rsidRPr="007445B3" w:rsidTr="00B008E9">
        <w:tc>
          <w:tcPr>
            <w:tcW w:w="2988" w:type="dxa"/>
          </w:tcPr>
          <w:p w:rsidR="00B008E9" w:rsidRPr="007445B3" w:rsidRDefault="00B008E9" w:rsidP="00567255">
            <w:pPr>
              <w:keepNext/>
              <w:spacing w:after="0"/>
            </w:pPr>
            <w:r w:rsidRPr="007445B3">
              <w:t xml:space="preserve">Speech and language therapists </w:t>
            </w:r>
          </w:p>
        </w:tc>
        <w:tc>
          <w:tcPr>
            <w:tcW w:w="2700" w:type="dxa"/>
          </w:tcPr>
          <w:p w:rsidR="00B008E9" w:rsidRPr="007445B3" w:rsidRDefault="00B008E9" w:rsidP="00567255">
            <w:pPr>
              <w:keepNext/>
              <w:spacing w:after="0"/>
              <w:jc w:val="right"/>
            </w:pPr>
            <w:r>
              <w:t>0.4-5</w:t>
            </w:r>
          </w:p>
        </w:tc>
        <w:tc>
          <w:tcPr>
            <w:tcW w:w="3168" w:type="dxa"/>
          </w:tcPr>
          <w:p w:rsidR="00B008E9" w:rsidRPr="007445B3" w:rsidRDefault="00B008E9" w:rsidP="00567255">
            <w:pPr>
              <w:keepNext/>
              <w:spacing w:after="0"/>
              <w:jc w:val="right"/>
            </w:pPr>
            <w:r>
              <w:t>1.5-3.3</w:t>
            </w:r>
          </w:p>
        </w:tc>
      </w:tr>
      <w:tr w:rsidR="00B008E9" w:rsidRPr="007445B3" w:rsidTr="00B008E9">
        <w:tc>
          <w:tcPr>
            <w:tcW w:w="2988" w:type="dxa"/>
          </w:tcPr>
          <w:p w:rsidR="00B008E9" w:rsidRPr="007445B3" w:rsidRDefault="00B008E9" w:rsidP="00567255">
            <w:pPr>
              <w:keepNext/>
              <w:spacing w:after="0"/>
            </w:pPr>
            <w:r w:rsidRPr="007445B3">
              <w:t xml:space="preserve">Psychologists </w:t>
            </w:r>
          </w:p>
        </w:tc>
        <w:tc>
          <w:tcPr>
            <w:tcW w:w="2700" w:type="dxa"/>
          </w:tcPr>
          <w:p w:rsidR="00B008E9" w:rsidRPr="007445B3" w:rsidRDefault="00B008E9" w:rsidP="00567255">
            <w:pPr>
              <w:keepNext/>
              <w:spacing w:after="0"/>
              <w:jc w:val="right"/>
            </w:pPr>
            <w:r>
              <w:t>0.06-6.7</w:t>
            </w:r>
          </w:p>
        </w:tc>
        <w:tc>
          <w:tcPr>
            <w:tcW w:w="3168" w:type="dxa"/>
          </w:tcPr>
          <w:p w:rsidR="00B008E9" w:rsidRPr="007445B3" w:rsidRDefault="00B008E9" w:rsidP="00567255">
            <w:pPr>
              <w:keepNext/>
              <w:spacing w:after="0"/>
              <w:jc w:val="right"/>
            </w:pPr>
            <w:r>
              <w:t>1.5-3.3</w:t>
            </w:r>
          </w:p>
        </w:tc>
      </w:tr>
      <w:tr w:rsidR="00B008E9" w:rsidRPr="007445B3" w:rsidTr="00B008E9">
        <w:tc>
          <w:tcPr>
            <w:tcW w:w="2988" w:type="dxa"/>
          </w:tcPr>
          <w:p w:rsidR="00B008E9" w:rsidRPr="007445B3" w:rsidRDefault="00B008E9" w:rsidP="00567255">
            <w:pPr>
              <w:keepNext/>
              <w:spacing w:after="0"/>
            </w:pPr>
            <w:r>
              <w:t>Social workers</w:t>
            </w:r>
          </w:p>
        </w:tc>
        <w:tc>
          <w:tcPr>
            <w:tcW w:w="2700" w:type="dxa"/>
          </w:tcPr>
          <w:p w:rsidR="00B008E9" w:rsidRDefault="00B008E9" w:rsidP="00567255">
            <w:pPr>
              <w:keepNext/>
              <w:spacing w:after="0"/>
              <w:jc w:val="right"/>
            </w:pPr>
          </w:p>
        </w:tc>
        <w:tc>
          <w:tcPr>
            <w:tcW w:w="3168" w:type="dxa"/>
          </w:tcPr>
          <w:p w:rsidR="00B008E9" w:rsidRDefault="00B008E9" w:rsidP="00567255">
            <w:pPr>
              <w:keepNext/>
              <w:spacing w:after="0"/>
              <w:jc w:val="right"/>
            </w:pPr>
            <w:r>
              <w:t>1.5-3.3</w:t>
            </w:r>
          </w:p>
        </w:tc>
      </w:tr>
    </w:tbl>
    <w:p w:rsidR="00B008E9" w:rsidRDefault="00B008E9" w:rsidP="00B008E9">
      <w:pPr>
        <w:spacing w:before="240"/>
        <w:rPr>
          <w:lang w:val="en-GB"/>
        </w:rPr>
      </w:pPr>
      <w:r>
        <w:rPr>
          <w:lang w:val="en-GB"/>
        </w:rPr>
        <w:t>S</w:t>
      </w:r>
      <w:r w:rsidRPr="00853F36">
        <w:rPr>
          <w:lang w:val="en-GB"/>
        </w:rPr>
        <w:t>everal disciplines that could usefully make a contribution to the intervention teams are not included as there is little in the literature on recommended caseloads for these professionals. These include nurses</w:t>
      </w:r>
      <w:r>
        <w:rPr>
          <w:lang w:val="en-GB"/>
        </w:rPr>
        <w:t>,</w:t>
      </w:r>
      <w:r w:rsidRPr="00853F36">
        <w:rPr>
          <w:lang w:val="en-GB"/>
        </w:rPr>
        <w:t xml:space="preserve"> family support workers</w:t>
      </w:r>
      <w:r>
        <w:rPr>
          <w:lang w:val="en-GB"/>
        </w:rPr>
        <w:t xml:space="preserve"> and early education specialists</w:t>
      </w:r>
      <w:r w:rsidRPr="00853F36">
        <w:rPr>
          <w:lang w:val="en-GB"/>
        </w:rPr>
        <w:t>.</w:t>
      </w:r>
    </w:p>
    <w:p w:rsidR="00B008E9" w:rsidRDefault="00B008E9" w:rsidP="00DA1A61">
      <w:pPr>
        <w:pStyle w:val="Heading2"/>
        <w:numPr>
          <w:ilvl w:val="1"/>
          <w:numId w:val="11"/>
        </w:numPr>
        <w:ind w:hanging="1800"/>
        <w:rPr>
          <w:lang w:val="en-GB"/>
        </w:rPr>
      </w:pPr>
      <w:bookmarkStart w:id="142" w:name="_Toc403573122"/>
      <w:bookmarkStart w:id="143" w:name="_Toc415733713"/>
      <w:r>
        <w:rPr>
          <w:lang w:val="en-GB"/>
        </w:rPr>
        <w:t>Conclusion</w:t>
      </w:r>
      <w:bookmarkEnd w:id="142"/>
      <w:bookmarkEnd w:id="143"/>
    </w:p>
    <w:p w:rsidR="00B008E9" w:rsidRDefault="00B008E9" w:rsidP="00B008E9">
      <w:pPr>
        <w:rPr>
          <w:lang w:val="en-GB"/>
        </w:rPr>
      </w:pPr>
      <w:r>
        <w:rPr>
          <w:lang w:val="en-GB"/>
        </w:rPr>
        <w:t>Despite the data problems referenced in this paper and in NDA’s wider review, it is clear that an increase in therapists is warranted. T</w:t>
      </w:r>
      <w:r w:rsidRPr="00853F36">
        <w:rPr>
          <w:lang w:val="en-GB"/>
        </w:rPr>
        <w:t>here needs to be substantial</w:t>
      </w:r>
      <w:r>
        <w:rPr>
          <w:lang w:val="en-GB"/>
        </w:rPr>
        <w:t xml:space="preserve"> recruitment and training of appropriate therapists</w:t>
      </w:r>
      <w:r w:rsidRPr="00853F36">
        <w:rPr>
          <w:lang w:val="en-GB"/>
        </w:rPr>
        <w:t xml:space="preserve"> for early intervention and school aged teams.</w:t>
      </w:r>
    </w:p>
    <w:p w:rsidR="00B008E9" w:rsidRDefault="00B008E9" w:rsidP="001E0736">
      <w:pPr>
        <w:pStyle w:val="Heading3"/>
        <w:rPr>
          <w:lang w:val="en-GB"/>
        </w:rPr>
      </w:pPr>
      <w:bookmarkStart w:id="144" w:name="_Toc415667021"/>
      <w:bookmarkStart w:id="145" w:name="_Toc415733714"/>
      <w:r>
        <w:rPr>
          <w:lang w:val="en-GB"/>
        </w:rPr>
        <w:t>Data issues</w:t>
      </w:r>
      <w:bookmarkEnd w:id="144"/>
      <w:bookmarkEnd w:id="145"/>
    </w:p>
    <w:p w:rsidR="00B008E9" w:rsidRDefault="00B008E9" w:rsidP="00B008E9">
      <w:pPr>
        <w:spacing w:after="120"/>
        <w:rPr>
          <w:lang w:val="en-GB"/>
        </w:rPr>
      </w:pPr>
      <w:r>
        <w:rPr>
          <w:lang w:val="en-GB"/>
        </w:rPr>
        <w:t>Data caveats include</w:t>
      </w:r>
    </w:p>
    <w:p w:rsidR="00B008E9" w:rsidRDefault="00B008E9" w:rsidP="00B008E9">
      <w:pPr>
        <w:pStyle w:val="ListBullet"/>
        <w:numPr>
          <w:ilvl w:val="0"/>
          <w:numId w:val="1"/>
        </w:numPr>
        <w:ind w:left="357" w:hanging="357"/>
        <w:rPr>
          <w:lang w:val="en-GB"/>
        </w:rPr>
      </w:pPr>
      <w:r>
        <w:rPr>
          <w:lang w:val="en-GB"/>
        </w:rPr>
        <w:t>Lack of robust data on the number of children requiring network level interventions</w:t>
      </w:r>
    </w:p>
    <w:p w:rsidR="00B008E9" w:rsidRDefault="00B008E9" w:rsidP="00B008E9">
      <w:pPr>
        <w:pStyle w:val="ListBullet"/>
        <w:numPr>
          <w:ilvl w:val="0"/>
          <w:numId w:val="1"/>
        </w:numPr>
        <w:ind w:left="357" w:hanging="357"/>
        <w:rPr>
          <w:lang w:val="en-GB"/>
        </w:rPr>
      </w:pPr>
      <w:r>
        <w:rPr>
          <w:lang w:val="en-GB"/>
        </w:rPr>
        <w:t>Lack of evidence of the impact of teamwork and group work on staffing requirements</w:t>
      </w:r>
    </w:p>
    <w:p w:rsidR="00B008E9" w:rsidRDefault="00B008E9" w:rsidP="00B008E9">
      <w:pPr>
        <w:pStyle w:val="ListBullet"/>
        <w:numPr>
          <w:ilvl w:val="0"/>
          <w:numId w:val="1"/>
        </w:numPr>
        <w:ind w:left="357" w:hanging="357"/>
        <w:rPr>
          <w:lang w:val="en-GB"/>
        </w:rPr>
      </w:pPr>
      <w:r>
        <w:rPr>
          <w:lang w:val="en-GB"/>
        </w:rPr>
        <w:t>Lack of evidence of effect of greater parent involvement in therapy delivery on staffing levels</w:t>
      </w:r>
    </w:p>
    <w:p w:rsidR="00B008E9" w:rsidRDefault="00B008E9" w:rsidP="00B008E9">
      <w:pPr>
        <w:pStyle w:val="ListBullet"/>
        <w:numPr>
          <w:ilvl w:val="0"/>
          <w:numId w:val="1"/>
        </w:numPr>
        <w:ind w:left="357" w:hanging="357"/>
        <w:rPr>
          <w:lang w:val="en-GB"/>
        </w:rPr>
      </w:pPr>
      <w:r>
        <w:rPr>
          <w:lang w:val="en-GB"/>
        </w:rPr>
        <w:t>Lack of clear evidence on team composition</w:t>
      </w:r>
    </w:p>
    <w:p w:rsidR="00B008E9" w:rsidRDefault="00B008E9" w:rsidP="00B008E9">
      <w:pPr>
        <w:pStyle w:val="ListBullet"/>
        <w:numPr>
          <w:ilvl w:val="0"/>
          <w:numId w:val="1"/>
        </w:numPr>
        <w:ind w:left="357" w:hanging="357"/>
        <w:rPr>
          <w:lang w:val="en-GB"/>
        </w:rPr>
      </w:pPr>
      <w:r>
        <w:rPr>
          <w:lang w:val="en-GB"/>
        </w:rPr>
        <w:t>Lack of information on what works best for children</w:t>
      </w:r>
    </w:p>
    <w:p w:rsidR="00B008E9" w:rsidRDefault="00B008E9" w:rsidP="00B008E9">
      <w:pPr>
        <w:pStyle w:val="ListBullet"/>
        <w:numPr>
          <w:ilvl w:val="0"/>
          <w:numId w:val="1"/>
        </w:numPr>
        <w:ind w:left="357" w:hanging="357"/>
        <w:rPr>
          <w:lang w:val="en-GB"/>
        </w:rPr>
      </w:pPr>
      <w:r>
        <w:rPr>
          <w:lang w:val="en-GB"/>
        </w:rPr>
        <w:t>Lack of integrated IT systems</w:t>
      </w:r>
    </w:p>
    <w:p w:rsidR="00B008E9" w:rsidRDefault="00B008E9" w:rsidP="00B008E9">
      <w:pPr>
        <w:pStyle w:val="ListBullet"/>
        <w:numPr>
          <w:ilvl w:val="0"/>
          <w:numId w:val="1"/>
        </w:numPr>
        <w:spacing w:after="240"/>
        <w:ind w:left="357" w:hanging="357"/>
        <w:rPr>
          <w:lang w:val="en-GB"/>
        </w:rPr>
      </w:pPr>
      <w:r>
        <w:rPr>
          <w:lang w:val="en-GB"/>
        </w:rPr>
        <w:t>Lack of evidence of the roles of assistant therapists</w:t>
      </w:r>
    </w:p>
    <w:p w:rsidR="00B008E9" w:rsidRDefault="00B008E9" w:rsidP="00B008E9">
      <w:pPr>
        <w:rPr>
          <w:lang w:val="en-GB"/>
        </w:rPr>
      </w:pPr>
      <w:r>
        <w:rPr>
          <w:lang w:val="en-GB"/>
        </w:rPr>
        <w:t>Regardless of these problems, the GUI evidence quoted suggests that there are approximately 34,000 children wh</w:t>
      </w:r>
      <w:r w:rsidR="00445A92">
        <w:rPr>
          <w:lang w:val="en-GB"/>
        </w:rPr>
        <w:t>o need the services of an inter</w:t>
      </w:r>
      <w:r>
        <w:rPr>
          <w:lang w:val="en-GB"/>
        </w:rPr>
        <w:t>disciplinary intervention team. Like all the estimates in this paper, there can be a margin of error around it.</w:t>
      </w:r>
    </w:p>
    <w:p w:rsidR="00B008E9" w:rsidRDefault="00B008E9" w:rsidP="00B008E9">
      <w:pPr>
        <w:rPr>
          <w:lang w:val="en-GB"/>
        </w:rPr>
      </w:pPr>
      <w:r>
        <w:rPr>
          <w:lang w:val="en-GB"/>
        </w:rPr>
        <w:t xml:space="preserve">Our best estimate of the number of </w:t>
      </w:r>
      <w:r w:rsidR="00445A92">
        <w:rPr>
          <w:lang w:val="en-GB"/>
        </w:rPr>
        <w:t>additional therapists required w</w:t>
      </w:r>
      <w:r>
        <w:rPr>
          <w:lang w:val="en-GB"/>
        </w:rPr>
        <w:t>ould be of the order of 550 to 650, but there are caveats around this data.</w:t>
      </w:r>
      <w:r>
        <w:rPr>
          <w:rStyle w:val="FootnoteReference"/>
          <w:lang w:val="en-GB"/>
        </w:rPr>
        <w:footnoteReference w:id="51"/>
      </w:r>
    </w:p>
    <w:p w:rsidR="00B008E9" w:rsidRDefault="00B008E9" w:rsidP="001E0736">
      <w:pPr>
        <w:pStyle w:val="Heading3"/>
        <w:rPr>
          <w:lang w:val="en-GB"/>
        </w:rPr>
      </w:pPr>
      <w:bookmarkStart w:id="146" w:name="_Toc415667022"/>
      <w:bookmarkStart w:id="147" w:name="_Toc415733715"/>
      <w:r>
        <w:rPr>
          <w:lang w:val="en-GB"/>
        </w:rPr>
        <w:t>Distribution of a national ratio across geographical areas</w:t>
      </w:r>
      <w:bookmarkEnd w:id="146"/>
      <w:bookmarkEnd w:id="147"/>
    </w:p>
    <w:p w:rsidR="00B008E9" w:rsidRPr="00EC1792" w:rsidRDefault="00445A92" w:rsidP="00B008E9">
      <w:r>
        <w:t>S</w:t>
      </w:r>
      <w:r w:rsidR="00B008E9" w:rsidRPr="00EC1792">
        <w:t>ome children with disabilities live in families which are experiencing significant disadvantage in other ways. Examples could be where a parent has a m</w:t>
      </w:r>
      <w:r w:rsidR="00B008E9">
        <w:t xml:space="preserve">ild intellectual disability, a </w:t>
      </w:r>
      <w:r w:rsidR="00B008E9" w:rsidRPr="00EC1792">
        <w:t>mental health condition, or a chaotic lifestyle related to substance abuse. Children in such families may require greater inputs of multi-disciplinary supports, such as social work input, additional face to face therapy hours, than children with comparable clinical needs in ot</w:t>
      </w:r>
      <w:r>
        <w:t xml:space="preserve">her families. Support through a </w:t>
      </w:r>
      <w:r>
        <w:rPr>
          <w:rFonts w:ascii="Gill Sans MT" w:hAnsi="Gill Sans MT"/>
        </w:rPr>
        <w:t>‘</w:t>
      </w:r>
      <w:r w:rsidR="00B008E9">
        <w:t>parent to parent</w:t>
      </w:r>
      <w:r>
        <w:rPr>
          <w:rFonts w:ascii="Gill Sans MT" w:hAnsi="Gill Sans MT"/>
        </w:rPr>
        <w:t>’</w:t>
      </w:r>
      <w:r w:rsidR="00B008E9">
        <w:t xml:space="preserve"> </w:t>
      </w:r>
      <w:r w:rsidR="00B008E9" w:rsidRPr="00EC1792">
        <w:t xml:space="preserve">type programme can also assist the family in reinforcing therapy through the child's daily routine. </w:t>
      </w:r>
    </w:p>
    <w:p w:rsidR="00B008E9" w:rsidRDefault="00B008E9" w:rsidP="00B008E9">
      <w:pPr>
        <w:rPr>
          <w:lang w:val="en-GB"/>
        </w:rPr>
      </w:pPr>
      <w:r w:rsidRPr="00EC1792">
        <w:t>Some, but not all, such parental disadvantage is likely to be correlated with wider social disadvantage. Therefore</w:t>
      </w:r>
      <w:r w:rsidR="00445A92">
        <w:t>,</w:t>
      </w:r>
      <w:r w:rsidRPr="00EC1792">
        <w:t xml:space="preserve"> the National Disability Authority advises that the standard national ratio of therapists to </w:t>
      </w:r>
      <w:r w:rsidR="00434BCD" w:rsidRPr="00EC1792">
        <w:t>children</w:t>
      </w:r>
      <w:r w:rsidRPr="00EC1792">
        <w:t xml:space="preserve"> could be modified by a measure of geographically-based social </w:t>
      </w:r>
      <w:r w:rsidR="00F50ACF">
        <w:t xml:space="preserve">disadvantage such as the </w:t>
      </w:r>
      <w:r w:rsidR="00445A92">
        <w:t xml:space="preserve">HP Deprivation </w:t>
      </w:r>
      <w:r w:rsidR="00F50ACF">
        <w:t>I</w:t>
      </w:r>
      <w:r w:rsidRPr="00EC1792">
        <w:t>ndex in order to work out the appropriate ratio for those Network areas with a level of social disadvantage that is significantly above average.</w:t>
      </w:r>
    </w:p>
    <w:p w:rsidR="00B008E9" w:rsidRDefault="00445A92" w:rsidP="00B008E9">
      <w:pPr>
        <w:rPr>
          <w:rFonts w:cs="Arial"/>
          <w:lang w:val="en-GB"/>
        </w:rPr>
      </w:pPr>
      <w:r>
        <w:rPr>
          <w:rFonts w:cs="Arial"/>
          <w:lang w:val="en-GB"/>
        </w:rPr>
        <w:t>Some geographical</w:t>
      </w:r>
      <w:r w:rsidR="00B008E9">
        <w:rPr>
          <w:rFonts w:cs="Arial"/>
          <w:lang w:val="en-GB"/>
        </w:rPr>
        <w:t xml:space="preserve"> areas are </w:t>
      </w:r>
      <w:r>
        <w:rPr>
          <w:rFonts w:cs="Arial"/>
          <w:lang w:val="en-GB"/>
        </w:rPr>
        <w:t xml:space="preserve">also </w:t>
      </w:r>
      <w:r w:rsidR="00B008E9">
        <w:rPr>
          <w:rFonts w:cs="Arial"/>
          <w:lang w:val="en-GB"/>
        </w:rPr>
        <w:t>large and complex to administer. These areas might need higher ratios to allow for additional travel time.</w:t>
      </w:r>
    </w:p>
    <w:p w:rsidR="00B008E9" w:rsidRDefault="00B008E9" w:rsidP="009E01E8">
      <w:pPr>
        <w:pStyle w:val="Heading3"/>
        <w:rPr>
          <w:lang w:val="en-GB"/>
        </w:rPr>
      </w:pPr>
      <w:bookmarkStart w:id="148" w:name="_Toc415667023"/>
      <w:bookmarkStart w:id="149" w:name="_Toc415733716"/>
      <w:r>
        <w:rPr>
          <w:lang w:val="en-GB"/>
        </w:rPr>
        <w:t>Revisit estimates in light of experience and additional data</w:t>
      </w:r>
      <w:bookmarkEnd w:id="148"/>
      <w:bookmarkEnd w:id="149"/>
    </w:p>
    <w:p w:rsidR="00B008E9" w:rsidRDefault="00B008E9" w:rsidP="00B008E9">
      <w:pPr>
        <w:rPr>
          <w:rFonts w:cs="Arial"/>
          <w:lang w:val="en-GB"/>
        </w:rPr>
      </w:pPr>
      <w:r>
        <w:rPr>
          <w:rFonts w:cs="Arial"/>
          <w:lang w:val="en-GB"/>
        </w:rPr>
        <w:t>As Progressing Disability Services is implemented, it will be important to collect</w:t>
      </w:r>
      <w:r w:rsidR="00F50ACF">
        <w:rPr>
          <w:rFonts w:cs="Arial"/>
          <w:lang w:val="en-GB"/>
        </w:rPr>
        <w:t xml:space="preserve"> standardised information on pr</w:t>
      </w:r>
      <w:r>
        <w:rPr>
          <w:rFonts w:cs="Arial"/>
          <w:lang w:val="en-GB"/>
        </w:rPr>
        <w:t>ovision, need, and outcomes, to help guide a more robust system of forecasting therapy req</w:t>
      </w:r>
      <w:r w:rsidR="00965E64">
        <w:rPr>
          <w:rFonts w:cs="Arial"/>
          <w:lang w:val="en-GB"/>
        </w:rPr>
        <w:t>uirements and service planning.</w:t>
      </w:r>
    </w:p>
    <w:p w:rsidR="00F63B31" w:rsidRPr="00853F36" w:rsidRDefault="00B008E9" w:rsidP="00841E83">
      <w:pPr>
        <w:pStyle w:val="Heading1"/>
        <w:numPr>
          <w:ilvl w:val="0"/>
          <w:numId w:val="11"/>
        </w:numPr>
      </w:pPr>
      <w:r>
        <w:br w:type="page"/>
      </w:r>
      <w:bookmarkStart w:id="150" w:name="_Toc386464549"/>
      <w:bookmarkStart w:id="151" w:name="_Toc386470044"/>
      <w:bookmarkStart w:id="152" w:name="_Toc390269718"/>
      <w:bookmarkStart w:id="153" w:name="_Toc415733717"/>
      <w:r w:rsidR="00F63B31" w:rsidRPr="00853F36">
        <w:t>Workforce planning and children’s disability services</w:t>
      </w:r>
      <w:bookmarkEnd w:id="150"/>
      <w:bookmarkEnd w:id="151"/>
      <w:bookmarkEnd w:id="152"/>
      <w:bookmarkEnd w:id="153"/>
    </w:p>
    <w:p w:rsidR="00F63B31" w:rsidRPr="00853F36" w:rsidRDefault="00F63B31" w:rsidP="009E01E8">
      <w:pPr>
        <w:pStyle w:val="Heading2"/>
        <w:numPr>
          <w:ilvl w:val="1"/>
          <w:numId w:val="12"/>
        </w:numPr>
        <w:ind w:hanging="1800"/>
      </w:pPr>
      <w:bookmarkStart w:id="154" w:name="_Toc386464551"/>
      <w:bookmarkStart w:id="155" w:name="_Toc386470046"/>
      <w:bookmarkStart w:id="156" w:name="_Toc390269720"/>
      <w:bookmarkStart w:id="157" w:name="_Toc415733718"/>
      <w:r w:rsidRPr="00853F36">
        <w:t>Defining Workloads/Caseloads and their management</w:t>
      </w:r>
      <w:bookmarkEnd w:id="154"/>
      <w:bookmarkEnd w:id="155"/>
      <w:bookmarkEnd w:id="156"/>
      <w:bookmarkEnd w:id="157"/>
    </w:p>
    <w:p w:rsidR="00F63B31" w:rsidRPr="00853F36" w:rsidRDefault="00F63B31" w:rsidP="00F63B31">
      <w:r w:rsidRPr="00853F36">
        <w:t xml:space="preserve">While </w:t>
      </w:r>
      <w:r w:rsidR="00B51A51">
        <w:rPr>
          <w:rFonts w:ascii="Gill Sans MT" w:hAnsi="Gill Sans MT"/>
        </w:rPr>
        <w:t>‘</w:t>
      </w:r>
      <w:r w:rsidRPr="00853F36">
        <w:t>caseload</w:t>
      </w:r>
      <w:r w:rsidR="00B51A51">
        <w:rPr>
          <w:rFonts w:ascii="Gill Sans MT" w:hAnsi="Gill Sans MT"/>
        </w:rPr>
        <w:t>’</w:t>
      </w:r>
      <w:r w:rsidRPr="00853F36">
        <w:t xml:space="preserve"> refers to the number of clients served through direct or indirect service delivery options, </w:t>
      </w:r>
      <w:r w:rsidR="00B51A51">
        <w:rPr>
          <w:rFonts w:ascii="Gill Sans MT" w:hAnsi="Gill Sans MT"/>
        </w:rPr>
        <w:t>‘</w:t>
      </w:r>
      <w:r w:rsidRPr="00853F36">
        <w:t>workload</w:t>
      </w:r>
      <w:r w:rsidR="00B51A51">
        <w:rPr>
          <w:rFonts w:ascii="Gill Sans MT" w:hAnsi="Gill Sans MT"/>
        </w:rPr>
        <w:t>’</w:t>
      </w:r>
      <w:r w:rsidRPr="00853F36">
        <w:t xml:space="preserve"> refers to all the wider activities related to provision of client services.</w:t>
      </w:r>
    </w:p>
    <w:p w:rsidR="00F63B31" w:rsidRPr="00853F36" w:rsidRDefault="00F63B31" w:rsidP="00F63B31">
      <w:r w:rsidRPr="00853F36">
        <w:t xml:space="preserve">Workload </w:t>
      </w:r>
      <w:r w:rsidR="005605F8">
        <w:t xml:space="preserve">is </w:t>
      </w:r>
      <w:r w:rsidRPr="00853F36">
        <w:t>the full complement of responsibilities performed by individuals in their daily job.</w:t>
      </w:r>
      <w:r w:rsidRPr="00853F36">
        <w:rPr>
          <w:rStyle w:val="FootnoteReference"/>
        </w:rPr>
        <w:footnoteReference w:id="52"/>
      </w:r>
      <w:r w:rsidRPr="00853F36">
        <w:t xml:space="preserve">As well as face-to-face direct services to clients, workload includes activities necessary to support programs, implement best practice and </w:t>
      </w:r>
      <w:r w:rsidR="005605F8">
        <w:t xml:space="preserve">to </w:t>
      </w:r>
      <w:r w:rsidRPr="00853F36">
        <w:t>ensure compliance with legislative and professional standards. An increase in caseload will increase the overall workload.</w:t>
      </w:r>
      <w:r w:rsidRPr="00853F36">
        <w:rPr>
          <w:rStyle w:val="FootnoteReference"/>
        </w:rPr>
        <w:footnoteReference w:id="53"/>
      </w:r>
    </w:p>
    <w:p w:rsidR="00F63B31" w:rsidRPr="00853F36" w:rsidRDefault="00F63B31" w:rsidP="00F63B31">
      <w:r w:rsidRPr="00853F36">
        <w:t>The workload ratio represents the percentage of time spent on client related tasks, compared to non-client related tasks. Client related tasks include assessment, intervention, and consultation activities</w:t>
      </w:r>
      <w:r w:rsidR="00B51A51">
        <w:t>,</w:t>
      </w:r>
      <w:r w:rsidRPr="00853F36">
        <w:t xml:space="preserve"> including</w:t>
      </w:r>
      <w:r w:rsidR="00B51A51">
        <w:t>,</w:t>
      </w:r>
      <w:r w:rsidRPr="00853F36">
        <w:t xml:space="preserve"> but not limited to</w:t>
      </w:r>
      <w:r w:rsidR="00B51A51">
        <w:t>,</w:t>
      </w:r>
      <w:r w:rsidRPr="00853F36">
        <w:t xml:space="preserve"> preparation, documentation, and travel specific to a client. Non-client related activities are integral to the functioning of an agency’s operation but do not involve the delivery of services to a client.</w:t>
      </w:r>
    </w:p>
    <w:p w:rsidR="005605F8" w:rsidRDefault="00F63B31" w:rsidP="00F63B31">
      <w:r w:rsidRPr="00853F36">
        <w:t>Caseload models that determine caseloads by calculating the number of contact hours with individuals or groups</w:t>
      </w:r>
      <w:r w:rsidR="00B51A51">
        <w:t>,</w:t>
      </w:r>
      <w:r w:rsidRPr="00853F36">
        <w:rPr>
          <w:rStyle w:val="FootnoteReference"/>
        </w:rPr>
        <w:footnoteReference w:id="54"/>
      </w:r>
      <w:r w:rsidRPr="00853F36">
        <w:t xml:space="preserve"> account for direct services only and may not reflect best practice. Indirect and consultative modes of therapy may offer benefits for caseload management in the longer term, enabling provision of a broader service to a greater number of people</w:t>
      </w:r>
      <w:r w:rsidR="00E26299">
        <w:t>.</w:t>
      </w:r>
      <w:r w:rsidRPr="00853F36">
        <w:rPr>
          <w:rStyle w:val="FootnoteReference"/>
        </w:rPr>
        <w:footnoteReference w:id="55"/>
      </w:r>
    </w:p>
    <w:p w:rsidR="005605F8" w:rsidRPr="00853F36" w:rsidRDefault="005605F8" w:rsidP="005605F8">
      <w:r w:rsidRPr="00853F36">
        <w:t>“At an organisational level, healthcare services need to support therapy staff in engaging in all types of service delivery (direct, indirect, and consultative). If a therapist’s work in providing an indirect or consultative service is not ‘counted’ as ‘therapy’, it will be devalued. If staff accounting for their time can only count their direct, hands-on, and face-to-face occasions of service, they will prioritise these services over services that do not involve face-to-face contact with a person/family. If therapists’ must meet a minimum number of ‘direct’ therapy hours they will prioritise this over indirect or consultative services”</w:t>
      </w:r>
      <w:r w:rsidRPr="00853F36">
        <w:rPr>
          <w:rStyle w:val="FootnoteReference"/>
        </w:rPr>
        <w:footnoteReference w:id="56"/>
      </w:r>
      <w:r w:rsidRPr="00853F36">
        <w:t>.</w:t>
      </w:r>
    </w:p>
    <w:p w:rsidR="00F63B31" w:rsidRPr="00853F36" w:rsidRDefault="00F63B31" w:rsidP="00F63B31">
      <w:r w:rsidRPr="00853F36">
        <w:t>Definitions of workload and caseload management include:</w:t>
      </w:r>
    </w:p>
    <w:p w:rsidR="00F63B31" w:rsidRPr="00853F36" w:rsidRDefault="005605F8" w:rsidP="00F63B31">
      <w:pPr>
        <w:pStyle w:val="ListBullet"/>
        <w:numPr>
          <w:ilvl w:val="0"/>
          <w:numId w:val="1"/>
        </w:numPr>
      </w:pPr>
      <w:r>
        <w:t>P</w:t>
      </w:r>
      <w:r w:rsidR="00F63B31" w:rsidRPr="00853F36">
        <w:t>roductive and efficient use of time and resources to maximize and ach</w:t>
      </w:r>
      <w:r>
        <w:t>ieve successful client outcomes: t</w:t>
      </w:r>
      <w:r w:rsidR="00F63B31" w:rsidRPr="00853F36">
        <w:t>he systematic synthesis of client and service information should assist in designing effective and efficient service delivery. Such a delivery system should accomplish positive outcomes within available health agency resources and professional guidelines</w:t>
      </w:r>
      <w:r w:rsidR="00F63B31" w:rsidRPr="00853F36">
        <w:rPr>
          <w:rStyle w:val="FootnoteReference"/>
        </w:rPr>
        <w:footnoteReference w:id="57"/>
      </w:r>
    </w:p>
    <w:p w:rsidR="00F63B31" w:rsidRPr="00853F36" w:rsidRDefault="005605F8" w:rsidP="00F63B31">
      <w:pPr>
        <w:pStyle w:val="ListBullet"/>
        <w:numPr>
          <w:ilvl w:val="0"/>
          <w:numId w:val="1"/>
        </w:numPr>
        <w:spacing w:after="240"/>
      </w:pPr>
      <w:r>
        <w:t>C</w:t>
      </w:r>
      <w:r w:rsidR="00F63B31" w:rsidRPr="00853F36">
        <w:t xml:space="preserve">o-ordinating </w:t>
      </w:r>
      <w:r>
        <w:t xml:space="preserve">the provision of </w:t>
      </w:r>
      <w:r w:rsidR="00F63B31" w:rsidRPr="00853F36">
        <w:t>care to m</w:t>
      </w:r>
      <w:r>
        <w:t>ore than one client: m</w:t>
      </w:r>
      <w:r w:rsidR="00F63B31" w:rsidRPr="00853F36">
        <w:t>oving cas</w:t>
      </w:r>
      <w:r>
        <w:t xml:space="preserve">es through the care process </w:t>
      </w:r>
      <w:r w:rsidR="00F63B31" w:rsidRPr="00853F36">
        <w:t>is the essence of effective caseload management</w:t>
      </w:r>
      <w:r>
        <w:t>. T</w:t>
      </w:r>
      <w:r w:rsidR="00F63B31" w:rsidRPr="00853F36">
        <w:t>hroughput should be measured at all stages of the care process to ensure that individual cases me</w:t>
      </w:r>
      <w:r w:rsidR="00B51A51">
        <w:t>e</w:t>
      </w:r>
      <w:r w:rsidR="00F63B31" w:rsidRPr="00853F36">
        <w:t>t their goals</w:t>
      </w:r>
      <w:r w:rsidR="00F63B31" w:rsidRPr="00853F36">
        <w:rPr>
          <w:rStyle w:val="FootnoteReference"/>
        </w:rPr>
        <w:footnoteReference w:id="58"/>
      </w:r>
    </w:p>
    <w:p w:rsidR="00F63B31" w:rsidRPr="00853F36" w:rsidRDefault="00F63B31" w:rsidP="00F63B31">
      <w:pPr>
        <w:pStyle w:val="ListBullet"/>
        <w:numPr>
          <w:ilvl w:val="0"/>
          <w:numId w:val="1"/>
        </w:numPr>
      </w:pPr>
      <w:r w:rsidRPr="00853F36">
        <w:t>An approach that attempts to balance quality interventions with cost effectiveness</w:t>
      </w:r>
      <w:r w:rsidRPr="00853F36">
        <w:rPr>
          <w:rStyle w:val="FootnoteReference"/>
        </w:rPr>
        <w:footnoteReference w:id="59"/>
      </w:r>
    </w:p>
    <w:p w:rsidR="00F63B31" w:rsidRPr="00853F36" w:rsidRDefault="00F63B31" w:rsidP="00F63B31">
      <w:pPr>
        <w:pStyle w:val="ListBullet"/>
        <w:numPr>
          <w:ilvl w:val="0"/>
          <w:numId w:val="1"/>
        </w:numPr>
        <w:spacing w:after="240"/>
      </w:pPr>
      <w:r w:rsidRPr="00853F36">
        <w:t>The process of managing care for a number of clients or patients whose care is governed at individual and population level with reference to a population health model</w:t>
      </w:r>
      <w:r w:rsidRPr="00853F36">
        <w:rPr>
          <w:rStyle w:val="FootnoteReference"/>
        </w:rPr>
        <w:footnoteReference w:id="60"/>
      </w:r>
    </w:p>
    <w:p w:rsidR="00F63B31" w:rsidRPr="00853F36" w:rsidRDefault="00F63B31" w:rsidP="00F63B31">
      <w:r w:rsidRPr="00853F36">
        <w:t xml:space="preserve">There is no hard research evidence to guide workload or caseload management </w:t>
      </w:r>
      <w:r w:rsidR="00E26299">
        <w:t xml:space="preserve">in </w:t>
      </w:r>
      <w:r w:rsidRPr="00853F36">
        <w:t>therapy services for adults or children</w:t>
      </w:r>
      <w:r w:rsidR="005605F8">
        <w:t>.</w:t>
      </w:r>
      <w:r w:rsidRPr="00853F36">
        <w:rPr>
          <w:rStyle w:val="FootnoteReference"/>
        </w:rPr>
        <w:footnoteReference w:id="61"/>
      </w:r>
      <w:r w:rsidRPr="00853F36">
        <w:t xml:space="preserve"> In addition, much research is on service models where health professionals work individually</w:t>
      </w:r>
      <w:r w:rsidR="00B51A51">
        <w:t>,</w:t>
      </w:r>
      <w:r w:rsidRPr="00853F36">
        <w:t xml:space="preserve"> while </w:t>
      </w:r>
      <w:r w:rsidR="00E26299" w:rsidRPr="00853F36">
        <w:t>childre</w:t>
      </w:r>
      <w:r w:rsidR="00E26299">
        <w:t>n’s disability services increasingly use teamwork to deliver services</w:t>
      </w:r>
      <w:r w:rsidRPr="00853F36">
        <w:t>. Thus, it will be some time before there is a body of research demonstrating relationships between team composition and size, team caseloads and client outcomes.</w:t>
      </w:r>
    </w:p>
    <w:p w:rsidR="00F63B31" w:rsidRPr="00853F36" w:rsidRDefault="00F63B31" w:rsidP="0080079F">
      <w:pPr>
        <w:pStyle w:val="Heading2"/>
        <w:numPr>
          <w:ilvl w:val="1"/>
          <w:numId w:val="12"/>
        </w:numPr>
        <w:ind w:hanging="1800"/>
      </w:pPr>
      <w:bookmarkStart w:id="158" w:name="_Toc386464552"/>
      <w:bookmarkStart w:id="159" w:name="_Toc386470047"/>
      <w:bookmarkStart w:id="160" w:name="_Toc390269721"/>
      <w:bookmarkStart w:id="161" w:name="_Toc415733719"/>
      <w:r w:rsidRPr="00853F36">
        <w:t>Research on Allied Health Workloads and Caseloads</w:t>
      </w:r>
      <w:bookmarkEnd w:id="158"/>
      <w:bookmarkEnd w:id="159"/>
      <w:bookmarkEnd w:id="160"/>
      <w:bookmarkEnd w:id="161"/>
    </w:p>
    <w:p w:rsidR="00F63B31" w:rsidRPr="00853F36" w:rsidRDefault="00F63B31" w:rsidP="00F63B31">
      <w:pPr>
        <w:pStyle w:val="ListBullet"/>
        <w:numPr>
          <w:ilvl w:val="0"/>
          <w:numId w:val="0"/>
        </w:numPr>
      </w:pPr>
      <w:r w:rsidRPr="00853F36">
        <w:t>Published literature on allied health workloads and caseloads can be categorised by five themes:</w:t>
      </w:r>
      <w:r w:rsidRPr="00853F36">
        <w:rPr>
          <w:rStyle w:val="FootnoteReference"/>
        </w:rPr>
        <w:footnoteReference w:id="62"/>
      </w:r>
    </w:p>
    <w:p w:rsidR="00F63B31" w:rsidRPr="00853F36" w:rsidRDefault="00F63B31" w:rsidP="00F63B31">
      <w:pPr>
        <w:pStyle w:val="ListBullet"/>
        <w:numPr>
          <w:ilvl w:val="0"/>
          <w:numId w:val="1"/>
        </w:numPr>
      </w:pPr>
      <w:r w:rsidRPr="00853F36">
        <w:t>Methods of Measurement: Methods range from the ratio-based approach (e.g. beds or activity to staff ratio) to diagnostic or case-mix based approaches where workload measures are categ</w:t>
      </w:r>
      <w:r w:rsidR="00B51A51">
        <w:t>orised by diagnostic sub-groups</w:t>
      </w:r>
    </w:p>
    <w:p w:rsidR="00F63B31" w:rsidRPr="00853F36" w:rsidRDefault="00F63B31" w:rsidP="00F63B31">
      <w:pPr>
        <w:pStyle w:val="ListBullet"/>
        <w:numPr>
          <w:ilvl w:val="0"/>
          <w:numId w:val="1"/>
        </w:numPr>
      </w:pPr>
      <w:r w:rsidRPr="00853F36">
        <w:t xml:space="preserve">Staffing ratios: This is </w:t>
      </w:r>
      <w:r w:rsidRPr="00853F36">
        <w:rPr>
          <w:szCs w:val="26"/>
        </w:rPr>
        <w:t xml:space="preserve">concerned with establishing guidelines and recommendations on workload/caseload sizes and staffing requirements. Two secondary topics </w:t>
      </w:r>
      <w:r w:rsidRPr="00853F36">
        <w:t>are the variations in actual staffing levels and the extent to which this deviates from recommended levels</w:t>
      </w:r>
    </w:p>
    <w:p w:rsidR="00F63B31" w:rsidRPr="00853F36" w:rsidRDefault="00F63B31" w:rsidP="00F63B31">
      <w:pPr>
        <w:pStyle w:val="ListBullet"/>
        <w:numPr>
          <w:ilvl w:val="0"/>
          <w:numId w:val="1"/>
        </w:numPr>
      </w:pPr>
      <w:r w:rsidRPr="00853F36">
        <w:t>Factors influencing workload/caseload: This examines the factors that influence the intensity of service utilisation by clients</w:t>
      </w:r>
      <w:r w:rsidR="00B51A51">
        <w:t>,</w:t>
      </w:r>
      <w:r w:rsidRPr="00853F36">
        <w:t xml:space="preserve"> which has a direct effect on the workload of allied health professionals</w:t>
      </w:r>
    </w:p>
    <w:p w:rsidR="00F63B31" w:rsidRPr="00853F36" w:rsidRDefault="00F63B31" w:rsidP="00F63B31">
      <w:pPr>
        <w:pStyle w:val="ListBullet"/>
        <w:numPr>
          <w:ilvl w:val="0"/>
          <w:numId w:val="1"/>
        </w:numPr>
      </w:pPr>
      <w:r w:rsidRPr="00853F36">
        <w:t xml:space="preserve">Stress and burnout: the prevalence and effect of stress and burnout among allied health workers because of poor workload management </w:t>
      </w:r>
    </w:p>
    <w:p w:rsidR="00F63B31" w:rsidRPr="00853F36" w:rsidRDefault="00F63B31" w:rsidP="00F63B31">
      <w:pPr>
        <w:pStyle w:val="ListBullet"/>
        <w:numPr>
          <w:ilvl w:val="0"/>
          <w:numId w:val="1"/>
        </w:numPr>
      </w:pPr>
      <w:r w:rsidRPr="00853F36">
        <w:t>Data and surveys: This includes data sources on allied health utilisation and on allied health workforce supply and their accuracy</w:t>
      </w:r>
    </w:p>
    <w:p w:rsidR="00F63B31" w:rsidRPr="00853F36" w:rsidRDefault="00F63B31" w:rsidP="0080079F">
      <w:pPr>
        <w:pStyle w:val="Heading3"/>
      </w:pPr>
      <w:bookmarkStart w:id="162" w:name="_Toc386464553"/>
      <w:bookmarkStart w:id="163" w:name="_Toc386470048"/>
      <w:bookmarkStart w:id="164" w:name="_Toc390269722"/>
      <w:bookmarkStart w:id="165" w:name="_Toc415667027"/>
      <w:bookmarkStart w:id="166" w:name="_Toc415733720"/>
      <w:r w:rsidRPr="00853F36">
        <w:t>Methodology approaches to workload measurement</w:t>
      </w:r>
      <w:bookmarkEnd w:id="162"/>
      <w:bookmarkEnd w:id="163"/>
      <w:bookmarkEnd w:id="164"/>
      <w:bookmarkEnd w:id="165"/>
      <w:bookmarkEnd w:id="166"/>
    </w:p>
    <w:p w:rsidR="00F63B31" w:rsidRPr="00853F36" w:rsidRDefault="00B51A51" w:rsidP="00F63B31">
      <w:r>
        <w:t>M</w:t>
      </w:r>
      <w:r w:rsidR="00F63B31" w:rsidRPr="00853F36">
        <w:t xml:space="preserve">ethodological approaches to workload </w:t>
      </w:r>
      <w:r>
        <w:t>measurement include</w:t>
      </w:r>
      <w:r w:rsidR="00F63B31" w:rsidRPr="00853F36">
        <w:t>:</w:t>
      </w:r>
      <w:r w:rsidR="00F63B31" w:rsidRPr="00853F36">
        <w:rPr>
          <w:rStyle w:val="FootnoteReference"/>
        </w:rPr>
        <w:footnoteReference w:id="63"/>
      </w:r>
    </w:p>
    <w:p w:rsidR="00F63B31" w:rsidRPr="00853F36" w:rsidRDefault="00F63B31" w:rsidP="00F63B31">
      <w:pPr>
        <w:pStyle w:val="ListBullet"/>
        <w:numPr>
          <w:ilvl w:val="0"/>
          <w:numId w:val="1"/>
        </w:numPr>
      </w:pPr>
      <w:r w:rsidRPr="00853F36">
        <w:t xml:space="preserve">Ratio-based </w:t>
      </w:r>
    </w:p>
    <w:p w:rsidR="00F63B31" w:rsidRPr="00853F36" w:rsidRDefault="00F63B31" w:rsidP="00F63B31">
      <w:pPr>
        <w:pStyle w:val="ListBullet"/>
        <w:numPr>
          <w:ilvl w:val="0"/>
          <w:numId w:val="1"/>
        </w:numPr>
      </w:pPr>
      <w:r w:rsidRPr="00853F36">
        <w:t xml:space="preserve">Procedure-based </w:t>
      </w:r>
    </w:p>
    <w:p w:rsidR="00F63B31" w:rsidRPr="00853F36" w:rsidRDefault="00F63B31" w:rsidP="00F63B31">
      <w:pPr>
        <w:pStyle w:val="ListBullet"/>
        <w:numPr>
          <w:ilvl w:val="0"/>
          <w:numId w:val="1"/>
        </w:numPr>
      </w:pPr>
      <w:r w:rsidRPr="00853F36">
        <w:t>Diagnostic or case</w:t>
      </w:r>
      <w:r w:rsidR="00093E17">
        <w:t>-</w:t>
      </w:r>
      <w:r w:rsidRPr="00853F36">
        <w:t xml:space="preserve">mix based </w:t>
      </w:r>
    </w:p>
    <w:p w:rsidR="00F63B31" w:rsidRPr="00853F36" w:rsidRDefault="00F63B31" w:rsidP="00F63B31">
      <w:pPr>
        <w:pStyle w:val="ListBullet"/>
        <w:numPr>
          <w:ilvl w:val="0"/>
          <w:numId w:val="1"/>
        </w:numPr>
      </w:pPr>
      <w:r w:rsidRPr="00853F36">
        <w:t xml:space="preserve">Categories of care based </w:t>
      </w:r>
    </w:p>
    <w:p w:rsidR="00F63B31" w:rsidRPr="00853F36" w:rsidRDefault="00F63B31" w:rsidP="00F63B31">
      <w:r>
        <w:t>Ratio-based workload is</w:t>
      </w:r>
      <w:r w:rsidRPr="00853F36">
        <w:t xml:space="preserve"> the ratio of staff to activity. The activity variable is normally a ‘proxy’ measure such as patients. Ratios are often externally referenced, for instance from a set of professional standards. </w:t>
      </w:r>
      <w:r w:rsidR="00E26299">
        <w:t xml:space="preserve">Ratios are </w:t>
      </w:r>
      <w:r w:rsidRPr="00853F36">
        <w:t>best used in circumstances where activity level and type is comparatively stable. Simple to use and apply, the only data required is the measure of activity. However, these ratios make no accommodation for local differences and therefore are likely to be too low or high in most settings. Moreover, no productivity comparison between institutions is possible.</w:t>
      </w:r>
      <w:r w:rsidRPr="00853F36">
        <w:rPr>
          <w:rStyle w:val="FootnoteReference"/>
        </w:rPr>
        <w:footnoteReference w:id="64"/>
      </w:r>
    </w:p>
    <w:p w:rsidR="00F63B31" w:rsidRPr="00853F36" w:rsidRDefault="00F63B31" w:rsidP="00F63B31">
      <w:r w:rsidRPr="00853F36">
        <w:t xml:space="preserve">Procedure-based workload measurement tools look </w:t>
      </w:r>
      <w:r w:rsidR="00E26299">
        <w:t>more directly at the procedures and</w:t>
      </w:r>
      <w:r w:rsidRPr="00853F36">
        <w:t xml:space="preserve"> functions of the work performed to deliver health care services. </w:t>
      </w:r>
      <w:r w:rsidR="00E26299">
        <w:t>Estimates of t</w:t>
      </w:r>
      <w:r w:rsidRPr="00853F36">
        <w:t>he labour required to perform th</w:t>
      </w:r>
      <w:r w:rsidR="00E26299">
        <w:t xml:space="preserve">e procedures (in units of time) </w:t>
      </w:r>
      <w:r w:rsidR="001B5265">
        <w:t xml:space="preserve">use </w:t>
      </w:r>
      <w:r w:rsidRPr="00853F36">
        <w:t xml:space="preserve">facility specific studies or professionally set standards of practice. </w:t>
      </w:r>
      <w:r w:rsidR="00E26299">
        <w:t>This approach is b</w:t>
      </w:r>
      <w:r w:rsidRPr="00853F36">
        <w:t xml:space="preserve">est used where the functions to be performed are comparatively set and routine. The data collection for estimation of time per procedure can be costly, or </w:t>
      </w:r>
      <w:r w:rsidR="00E26299">
        <w:t xml:space="preserve">contentious, </w:t>
      </w:r>
      <w:r w:rsidRPr="00853F36">
        <w:t xml:space="preserve">if based </w:t>
      </w:r>
      <w:r w:rsidR="00E26299">
        <w:t>on expert judgement</w:t>
      </w:r>
      <w:r w:rsidRPr="00853F36">
        <w:t xml:space="preserve">. However, standards set potentially good benchmarks against which to assess productivity. </w:t>
      </w:r>
      <w:r w:rsidR="00AC5045">
        <w:t>Assessment of the time</w:t>
      </w:r>
      <w:r w:rsidRPr="00853F36">
        <w:t xml:space="preserve"> to complete </w:t>
      </w:r>
      <w:r w:rsidR="00666F45">
        <w:t xml:space="preserve">the </w:t>
      </w:r>
      <w:r w:rsidRPr="00853F36">
        <w:t xml:space="preserve">procedures can be </w:t>
      </w:r>
      <w:r w:rsidR="00AC5045">
        <w:t xml:space="preserve">done </w:t>
      </w:r>
      <w:r w:rsidRPr="00853F36">
        <w:t xml:space="preserve">for different staff mix circumstances. </w:t>
      </w:r>
      <w:r w:rsidR="00AC5045">
        <w:t>A</w:t>
      </w:r>
      <w:r w:rsidR="00666F45">
        <w:t>verage time</w:t>
      </w:r>
      <w:r w:rsidRPr="00853F36">
        <w:t xml:space="preserve"> to complete procedures or tasks may not reflect individual facility physical layout, skill level of staff, case mix and severity of illness.</w:t>
      </w:r>
      <w:r w:rsidRPr="00853F36">
        <w:rPr>
          <w:rStyle w:val="FootnoteReference"/>
        </w:rPr>
        <w:footnoteReference w:id="65"/>
      </w:r>
    </w:p>
    <w:p w:rsidR="00F63B31" w:rsidRPr="00853F36" w:rsidRDefault="00F63B31" w:rsidP="00F63B31">
      <w:r w:rsidRPr="00853F36">
        <w:t>Diagnostic or case</w:t>
      </w:r>
      <w:r w:rsidR="00AC5045">
        <w:t>-</w:t>
      </w:r>
      <w:r w:rsidRPr="00853F36">
        <w:t xml:space="preserve">mix based methodologies for workload </w:t>
      </w:r>
      <w:r w:rsidR="00434BCD" w:rsidRPr="00853F36">
        <w:t>estimates</w:t>
      </w:r>
      <w:r w:rsidRPr="00853F36">
        <w:t xml:space="preserve"> are linked to diagnostic sub-groups. Cost weights</w:t>
      </w:r>
      <w:r w:rsidR="00B51A51">
        <w:t>,</w:t>
      </w:r>
      <w:r w:rsidRPr="00853F36">
        <w:t xml:space="preserve"> in the form of hours of professional care </w:t>
      </w:r>
      <w:r w:rsidR="00093E17">
        <w:t xml:space="preserve">required </w:t>
      </w:r>
      <w:r w:rsidRPr="00853F36">
        <w:t>to appropriately treat or serve each diagnostic sub-group</w:t>
      </w:r>
      <w:r w:rsidR="00B51A51">
        <w:t>,</w:t>
      </w:r>
      <w:r w:rsidR="00093E17">
        <w:t xml:space="preserve"> are established. T</w:t>
      </w:r>
      <w:r w:rsidRPr="00853F36">
        <w:t xml:space="preserve">otal staff requirements </w:t>
      </w:r>
      <w:r w:rsidR="00093E17">
        <w:t xml:space="preserve">are </w:t>
      </w:r>
      <w:r w:rsidRPr="00853F36">
        <w:t xml:space="preserve">calculated by multiplying the hours per diagnostic group and anticipated case mix. The data collection for this approach is resource intensive. However, increasingly case mix funding mechanisms are </w:t>
      </w:r>
      <w:r w:rsidR="001B5265">
        <w:t>used. D</w:t>
      </w:r>
      <w:r w:rsidRPr="00853F36">
        <w:t>ata is collected as a basis of setting up the financial system and workload measurement can ‘piggy back’ off the financial system. Time estimates for labour requirements against different diagnostic categories can be controversial and may not reflect alternative patterns of care (for instance different skill mix options). On the other hand, where a close relationship exists between funding and actual (or projected) case</w:t>
      </w:r>
      <w:r w:rsidR="001B5265">
        <w:t>-</w:t>
      </w:r>
      <w:r w:rsidRPr="00853F36">
        <w:t>mix, then macro level workload estimates based on this source should be best.</w:t>
      </w:r>
      <w:r w:rsidRPr="00853F36">
        <w:rPr>
          <w:rStyle w:val="FootnoteReference"/>
        </w:rPr>
        <w:footnoteReference w:id="66"/>
      </w:r>
    </w:p>
    <w:p w:rsidR="00F63B31" w:rsidRPr="00853F36" w:rsidRDefault="00666F45" w:rsidP="00F63B31">
      <w:r>
        <w:t>Categories of care-</w:t>
      </w:r>
      <w:r w:rsidR="00F63B31" w:rsidRPr="00853F36">
        <w:t>based measures utilise a rati</w:t>
      </w:r>
      <w:r>
        <w:t xml:space="preserve">o approach of staff to patients. </w:t>
      </w:r>
      <w:r w:rsidR="001B5265">
        <w:t xml:space="preserve">These take into account </w:t>
      </w:r>
      <w:r w:rsidR="00F63B31" w:rsidRPr="00853F36">
        <w:t xml:space="preserve">different patient conditions, basic care needs and/or therapeutic intervention requirements. </w:t>
      </w:r>
      <w:r w:rsidR="001B5265">
        <w:t xml:space="preserve">They can establish </w:t>
      </w:r>
      <w:r w:rsidR="00F63B31" w:rsidRPr="00853F36">
        <w:t>differentiation between patient and client acuity lev</w:t>
      </w:r>
      <w:r w:rsidR="001B5265">
        <w:t>els</w:t>
      </w:r>
      <w:r w:rsidR="00F63B31" w:rsidRPr="00853F36">
        <w:t>. The data collection for this approach is gene</w:t>
      </w:r>
      <w:r>
        <w:t>rally resource intensive</w:t>
      </w:r>
      <w:r w:rsidR="001B5265">
        <w:t>. It can be</w:t>
      </w:r>
      <w:r>
        <w:t xml:space="preserve"> used</w:t>
      </w:r>
      <w:r w:rsidR="00F63B31" w:rsidRPr="00853F36">
        <w:t xml:space="preserve"> for rapid staffing adjustments in response to regular (normally daily) changes in patient numbers and condition. These methods are used in circumstances where patient throughput is high and variable. It is difficult to see how this method</w:t>
      </w:r>
      <w:r w:rsidR="001B5265">
        <w:t>,</w:t>
      </w:r>
      <w:r w:rsidR="00F63B31" w:rsidRPr="00853F36">
        <w:t xml:space="preserve"> as normally applied</w:t>
      </w:r>
      <w:r w:rsidR="001B5265">
        <w:t>,</w:t>
      </w:r>
      <w:r w:rsidR="00F63B31" w:rsidRPr="00853F36">
        <w:t xml:space="preserve"> could be used to deliver macro level estimates of labour requirement.</w:t>
      </w:r>
      <w:r w:rsidR="00F63B31" w:rsidRPr="00853F36">
        <w:rPr>
          <w:rStyle w:val="FootnoteReference"/>
        </w:rPr>
        <w:footnoteReference w:id="67"/>
      </w:r>
    </w:p>
    <w:p w:rsidR="00F63B31" w:rsidRPr="00853F36" w:rsidRDefault="00F63B31" w:rsidP="00F63B31">
      <w:r w:rsidRPr="00853F36">
        <w:t>In 2010</w:t>
      </w:r>
      <w:r w:rsidR="00666F45">
        <w:t>,</w:t>
      </w:r>
      <w:r w:rsidRPr="00853F36">
        <w:t xml:space="preserve"> a systematic review of literature on individual community professionals’ caseload management (i.e. behaviours related to assessment, treatment and dischar</w:t>
      </w:r>
      <w:r w:rsidR="00666F45">
        <w:t>ging of clients) was published</w:t>
      </w:r>
      <w:r w:rsidRPr="00853F36">
        <w:t>.</w:t>
      </w:r>
      <w:r w:rsidRPr="00853F36">
        <w:rPr>
          <w:rStyle w:val="FootnoteReference"/>
        </w:rPr>
        <w:footnoteReference w:id="68"/>
      </w:r>
      <w:r w:rsidRPr="00853F36">
        <w:t xml:space="preserve"> This literature was mainly experience-based as opposed to research-based. Findings suggested that team-based approaches </w:t>
      </w:r>
      <w:r w:rsidR="00666F45" w:rsidRPr="00853F36">
        <w:t>might</w:t>
      </w:r>
      <w:r w:rsidRPr="00853F36">
        <w:t xml:space="preserve"> facilitate effective caseload management. The theme of caseload measurement tools constituted the largest number of papers (n=11). Caseload measurement covered two dimensions: size (i.e. number of cases on a professional’s caseload) and ‘weight’ (i.e. size multiplied by case complexity). Caseload weight stemmed from an argument that caseload size alone is not a meaningful measure due to differences between individual cases. There was little evidence to support currently used caseload management tools.</w:t>
      </w:r>
    </w:p>
    <w:p w:rsidR="00F63B31" w:rsidRPr="00853F36" w:rsidRDefault="00F63B31" w:rsidP="00F63B31">
      <w:r w:rsidRPr="00853F36">
        <w:t>In 2005</w:t>
      </w:r>
      <w:r w:rsidR="004A457D">
        <w:t>,</w:t>
      </w:r>
      <w:r w:rsidRPr="00853F36">
        <w:t xml:space="preserve"> the Canadian Association of Occupational Therapists examined practices in caseload management among various therapists. They e-mailed associations representing health professions internationally including occupational therapy, physiotherapy, and speech language pathology in </w:t>
      </w:r>
      <w:smartTag w:uri="urn:schemas-microsoft-com:office:smarttags" w:element="country-region">
        <w:r w:rsidRPr="00853F36">
          <w:t>Australia</w:t>
        </w:r>
      </w:smartTag>
      <w:r w:rsidRPr="00853F36">
        <w:t xml:space="preserve">, </w:t>
      </w:r>
      <w:smartTag w:uri="urn:schemas-microsoft-com:office:smarttags" w:element="country-region">
        <w:r w:rsidRPr="00853F36">
          <w:t>New Zealand</w:t>
        </w:r>
      </w:smartTag>
      <w:r w:rsidRPr="00853F36">
        <w:t xml:space="preserve">, </w:t>
      </w:r>
      <w:smartTag w:uri="urn:schemas-microsoft-com:office:smarttags" w:element="country-region">
        <w:r w:rsidRPr="00853F36">
          <w:t>United Kingdom</w:t>
        </w:r>
      </w:smartTag>
      <w:r w:rsidRPr="00853F36">
        <w:t xml:space="preserve"> and the </w:t>
      </w:r>
      <w:smartTag w:uri="urn:schemas-microsoft-com:office:smarttags" w:element="place">
        <w:smartTag w:uri="urn:schemas-microsoft-com:office:smarttags" w:element="country-region">
          <w:r w:rsidRPr="00853F36">
            <w:t>United States</w:t>
          </w:r>
        </w:smartTag>
      </w:smartTag>
      <w:r w:rsidRPr="00853F36">
        <w:t>. The results show that, while caseload management is an issue of great interest, the majority of organizations do not have caseload guidelines in place.</w:t>
      </w:r>
      <w:r w:rsidRPr="00853F36">
        <w:rPr>
          <w:rStyle w:val="FootnoteReference"/>
        </w:rPr>
        <w:footnoteReference w:id="69"/>
      </w:r>
    </w:p>
    <w:p w:rsidR="00F63B31" w:rsidRPr="00853F36" w:rsidRDefault="00F63B31" w:rsidP="00F63B31">
      <w:r w:rsidRPr="00853F36">
        <w:t>To assist in the planning of therapy service provision</w:t>
      </w:r>
      <w:r w:rsidR="00B51A51">
        <w:t>,</w:t>
      </w:r>
      <w:r w:rsidRPr="00853F36">
        <w:t xml:space="preserve"> such as in the allocation of resources and staffing, studies in British Columbia (BC), Canada</w:t>
      </w:r>
      <w:r w:rsidR="00B51A51">
        <w:t>,</w:t>
      </w:r>
      <w:r w:rsidRPr="00853F36">
        <w:t xml:space="preserve"> tried to gain an understanding of what is a manageable caseload and workload for therapists. In 2006</w:t>
      </w:r>
      <w:r w:rsidR="004A457D">
        <w:t>,</w:t>
      </w:r>
      <w:r w:rsidRPr="00853F36">
        <w:t xml:space="preserve"> BC researchers recommended that there should be a province-wide focus on achieving consensus in balancing caseload and workload, waitlist prioritisation and development of guidelines.</w:t>
      </w:r>
      <w:r w:rsidRPr="00853F36">
        <w:rPr>
          <w:rStyle w:val="FootnoteReference"/>
        </w:rPr>
        <w:footnoteReference w:id="70"/>
      </w:r>
      <w:r w:rsidRPr="00853F36">
        <w:t xml:space="preserve"> The potential benefits of having caseload guidelines would include a therapist’s improved sense of providing an effective level of service and greater job satisfaction.</w:t>
      </w:r>
      <w:r w:rsidRPr="00853F36">
        <w:rPr>
          <w:rStyle w:val="FootnoteReference"/>
        </w:rPr>
        <w:footnoteReference w:id="71"/>
      </w:r>
    </w:p>
    <w:p w:rsidR="00546539" w:rsidRDefault="00F63B31" w:rsidP="00F63B31">
      <w:r w:rsidRPr="00853F36">
        <w:t>In 2008</w:t>
      </w:r>
      <w:r w:rsidR="004A457D">
        <w:t>,</w:t>
      </w:r>
      <w:r w:rsidR="00900CA0">
        <w:t xml:space="preserve"> </w:t>
      </w:r>
      <w:r w:rsidRPr="00853F36">
        <w:t>B</w:t>
      </w:r>
      <w:r w:rsidR="00900CA0">
        <w:t xml:space="preserve">ritish </w:t>
      </w:r>
      <w:r w:rsidRPr="00853F36">
        <w:t>C</w:t>
      </w:r>
      <w:r w:rsidR="00900CA0">
        <w:t>olumbia produced</w:t>
      </w:r>
      <w:r w:rsidRPr="00853F36">
        <w:t xml:space="preserve"> </w:t>
      </w:r>
      <w:r w:rsidR="00546539">
        <w:t xml:space="preserve">the </w:t>
      </w:r>
      <w:r w:rsidR="00B51A51">
        <w:rPr>
          <w:rFonts w:ascii="Gill Sans MT" w:hAnsi="Gill Sans MT"/>
        </w:rPr>
        <w:t>‘</w:t>
      </w:r>
      <w:r w:rsidR="00546539" w:rsidRPr="00853F36">
        <w:t>Preferred Practice Guidelin</w:t>
      </w:r>
      <w:r w:rsidR="00546539">
        <w:t>es for BC Paediatric Therapists</w:t>
      </w:r>
      <w:r w:rsidR="00546539">
        <w:rPr>
          <w:rFonts w:ascii="Gill Sans MT" w:hAnsi="Gill Sans MT"/>
        </w:rPr>
        <w:t>’</w:t>
      </w:r>
      <w:r w:rsidR="00546539">
        <w:t xml:space="preserve"> which are </w:t>
      </w:r>
      <w:r w:rsidRPr="00853F36">
        <w:t>based on the literature on therapy workload</w:t>
      </w:r>
      <w:r w:rsidR="00900CA0">
        <w:t xml:space="preserve"> and </w:t>
      </w:r>
      <w:r w:rsidR="008E4300">
        <w:t xml:space="preserve">on </w:t>
      </w:r>
      <w:r w:rsidR="00900CA0">
        <w:t xml:space="preserve">the input of the </w:t>
      </w:r>
      <w:r w:rsidR="00900CA0" w:rsidRPr="00853F36">
        <w:t>paediatric therapy community</w:t>
      </w:r>
      <w:r w:rsidR="008E4300">
        <w:t xml:space="preserve">. </w:t>
      </w:r>
      <w:r w:rsidRPr="00853F36">
        <w:t xml:space="preserve">The resulting practice guidelines are </w:t>
      </w:r>
      <w:r w:rsidR="00546539">
        <w:t xml:space="preserve">applicable to </w:t>
      </w:r>
      <w:r w:rsidR="00546539" w:rsidRPr="00546539">
        <w:t>Earl</w:t>
      </w:r>
      <w:r w:rsidR="00546539">
        <w:t xml:space="preserve">y Intervention Therapy </w:t>
      </w:r>
      <w:r w:rsidR="0080079F">
        <w:t>programmes which provide</w:t>
      </w:r>
      <w:r w:rsidR="00546539">
        <w:t xml:space="preserve"> OT, PT, and SLP (EIT)</w:t>
      </w:r>
      <w:r w:rsidR="00546539" w:rsidRPr="00546539">
        <w:t xml:space="preserve"> </w:t>
      </w:r>
      <w:r w:rsidRPr="00853F36">
        <w:t xml:space="preserve">and </w:t>
      </w:r>
      <w:r w:rsidR="00546539">
        <w:t xml:space="preserve">School-Age Therapy programmes which provides OT and PT (SAT) </w:t>
      </w:r>
      <w:r w:rsidRPr="00853F36">
        <w:t xml:space="preserve">and could </w:t>
      </w:r>
      <w:r w:rsidR="00546539">
        <w:t xml:space="preserve">be used to </w:t>
      </w:r>
      <w:r w:rsidRPr="00853F36">
        <w:t>inform paediatric therapy services in other settings.</w:t>
      </w:r>
      <w:r w:rsidRPr="00853F36">
        <w:rPr>
          <w:rStyle w:val="FootnoteReference"/>
        </w:rPr>
        <w:t xml:space="preserve"> </w:t>
      </w:r>
      <w:r w:rsidRPr="00853F36">
        <w:rPr>
          <w:rStyle w:val="FootnoteReference"/>
        </w:rPr>
        <w:footnoteReference w:id="72"/>
      </w:r>
      <w:r w:rsidRPr="00853F36">
        <w:t xml:space="preserve"> </w:t>
      </w:r>
    </w:p>
    <w:p w:rsidR="008E4300" w:rsidRDefault="00F63B31" w:rsidP="00F63B31">
      <w:r w:rsidRPr="00853F36">
        <w:t xml:space="preserve">The </w:t>
      </w:r>
      <w:r w:rsidR="00546539">
        <w:t xml:space="preserve">Guidelines Report is </w:t>
      </w:r>
      <w:r w:rsidR="00900CA0">
        <w:t>a tool to support</w:t>
      </w:r>
      <w:r w:rsidRPr="00853F36">
        <w:t xml:space="preserve"> manageable workloads within the context of a variety of caseload management strategies. Such strategies include waitlist and caseload prioriti</w:t>
      </w:r>
      <w:r w:rsidR="00900CA0">
        <w:t>zation tools (clinical decision-</w:t>
      </w:r>
      <w:r w:rsidRPr="00853F36">
        <w:t>making matrix, intervention intensity rating), the effective use of therapist assistants and administrative support, efficient documentation methods and the use of technology to support the client and non-client related activities.</w:t>
      </w:r>
      <w:r w:rsidR="008E4300">
        <w:t xml:space="preserve"> </w:t>
      </w:r>
    </w:p>
    <w:p w:rsidR="00F63B31" w:rsidRPr="00853F36" w:rsidRDefault="00546539" w:rsidP="00F63B31">
      <w:r>
        <w:t>The guidelines for Early Intervention</w:t>
      </w:r>
      <w:r w:rsidR="00F63B31" w:rsidRPr="00853F36">
        <w:t xml:space="preserve"> and S</w:t>
      </w:r>
      <w:r>
        <w:t xml:space="preserve">chool Age Therapy Programmes </w:t>
      </w:r>
      <w:r w:rsidR="00F63B31" w:rsidRPr="00853F36">
        <w:t>were presented in Workload Ratios and Caseload Size Tables. Caseload size ranges include figures for children considered ‘active,’ (indicating that they have received some level of service that month) and figures for children considered ‘inactive,’ (indicating that they are being monitored, but did not require any level of service that month). Figures were for full-time (3</w:t>
      </w:r>
      <w:r w:rsidR="008E4300">
        <w:t>5 hours) clinical therapists as well as</w:t>
      </w:r>
      <w:r w:rsidR="00F63B31" w:rsidRPr="00853F36">
        <w:t xml:space="preserve"> those in a ‘sole-cha</w:t>
      </w:r>
      <w:r w:rsidR="00346A83">
        <w:t>rge’</w:t>
      </w:r>
      <w:r w:rsidR="000A3E47">
        <w:rPr>
          <w:rStyle w:val="FootnoteReference"/>
        </w:rPr>
        <w:footnoteReference w:id="73"/>
      </w:r>
      <w:r w:rsidR="00346A83">
        <w:t xml:space="preserve"> therapist position </w:t>
      </w:r>
      <w:r w:rsidR="00E90BD7">
        <w:t>(Table 2</w:t>
      </w:r>
      <w:r w:rsidR="00A85193">
        <w:t>3</w:t>
      </w:r>
      <w:r w:rsidR="00F63B31" w:rsidRPr="00853F36">
        <w:t xml:space="preserve">). </w:t>
      </w:r>
    </w:p>
    <w:p w:rsidR="00F63B31" w:rsidRPr="00853F36" w:rsidRDefault="00346A83" w:rsidP="00567255">
      <w:pPr>
        <w:pStyle w:val="TableTitle"/>
      </w:pPr>
      <w:bookmarkStart w:id="167" w:name="_Toc419879426"/>
      <w:r>
        <w:t>Table</w:t>
      </w:r>
      <w:r w:rsidR="00632387">
        <w:t xml:space="preserve"> 23</w:t>
      </w:r>
      <w:r w:rsidR="00F63B31" w:rsidRPr="00853F36">
        <w:t>: Workload Ratio and Caseload Size</w:t>
      </w:r>
      <w:r w:rsidR="00F63B31" w:rsidRPr="00853F36">
        <w:rPr>
          <w:rStyle w:val="FootnoteReference"/>
        </w:rPr>
        <w:footnoteReference w:id="74"/>
      </w:r>
      <w:bookmarkEnd w:id="1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1689"/>
        <w:gridCol w:w="1662"/>
        <w:gridCol w:w="1561"/>
        <w:gridCol w:w="1726"/>
      </w:tblGrid>
      <w:tr w:rsidR="00F63B31" w:rsidRPr="00853F36" w:rsidTr="0080079F">
        <w:trPr>
          <w:cantSplit/>
        </w:trPr>
        <w:tc>
          <w:tcPr>
            <w:tcW w:w="2064" w:type="dxa"/>
          </w:tcPr>
          <w:p w:rsidR="00F63B31" w:rsidRPr="00853F36" w:rsidRDefault="00F63B31" w:rsidP="00567255">
            <w:pPr>
              <w:pStyle w:val="TableHead"/>
              <w:keepNext/>
            </w:pPr>
          </w:p>
        </w:tc>
        <w:tc>
          <w:tcPr>
            <w:tcW w:w="3431" w:type="dxa"/>
            <w:gridSpan w:val="2"/>
          </w:tcPr>
          <w:p w:rsidR="00F63B31" w:rsidRPr="00F63B31" w:rsidRDefault="00F63B31" w:rsidP="00567255">
            <w:pPr>
              <w:pStyle w:val="TableHead"/>
              <w:keepNext/>
            </w:pPr>
            <w:r w:rsidRPr="00F63B31">
              <w:t>Early Intervention Therapy</w:t>
            </w:r>
            <w:r w:rsidR="00546539">
              <w:t xml:space="preserve"> (EIT)</w:t>
            </w:r>
          </w:p>
        </w:tc>
        <w:tc>
          <w:tcPr>
            <w:tcW w:w="3361" w:type="dxa"/>
            <w:gridSpan w:val="2"/>
          </w:tcPr>
          <w:p w:rsidR="00F63B31" w:rsidRPr="00F63B31" w:rsidRDefault="00F63B31" w:rsidP="00567255">
            <w:pPr>
              <w:pStyle w:val="TableHead"/>
              <w:keepNext/>
            </w:pPr>
            <w:r w:rsidRPr="00F63B31">
              <w:t>School Aged Therapy</w:t>
            </w:r>
            <w:r w:rsidR="00546539">
              <w:t xml:space="preserve"> (SAT)</w:t>
            </w:r>
          </w:p>
        </w:tc>
      </w:tr>
      <w:tr w:rsidR="00F63B31" w:rsidRPr="00853F36" w:rsidTr="0080079F">
        <w:trPr>
          <w:cantSplit/>
        </w:trPr>
        <w:tc>
          <w:tcPr>
            <w:tcW w:w="2064" w:type="dxa"/>
          </w:tcPr>
          <w:p w:rsidR="00F63B31" w:rsidRPr="00853F36" w:rsidRDefault="00F63B31" w:rsidP="00567255">
            <w:pPr>
              <w:pStyle w:val="TableHead"/>
              <w:keepNext/>
            </w:pPr>
          </w:p>
        </w:tc>
        <w:tc>
          <w:tcPr>
            <w:tcW w:w="1730" w:type="dxa"/>
          </w:tcPr>
          <w:p w:rsidR="00F63B31" w:rsidRPr="00853F36" w:rsidRDefault="00F63B31" w:rsidP="00567255">
            <w:pPr>
              <w:pStyle w:val="TableHead"/>
              <w:keepNext/>
            </w:pPr>
            <w:r w:rsidRPr="00853F36">
              <w:t>Clinical therapist</w:t>
            </w:r>
          </w:p>
        </w:tc>
        <w:tc>
          <w:tcPr>
            <w:tcW w:w="1701" w:type="dxa"/>
          </w:tcPr>
          <w:p w:rsidR="00F63B31" w:rsidRPr="00853F36" w:rsidRDefault="00F63B31" w:rsidP="00567255">
            <w:pPr>
              <w:pStyle w:val="TableHead"/>
              <w:keepNext/>
            </w:pPr>
            <w:r w:rsidRPr="00853F36">
              <w:t>Sole charge therapist</w:t>
            </w:r>
          </w:p>
        </w:tc>
        <w:tc>
          <w:tcPr>
            <w:tcW w:w="1589" w:type="dxa"/>
          </w:tcPr>
          <w:p w:rsidR="00F63B31" w:rsidRPr="00853F36" w:rsidRDefault="00F63B31" w:rsidP="00567255">
            <w:pPr>
              <w:pStyle w:val="TableHead"/>
              <w:keepNext/>
            </w:pPr>
            <w:r w:rsidRPr="00853F36">
              <w:t>Clinical therapist</w:t>
            </w:r>
          </w:p>
        </w:tc>
        <w:tc>
          <w:tcPr>
            <w:tcW w:w="1772" w:type="dxa"/>
          </w:tcPr>
          <w:p w:rsidR="00F63B31" w:rsidRPr="00853F36" w:rsidRDefault="00F63B31" w:rsidP="00567255">
            <w:pPr>
              <w:pStyle w:val="TableHead"/>
              <w:keepNext/>
            </w:pPr>
            <w:r w:rsidRPr="00853F36">
              <w:t>Sole charge therapist</w:t>
            </w:r>
          </w:p>
        </w:tc>
      </w:tr>
      <w:tr w:rsidR="00F63B31" w:rsidRPr="00853F36" w:rsidTr="0080079F">
        <w:trPr>
          <w:cantSplit/>
        </w:trPr>
        <w:tc>
          <w:tcPr>
            <w:tcW w:w="2064" w:type="dxa"/>
          </w:tcPr>
          <w:p w:rsidR="00F63B31" w:rsidRPr="00F63B31" w:rsidRDefault="00F63B31" w:rsidP="00567255">
            <w:pPr>
              <w:pStyle w:val="TableCell"/>
              <w:keepNext/>
              <w:jc w:val="left"/>
              <w:rPr>
                <w:rFonts w:cs="TimesNewRomanPSMT"/>
                <w:sz w:val="22"/>
                <w:szCs w:val="22"/>
                <w:lang w:val="en-GB" w:eastAsia="en-GB"/>
              </w:rPr>
            </w:pPr>
            <w:r w:rsidRPr="00F63B31">
              <w:rPr>
                <w:rFonts w:cs="TimesNewRomanPS-BoldMT"/>
                <w:b/>
                <w:bCs/>
                <w:sz w:val="22"/>
                <w:szCs w:val="22"/>
                <w:lang w:val="en-GB" w:eastAsia="en-GB"/>
              </w:rPr>
              <w:t xml:space="preserve">Workload Ratio </w:t>
            </w:r>
            <w:r w:rsidRPr="00F63B31">
              <w:rPr>
                <w:rFonts w:cs="TimesNewRomanPSMT"/>
                <w:sz w:val="22"/>
                <w:szCs w:val="22"/>
                <w:lang w:val="en-GB" w:eastAsia="en-GB"/>
              </w:rPr>
              <w:t>% of time spent on client</w:t>
            </w:r>
          </w:p>
          <w:p w:rsidR="00F63B31" w:rsidRPr="00F63B31" w:rsidRDefault="00F63B31" w:rsidP="00567255">
            <w:pPr>
              <w:pStyle w:val="TableCell"/>
              <w:keepNext/>
              <w:jc w:val="left"/>
              <w:rPr>
                <w:rFonts w:cs="TimesNewRomanPSMT"/>
                <w:sz w:val="22"/>
                <w:szCs w:val="22"/>
                <w:lang w:val="en-GB" w:eastAsia="en-GB"/>
              </w:rPr>
            </w:pPr>
            <w:r w:rsidRPr="00F63B31">
              <w:rPr>
                <w:rFonts w:cs="TimesNewRomanPSMT"/>
                <w:sz w:val="22"/>
                <w:szCs w:val="22"/>
                <w:lang w:val="en-GB" w:eastAsia="en-GB"/>
              </w:rPr>
              <w:t>related vs. non-client related tasks*</w:t>
            </w:r>
          </w:p>
        </w:tc>
        <w:tc>
          <w:tcPr>
            <w:tcW w:w="1730" w:type="dxa"/>
          </w:tcPr>
          <w:p w:rsidR="00F63B31" w:rsidRPr="00F63B31" w:rsidRDefault="00F63B31" w:rsidP="00567255">
            <w:pPr>
              <w:pStyle w:val="TableCell"/>
              <w:keepNext/>
              <w:rPr>
                <w:rFonts w:cs="TimesNewRomanPSMT"/>
                <w:sz w:val="22"/>
                <w:szCs w:val="22"/>
                <w:lang w:val="en-GB" w:eastAsia="en-GB"/>
              </w:rPr>
            </w:pPr>
            <w:r w:rsidRPr="00F63B31">
              <w:rPr>
                <w:rFonts w:cs="TimesNewRomanPSMT"/>
                <w:sz w:val="22"/>
                <w:szCs w:val="22"/>
                <w:lang w:val="en-GB" w:eastAsia="en-GB"/>
              </w:rPr>
              <w:t>70% : 30% to</w:t>
            </w:r>
          </w:p>
          <w:p w:rsidR="00F63B31" w:rsidRPr="00853F36" w:rsidRDefault="00F63B31" w:rsidP="00567255">
            <w:pPr>
              <w:pStyle w:val="TableCell"/>
              <w:keepNext/>
            </w:pPr>
            <w:r w:rsidRPr="00F63B31">
              <w:rPr>
                <w:rFonts w:cs="TimesNewRomanPSMT"/>
                <w:sz w:val="22"/>
                <w:szCs w:val="22"/>
                <w:lang w:val="en-GB" w:eastAsia="en-GB"/>
              </w:rPr>
              <w:t>80% : 20%</w:t>
            </w:r>
          </w:p>
        </w:tc>
        <w:tc>
          <w:tcPr>
            <w:tcW w:w="1701" w:type="dxa"/>
          </w:tcPr>
          <w:p w:rsidR="00F63B31" w:rsidRPr="00F63B31" w:rsidRDefault="00F63B31" w:rsidP="00567255">
            <w:pPr>
              <w:pStyle w:val="TableCell"/>
              <w:keepNext/>
              <w:rPr>
                <w:rFonts w:cs="TimesNewRomanPSMT"/>
                <w:sz w:val="22"/>
                <w:szCs w:val="22"/>
                <w:lang w:val="en-GB" w:eastAsia="en-GB"/>
              </w:rPr>
            </w:pPr>
            <w:r w:rsidRPr="00F63B31">
              <w:rPr>
                <w:rFonts w:cs="TimesNewRomanPSMT"/>
                <w:sz w:val="22"/>
                <w:szCs w:val="22"/>
                <w:lang w:val="en-GB" w:eastAsia="en-GB"/>
              </w:rPr>
              <w:t>65% : 35% to 75% : 25%</w:t>
            </w:r>
          </w:p>
        </w:tc>
        <w:tc>
          <w:tcPr>
            <w:tcW w:w="1589" w:type="dxa"/>
          </w:tcPr>
          <w:p w:rsidR="00F63B31" w:rsidRPr="00F63B31" w:rsidRDefault="00F63B31" w:rsidP="00567255">
            <w:pPr>
              <w:pStyle w:val="TableCell"/>
              <w:keepNext/>
              <w:rPr>
                <w:rFonts w:cs="TimesNewRomanPSMT"/>
                <w:sz w:val="22"/>
                <w:szCs w:val="22"/>
                <w:lang w:val="en-GB" w:eastAsia="en-GB"/>
              </w:rPr>
            </w:pPr>
            <w:r w:rsidRPr="00F63B31">
              <w:rPr>
                <w:rFonts w:cs="TimesNewRomanPSMT"/>
                <w:sz w:val="22"/>
                <w:szCs w:val="22"/>
                <w:lang w:val="en-GB" w:eastAsia="en-GB"/>
              </w:rPr>
              <w:t>70% : 30% to</w:t>
            </w:r>
          </w:p>
          <w:p w:rsidR="00F63B31" w:rsidRPr="00853F36" w:rsidRDefault="00F63B31" w:rsidP="00567255">
            <w:pPr>
              <w:pStyle w:val="TableCell"/>
              <w:keepNext/>
            </w:pPr>
            <w:r w:rsidRPr="00F63B31">
              <w:rPr>
                <w:rFonts w:cs="TimesNewRomanPSMT"/>
                <w:sz w:val="22"/>
                <w:szCs w:val="22"/>
                <w:lang w:val="en-GB" w:eastAsia="en-GB"/>
              </w:rPr>
              <w:t>80% : 20%</w:t>
            </w:r>
          </w:p>
        </w:tc>
        <w:tc>
          <w:tcPr>
            <w:tcW w:w="1772" w:type="dxa"/>
          </w:tcPr>
          <w:p w:rsidR="00F63B31" w:rsidRPr="00F63B31" w:rsidRDefault="00F63B31" w:rsidP="00567255">
            <w:pPr>
              <w:pStyle w:val="TableCell"/>
              <w:keepNext/>
              <w:rPr>
                <w:rFonts w:cs="TimesNewRomanPSMT"/>
                <w:sz w:val="22"/>
                <w:szCs w:val="22"/>
                <w:lang w:val="en-GB" w:eastAsia="en-GB"/>
              </w:rPr>
            </w:pPr>
            <w:r w:rsidRPr="00F63B31">
              <w:rPr>
                <w:rFonts w:cs="TimesNewRomanPSMT"/>
                <w:sz w:val="22"/>
                <w:szCs w:val="22"/>
                <w:lang w:val="en-GB" w:eastAsia="en-GB"/>
              </w:rPr>
              <w:t>65% : 35% to</w:t>
            </w:r>
          </w:p>
          <w:p w:rsidR="00F63B31" w:rsidRPr="00853F36" w:rsidRDefault="00F63B31" w:rsidP="00567255">
            <w:pPr>
              <w:pStyle w:val="TableCell"/>
              <w:keepNext/>
            </w:pPr>
            <w:r w:rsidRPr="00F63B31">
              <w:rPr>
                <w:rFonts w:cs="TimesNewRomanPSMT"/>
                <w:sz w:val="22"/>
                <w:szCs w:val="22"/>
                <w:lang w:val="en-GB" w:eastAsia="en-GB"/>
              </w:rPr>
              <w:t>75% : 25%</w:t>
            </w:r>
          </w:p>
        </w:tc>
      </w:tr>
      <w:tr w:rsidR="00F63B31" w:rsidRPr="00853F36" w:rsidTr="0080079F">
        <w:trPr>
          <w:cantSplit/>
        </w:trPr>
        <w:tc>
          <w:tcPr>
            <w:tcW w:w="2064" w:type="dxa"/>
            <w:vMerge w:val="restart"/>
          </w:tcPr>
          <w:p w:rsidR="00F63B31" w:rsidRPr="00F63B31" w:rsidRDefault="00F63B31" w:rsidP="00567255">
            <w:pPr>
              <w:pStyle w:val="TableCell"/>
              <w:keepNext/>
              <w:jc w:val="left"/>
              <w:rPr>
                <w:sz w:val="22"/>
                <w:szCs w:val="22"/>
              </w:rPr>
            </w:pPr>
            <w:r w:rsidRPr="00F63B31">
              <w:rPr>
                <w:b/>
                <w:szCs w:val="26"/>
              </w:rPr>
              <w:t>Caseload size</w:t>
            </w:r>
            <w:r w:rsidRPr="00F63B31">
              <w:rPr>
                <w:szCs w:val="26"/>
              </w:rPr>
              <w:t xml:space="preserve"> </w:t>
            </w:r>
            <w:r w:rsidRPr="00F63B31">
              <w:rPr>
                <w:sz w:val="22"/>
                <w:szCs w:val="22"/>
              </w:rPr>
              <w:t>No. of children receiving service per month</w:t>
            </w:r>
          </w:p>
        </w:tc>
        <w:tc>
          <w:tcPr>
            <w:tcW w:w="1730" w:type="dxa"/>
          </w:tcPr>
          <w:p w:rsidR="00F63B31" w:rsidRPr="00F63B31" w:rsidRDefault="00F63B31" w:rsidP="00567255">
            <w:pPr>
              <w:pStyle w:val="TableCell"/>
              <w:keepNext/>
              <w:rPr>
                <w:rFonts w:cs="TimesNewRomanPSMT"/>
                <w:sz w:val="22"/>
                <w:szCs w:val="22"/>
                <w:lang w:val="en-GB" w:eastAsia="en-GB"/>
              </w:rPr>
            </w:pPr>
            <w:r w:rsidRPr="00F63B31">
              <w:rPr>
                <w:rFonts w:cs="TimesNewRomanPSMT"/>
                <w:sz w:val="22"/>
                <w:szCs w:val="22"/>
                <w:lang w:val="en-GB" w:eastAsia="en-GB"/>
              </w:rPr>
              <w:t>30 – 40</w:t>
            </w:r>
          </w:p>
          <w:p w:rsidR="00F63B31" w:rsidRPr="00853F36" w:rsidRDefault="00F63B31" w:rsidP="00567255">
            <w:pPr>
              <w:pStyle w:val="TableCell"/>
              <w:keepNext/>
            </w:pPr>
          </w:p>
        </w:tc>
        <w:tc>
          <w:tcPr>
            <w:tcW w:w="1701" w:type="dxa"/>
          </w:tcPr>
          <w:p w:rsidR="00F63B31" w:rsidRPr="00F63B31" w:rsidRDefault="00F63B31" w:rsidP="00567255">
            <w:pPr>
              <w:pStyle w:val="TableCell"/>
              <w:keepNext/>
              <w:rPr>
                <w:sz w:val="22"/>
                <w:szCs w:val="22"/>
              </w:rPr>
            </w:pPr>
            <w:r w:rsidRPr="00F63B31">
              <w:rPr>
                <w:sz w:val="22"/>
                <w:szCs w:val="22"/>
              </w:rPr>
              <w:t>25-35</w:t>
            </w:r>
          </w:p>
        </w:tc>
        <w:tc>
          <w:tcPr>
            <w:tcW w:w="1589" w:type="dxa"/>
          </w:tcPr>
          <w:p w:rsidR="00F63B31" w:rsidRPr="00F63B31" w:rsidRDefault="00F63B31" w:rsidP="00567255">
            <w:pPr>
              <w:pStyle w:val="TableCell"/>
              <w:keepNext/>
              <w:rPr>
                <w:sz w:val="22"/>
                <w:szCs w:val="22"/>
              </w:rPr>
            </w:pPr>
            <w:r w:rsidRPr="00F63B31">
              <w:rPr>
                <w:sz w:val="22"/>
                <w:szCs w:val="22"/>
              </w:rPr>
              <w:t>50-65</w:t>
            </w:r>
          </w:p>
        </w:tc>
        <w:tc>
          <w:tcPr>
            <w:tcW w:w="1772" w:type="dxa"/>
          </w:tcPr>
          <w:p w:rsidR="00F63B31" w:rsidRPr="00F63B31" w:rsidRDefault="00F63B31" w:rsidP="00567255">
            <w:pPr>
              <w:pStyle w:val="TableCell"/>
              <w:keepNext/>
              <w:rPr>
                <w:sz w:val="22"/>
                <w:szCs w:val="22"/>
              </w:rPr>
            </w:pPr>
            <w:r w:rsidRPr="00F63B31">
              <w:rPr>
                <w:sz w:val="22"/>
                <w:szCs w:val="22"/>
              </w:rPr>
              <w:t>45-55</w:t>
            </w:r>
          </w:p>
        </w:tc>
      </w:tr>
      <w:tr w:rsidR="00F63B31" w:rsidRPr="00853F36" w:rsidTr="0080079F">
        <w:trPr>
          <w:cantSplit/>
        </w:trPr>
        <w:tc>
          <w:tcPr>
            <w:tcW w:w="2064" w:type="dxa"/>
            <w:vMerge/>
          </w:tcPr>
          <w:p w:rsidR="00F63B31" w:rsidRPr="00853F36" w:rsidRDefault="00F63B31" w:rsidP="00567255">
            <w:pPr>
              <w:pStyle w:val="TableCell"/>
              <w:keepNext/>
            </w:pPr>
          </w:p>
        </w:tc>
        <w:tc>
          <w:tcPr>
            <w:tcW w:w="1730" w:type="dxa"/>
          </w:tcPr>
          <w:p w:rsidR="00F63B31" w:rsidRPr="00F63B31" w:rsidRDefault="00F63B31" w:rsidP="00567255">
            <w:pPr>
              <w:pStyle w:val="TableCell"/>
              <w:keepNext/>
              <w:rPr>
                <w:rFonts w:cs="TimesNewRomanPS-ItalicMT"/>
                <w:iCs/>
                <w:sz w:val="22"/>
                <w:szCs w:val="22"/>
                <w:lang w:val="en-GB" w:eastAsia="en-GB"/>
              </w:rPr>
            </w:pPr>
            <w:r w:rsidRPr="00F63B31">
              <w:rPr>
                <w:rFonts w:cs="TimesNewRomanPS-ItalicMT"/>
                <w:iCs/>
                <w:sz w:val="22"/>
                <w:szCs w:val="22"/>
                <w:lang w:val="en-GB" w:eastAsia="en-GB"/>
              </w:rPr>
              <w:t>20-25 active</w:t>
            </w:r>
          </w:p>
          <w:p w:rsidR="00F63B31" w:rsidRPr="00F63B31" w:rsidRDefault="00F63B31" w:rsidP="00567255">
            <w:pPr>
              <w:pStyle w:val="TableCell"/>
              <w:keepNext/>
              <w:rPr>
                <w:rFonts w:cs="TimesNewRomanPSMT"/>
                <w:sz w:val="22"/>
                <w:szCs w:val="22"/>
                <w:lang w:val="en-GB" w:eastAsia="en-GB"/>
              </w:rPr>
            </w:pPr>
            <w:r w:rsidRPr="00F63B31">
              <w:rPr>
                <w:rFonts w:cs="TimesNewRomanPS-ItalicMT"/>
                <w:iCs/>
                <w:sz w:val="22"/>
                <w:szCs w:val="22"/>
                <w:lang w:val="en-GB" w:eastAsia="en-GB"/>
              </w:rPr>
              <w:t>10-15 inactive</w:t>
            </w:r>
          </w:p>
        </w:tc>
        <w:tc>
          <w:tcPr>
            <w:tcW w:w="1701" w:type="dxa"/>
          </w:tcPr>
          <w:p w:rsidR="00F63B31" w:rsidRPr="00F63B31" w:rsidRDefault="00F63B31" w:rsidP="00567255">
            <w:pPr>
              <w:pStyle w:val="TableCell"/>
              <w:keepNext/>
              <w:rPr>
                <w:rFonts w:cs="TimesNewRomanPS-ItalicMT"/>
                <w:iCs/>
                <w:sz w:val="22"/>
                <w:szCs w:val="22"/>
                <w:lang w:val="en-GB" w:eastAsia="en-GB"/>
              </w:rPr>
            </w:pPr>
            <w:r w:rsidRPr="00F63B31">
              <w:rPr>
                <w:rFonts w:cs="TimesNewRomanPS-ItalicMT"/>
                <w:iCs/>
                <w:sz w:val="22"/>
                <w:szCs w:val="22"/>
                <w:lang w:val="en-GB" w:eastAsia="en-GB"/>
              </w:rPr>
              <w:t>15-20 active</w:t>
            </w:r>
          </w:p>
          <w:p w:rsidR="00F63B31" w:rsidRPr="00F63B31" w:rsidRDefault="00F63B31" w:rsidP="00567255">
            <w:pPr>
              <w:pStyle w:val="TableCell"/>
              <w:keepNext/>
              <w:rPr>
                <w:sz w:val="22"/>
                <w:szCs w:val="22"/>
              </w:rPr>
            </w:pPr>
            <w:r w:rsidRPr="00F63B31">
              <w:rPr>
                <w:rFonts w:cs="TimesNewRomanPS-ItalicMT"/>
                <w:iCs/>
                <w:sz w:val="22"/>
                <w:szCs w:val="22"/>
                <w:lang w:val="en-GB" w:eastAsia="en-GB"/>
              </w:rPr>
              <w:t>10-15 inactive</w:t>
            </w:r>
          </w:p>
        </w:tc>
        <w:tc>
          <w:tcPr>
            <w:tcW w:w="1589" w:type="dxa"/>
          </w:tcPr>
          <w:p w:rsidR="00F63B31" w:rsidRPr="00F63B31" w:rsidRDefault="00F63B31" w:rsidP="00567255">
            <w:pPr>
              <w:pStyle w:val="TableCell"/>
              <w:keepNext/>
              <w:rPr>
                <w:rFonts w:cs="TimesNewRomanPS-ItalicMT"/>
                <w:iCs/>
                <w:sz w:val="22"/>
                <w:szCs w:val="22"/>
                <w:lang w:val="en-GB" w:eastAsia="en-GB"/>
              </w:rPr>
            </w:pPr>
            <w:r w:rsidRPr="00F63B31">
              <w:rPr>
                <w:rFonts w:cs="TimesNewRomanPS-ItalicMT"/>
                <w:iCs/>
                <w:sz w:val="22"/>
                <w:szCs w:val="22"/>
                <w:lang w:val="en-GB" w:eastAsia="en-GB"/>
              </w:rPr>
              <w:t>25-35 active</w:t>
            </w:r>
          </w:p>
          <w:p w:rsidR="00F63B31" w:rsidRPr="00F63B31" w:rsidRDefault="00F63B31" w:rsidP="00567255">
            <w:pPr>
              <w:pStyle w:val="TableCell"/>
              <w:keepNext/>
              <w:rPr>
                <w:sz w:val="22"/>
                <w:szCs w:val="22"/>
              </w:rPr>
            </w:pPr>
            <w:r w:rsidRPr="00F63B31">
              <w:rPr>
                <w:rFonts w:cs="TimesNewRomanPS-ItalicMT"/>
                <w:iCs/>
                <w:sz w:val="22"/>
                <w:szCs w:val="22"/>
                <w:lang w:val="en-GB" w:eastAsia="en-GB"/>
              </w:rPr>
              <w:t>25-30 inactive</w:t>
            </w:r>
          </w:p>
        </w:tc>
        <w:tc>
          <w:tcPr>
            <w:tcW w:w="1772" w:type="dxa"/>
          </w:tcPr>
          <w:p w:rsidR="00F63B31" w:rsidRPr="00F63B31" w:rsidRDefault="00F63B31" w:rsidP="00567255">
            <w:pPr>
              <w:pStyle w:val="TableCell"/>
              <w:keepNext/>
              <w:rPr>
                <w:rFonts w:cs="TimesNewRomanPS-ItalicMT"/>
                <w:iCs/>
                <w:sz w:val="22"/>
                <w:szCs w:val="22"/>
                <w:lang w:val="en-GB" w:eastAsia="en-GB"/>
              </w:rPr>
            </w:pPr>
            <w:r w:rsidRPr="00F63B31">
              <w:rPr>
                <w:rFonts w:cs="TimesNewRomanPS-ItalicMT"/>
                <w:iCs/>
                <w:sz w:val="22"/>
                <w:szCs w:val="22"/>
                <w:lang w:val="en-GB" w:eastAsia="en-GB"/>
              </w:rPr>
              <w:t>20-25 active</w:t>
            </w:r>
          </w:p>
          <w:p w:rsidR="00F63B31" w:rsidRPr="00F63B31" w:rsidRDefault="00F63B31" w:rsidP="00567255">
            <w:pPr>
              <w:pStyle w:val="TableCell"/>
              <w:keepNext/>
              <w:rPr>
                <w:sz w:val="22"/>
                <w:szCs w:val="22"/>
              </w:rPr>
            </w:pPr>
            <w:r w:rsidRPr="00F63B31">
              <w:rPr>
                <w:rFonts w:cs="TimesNewRomanPS-ItalicMT"/>
                <w:iCs/>
                <w:sz w:val="22"/>
                <w:szCs w:val="22"/>
                <w:lang w:val="en-GB" w:eastAsia="en-GB"/>
              </w:rPr>
              <w:t>25-30 inactive</w:t>
            </w:r>
          </w:p>
        </w:tc>
      </w:tr>
    </w:tbl>
    <w:p w:rsidR="00F63B31" w:rsidRPr="00853F36" w:rsidRDefault="00F63B31" w:rsidP="00567255">
      <w:pPr>
        <w:pStyle w:val="TableNote"/>
        <w:rPr>
          <w:lang w:val="en-GB" w:eastAsia="en-GB"/>
        </w:rPr>
      </w:pPr>
      <w:r w:rsidRPr="00853F36">
        <w:rPr>
          <w:rFonts w:cs="TimesNewRomanPSMT"/>
          <w:sz w:val="24"/>
          <w:lang w:val="en-GB" w:eastAsia="en-GB"/>
        </w:rPr>
        <w:t xml:space="preserve">* </w:t>
      </w:r>
      <w:r w:rsidRPr="00853F36">
        <w:rPr>
          <w:lang w:val="en-GB" w:eastAsia="en-GB"/>
        </w:rPr>
        <w:t>Travel time is accounted for in both the percentage of time used to conduct client related activities and non-client related activities.</w:t>
      </w:r>
    </w:p>
    <w:p w:rsidR="00F63B31" w:rsidRPr="00853F36" w:rsidRDefault="00F63B31" w:rsidP="00F63B31">
      <w:pPr>
        <w:spacing w:before="240"/>
      </w:pPr>
      <w:r w:rsidRPr="00853F36">
        <w:t>In 2008</w:t>
      </w:r>
      <w:r w:rsidR="008E4300">
        <w:t>,</w:t>
      </w:r>
      <w:r w:rsidRPr="00853F36">
        <w:t xml:space="preserve"> a pilot project </w:t>
      </w:r>
      <w:r w:rsidR="00546539">
        <w:t xml:space="preserve">(Phase 1) </w:t>
      </w:r>
      <w:r w:rsidRPr="00853F36">
        <w:t>investigated the feasibility and support for a points-based caseload measure for paediatric OTs and PTs working in community based practice in British Columbia.</w:t>
      </w:r>
      <w:r w:rsidRPr="00853F36">
        <w:rPr>
          <w:rStyle w:val="FootnoteReference"/>
        </w:rPr>
        <w:footnoteReference w:id="75"/>
      </w:r>
      <w:r w:rsidRPr="00853F36">
        <w:t xml:space="preserve"> </w:t>
      </w:r>
      <w:r w:rsidR="00546539" w:rsidRPr="00853F36">
        <w:t>There were positive results in Phase 1</w:t>
      </w:r>
      <w:r w:rsidR="00546539">
        <w:t>.</w:t>
      </w:r>
      <w:r w:rsidR="00546539" w:rsidRPr="00853F36">
        <w:rPr>
          <w:rStyle w:val="FootnoteReference"/>
        </w:rPr>
        <w:footnoteReference w:id="76"/>
      </w:r>
      <w:r w:rsidR="00546539" w:rsidRPr="00853F36">
        <w:t xml:space="preserve"> </w:t>
      </w:r>
      <w:r w:rsidRPr="00853F36">
        <w:t>Phase 2 investigated the intra-</w:t>
      </w:r>
      <w:proofErr w:type="spellStart"/>
      <w:r w:rsidRPr="00853F36">
        <w:t>rater</w:t>
      </w:r>
      <w:proofErr w:type="spellEnd"/>
      <w:r w:rsidRPr="00853F36">
        <w:t xml:space="preserve"> reliability of the measure and of the workload manageability scale, and began the process of supporting validity hypotheses. In 2011</w:t>
      </w:r>
      <w:r w:rsidR="008E4300">
        <w:t>,</w:t>
      </w:r>
      <w:r w:rsidRPr="00853F36">
        <w:t xml:space="preserve"> a research summary was published on phase 2 of the Workload Assessment Tool for Therapists (WAT-T)</w:t>
      </w:r>
      <w:r w:rsidR="009B64A7">
        <w:t xml:space="preserve"> where the results were also </w:t>
      </w:r>
      <w:r w:rsidR="00546539">
        <w:t>positive</w:t>
      </w:r>
      <w:r w:rsidR="009B64A7">
        <w:t>, determining the reliability of the Tool</w:t>
      </w:r>
      <w:r w:rsidRPr="00853F36">
        <w:t>.</w:t>
      </w:r>
      <w:r w:rsidRPr="00853F36">
        <w:rPr>
          <w:rStyle w:val="FootnoteReference"/>
        </w:rPr>
        <w:footnoteReference w:id="77"/>
      </w:r>
      <w:r w:rsidRPr="00853F36">
        <w:t xml:space="preserve"> Phase 3 of the research project </w:t>
      </w:r>
      <w:r w:rsidR="008E4300">
        <w:t xml:space="preserve">has </w:t>
      </w:r>
      <w:r w:rsidRPr="00853F36">
        <w:t xml:space="preserve">the goal of determining </w:t>
      </w:r>
      <w:r w:rsidR="009B64A7">
        <w:t xml:space="preserve">the </w:t>
      </w:r>
      <w:r w:rsidRPr="00853F36">
        <w:t xml:space="preserve">ideal point-based caseload guidelines for OTs, PTs and SLPs in early intervention in British Columbia. </w:t>
      </w:r>
      <w:r w:rsidR="001B5265">
        <w:t>The principles of this Tool may</w:t>
      </w:r>
      <w:r w:rsidRPr="00853F36">
        <w:t xml:space="preserve"> be t</w:t>
      </w:r>
      <w:r w:rsidR="001B5265">
        <w:t>ransferable to school age</w:t>
      </w:r>
      <w:r w:rsidRPr="00853F36">
        <w:t xml:space="preserve"> therapists, although further research </w:t>
      </w:r>
      <w:r w:rsidR="009B64A7">
        <w:t xml:space="preserve">is </w:t>
      </w:r>
      <w:r w:rsidRPr="00853F36">
        <w:t>necessary to establish appropriate points guidelines for that context.</w:t>
      </w:r>
      <w:r w:rsidRPr="00853F36">
        <w:rPr>
          <w:rStyle w:val="FootnoteReference"/>
        </w:rPr>
        <w:footnoteReference w:id="78"/>
      </w:r>
      <w:r w:rsidRPr="00853F36">
        <w:t xml:space="preserve"> The research question guiding the overall project is the determination of the size of a manageable caseload for these therapists. The WAT-T project has an underlying assumption that the same child may be more or less complex to a therapist with different experience and expertise, and that the workload that each child creates for a therapist is subjective. The WAT-T tool assists therapists in assigning points to each child on their caseload, to determine the total number of points on their caseload, rather than the total number of children.</w:t>
      </w:r>
    </w:p>
    <w:p w:rsidR="00F63B31" w:rsidRPr="00853F36" w:rsidRDefault="00F63B31" w:rsidP="00916976">
      <w:r w:rsidRPr="00853F36">
        <w:t>In Canada</w:t>
      </w:r>
      <w:r w:rsidR="008E4300">
        <w:t>,</w:t>
      </w:r>
      <w:r w:rsidRPr="00853F36">
        <w:t xml:space="preserve"> in 2009</w:t>
      </w:r>
      <w:r w:rsidR="008E4300">
        <w:t>,</w:t>
      </w:r>
      <w:r w:rsidRPr="00853F36">
        <w:t xml:space="preserve"> a document </w:t>
      </w:r>
      <w:r w:rsidR="00916976" w:rsidRPr="00853F36">
        <w:t xml:space="preserve">was published </w:t>
      </w:r>
      <w:r w:rsidRPr="00853F36">
        <w:t xml:space="preserve">on developing an inter-professional caseload management tool in Occupational Therapy, Physiotherapy and Speech Language Pathology (OT, PT and SLP). </w:t>
      </w:r>
      <w:r w:rsidR="008E4300">
        <w:t>D</w:t>
      </w:r>
      <w:r w:rsidRPr="00853F36">
        <w:t xml:space="preserve">ifferent professional associations had done background work and the steering group for </w:t>
      </w:r>
      <w:r w:rsidR="00D0650C">
        <w:t xml:space="preserve">the </w:t>
      </w:r>
      <w:r w:rsidRPr="00853F36">
        <w:t>project</w:t>
      </w:r>
      <w:r w:rsidR="00D0650C">
        <w:t>,</w:t>
      </w:r>
      <w:r w:rsidRPr="00853F36">
        <w:t xml:space="preserve"> drawn from the three associations</w:t>
      </w:r>
      <w:r w:rsidR="00D0650C">
        <w:t>,</w:t>
      </w:r>
      <w:r w:rsidRPr="00853F36">
        <w:t xml:space="preserve"> undertook a literature review based on a framework suggested by the Human Capital Alliance in 2006.</w:t>
      </w:r>
      <w:r w:rsidRPr="00853F36">
        <w:rPr>
          <w:rStyle w:val="FootnoteReference"/>
        </w:rPr>
        <w:footnoteReference w:id="79"/>
      </w:r>
      <w:r w:rsidR="00916976">
        <w:t xml:space="preserve"> </w:t>
      </w:r>
      <w:r w:rsidRPr="00853F36">
        <w:t xml:space="preserve">“An analysis and synthesis of the literature according to this framework in OT, PT, S-LP, and other professions notably nursing reveals efforts and multiple approaches to promote effective caseload management. Despite these diverse and innovative methodologies, there is no </w:t>
      </w:r>
      <w:r w:rsidR="00D0650C">
        <w:t xml:space="preserve">single </w:t>
      </w:r>
      <w:r w:rsidRPr="00853F36">
        <w:t>superior model that suits all practice contexts and service delivery systems. The evidence confirms that effective caseload management in OT, PT, and S-LP remains a complex and variable process</w:t>
      </w:r>
      <w:r w:rsidR="009B64A7">
        <w:t>,</w:t>
      </w:r>
      <w:r w:rsidRPr="00853F36">
        <w:t xml:space="preserve"> in which many factors must be considered including: client classification system, flexibility, client complexity, population health perspective, simplicity, evidence-based, provider experience, and organizational factors”.</w:t>
      </w:r>
    </w:p>
    <w:p w:rsidR="00F63B31" w:rsidRPr="00853F36" w:rsidRDefault="00D0650C" w:rsidP="00F63B31">
      <w:r>
        <w:t>The tool</w:t>
      </w:r>
      <w:r w:rsidR="00F11456">
        <w:t xml:space="preserve"> consists of a seven-</w:t>
      </w:r>
      <w:r w:rsidR="00F63B31" w:rsidRPr="00853F36">
        <w:t>step process which combines elements from several of the models used in Canada</w:t>
      </w:r>
      <w:r>
        <w:t>.</w:t>
      </w:r>
      <w:r w:rsidR="00F63B31" w:rsidRPr="00853F36">
        <w:rPr>
          <w:rStyle w:val="FootnoteReference"/>
        </w:rPr>
        <w:footnoteReference w:id="80"/>
      </w:r>
      <w:r>
        <w:t xml:space="preserve"> I</w:t>
      </w:r>
      <w:r w:rsidR="00F63B31" w:rsidRPr="00853F36">
        <w:t>n 2011</w:t>
      </w:r>
      <w:r w:rsidR="009B64A7">
        <w:t>,</w:t>
      </w:r>
      <w:r w:rsidR="00F63B31" w:rsidRPr="00853F36">
        <w:t xml:space="preserve"> this process was further developed. The Caseload Management Planning Tool (CMPT</w:t>
      </w:r>
      <w:r>
        <w:t>) currently consists of a three-</w:t>
      </w:r>
      <w:r w:rsidR="00F63B31" w:rsidRPr="00853F36">
        <w:t>step process that matches available human resource time to clients’ time requirements</w:t>
      </w:r>
      <w:r w:rsidR="009B64A7">
        <w:t>,</w:t>
      </w:r>
      <w:r w:rsidR="00F63B31" w:rsidRPr="00853F36">
        <w:t xml:space="preserve"> based on the complexity of interventions.</w:t>
      </w:r>
      <w:r w:rsidR="00F63B31" w:rsidRPr="00853F36">
        <w:rPr>
          <w:rStyle w:val="FootnoteReference"/>
        </w:rPr>
        <w:footnoteReference w:id="81"/>
      </w:r>
      <w:r w:rsidR="00F63B31" w:rsidRPr="00853F36">
        <w:t xml:space="preserve"> The steps are:</w:t>
      </w:r>
    </w:p>
    <w:p w:rsidR="00F63B31" w:rsidRPr="00853F36" w:rsidRDefault="00F63B31" w:rsidP="00F63B31">
      <w:pPr>
        <w:pStyle w:val="ListBullet"/>
        <w:numPr>
          <w:ilvl w:val="0"/>
          <w:numId w:val="1"/>
        </w:numPr>
      </w:pPr>
      <w:r w:rsidRPr="00853F36">
        <w:t>Determine human resources time</w:t>
      </w:r>
    </w:p>
    <w:p w:rsidR="00F63B31" w:rsidRPr="00853F36" w:rsidRDefault="00F63B31" w:rsidP="00F63B31">
      <w:pPr>
        <w:pStyle w:val="ListBullet"/>
        <w:numPr>
          <w:ilvl w:val="0"/>
          <w:numId w:val="1"/>
        </w:numPr>
      </w:pPr>
      <w:r w:rsidRPr="00853F36">
        <w:t>Determine client intervention time (classify clients, rate complexity of interventions and estimate intervention times</w:t>
      </w:r>
    </w:p>
    <w:p w:rsidR="00F63B31" w:rsidRPr="00853F36" w:rsidRDefault="00F63B31" w:rsidP="00F63B31">
      <w:pPr>
        <w:pStyle w:val="ListBullet"/>
        <w:numPr>
          <w:ilvl w:val="0"/>
          <w:numId w:val="1"/>
        </w:numPr>
        <w:spacing w:after="240"/>
      </w:pPr>
      <w:r w:rsidRPr="00853F36">
        <w:t>Match client intervention times to human resources time</w:t>
      </w:r>
    </w:p>
    <w:p w:rsidR="00F63B31" w:rsidRPr="00853F36" w:rsidRDefault="00F63B31" w:rsidP="00F63B31">
      <w:r w:rsidRPr="00853F36">
        <w:t>The calculations</w:t>
      </w:r>
      <w:r w:rsidR="000A3E47">
        <w:t xml:space="preserve"> </w:t>
      </w:r>
      <w:r w:rsidR="000A3E47" w:rsidRPr="00853F36">
        <w:t>to determine human resources time</w:t>
      </w:r>
      <w:r w:rsidRPr="00853F36">
        <w:t xml:space="preserve"> are online.</w:t>
      </w:r>
      <w:r w:rsidRPr="00853F36">
        <w:rPr>
          <w:rStyle w:val="FootnoteReference"/>
        </w:rPr>
        <w:footnoteReference w:id="82"/>
      </w:r>
      <w:r w:rsidRPr="00853F36">
        <w:t xml:space="preserve"> </w:t>
      </w:r>
      <w:r w:rsidRPr="00D0650C">
        <w:t>The CMPT</w:t>
      </w:r>
      <w:r w:rsidRPr="00853F36">
        <w:t xml:space="preserve"> provides a mechanism to model caseloads</w:t>
      </w:r>
      <w:r w:rsidR="009B64A7">
        <w:t>,</w:t>
      </w:r>
      <w:r w:rsidRPr="00853F36">
        <w:t xml:space="preserve"> to determine the time and human resource requirements for effective caseload/workload management. It provides a structured, evidence-informed approach to caseload or</w:t>
      </w:r>
      <w:r w:rsidR="000A3E47">
        <w:t xml:space="preserve"> </w:t>
      </w:r>
      <w:r w:rsidRPr="00853F36">
        <w:t>workload management from individual provider and service perspectives. It will evolve according to changing practice, professional and service trends. It guides users through a structured process to determine:</w:t>
      </w:r>
    </w:p>
    <w:p w:rsidR="00F63B31" w:rsidRPr="00853F36" w:rsidRDefault="00F63B31" w:rsidP="00F63B31">
      <w:pPr>
        <w:pStyle w:val="ListBullet"/>
        <w:numPr>
          <w:ilvl w:val="0"/>
          <w:numId w:val="1"/>
        </w:numPr>
      </w:pPr>
      <w:r w:rsidRPr="00853F36">
        <w:t>The number of clients that individual therapists can manage effectively</w:t>
      </w:r>
      <w:r w:rsidR="000A3E47">
        <w:t>,</w:t>
      </w:r>
      <w:r w:rsidRPr="00853F36">
        <w:t xml:space="preserve"> or </w:t>
      </w:r>
    </w:p>
    <w:p w:rsidR="00F63B31" w:rsidRPr="00853F36" w:rsidRDefault="00F63B31" w:rsidP="00F63B31">
      <w:pPr>
        <w:pStyle w:val="ListBullet"/>
        <w:numPr>
          <w:ilvl w:val="0"/>
          <w:numId w:val="1"/>
        </w:numPr>
        <w:spacing w:after="240"/>
      </w:pPr>
      <w:r w:rsidRPr="00853F36">
        <w:t>The number of therapists required to manage the client needs of a particular service</w:t>
      </w:r>
    </w:p>
    <w:p w:rsidR="00F63B31" w:rsidRPr="00853F36" w:rsidRDefault="00F63B31" w:rsidP="00F63B31">
      <w:r w:rsidRPr="00853F36">
        <w:t>The CMPT is intended to be used primarily by managers and administrators for human resources planning and workload allocation. Clinicians may also use the CMPT to examine and reflect on their caseload and practice management and in collaboration with managers</w:t>
      </w:r>
      <w:r w:rsidR="009B64A7">
        <w:t>,</w:t>
      </w:r>
      <w:r w:rsidRPr="00853F36">
        <w:t xml:space="preserve"> to discuss strategies to address workload intensity. It is applicable to health professionals and support personnel working with clients on an individual or group basis.</w:t>
      </w:r>
      <w:r w:rsidRPr="00853F36">
        <w:rPr>
          <w:rStyle w:val="FootnoteReference"/>
        </w:rPr>
        <w:footnoteReference w:id="83"/>
      </w:r>
    </w:p>
    <w:p w:rsidR="00F63B31" w:rsidRPr="00853F36" w:rsidRDefault="00F63B31" w:rsidP="00F63B31">
      <w:r w:rsidRPr="00853F36">
        <w:t>In the Australian mental health system</w:t>
      </w:r>
      <w:r w:rsidR="009B64A7">
        <w:t>,</w:t>
      </w:r>
      <w:r w:rsidRPr="00853F36">
        <w:t xml:space="preserve"> three caseload index models all used selected factors from among the following caseload measurement variables:</w:t>
      </w:r>
    </w:p>
    <w:p w:rsidR="00F63B31" w:rsidRPr="00853F36" w:rsidRDefault="00F63B31" w:rsidP="00F63B31">
      <w:pPr>
        <w:pStyle w:val="ListBullet"/>
        <w:numPr>
          <w:ilvl w:val="0"/>
          <w:numId w:val="1"/>
        </w:numPr>
      </w:pPr>
      <w:r w:rsidRPr="00853F36">
        <w:t>Contact frequency</w:t>
      </w:r>
    </w:p>
    <w:p w:rsidR="00F63B31" w:rsidRPr="00853F36" w:rsidRDefault="00F63B31" w:rsidP="00F63B31">
      <w:pPr>
        <w:pStyle w:val="ListBullet"/>
        <w:numPr>
          <w:ilvl w:val="0"/>
          <w:numId w:val="1"/>
        </w:numPr>
      </w:pPr>
      <w:r w:rsidRPr="00853F36">
        <w:t>Response difficulty</w:t>
      </w:r>
    </w:p>
    <w:p w:rsidR="00F63B31" w:rsidRPr="00853F36" w:rsidRDefault="00F63B31" w:rsidP="00F63B31">
      <w:pPr>
        <w:pStyle w:val="ListBullet"/>
        <w:numPr>
          <w:ilvl w:val="0"/>
          <w:numId w:val="1"/>
        </w:numPr>
      </w:pPr>
      <w:r w:rsidRPr="00853F36">
        <w:t>Intervention type</w:t>
      </w:r>
    </w:p>
    <w:p w:rsidR="00F63B31" w:rsidRPr="00853F36" w:rsidRDefault="00F63B31" w:rsidP="00F63B31">
      <w:pPr>
        <w:pStyle w:val="ListBullet"/>
        <w:numPr>
          <w:ilvl w:val="0"/>
          <w:numId w:val="1"/>
        </w:numPr>
      </w:pPr>
      <w:r w:rsidRPr="00853F36">
        <w:t>Competence/ seniority</w:t>
      </w:r>
    </w:p>
    <w:p w:rsidR="00F63B31" w:rsidRPr="00853F36" w:rsidRDefault="00F63B31" w:rsidP="00F63B31">
      <w:pPr>
        <w:pStyle w:val="ListBullet"/>
        <w:numPr>
          <w:ilvl w:val="0"/>
          <w:numId w:val="1"/>
        </w:numPr>
      </w:pPr>
      <w:r w:rsidRPr="00853F36">
        <w:t>Caseload maturity</w:t>
      </w:r>
    </w:p>
    <w:p w:rsidR="00F63B31" w:rsidRPr="00853F36" w:rsidRDefault="00F63B31" w:rsidP="00F63B31">
      <w:pPr>
        <w:pStyle w:val="ListBullet"/>
        <w:numPr>
          <w:ilvl w:val="0"/>
          <w:numId w:val="1"/>
        </w:numPr>
      </w:pPr>
      <w:r w:rsidRPr="00853F36">
        <w:t>Location of clients</w:t>
      </w:r>
    </w:p>
    <w:p w:rsidR="00F63B31" w:rsidRPr="00853F36" w:rsidRDefault="00F63B31" w:rsidP="00F63B31">
      <w:pPr>
        <w:pStyle w:val="ListBullet"/>
        <w:numPr>
          <w:ilvl w:val="0"/>
          <w:numId w:val="1"/>
        </w:numPr>
        <w:spacing w:after="240"/>
      </w:pPr>
      <w:r w:rsidRPr="00853F36">
        <w:t>Roles other than case management.</w:t>
      </w:r>
      <w:r w:rsidRPr="00853F36">
        <w:rPr>
          <w:rStyle w:val="FootnoteReference"/>
        </w:rPr>
        <w:footnoteReference w:id="84"/>
      </w:r>
    </w:p>
    <w:p w:rsidR="00F63B31" w:rsidRPr="00853F36" w:rsidRDefault="00F63B31" w:rsidP="00F63B31">
      <w:r w:rsidRPr="00853F36">
        <w:t>There is a scarcity of research into staffing ratios for therapists/allied health professions (AHP), some of whom are core to network disability teams. This contrasts with staffing ratios in nursing and medicine. For example, staffing ratios have been used successfully to determine appropriate staff numbers in nursing in the acute care setting.</w:t>
      </w:r>
      <w:r w:rsidRPr="00853F36">
        <w:rPr>
          <w:rStyle w:val="FootnoteReference"/>
        </w:rPr>
        <w:t xml:space="preserve"> </w:t>
      </w:r>
      <w:r w:rsidRPr="00853F36">
        <w:rPr>
          <w:rStyle w:val="FootnoteReference"/>
        </w:rPr>
        <w:footnoteReference w:id="85"/>
      </w:r>
      <w:r w:rsidRPr="00853F36">
        <w:t xml:space="preserve"> A study examined whether allied health workforce ratios existed and if these ratios could be used in allied health service planning. The methods applied in developing the ratios were derived from four approaches: consensus, experimental trial, current clinical practice and those developed using staff classifications.</w:t>
      </w:r>
      <w:r w:rsidRPr="00853F36">
        <w:rPr>
          <w:rStyle w:val="FootnoteReference"/>
        </w:rPr>
        <w:footnoteReference w:id="86"/>
      </w:r>
      <w:r w:rsidRPr="00853F36">
        <w:t xml:space="preserve"> The research found</w:t>
      </w:r>
      <w:r w:rsidR="009B64A7">
        <w:t>,</w:t>
      </w:r>
      <w:r w:rsidRPr="00853F36">
        <w:t xml:space="preserve"> that there is little data available on allied health requirements in general community settings and in general hospital settings. There was only one study of AHPs where a staffing ratio was linked to clinical outcomes. Thus, there is a need for research on staffing ratios and their relationship to health outcomes across community and hospital settings. It is not possible from the research evidence</w:t>
      </w:r>
      <w:r w:rsidR="009B64A7">
        <w:t>,</w:t>
      </w:r>
      <w:r w:rsidRPr="00853F36">
        <w:t xml:space="preserve"> to use workforce ratios to plan for allied health requirements in general settings</w:t>
      </w:r>
      <w:r w:rsidR="009B64A7">
        <w:t>,</w:t>
      </w:r>
      <w:r w:rsidRPr="00853F36">
        <w:t xml:space="preserve"> such as general community settings.</w:t>
      </w:r>
      <w:r w:rsidRPr="00853F36">
        <w:rPr>
          <w:rStyle w:val="FootnoteReference"/>
        </w:rPr>
        <w:footnoteReference w:id="87"/>
      </w:r>
    </w:p>
    <w:p w:rsidR="00F63B31" w:rsidRDefault="00F63B31" w:rsidP="00F63B31">
      <w:r w:rsidRPr="00853F36">
        <w:t>“Caseload/workload management has and continues to be determined primarily by economic factors, that is, by funding allocations available for occupational therapists, physiotherapists and speech and language pathology positions”.</w:t>
      </w:r>
      <w:r w:rsidRPr="00853F36">
        <w:rPr>
          <w:rStyle w:val="FootnoteReference"/>
        </w:rPr>
        <w:footnoteReference w:id="88"/>
      </w:r>
    </w:p>
    <w:p w:rsidR="00406BE9" w:rsidRDefault="00406BE9" w:rsidP="00406BE9">
      <w:r w:rsidRPr="00853F36">
        <w:t xml:space="preserve">Workload and caseload management is important for </w:t>
      </w:r>
      <w:r>
        <w:t>a host of reasons including good outcomes for clients. In addition it is important to utilise</w:t>
      </w:r>
      <w:r w:rsidRPr="00853F36">
        <w:t xml:space="preserve"> therapists (and other healthcare professionals) </w:t>
      </w:r>
      <w:r>
        <w:t xml:space="preserve">in a prudent and informed manner in order </w:t>
      </w:r>
      <w:r w:rsidRPr="00853F36">
        <w:t>to minimize attrition and encourage the retention of skilled workers.</w:t>
      </w:r>
      <w:r w:rsidRPr="00853F36">
        <w:rPr>
          <w:rStyle w:val="FootnoteReference"/>
        </w:rPr>
        <w:footnoteReference w:id="89"/>
      </w:r>
      <w:r w:rsidRPr="00853F36">
        <w:t xml:space="preserve"> The literature shows that very large workloads and caseloads can lead to stress and sick leave, which in turn increases the work of those who remain. Extended periods of workplace stress can lead to burnout with subsequent recruitment and retention issues.</w:t>
      </w:r>
      <w:r w:rsidRPr="00853F36">
        <w:rPr>
          <w:rStyle w:val="FootnoteReference"/>
        </w:rPr>
        <w:footnoteReference w:id="90"/>
      </w:r>
    </w:p>
    <w:p w:rsidR="00F63B31" w:rsidRPr="00853F36" w:rsidRDefault="00F63B31" w:rsidP="0080079F">
      <w:pPr>
        <w:pStyle w:val="Heading3"/>
      </w:pPr>
      <w:bookmarkStart w:id="168" w:name="_Toc386464554"/>
      <w:bookmarkStart w:id="169" w:name="_Toc386470049"/>
      <w:bookmarkStart w:id="170" w:name="_Toc390269723"/>
      <w:bookmarkStart w:id="171" w:name="_Toc415667028"/>
      <w:bookmarkStart w:id="172" w:name="_Toc415733721"/>
      <w:r w:rsidRPr="00853F36">
        <w:t>Factors influencing workload/caseload</w:t>
      </w:r>
      <w:bookmarkEnd w:id="168"/>
      <w:bookmarkEnd w:id="169"/>
      <w:bookmarkEnd w:id="170"/>
      <w:bookmarkEnd w:id="171"/>
      <w:bookmarkEnd w:id="172"/>
    </w:p>
    <w:p w:rsidR="000A3E47" w:rsidRDefault="00F63B31" w:rsidP="000A3E47">
      <w:pPr>
        <w:spacing w:after="120"/>
      </w:pPr>
      <w:r w:rsidRPr="00853F36">
        <w:t>A number of factors need to be considered when establishing a caseload size. This includes</w:t>
      </w:r>
      <w:r w:rsidR="000A3E47">
        <w:t>,</w:t>
      </w:r>
      <w:r w:rsidRPr="00853F36">
        <w:t xml:space="preserve"> but is not limited to</w:t>
      </w:r>
      <w:r w:rsidR="000A3E47">
        <w:t xml:space="preserve">: </w:t>
      </w:r>
    </w:p>
    <w:p w:rsidR="000A3E47" w:rsidRDefault="00F63B31" w:rsidP="000A3E47">
      <w:pPr>
        <w:pStyle w:val="ListBullet"/>
      </w:pPr>
      <w:r w:rsidRPr="00853F36">
        <w:t>child and family factors</w:t>
      </w:r>
    </w:p>
    <w:p w:rsidR="000A3E47" w:rsidRDefault="00F63B31" w:rsidP="000A3E47">
      <w:pPr>
        <w:pStyle w:val="ListBullet"/>
      </w:pPr>
      <w:r w:rsidRPr="00853F36">
        <w:t>team factors</w:t>
      </w:r>
    </w:p>
    <w:p w:rsidR="000A3E47" w:rsidRDefault="00F63B31" w:rsidP="000A3E47">
      <w:pPr>
        <w:pStyle w:val="ListBullet"/>
      </w:pPr>
      <w:r w:rsidRPr="00853F36">
        <w:t>service delivery models</w:t>
      </w:r>
    </w:p>
    <w:p w:rsidR="000A3E47" w:rsidRDefault="00F63B31" w:rsidP="000A3E47">
      <w:pPr>
        <w:pStyle w:val="ListBullet"/>
      </w:pPr>
      <w:r w:rsidRPr="00853F36">
        <w:t xml:space="preserve">service delivery environment factors </w:t>
      </w:r>
    </w:p>
    <w:p w:rsidR="000A3E47" w:rsidRDefault="00F63B31" w:rsidP="000A3E47">
      <w:pPr>
        <w:pStyle w:val="ListBullet"/>
      </w:pPr>
      <w:r w:rsidRPr="00853F36">
        <w:t xml:space="preserve">documentation management factors. </w:t>
      </w:r>
    </w:p>
    <w:p w:rsidR="00F63B31" w:rsidRPr="00853F36" w:rsidRDefault="00F63B31" w:rsidP="00F63B31">
      <w:r w:rsidRPr="00853F36">
        <w:t>These can be summarised as follows:</w:t>
      </w:r>
      <w:r w:rsidR="009B64A7" w:rsidRPr="009B64A7">
        <w:rPr>
          <w:rStyle w:val="FootnoteReference"/>
        </w:rPr>
        <w:t xml:space="preserve"> </w:t>
      </w:r>
      <w:r w:rsidR="009B64A7" w:rsidRPr="00853F36">
        <w:rPr>
          <w:rStyle w:val="FootnoteReference"/>
        </w:rPr>
        <w:footnoteReference w:id="91"/>
      </w:r>
    </w:p>
    <w:p w:rsidR="00F63B31" w:rsidRPr="00853F36" w:rsidRDefault="00F63B31" w:rsidP="0080079F">
      <w:pPr>
        <w:pStyle w:val="Heading3"/>
      </w:pPr>
      <w:bookmarkStart w:id="173" w:name="_Toc415667029"/>
      <w:bookmarkStart w:id="174" w:name="_Toc415733722"/>
      <w:r w:rsidRPr="00853F36">
        <w:t>Child and family factors</w:t>
      </w:r>
      <w:bookmarkEnd w:id="173"/>
      <w:bookmarkEnd w:id="174"/>
    </w:p>
    <w:p w:rsidR="00F63B31" w:rsidRPr="00853F36" w:rsidRDefault="00F63B31" w:rsidP="00F63B31">
      <w:pPr>
        <w:pStyle w:val="ListBullet2"/>
        <w:numPr>
          <w:ilvl w:val="0"/>
          <w:numId w:val="3"/>
        </w:numPr>
        <w:tabs>
          <w:tab w:val="clear" w:pos="717"/>
        </w:tabs>
        <w:ind w:left="641" w:hanging="357"/>
      </w:pPr>
      <w:r w:rsidRPr="00853F36">
        <w:t>Complexity and the number of areas to address and support the child (e.g., feeding, seating, behaviour, c</w:t>
      </w:r>
      <w:r w:rsidR="00346A83">
        <w:t>omputer access, home equipment)</w:t>
      </w:r>
    </w:p>
    <w:p w:rsidR="00F63B31" w:rsidRPr="00853F36" w:rsidRDefault="00F63B31" w:rsidP="00F63B31">
      <w:pPr>
        <w:pStyle w:val="ListBullet2"/>
        <w:numPr>
          <w:ilvl w:val="0"/>
          <w:numId w:val="3"/>
        </w:numPr>
        <w:tabs>
          <w:tab w:val="clear" w:pos="717"/>
        </w:tabs>
        <w:ind w:left="641" w:hanging="357"/>
      </w:pPr>
      <w:r w:rsidRPr="00853F36">
        <w:t>Current and future equipment needs (prescription, fabrication, fit, training and monitoring of devices)</w:t>
      </w:r>
    </w:p>
    <w:p w:rsidR="00F63B31" w:rsidRPr="00853F36" w:rsidRDefault="00F63B31" w:rsidP="00F63B31">
      <w:pPr>
        <w:pStyle w:val="ListBullet2"/>
        <w:numPr>
          <w:ilvl w:val="0"/>
          <w:numId w:val="3"/>
        </w:numPr>
        <w:tabs>
          <w:tab w:val="clear" w:pos="717"/>
        </w:tabs>
        <w:ind w:left="641" w:hanging="357"/>
      </w:pPr>
      <w:r w:rsidRPr="00853F36">
        <w:t>Complex health needs that require consultation with a variety of team members and tertiary services</w:t>
      </w:r>
    </w:p>
    <w:p w:rsidR="00F63B31" w:rsidRPr="00853F36" w:rsidRDefault="00F63B31" w:rsidP="00F63B31">
      <w:pPr>
        <w:pStyle w:val="ListBullet2"/>
        <w:numPr>
          <w:ilvl w:val="0"/>
          <w:numId w:val="3"/>
        </w:numPr>
        <w:tabs>
          <w:tab w:val="clear" w:pos="717"/>
        </w:tabs>
        <w:ind w:left="641" w:hanging="357"/>
      </w:pPr>
      <w:r w:rsidRPr="00853F36">
        <w:t>Developmental and environmental transitions</w:t>
      </w:r>
    </w:p>
    <w:p w:rsidR="00F63B31" w:rsidRPr="00853F36" w:rsidRDefault="00F63B31" w:rsidP="00F63B31">
      <w:pPr>
        <w:pStyle w:val="ListBullet2"/>
        <w:numPr>
          <w:ilvl w:val="0"/>
          <w:numId w:val="3"/>
        </w:numPr>
        <w:tabs>
          <w:tab w:val="clear" w:pos="717"/>
        </w:tabs>
        <w:ind w:left="641" w:hanging="357"/>
      </w:pPr>
      <w:r w:rsidRPr="00853F36">
        <w:t>Child’s health status, pre and post surgical rehabilitation needs</w:t>
      </w:r>
    </w:p>
    <w:p w:rsidR="00F63B31" w:rsidRPr="00853F36" w:rsidRDefault="00F63B31" w:rsidP="00F63B31">
      <w:pPr>
        <w:pStyle w:val="ListBullet2"/>
        <w:numPr>
          <w:ilvl w:val="0"/>
          <w:numId w:val="3"/>
        </w:numPr>
        <w:tabs>
          <w:tab w:val="clear" w:pos="717"/>
        </w:tabs>
        <w:ind w:left="641" w:hanging="357"/>
      </w:pPr>
      <w:r w:rsidRPr="00853F36">
        <w:t>Communication and language services for the child and family</w:t>
      </w:r>
    </w:p>
    <w:p w:rsidR="00F63B31" w:rsidRPr="00853F36" w:rsidRDefault="00F63B31" w:rsidP="00F63B31">
      <w:pPr>
        <w:pStyle w:val="ListBullet2"/>
        <w:numPr>
          <w:ilvl w:val="0"/>
          <w:numId w:val="3"/>
        </w:numPr>
        <w:tabs>
          <w:tab w:val="clear" w:pos="717"/>
        </w:tabs>
        <w:ind w:left="641" w:hanging="357"/>
      </w:pPr>
      <w:r w:rsidRPr="00853F36">
        <w:t>The family’s level of involvement and need for ongoing information and training to help them understand and support their child’s needs</w:t>
      </w:r>
    </w:p>
    <w:p w:rsidR="00F63B31" w:rsidRPr="00853F36" w:rsidRDefault="00F63B31" w:rsidP="00F63B31">
      <w:pPr>
        <w:pStyle w:val="ListBullet2"/>
        <w:numPr>
          <w:ilvl w:val="0"/>
          <w:numId w:val="3"/>
        </w:numPr>
        <w:tabs>
          <w:tab w:val="clear" w:pos="717"/>
        </w:tabs>
        <w:spacing w:after="240"/>
        <w:ind w:left="641" w:hanging="357"/>
      </w:pPr>
      <w:r w:rsidRPr="00853F36">
        <w:t>Intensity and frequency of intervention required</w:t>
      </w:r>
    </w:p>
    <w:p w:rsidR="00F63B31" w:rsidRPr="00853F36" w:rsidRDefault="00F63B31" w:rsidP="0080079F">
      <w:pPr>
        <w:pStyle w:val="Heading3"/>
      </w:pPr>
      <w:bookmarkStart w:id="175" w:name="_Toc415667030"/>
      <w:bookmarkStart w:id="176" w:name="_Toc415733723"/>
      <w:r w:rsidRPr="00853F36">
        <w:t>Team factors</w:t>
      </w:r>
      <w:bookmarkEnd w:id="175"/>
      <w:bookmarkEnd w:id="176"/>
    </w:p>
    <w:p w:rsidR="00F63B31" w:rsidRPr="00853F36" w:rsidRDefault="00F63B31" w:rsidP="00F63B31">
      <w:pPr>
        <w:pStyle w:val="ListBullet2"/>
        <w:numPr>
          <w:ilvl w:val="0"/>
          <w:numId w:val="3"/>
        </w:numPr>
        <w:tabs>
          <w:tab w:val="clear" w:pos="717"/>
        </w:tabs>
        <w:ind w:left="641" w:hanging="357"/>
      </w:pPr>
      <w:r w:rsidRPr="00853F36">
        <w:t>Availability of a person to coordinate services with the family</w:t>
      </w:r>
    </w:p>
    <w:p w:rsidR="00F63B31" w:rsidRPr="00853F36" w:rsidRDefault="00F63B31" w:rsidP="00F63B31">
      <w:pPr>
        <w:pStyle w:val="ListBullet2"/>
        <w:numPr>
          <w:ilvl w:val="0"/>
          <w:numId w:val="3"/>
        </w:numPr>
        <w:tabs>
          <w:tab w:val="clear" w:pos="717"/>
        </w:tabs>
        <w:ind w:left="641" w:hanging="357"/>
      </w:pPr>
      <w:r w:rsidRPr="00853F36">
        <w:t>Size and variety of team members, including private practitioners</w:t>
      </w:r>
    </w:p>
    <w:p w:rsidR="00F63B31" w:rsidRPr="00853F36" w:rsidRDefault="00F63B31" w:rsidP="00F63B31">
      <w:pPr>
        <w:pStyle w:val="ListBullet2"/>
        <w:numPr>
          <w:ilvl w:val="0"/>
          <w:numId w:val="3"/>
        </w:numPr>
        <w:tabs>
          <w:tab w:val="clear" w:pos="717"/>
        </w:tabs>
        <w:ind w:left="641" w:hanging="357"/>
      </w:pPr>
      <w:r w:rsidRPr="00853F36">
        <w:t>Number of different agencies providing services to the child and family</w:t>
      </w:r>
    </w:p>
    <w:p w:rsidR="00F63B31" w:rsidRPr="00853F36" w:rsidRDefault="00F63B31" w:rsidP="00F63B31">
      <w:pPr>
        <w:pStyle w:val="ListBullet2"/>
        <w:numPr>
          <w:ilvl w:val="0"/>
          <w:numId w:val="3"/>
        </w:numPr>
        <w:tabs>
          <w:tab w:val="clear" w:pos="717"/>
        </w:tabs>
        <w:spacing w:after="240"/>
        <w:ind w:left="641" w:hanging="357"/>
      </w:pPr>
      <w:r w:rsidRPr="00853F36">
        <w:t>Amount of frequency of training the intervention team requires</w:t>
      </w:r>
    </w:p>
    <w:p w:rsidR="00F63B31" w:rsidRPr="00853F36" w:rsidRDefault="00F63B31" w:rsidP="0080079F">
      <w:pPr>
        <w:pStyle w:val="Heading3"/>
      </w:pPr>
      <w:bookmarkStart w:id="177" w:name="_Toc415667031"/>
      <w:bookmarkStart w:id="178" w:name="_Toc415733724"/>
      <w:r w:rsidRPr="00853F36">
        <w:t>Service delivery model factors</w:t>
      </w:r>
      <w:bookmarkEnd w:id="177"/>
      <w:bookmarkEnd w:id="178"/>
    </w:p>
    <w:p w:rsidR="00F63B31" w:rsidRPr="00853F36" w:rsidRDefault="00F63B31" w:rsidP="00F63B31">
      <w:pPr>
        <w:pStyle w:val="ListBullet2"/>
        <w:numPr>
          <w:ilvl w:val="0"/>
          <w:numId w:val="3"/>
        </w:numPr>
        <w:tabs>
          <w:tab w:val="clear" w:pos="717"/>
        </w:tabs>
        <w:ind w:left="641" w:hanging="357"/>
      </w:pPr>
      <w:r w:rsidRPr="00853F36">
        <w:t>Emphasis on prevention activities at the community level involves a greater amount of time spent on population based services and therefore would mean a smaller caseload</w:t>
      </w:r>
    </w:p>
    <w:p w:rsidR="00F63B31" w:rsidRPr="00853F36" w:rsidRDefault="00F63B31" w:rsidP="00F63B31">
      <w:pPr>
        <w:pStyle w:val="ListBullet2"/>
        <w:numPr>
          <w:ilvl w:val="0"/>
          <w:numId w:val="3"/>
        </w:numPr>
        <w:tabs>
          <w:tab w:val="clear" w:pos="717"/>
        </w:tabs>
        <w:spacing w:after="240"/>
        <w:ind w:left="641" w:hanging="357"/>
      </w:pPr>
      <w:r w:rsidRPr="00853F36">
        <w:t>Emphasis on direct service delivery to the child in the form of one-to-one direct therapy, group therapy, treatment blocks and/ or ongoing weekly sessions</w:t>
      </w:r>
    </w:p>
    <w:p w:rsidR="00F63B31" w:rsidRPr="00853F36" w:rsidRDefault="00F63B31" w:rsidP="0080079F">
      <w:pPr>
        <w:pStyle w:val="Heading3"/>
      </w:pPr>
      <w:bookmarkStart w:id="179" w:name="_Toc415667032"/>
      <w:bookmarkStart w:id="180" w:name="_Toc415733725"/>
      <w:r w:rsidRPr="00853F36">
        <w:t>Service delivery environment factors</w:t>
      </w:r>
      <w:bookmarkEnd w:id="179"/>
      <w:bookmarkEnd w:id="180"/>
    </w:p>
    <w:p w:rsidR="00F63B31" w:rsidRPr="00853F36" w:rsidRDefault="00F63B31" w:rsidP="00F63B31">
      <w:pPr>
        <w:pStyle w:val="ListBullet2"/>
        <w:numPr>
          <w:ilvl w:val="0"/>
          <w:numId w:val="3"/>
        </w:numPr>
        <w:tabs>
          <w:tab w:val="clear" w:pos="717"/>
        </w:tabs>
        <w:spacing w:after="0"/>
        <w:ind w:left="641" w:hanging="357"/>
      </w:pPr>
      <w:r w:rsidRPr="00853F36">
        <w:t>number of environments where therapy services are delivered</w:t>
      </w:r>
    </w:p>
    <w:p w:rsidR="00F63B31" w:rsidRPr="00853F36" w:rsidRDefault="00F63B31" w:rsidP="00F63B31">
      <w:pPr>
        <w:pStyle w:val="ListBullet2"/>
        <w:numPr>
          <w:ilvl w:val="0"/>
          <w:numId w:val="3"/>
        </w:numPr>
        <w:tabs>
          <w:tab w:val="clear" w:pos="717"/>
        </w:tabs>
        <w:spacing w:after="240"/>
        <w:ind w:left="641" w:hanging="357"/>
      </w:pPr>
      <w:r w:rsidRPr="00853F36">
        <w:t>distance between the locations where therapy services are delivered</w:t>
      </w:r>
    </w:p>
    <w:p w:rsidR="00F63B31" w:rsidRPr="00853F36" w:rsidRDefault="00F63B31" w:rsidP="0080079F">
      <w:pPr>
        <w:pStyle w:val="Heading3"/>
      </w:pPr>
      <w:bookmarkStart w:id="181" w:name="_Toc415667033"/>
      <w:bookmarkStart w:id="182" w:name="_Toc415733726"/>
      <w:r w:rsidRPr="00853F36">
        <w:t>Therapist skill level factor</w:t>
      </w:r>
      <w:bookmarkEnd w:id="181"/>
      <w:bookmarkEnd w:id="182"/>
    </w:p>
    <w:p w:rsidR="00F63B31" w:rsidRPr="00853F36" w:rsidRDefault="00F63B31" w:rsidP="00F63B31">
      <w:pPr>
        <w:pStyle w:val="ListBullet2"/>
        <w:numPr>
          <w:ilvl w:val="0"/>
          <w:numId w:val="3"/>
        </w:numPr>
        <w:tabs>
          <w:tab w:val="clear" w:pos="717"/>
        </w:tabs>
        <w:spacing w:after="240"/>
        <w:ind w:left="641" w:hanging="357"/>
      </w:pPr>
      <w:r w:rsidRPr="00853F36">
        <w:t>level of experience to address a range of child and family needs</w:t>
      </w:r>
    </w:p>
    <w:p w:rsidR="00F63B31" w:rsidRPr="00853F36" w:rsidRDefault="00F63B31" w:rsidP="0080079F">
      <w:pPr>
        <w:pStyle w:val="Heading3"/>
      </w:pPr>
      <w:bookmarkStart w:id="183" w:name="_Toc415667034"/>
      <w:bookmarkStart w:id="184" w:name="_Toc415733727"/>
      <w:r w:rsidRPr="00853F36">
        <w:t>Documentation and administration factors</w:t>
      </w:r>
      <w:bookmarkEnd w:id="183"/>
      <w:bookmarkEnd w:id="184"/>
    </w:p>
    <w:p w:rsidR="00F63B31" w:rsidRPr="00853F36" w:rsidRDefault="00F63B31" w:rsidP="00F63B31">
      <w:pPr>
        <w:pStyle w:val="ListBullet2"/>
        <w:numPr>
          <w:ilvl w:val="0"/>
          <w:numId w:val="3"/>
        </w:numPr>
        <w:tabs>
          <w:tab w:val="clear" w:pos="717"/>
        </w:tabs>
        <w:spacing w:after="0"/>
        <w:ind w:left="641" w:hanging="357"/>
      </w:pPr>
      <w:r w:rsidRPr="00853F36">
        <w:t>amount of detail required for reports</w:t>
      </w:r>
    </w:p>
    <w:p w:rsidR="00F63B31" w:rsidRPr="00853F36" w:rsidRDefault="00F63B31" w:rsidP="00F63B31">
      <w:pPr>
        <w:pStyle w:val="ListBullet2"/>
        <w:numPr>
          <w:ilvl w:val="0"/>
          <w:numId w:val="3"/>
        </w:numPr>
        <w:tabs>
          <w:tab w:val="clear" w:pos="717"/>
        </w:tabs>
        <w:ind w:left="641" w:hanging="357"/>
      </w:pPr>
      <w:r w:rsidRPr="00853F36">
        <w:t>availability of report templates and standard handouts/ training materials</w:t>
      </w:r>
    </w:p>
    <w:p w:rsidR="00F63B31" w:rsidRPr="00853F36" w:rsidRDefault="00F63B31" w:rsidP="00F63B31">
      <w:pPr>
        <w:pStyle w:val="ListBullet2"/>
        <w:numPr>
          <w:ilvl w:val="0"/>
          <w:numId w:val="3"/>
        </w:numPr>
        <w:tabs>
          <w:tab w:val="clear" w:pos="717"/>
        </w:tabs>
        <w:spacing w:after="240"/>
        <w:ind w:left="641" w:hanging="357"/>
      </w:pPr>
      <w:r w:rsidRPr="00853F36">
        <w:t>data collection for the agency and for funding sources.</w:t>
      </w:r>
    </w:p>
    <w:p w:rsidR="00F63B31" w:rsidRPr="00853F36" w:rsidRDefault="00F63B31" w:rsidP="00F63B31">
      <w:r w:rsidRPr="00853F36">
        <w:t>Special consideration is required for therapists acting as department heads or programme managers, and part-time employees. Suggested guidelines for the proportion of time assigned to administrative and management duties are offered for therapists who split their time between clinical services and the administrative activities that come with managing a department or program area (e.g., supervision, hiring, organizational duties). Some practical suggestions are provided to assist with mitigating the issue of non-client related activities dominating a part-time therapist’s workload”.</w:t>
      </w:r>
      <w:r w:rsidRPr="00853F36">
        <w:rPr>
          <w:rStyle w:val="FootnoteReference"/>
        </w:rPr>
        <w:footnoteReference w:id="92"/>
      </w:r>
    </w:p>
    <w:p w:rsidR="00346A83" w:rsidRDefault="00346A83" w:rsidP="00841E83">
      <w:pPr>
        <w:pStyle w:val="Heading1"/>
        <w:numPr>
          <w:ilvl w:val="0"/>
          <w:numId w:val="12"/>
        </w:numPr>
      </w:pPr>
      <w:bookmarkStart w:id="185" w:name="_Toc386464557"/>
      <w:bookmarkStart w:id="186" w:name="_Toc386470052"/>
      <w:bookmarkStart w:id="187" w:name="_Toc390269726"/>
      <w:bookmarkStart w:id="188" w:name="_Toc386464558"/>
      <w:bookmarkStart w:id="189" w:name="_Toc386470053"/>
      <w:bookmarkStart w:id="190" w:name="_Toc390269727"/>
      <w:bookmarkStart w:id="191" w:name="_Toc415733728"/>
      <w:r>
        <w:t>Actual Workloads/Caseloads</w:t>
      </w:r>
      <w:bookmarkEnd w:id="191"/>
    </w:p>
    <w:p w:rsidR="00406BE9" w:rsidRPr="00853F36" w:rsidRDefault="00406BE9" w:rsidP="0080079F">
      <w:pPr>
        <w:pStyle w:val="Heading2"/>
        <w:numPr>
          <w:ilvl w:val="1"/>
          <w:numId w:val="12"/>
        </w:numPr>
        <w:ind w:hanging="1800"/>
      </w:pPr>
      <w:bookmarkStart w:id="192" w:name="_Toc415733729"/>
      <w:r w:rsidRPr="00853F36">
        <w:t>UK: England and Wales</w:t>
      </w:r>
      <w:bookmarkEnd w:id="188"/>
      <w:bookmarkEnd w:id="189"/>
      <w:bookmarkEnd w:id="190"/>
      <w:bookmarkEnd w:id="192"/>
    </w:p>
    <w:p w:rsidR="00406BE9" w:rsidRPr="00853F36" w:rsidRDefault="009B64A7" w:rsidP="00406BE9">
      <w:pPr>
        <w:rPr>
          <w:szCs w:val="26"/>
        </w:rPr>
      </w:pPr>
      <w:r>
        <w:rPr>
          <w:szCs w:val="26"/>
        </w:rPr>
        <w:t xml:space="preserve">A </w:t>
      </w:r>
      <w:r w:rsidR="00406BE9" w:rsidRPr="00853F36">
        <w:rPr>
          <w:szCs w:val="26"/>
        </w:rPr>
        <w:t>UK study</w:t>
      </w:r>
      <w:r>
        <w:rPr>
          <w:szCs w:val="26"/>
        </w:rPr>
        <w:t>,</w:t>
      </w:r>
      <w:r w:rsidR="00406BE9" w:rsidRPr="00853F36">
        <w:rPr>
          <w:rStyle w:val="FootnoteReference"/>
          <w:szCs w:val="26"/>
        </w:rPr>
        <w:footnoteReference w:id="93"/>
      </w:r>
      <w:r w:rsidR="00406BE9" w:rsidRPr="00853F36">
        <w:rPr>
          <w:szCs w:val="26"/>
        </w:rPr>
        <w:t xml:space="preserve"> </w:t>
      </w:r>
      <w:r>
        <w:rPr>
          <w:szCs w:val="26"/>
        </w:rPr>
        <w:t xml:space="preserve">in 2000, </w:t>
      </w:r>
      <w:r w:rsidR="00406BE9" w:rsidRPr="00853F36">
        <w:rPr>
          <w:szCs w:val="26"/>
        </w:rPr>
        <w:t>showed that the size and nature of caseloads of children with speech and language needs is changing. Researchers in the study suggested that an increasing demand for SLT services is exacerbated as more children with speech and language difficulties are placed in mainstream schools. The models of service delivery varied across the case study sites in England and Wales and were influenced by resources and the staff in post. Over two thirds of SLT departments provided a service to mainstream schools and approximately 60% of the children receiving such a service at primary and secondary level had a statement of special educational need. The main shortfall was provision to children in secondary school and those with emotional and behavioural difficulties.</w:t>
      </w:r>
      <w:r w:rsidR="00406BE9" w:rsidRPr="00853F36">
        <w:rPr>
          <w:rStyle w:val="FootnoteReference"/>
          <w:szCs w:val="26"/>
        </w:rPr>
        <w:footnoteReference w:id="94"/>
      </w:r>
      <w:r w:rsidR="00406BE9" w:rsidRPr="00853F36">
        <w:rPr>
          <w:szCs w:val="26"/>
        </w:rPr>
        <w:t xml:space="preserve"> While prevalence data suggested a figure of 10% of the “child” population as being potential cases for SLT, caseloads reported in the study suggested that the figures being referred were considerably lower than this.</w:t>
      </w:r>
      <w:r w:rsidR="00406BE9" w:rsidRPr="00853F36">
        <w:rPr>
          <w:rStyle w:val="FootnoteReference"/>
          <w:szCs w:val="26"/>
        </w:rPr>
        <w:footnoteReference w:id="95"/>
      </w:r>
      <w:r w:rsidR="00406BE9" w:rsidRPr="00853F36">
        <w:rPr>
          <w:szCs w:val="26"/>
        </w:rPr>
        <w:t xml:space="preserve"> The ratio of therapist to child population varied from 1,000 to 9,500 children per therapist, with an average of 4,257. The size of SLT caseloads varied significantly across </w:t>
      </w:r>
      <w:smartTag w:uri="urn:schemas-microsoft-com:office:smarttags" w:element="country-region">
        <w:r w:rsidR="00406BE9" w:rsidRPr="00853F36">
          <w:rPr>
            <w:szCs w:val="26"/>
          </w:rPr>
          <w:t>England</w:t>
        </w:r>
      </w:smartTag>
      <w:r w:rsidR="00406BE9" w:rsidRPr="00853F36">
        <w:rPr>
          <w:szCs w:val="26"/>
        </w:rPr>
        <w:t xml:space="preserve"> and </w:t>
      </w:r>
      <w:smartTag w:uri="urn:schemas-microsoft-com:office:smarttags" w:element="place">
        <w:smartTag w:uri="urn:schemas-microsoft-com:office:smarttags" w:element="country-region">
          <w:r w:rsidR="00406BE9" w:rsidRPr="00853F36">
            <w:rPr>
              <w:szCs w:val="26"/>
            </w:rPr>
            <w:t>Wales</w:t>
          </w:r>
        </w:smartTag>
      </w:smartTag>
      <w:r w:rsidR="00406BE9" w:rsidRPr="00853F36">
        <w:rPr>
          <w:szCs w:val="26"/>
        </w:rPr>
        <w:t xml:space="preserve">: from 37 per </w:t>
      </w:r>
      <w:proofErr w:type="spellStart"/>
      <w:r w:rsidR="00406BE9" w:rsidRPr="00853F36">
        <w:rPr>
          <w:szCs w:val="26"/>
        </w:rPr>
        <w:t>wte</w:t>
      </w:r>
      <w:proofErr w:type="spellEnd"/>
      <w:r w:rsidR="00406BE9" w:rsidRPr="00853F36">
        <w:rPr>
          <w:szCs w:val="26"/>
        </w:rPr>
        <w:t xml:space="preserve"> SLT in Trust London</w:t>
      </w:r>
      <w:r>
        <w:rPr>
          <w:szCs w:val="26"/>
        </w:rPr>
        <w:t>,</w:t>
      </w:r>
      <w:r w:rsidR="00406BE9" w:rsidRPr="00853F36">
        <w:rPr>
          <w:szCs w:val="26"/>
        </w:rPr>
        <w:t xml:space="preserve"> to 172 per </w:t>
      </w:r>
      <w:proofErr w:type="spellStart"/>
      <w:r w:rsidR="00406BE9" w:rsidRPr="00853F36">
        <w:rPr>
          <w:szCs w:val="26"/>
        </w:rPr>
        <w:t>wte</w:t>
      </w:r>
      <w:proofErr w:type="spellEnd"/>
      <w:r w:rsidR="00406BE9" w:rsidRPr="00853F36">
        <w:rPr>
          <w:szCs w:val="26"/>
        </w:rPr>
        <w:t xml:space="preserve"> SLT in Trust Wales. Caseloads and waiting lists for SLT provision were highest for the 0-4 year olds.</w:t>
      </w:r>
      <w:r w:rsidR="00406BE9" w:rsidRPr="00853F36">
        <w:rPr>
          <w:rStyle w:val="FootnoteReference"/>
          <w:szCs w:val="26"/>
        </w:rPr>
        <w:footnoteReference w:id="96"/>
      </w:r>
      <w:r w:rsidR="00406BE9" w:rsidRPr="00853F36">
        <w:rPr>
          <w:szCs w:val="26"/>
        </w:rPr>
        <w:t xml:space="preserve"> The size of the caseload was positively correlated with the size of the base rate population and the number of therapists available in the service. However, it is not possible to deduce the direction of causality from this: are more therapists employed because there are more referrals or are there more referrals occurring because there are more SLTs available to meet their needs?</w:t>
      </w:r>
      <w:r w:rsidR="00406BE9" w:rsidRPr="00853F36">
        <w:rPr>
          <w:rStyle w:val="FootnoteReference"/>
          <w:szCs w:val="26"/>
        </w:rPr>
        <w:footnoteReference w:id="97"/>
      </w:r>
    </w:p>
    <w:p w:rsidR="00406BE9" w:rsidRPr="00853F36" w:rsidRDefault="00406BE9" w:rsidP="00406BE9">
      <w:pPr>
        <w:rPr>
          <w:szCs w:val="26"/>
        </w:rPr>
      </w:pPr>
      <w:r w:rsidRPr="00853F36">
        <w:rPr>
          <w:szCs w:val="26"/>
        </w:rPr>
        <w:t>The researchers considered an appropriate level of caseload, and stated that the often cited benchmark figure of 40 children per SLT as the optimum number of clients per therapist</w:t>
      </w:r>
      <w:r w:rsidR="009B64A7">
        <w:rPr>
          <w:szCs w:val="26"/>
        </w:rPr>
        <w:t>,</w:t>
      </w:r>
      <w:r w:rsidRPr="00853F36">
        <w:rPr>
          <w:szCs w:val="26"/>
        </w:rPr>
        <w:t xml:space="preserve"> had demonstrable validity in relation to senior practitioners. However, given the range of needs of different groups of children with speech and language difficulties, it is difficult</w:t>
      </w:r>
      <w:r w:rsidR="00985205">
        <w:rPr>
          <w:szCs w:val="26"/>
        </w:rPr>
        <w:t>, the research findings suggest,</w:t>
      </w:r>
      <w:r w:rsidRPr="00853F36">
        <w:rPr>
          <w:szCs w:val="26"/>
        </w:rPr>
        <w:t xml:space="preserve"> to be prescriptive.</w:t>
      </w:r>
      <w:r w:rsidRPr="00853F36">
        <w:rPr>
          <w:rStyle w:val="FootnoteReference"/>
          <w:szCs w:val="26"/>
        </w:rPr>
        <w:footnoteReference w:id="98"/>
      </w:r>
      <w:r w:rsidRPr="00853F36">
        <w:rPr>
          <w:szCs w:val="26"/>
        </w:rPr>
        <w:t xml:space="preserve"> For example, caseload may be lower for clients needing specialised input or higher for clients requiring more generic input such as children with delayed language development. Similarly</w:t>
      </w:r>
      <w:r w:rsidR="009B64A7">
        <w:rPr>
          <w:szCs w:val="26"/>
        </w:rPr>
        <w:t>,</w:t>
      </w:r>
      <w:r w:rsidRPr="00853F36">
        <w:rPr>
          <w:szCs w:val="26"/>
        </w:rPr>
        <w:t xml:space="preserve"> the figure would be lower where a high level of direct involvement was needed</w:t>
      </w:r>
      <w:r w:rsidR="009B64A7">
        <w:rPr>
          <w:szCs w:val="26"/>
        </w:rPr>
        <w:t>,</w:t>
      </w:r>
      <w:r w:rsidRPr="00853F36">
        <w:rPr>
          <w:szCs w:val="26"/>
        </w:rPr>
        <w:t xml:space="preserve"> or higher where an effective indirect model was in place.</w:t>
      </w:r>
      <w:r w:rsidRPr="00853F36">
        <w:rPr>
          <w:rStyle w:val="FootnoteReference"/>
          <w:szCs w:val="26"/>
        </w:rPr>
        <w:footnoteReference w:id="99"/>
      </w:r>
    </w:p>
    <w:p w:rsidR="00406BE9" w:rsidRPr="00853F36" w:rsidRDefault="009B64A7" w:rsidP="00406BE9">
      <w:pPr>
        <w:rPr>
          <w:szCs w:val="26"/>
        </w:rPr>
      </w:pPr>
      <w:r>
        <w:rPr>
          <w:szCs w:val="26"/>
        </w:rPr>
        <w:t>A</w:t>
      </w:r>
      <w:r w:rsidR="00406BE9" w:rsidRPr="00853F36">
        <w:rPr>
          <w:szCs w:val="26"/>
        </w:rPr>
        <w:t xml:space="preserve"> 1984 national survey in the UK</w:t>
      </w:r>
      <w:r>
        <w:rPr>
          <w:szCs w:val="26"/>
        </w:rPr>
        <w:t>,</w:t>
      </w:r>
      <w:r w:rsidR="00406BE9" w:rsidRPr="00853F36">
        <w:rPr>
          <w:szCs w:val="26"/>
        </w:rPr>
        <w:t xml:space="preserve"> suggested that 75% of managers considered 40-100 cases to be an appropriate notional caseload for speech and language therapists while 41% considered loads of 40-60 cases to be appropriate.</w:t>
      </w:r>
      <w:r w:rsidR="00406BE9" w:rsidRPr="00853F36">
        <w:rPr>
          <w:rStyle w:val="FootnoteReference"/>
          <w:szCs w:val="26"/>
        </w:rPr>
        <w:footnoteReference w:id="100"/>
      </w:r>
      <w:r w:rsidR="00406BE9" w:rsidRPr="00853F36">
        <w:rPr>
          <w:szCs w:val="26"/>
        </w:rPr>
        <w:t xml:space="preserve"> Guidelines were given as</w:t>
      </w:r>
      <w:r>
        <w:rPr>
          <w:szCs w:val="26"/>
        </w:rPr>
        <w:t>:</w:t>
      </w:r>
    </w:p>
    <w:p w:rsidR="00406BE9" w:rsidRPr="00853F36" w:rsidRDefault="00406BE9" w:rsidP="00406BE9">
      <w:pPr>
        <w:pStyle w:val="ListBullet"/>
        <w:numPr>
          <w:ilvl w:val="0"/>
          <w:numId w:val="1"/>
        </w:numPr>
      </w:pPr>
      <w:r w:rsidRPr="00853F36">
        <w:t>A caseload per therapist of 40-60 children for pre-school and school aged population up to the age of 16 years</w:t>
      </w:r>
    </w:p>
    <w:p w:rsidR="00406BE9" w:rsidRPr="00853F36" w:rsidRDefault="00406BE9" w:rsidP="00406BE9">
      <w:pPr>
        <w:pStyle w:val="ListBullet"/>
        <w:numPr>
          <w:ilvl w:val="0"/>
          <w:numId w:val="1"/>
        </w:numPr>
      </w:pPr>
      <w:r w:rsidRPr="00853F36">
        <w:t>A caseload per therapist of 10-14 in the case of children with severe speech and language disorders and autism</w:t>
      </w:r>
    </w:p>
    <w:p w:rsidR="00406BE9" w:rsidRPr="00853F36" w:rsidRDefault="00406BE9" w:rsidP="00406BE9">
      <w:pPr>
        <w:pStyle w:val="ListBullet"/>
        <w:numPr>
          <w:ilvl w:val="0"/>
          <w:numId w:val="1"/>
        </w:numPr>
      </w:pPr>
      <w:r w:rsidRPr="00853F36">
        <w:t>A caseload of 25-49 per therapist working with children with intellectual disability.</w:t>
      </w:r>
      <w:r w:rsidRPr="00853F36">
        <w:rPr>
          <w:rStyle w:val="FootnoteReference"/>
          <w:szCs w:val="26"/>
        </w:rPr>
        <w:footnoteReference w:id="101"/>
      </w:r>
    </w:p>
    <w:p w:rsidR="00F63B31" w:rsidRPr="00853F36" w:rsidRDefault="00F63B31" w:rsidP="00DA1A61">
      <w:pPr>
        <w:pStyle w:val="Heading2"/>
        <w:numPr>
          <w:ilvl w:val="1"/>
          <w:numId w:val="12"/>
        </w:numPr>
        <w:ind w:hanging="1800"/>
      </w:pPr>
      <w:bookmarkStart w:id="193" w:name="_Toc415733730"/>
      <w:r w:rsidRPr="00853F36">
        <w:t>UK: Scotland</w:t>
      </w:r>
      <w:bookmarkEnd w:id="185"/>
      <w:bookmarkEnd w:id="186"/>
      <w:bookmarkEnd w:id="187"/>
      <w:bookmarkEnd w:id="193"/>
    </w:p>
    <w:p w:rsidR="00406BE9" w:rsidRPr="00853F36" w:rsidRDefault="00F63B31" w:rsidP="00406BE9">
      <w:pPr>
        <w:pStyle w:val="ListBullet"/>
        <w:numPr>
          <w:ilvl w:val="0"/>
          <w:numId w:val="0"/>
        </w:numPr>
        <w:spacing w:before="240"/>
      </w:pPr>
      <w:r w:rsidRPr="00853F36">
        <w:t>In a 2003 Scottish study</w:t>
      </w:r>
      <w:r w:rsidR="009B64A7">
        <w:t>,</w:t>
      </w:r>
      <w:r w:rsidRPr="00853F36">
        <w:t xml:space="preserve"> caseloads varied between the type of NHS therapist and across regions. This i</w:t>
      </w:r>
      <w:r w:rsidR="00A85193">
        <w:t>s shown in Table 24</w:t>
      </w:r>
      <w:r w:rsidRPr="00853F36">
        <w:t>.</w:t>
      </w:r>
      <w:r w:rsidR="00406BE9" w:rsidRPr="00406BE9">
        <w:t xml:space="preserve"> </w:t>
      </w:r>
      <w:r w:rsidR="00406BE9" w:rsidRPr="00853F36">
        <w:t>The Scottish research showed that:</w:t>
      </w:r>
    </w:p>
    <w:p w:rsidR="00406BE9" w:rsidRPr="00853F36" w:rsidRDefault="00406BE9" w:rsidP="00406BE9">
      <w:pPr>
        <w:pStyle w:val="ListBullet"/>
        <w:numPr>
          <w:ilvl w:val="0"/>
          <w:numId w:val="1"/>
        </w:numPr>
      </w:pPr>
      <w:r w:rsidRPr="00853F36">
        <w:t>There are shortages of experienced therapists, recruitment difficulties in rural areas and growing numbers of referrals (there are some children waiting for 32 weeks of longer to receive an initial appointment from an NHS therapi</w:t>
      </w:r>
      <w:r w:rsidR="009B64A7">
        <w:t>st)</w:t>
      </w:r>
    </w:p>
    <w:p w:rsidR="00406BE9" w:rsidRPr="00853F36" w:rsidRDefault="00406BE9" w:rsidP="00406BE9">
      <w:pPr>
        <w:pStyle w:val="ListBullet"/>
        <w:numPr>
          <w:ilvl w:val="0"/>
          <w:numId w:val="1"/>
        </w:numPr>
      </w:pPr>
      <w:r w:rsidRPr="00853F36">
        <w:t>There are high percentage vacancy rates for therapists in children’s services</w:t>
      </w:r>
      <w:r w:rsidR="009B64A7">
        <w:t>,</w:t>
      </w:r>
      <w:r w:rsidRPr="00853F36">
        <w:t xml:space="preserve"> particu</w:t>
      </w:r>
      <w:r w:rsidR="009B64A7">
        <w:t>larly in remote and rural areas</w:t>
      </w:r>
    </w:p>
    <w:p w:rsidR="00406BE9" w:rsidRPr="00853F36" w:rsidRDefault="00406BE9" w:rsidP="00406BE9">
      <w:pPr>
        <w:pStyle w:val="ListBullet"/>
        <w:numPr>
          <w:ilvl w:val="0"/>
          <w:numId w:val="1"/>
        </w:numPr>
      </w:pPr>
      <w:r w:rsidRPr="00853F36">
        <w:t>There is too small a pool of therapists to draw upon</w:t>
      </w:r>
      <w:r w:rsidR="009B64A7">
        <w:t>,</w:t>
      </w:r>
      <w:r w:rsidRPr="00853F36">
        <w:t xml:space="preserve"> to fill posts requiring some experience and expertise</w:t>
      </w:r>
    </w:p>
    <w:p w:rsidR="00406BE9" w:rsidRPr="00853F36" w:rsidRDefault="00406BE9" w:rsidP="00406BE9">
      <w:pPr>
        <w:pStyle w:val="ListBullet"/>
        <w:numPr>
          <w:ilvl w:val="0"/>
          <w:numId w:val="1"/>
        </w:numPr>
      </w:pPr>
      <w:r w:rsidRPr="00853F36">
        <w:t>There are too few opportunities for therapists to develop paediatric experience</w:t>
      </w:r>
    </w:p>
    <w:p w:rsidR="00406BE9" w:rsidRPr="00853F36" w:rsidRDefault="00406BE9" w:rsidP="00406BE9">
      <w:pPr>
        <w:pStyle w:val="ListBullet"/>
        <w:numPr>
          <w:ilvl w:val="0"/>
          <w:numId w:val="1"/>
        </w:numPr>
        <w:spacing w:after="240"/>
      </w:pPr>
      <w:r w:rsidRPr="00853F36">
        <w:t>The majority of therapists are female and under 40 years and maternity leave and other temporary absences are not well covered</w:t>
      </w:r>
      <w:r w:rsidR="009B64A7">
        <w:t>.</w:t>
      </w:r>
    </w:p>
    <w:p w:rsidR="00F63B31" w:rsidRPr="00853F36" w:rsidRDefault="00406BE9" w:rsidP="00406BE9">
      <w:pPr>
        <w:pStyle w:val="TableTitle"/>
        <w:jc w:val="left"/>
      </w:pPr>
      <w:bookmarkStart w:id="194" w:name="_Toc419879427"/>
      <w:r>
        <w:t xml:space="preserve">Table </w:t>
      </w:r>
      <w:r w:rsidR="00A85193">
        <w:t>24</w:t>
      </w:r>
      <w:r w:rsidR="00F63B31" w:rsidRPr="00853F36">
        <w:t xml:space="preserve">: Caseloads at April 2002 in </w:t>
      </w:r>
      <w:smartTag w:uri="urn:schemas-microsoft-com:office:smarttags" w:element="place">
        <w:smartTag w:uri="urn:schemas-microsoft-com:office:smarttags" w:element="country-region">
          <w:r w:rsidR="00F63B31" w:rsidRPr="00853F36">
            <w:t>Scotland</w:t>
          </w:r>
        </w:smartTag>
      </w:smartTag>
      <w:r w:rsidR="00F63B31" w:rsidRPr="00853F36">
        <w:t xml:space="preserve"> for physiotherapists, occupational therapists and speech and language therapists</w:t>
      </w:r>
      <w:r w:rsidR="00F63B31" w:rsidRPr="00853F36">
        <w:rPr>
          <w:rStyle w:val="FootnoteReference"/>
        </w:rPr>
        <w:footnoteReference w:id="102"/>
      </w:r>
      <w:bookmarkEnd w:id="1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037"/>
        <w:gridCol w:w="2189"/>
        <w:gridCol w:w="1887"/>
      </w:tblGrid>
      <w:tr w:rsidR="00F63B31" w:rsidRPr="00853F36" w:rsidTr="00CD6CD7">
        <w:tc>
          <w:tcPr>
            <w:tcW w:w="1459" w:type="pct"/>
          </w:tcPr>
          <w:p w:rsidR="00F63B31" w:rsidRPr="00853F36" w:rsidRDefault="00F63B31" w:rsidP="00CD6CD7">
            <w:pPr>
              <w:pStyle w:val="TableHead"/>
              <w:keepNext/>
            </w:pPr>
          </w:p>
        </w:tc>
        <w:tc>
          <w:tcPr>
            <w:tcW w:w="1180" w:type="pct"/>
          </w:tcPr>
          <w:p w:rsidR="00F63B31" w:rsidRPr="00853F36" w:rsidRDefault="00F63B31" w:rsidP="00CD6CD7">
            <w:pPr>
              <w:pStyle w:val="TableHead"/>
              <w:keepNext/>
            </w:pPr>
            <w:r w:rsidRPr="00853F36">
              <w:t>NHS PTs</w:t>
            </w:r>
          </w:p>
        </w:tc>
        <w:tc>
          <w:tcPr>
            <w:tcW w:w="1268" w:type="pct"/>
          </w:tcPr>
          <w:p w:rsidR="00F63B31" w:rsidRPr="00853F36" w:rsidRDefault="00F63B31" w:rsidP="00CD6CD7">
            <w:pPr>
              <w:pStyle w:val="TableHead"/>
              <w:keepNext/>
            </w:pPr>
            <w:r w:rsidRPr="00853F36">
              <w:t>NHS OTs</w:t>
            </w:r>
          </w:p>
        </w:tc>
        <w:tc>
          <w:tcPr>
            <w:tcW w:w="1093" w:type="pct"/>
          </w:tcPr>
          <w:p w:rsidR="00F63B31" w:rsidRPr="00853F36" w:rsidRDefault="00F63B31" w:rsidP="00CD6CD7">
            <w:pPr>
              <w:pStyle w:val="TableHead"/>
              <w:keepNext/>
            </w:pPr>
            <w:r w:rsidRPr="00853F36">
              <w:t>NHS SLTs</w:t>
            </w:r>
          </w:p>
        </w:tc>
      </w:tr>
      <w:tr w:rsidR="00F63B31" w:rsidRPr="00853F36" w:rsidTr="00CD6CD7">
        <w:tc>
          <w:tcPr>
            <w:tcW w:w="1459" w:type="pct"/>
          </w:tcPr>
          <w:p w:rsidR="00F63B31" w:rsidRPr="00F63B31" w:rsidRDefault="00F63B31" w:rsidP="00CD6CD7">
            <w:pPr>
              <w:pStyle w:val="TableCell"/>
              <w:keepNext/>
              <w:jc w:val="left"/>
            </w:pPr>
            <w:r w:rsidRPr="00F63B31">
              <w:t xml:space="preserve">Mean number of cases in </w:t>
            </w:r>
            <w:smartTag w:uri="urn:schemas-microsoft-com:office:smarttags" w:element="place">
              <w:smartTag w:uri="urn:schemas-microsoft-com:office:smarttags" w:element="country-region">
                <w:r w:rsidRPr="00F63B31">
                  <w:t>Scotland</w:t>
                </w:r>
              </w:smartTag>
            </w:smartTag>
            <w:r w:rsidRPr="00F63B31">
              <w:t xml:space="preserve"> per WTE</w:t>
            </w:r>
          </w:p>
        </w:tc>
        <w:tc>
          <w:tcPr>
            <w:tcW w:w="1180" w:type="pct"/>
          </w:tcPr>
          <w:p w:rsidR="00F63B31" w:rsidRPr="00F63B31" w:rsidRDefault="00F63B31" w:rsidP="00CD6CD7">
            <w:pPr>
              <w:pStyle w:val="TableCell"/>
              <w:keepNext/>
            </w:pPr>
            <w:r w:rsidRPr="00F63B31">
              <w:t>66 (range 30 –168)</w:t>
            </w:r>
          </w:p>
        </w:tc>
        <w:tc>
          <w:tcPr>
            <w:tcW w:w="1268" w:type="pct"/>
          </w:tcPr>
          <w:p w:rsidR="00F63B31" w:rsidRPr="00F63B31" w:rsidRDefault="00F63B31" w:rsidP="00CD6CD7">
            <w:pPr>
              <w:pStyle w:val="TableCell"/>
              <w:keepNext/>
            </w:pPr>
            <w:r w:rsidRPr="00F63B31">
              <w:t>60 (range 33-134)</w:t>
            </w:r>
          </w:p>
        </w:tc>
        <w:tc>
          <w:tcPr>
            <w:tcW w:w="1093" w:type="pct"/>
          </w:tcPr>
          <w:p w:rsidR="00F63B31" w:rsidRPr="00F63B31" w:rsidRDefault="00F63B31" w:rsidP="00CD6CD7">
            <w:pPr>
              <w:pStyle w:val="TableCell"/>
              <w:keepNext/>
            </w:pPr>
            <w:r w:rsidRPr="00F63B31">
              <w:t>93 (range 37-236)</w:t>
            </w:r>
          </w:p>
        </w:tc>
      </w:tr>
      <w:tr w:rsidR="00F63B31" w:rsidRPr="00853F36" w:rsidTr="00CD6CD7">
        <w:tc>
          <w:tcPr>
            <w:tcW w:w="1459" w:type="pct"/>
          </w:tcPr>
          <w:p w:rsidR="00F63B31" w:rsidRPr="00F63B31" w:rsidRDefault="00F63B31" w:rsidP="00CD6CD7">
            <w:pPr>
              <w:pStyle w:val="TableCell"/>
              <w:keepNext/>
              <w:jc w:val="left"/>
            </w:pPr>
            <w:r w:rsidRPr="00F63B31">
              <w:t>Western Isles</w:t>
            </w:r>
          </w:p>
        </w:tc>
        <w:tc>
          <w:tcPr>
            <w:tcW w:w="1180" w:type="pct"/>
          </w:tcPr>
          <w:p w:rsidR="00F63B31" w:rsidRPr="00F63B31" w:rsidRDefault="00F63B31" w:rsidP="00CD6CD7">
            <w:pPr>
              <w:pStyle w:val="TableCell"/>
              <w:keepNext/>
            </w:pPr>
            <w:r w:rsidRPr="00F63B31">
              <w:t>30</w:t>
            </w:r>
          </w:p>
        </w:tc>
        <w:tc>
          <w:tcPr>
            <w:tcW w:w="1268" w:type="pct"/>
          </w:tcPr>
          <w:p w:rsidR="00F63B31" w:rsidRPr="00F63B31" w:rsidRDefault="00F63B31" w:rsidP="00CD6CD7">
            <w:pPr>
              <w:pStyle w:val="TableCell"/>
              <w:keepNext/>
            </w:pPr>
            <w:r w:rsidRPr="00F63B31">
              <w:t>55</w:t>
            </w:r>
          </w:p>
        </w:tc>
        <w:tc>
          <w:tcPr>
            <w:tcW w:w="1093" w:type="pct"/>
          </w:tcPr>
          <w:p w:rsidR="00F63B31" w:rsidRPr="00F63B31" w:rsidRDefault="00F63B31" w:rsidP="00CD6CD7">
            <w:pPr>
              <w:pStyle w:val="TableCell"/>
              <w:keepNext/>
            </w:pPr>
            <w:r w:rsidRPr="00F63B31">
              <w:t>61estimated</w:t>
            </w:r>
          </w:p>
        </w:tc>
      </w:tr>
      <w:tr w:rsidR="00F63B31" w:rsidRPr="00853F36" w:rsidTr="00CD6CD7">
        <w:tc>
          <w:tcPr>
            <w:tcW w:w="1459" w:type="pct"/>
          </w:tcPr>
          <w:p w:rsidR="00F63B31" w:rsidRPr="00F63B31" w:rsidRDefault="00F63B31" w:rsidP="00CD6CD7">
            <w:pPr>
              <w:pStyle w:val="TableCell"/>
              <w:keepNext/>
              <w:jc w:val="left"/>
            </w:pPr>
            <w:r w:rsidRPr="00F63B31">
              <w:t>Tayside</w:t>
            </w:r>
          </w:p>
        </w:tc>
        <w:tc>
          <w:tcPr>
            <w:tcW w:w="1180" w:type="pct"/>
          </w:tcPr>
          <w:p w:rsidR="00F63B31" w:rsidRPr="00F63B31" w:rsidRDefault="00F63B31" w:rsidP="00CD6CD7">
            <w:pPr>
              <w:pStyle w:val="TableCell"/>
              <w:keepNext/>
            </w:pPr>
            <w:r w:rsidRPr="00F63B31">
              <w:t>33</w:t>
            </w:r>
          </w:p>
        </w:tc>
        <w:tc>
          <w:tcPr>
            <w:tcW w:w="1268" w:type="pct"/>
          </w:tcPr>
          <w:p w:rsidR="00F63B31" w:rsidRPr="00F63B31" w:rsidRDefault="00F63B31" w:rsidP="00CD6CD7">
            <w:pPr>
              <w:pStyle w:val="TableCell"/>
              <w:keepNext/>
            </w:pPr>
            <w:r w:rsidRPr="00F63B31">
              <w:t>34</w:t>
            </w:r>
          </w:p>
        </w:tc>
        <w:tc>
          <w:tcPr>
            <w:tcW w:w="1093" w:type="pct"/>
          </w:tcPr>
          <w:p w:rsidR="00F63B31" w:rsidRPr="00F63B31" w:rsidRDefault="00F63B31" w:rsidP="00CD6CD7">
            <w:pPr>
              <w:pStyle w:val="TableCell"/>
              <w:keepNext/>
            </w:pPr>
            <w:r w:rsidRPr="00F63B31">
              <w:t>37 not accurate</w:t>
            </w:r>
          </w:p>
        </w:tc>
      </w:tr>
      <w:tr w:rsidR="00F63B31" w:rsidRPr="00853F36" w:rsidTr="00CD6CD7">
        <w:tc>
          <w:tcPr>
            <w:tcW w:w="1459" w:type="pct"/>
          </w:tcPr>
          <w:p w:rsidR="00F63B31" w:rsidRPr="00F63B31" w:rsidRDefault="00F63B31" w:rsidP="00CD6CD7">
            <w:pPr>
              <w:pStyle w:val="TableCell"/>
              <w:keepNext/>
              <w:jc w:val="left"/>
            </w:pPr>
            <w:r w:rsidRPr="00F63B31">
              <w:t>Shetland</w:t>
            </w:r>
          </w:p>
        </w:tc>
        <w:tc>
          <w:tcPr>
            <w:tcW w:w="1180" w:type="pct"/>
          </w:tcPr>
          <w:p w:rsidR="00F63B31" w:rsidRPr="00F63B31" w:rsidRDefault="00F63B31" w:rsidP="00CD6CD7">
            <w:pPr>
              <w:pStyle w:val="TableCell"/>
              <w:keepNext/>
            </w:pPr>
            <w:r w:rsidRPr="00F63B31">
              <w:t>Not available</w:t>
            </w:r>
          </w:p>
        </w:tc>
        <w:tc>
          <w:tcPr>
            <w:tcW w:w="1268" w:type="pct"/>
          </w:tcPr>
          <w:p w:rsidR="00F63B31" w:rsidRPr="00F63B31" w:rsidRDefault="00F63B31" w:rsidP="00CD6CD7">
            <w:pPr>
              <w:pStyle w:val="TableCell"/>
              <w:keepNext/>
            </w:pPr>
            <w:r w:rsidRPr="00F63B31">
              <w:t>125</w:t>
            </w:r>
          </w:p>
        </w:tc>
        <w:tc>
          <w:tcPr>
            <w:tcW w:w="1093" w:type="pct"/>
          </w:tcPr>
          <w:p w:rsidR="00F63B31" w:rsidRPr="00F63B31" w:rsidRDefault="00F63B31" w:rsidP="00CD6CD7">
            <w:pPr>
              <w:pStyle w:val="TableCell"/>
              <w:keepNext/>
            </w:pPr>
            <w:r w:rsidRPr="00F63B31">
              <w:t>136 estimated</w:t>
            </w:r>
          </w:p>
        </w:tc>
      </w:tr>
      <w:tr w:rsidR="00F63B31" w:rsidRPr="00853F36" w:rsidTr="00CD6CD7">
        <w:tc>
          <w:tcPr>
            <w:tcW w:w="1459" w:type="pct"/>
          </w:tcPr>
          <w:p w:rsidR="00F63B31" w:rsidRPr="00F63B31" w:rsidRDefault="00F63B31" w:rsidP="00CD6CD7">
            <w:pPr>
              <w:pStyle w:val="TableCell"/>
              <w:keepNext/>
              <w:jc w:val="left"/>
            </w:pPr>
            <w:r w:rsidRPr="00F63B31">
              <w:t>Orkney</w:t>
            </w:r>
          </w:p>
        </w:tc>
        <w:tc>
          <w:tcPr>
            <w:tcW w:w="1180" w:type="pct"/>
          </w:tcPr>
          <w:p w:rsidR="00F63B31" w:rsidRPr="00F63B31" w:rsidRDefault="00F63B31" w:rsidP="00CD6CD7">
            <w:pPr>
              <w:pStyle w:val="TableCell"/>
              <w:keepNext/>
            </w:pPr>
            <w:r w:rsidRPr="00F63B31">
              <w:t>33</w:t>
            </w:r>
          </w:p>
        </w:tc>
        <w:tc>
          <w:tcPr>
            <w:tcW w:w="1268" w:type="pct"/>
          </w:tcPr>
          <w:p w:rsidR="00F63B31" w:rsidRPr="00F63B31" w:rsidRDefault="00F63B31" w:rsidP="00CD6CD7">
            <w:pPr>
              <w:pStyle w:val="TableCell"/>
              <w:keepNext/>
            </w:pPr>
            <w:r w:rsidRPr="00F63B31">
              <w:t>55</w:t>
            </w:r>
          </w:p>
        </w:tc>
        <w:tc>
          <w:tcPr>
            <w:tcW w:w="1093" w:type="pct"/>
          </w:tcPr>
          <w:p w:rsidR="00F63B31" w:rsidRPr="00F63B31" w:rsidRDefault="00F63B31" w:rsidP="00CD6CD7">
            <w:pPr>
              <w:pStyle w:val="TableCell"/>
              <w:keepNext/>
            </w:pPr>
            <w:r w:rsidRPr="00F63B31">
              <w:t>236</w:t>
            </w:r>
          </w:p>
        </w:tc>
      </w:tr>
      <w:tr w:rsidR="00F63B31" w:rsidRPr="00853F36" w:rsidTr="00CD6CD7">
        <w:tc>
          <w:tcPr>
            <w:tcW w:w="1459" w:type="pct"/>
          </w:tcPr>
          <w:p w:rsidR="00F63B31" w:rsidRPr="00F63B31" w:rsidRDefault="00F63B31" w:rsidP="00CD6CD7">
            <w:pPr>
              <w:pStyle w:val="TableCell"/>
              <w:keepNext/>
              <w:jc w:val="left"/>
            </w:pPr>
            <w:r w:rsidRPr="00F63B31">
              <w:t>Lothian</w:t>
            </w:r>
          </w:p>
        </w:tc>
        <w:tc>
          <w:tcPr>
            <w:tcW w:w="1180" w:type="pct"/>
          </w:tcPr>
          <w:p w:rsidR="00F63B31" w:rsidRPr="00F63B31" w:rsidRDefault="00F63B31" w:rsidP="00CD6CD7">
            <w:pPr>
              <w:pStyle w:val="TableCell"/>
              <w:keepNext/>
            </w:pPr>
            <w:r w:rsidRPr="00F63B31">
              <w:t>59</w:t>
            </w:r>
          </w:p>
        </w:tc>
        <w:tc>
          <w:tcPr>
            <w:tcW w:w="1268" w:type="pct"/>
          </w:tcPr>
          <w:p w:rsidR="00F63B31" w:rsidRPr="00F63B31" w:rsidRDefault="00F63B31" w:rsidP="00CD6CD7">
            <w:pPr>
              <w:pStyle w:val="TableCell"/>
              <w:keepNext/>
            </w:pPr>
            <w:r w:rsidRPr="00F63B31">
              <w:t>41</w:t>
            </w:r>
          </w:p>
        </w:tc>
        <w:tc>
          <w:tcPr>
            <w:tcW w:w="1093" w:type="pct"/>
          </w:tcPr>
          <w:p w:rsidR="00F63B31" w:rsidRPr="00F63B31" w:rsidRDefault="00F63B31" w:rsidP="00CD6CD7">
            <w:pPr>
              <w:pStyle w:val="TableCell"/>
              <w:keepNext/>
            </w:pPr>
            <w:r w:rsidRPr="00F63B31">
              <w:t>57</w:t>
            </w:r>
          </w:p>
        </w:tc>
      </w:tr>
      <w:tr w:rsidR="00F63B31" w:rsidRPr="00853F36" w:rsidTr="00CD6CD7">
        <w:tc>
          <w:tcPr>
            <w:tcW w:w="1459" w:type="pct"/>
          </w:tcPr>
          <w:p w:rsidR="00F63B31" w:rsidRPr="00F63B31" w:rsidRDefault="00F63B31" w:rsidP="00CD6CD7">
            <w:pPr>
              <w:pStyle w:val="TableCell"/>
              <w:keepNext/>
              <w:jc w:val="left"/>
            </w:pPr>
            <w:r w:rsidRPr="00F63B31">
              <w:t>Lanarkshire</w:t>
            </w:r>
          </w:p>
        </w:tc>
        <w:tc>
          <w:tcPr>
            <w:tcW w:w="1180" w:type="pct"/>
          </w:tcPr>
          <w:p w:rsidR="00F63B31" w:rsidRPr="00F63B31" w:rsidRDefault="00F63B31" w:rsidP="00CD6CD7">
            <w:pPr>
              <w:pStyle w:val="TableCell"/>
              <w:keepNext/>
            </w:pPr>
            <w:r w:rsidRPr="00F63B31">
              <w:t>Not accurate</w:t>
            </w:r>
          </w:p>
        </w:tc>
        <w:tc>
          <w:tcPr>
            <w:tcW w:w="1268" w:type="pct"/>
          </w:tcPr>
          <w:p w:rsidR="00F63B31" w:rsidRPr="00F63B31" w:rsidRDefault="00F63B31" w:rsidP="00CD6CD7">
            <w:pPr>
              <w:pStyle w:val="TableCell"/>
              <w:keepNext/>
            </w:pPr>
            <w:r w:rsidRPr="00F63B31">
              <w:t>43</w:t>
            </w:r>
          </w:p>
        </w:tc>
        <w:tc>
          <w:tcPr>
            <w:tcW w:w="1093" w:type="pct"/>
          </w:tcPr>
          <w:p w:rsidR="00F63B31" w:rsidRPr="00F63B31" w:rsidRDefault="00F63B31" w:rsidP="00CD6CD7">
            <w:pPr>
              <w:pStyle w:val="TableCell"/>
              <w:keepNext/>
            </w:pPr>
            <w:r w:rsidRPr="00F63B31">
              <w:t>106</w:t>
            </w:r>
          </w:p>
        </w:tc>
      </w:tr>
      <w:tr w:rsidR="00F63B31" w:rsidRPr="00853F36" w:rsidTr="00CD6CD7">
        <w:tc>
          <w:tcPr>
            <w:tcW w:w="1459" w:type="pct"/>
          </w:tcPr>
          <w:p w:rsidR="00F63B31" w:rsidRPr="00F63B31" w:rsidRDefault="00F63B31" w:rsidP="00CD6CD7">
            <w:pPr>
              <w:pStyle w:val="TableCell"/>
              <w:keepNext/>
              <w:jc w:val="left"/>
            </w:pPr>
            <w:r w:rsidRPr="00F63B31">
              <w:t>Highland</w:t>
            </w:r>
          </w:p>
        </w:tc>
        <w:tc>
          <w:tcPr>
            <w:tcW w:w="1180" w:type="pct"/>
          </w:tcPr>
          <w:p w:rsidR="00F63B31" w:rsidRPr="00F63B31" w:rsidRDefault="00F63B31" w:rsidP="00CD6CD7">
            <w:pPr>
              <w:pStyle w:val="TableCell"/>
              <w:keepNext/>
            </w:pPr>
            <w:r w:rsidRPr="00F63B31">
              <w:t>Not accurate</w:t>
            </w:r>
          </w:p>
        </w:tc>
        <w:tc>
          <w:tcPr>
            <w:tcW w:w="1268" w:type="pct"/>
          </w:tcPr>
          <w:p w:rsidR="00F63B31" w:rsidRPr="00F63B31" w:rsidRDefault="00F63B31" w:rsidP="00CD6CD7">
            <w:pPr>
              <w:pStyle w:val="TableCell"/>
              <w:keepNext/>
            </w:pPr>
            <w:r w:rsidRPr="00F63B31">
              <w:t>68</w:t>
            </w:r>
          </w:p>
        </w:tc>
        <w:tc>
          <w:tcPr>
            <w:tcW w:w="1093" w:type="pct"/>
          </w:tcPr>
          <w:p w:rsidR="00F63B31" w:rsidRPr="00F63B31" w:rsidRDefault="00F63B31" w:rsidP="00CD6CD7">
            <w:pPr>
              <w:pStyle w:val="TableCell"/>
              <w:keepNext/>
            </w:pPr>
            <w:r w:rsidRPr="00F63B31">
              <w:t>Not available</w:t>
            </w:r>
          </w:p>
        </w:tc>
      </w:tr>
      <w:tr w:rsidR="00F63B31" w:rsidRPr="00853F36" w:rsidTr="00CD6CD7">
        <w:tc>
          <w:tcPr>
            <w:tcW w:w="1459" w:type="pct"/>
          </w:tcPr>
          <w:p w:rsidR="00F63B31" w:rsidRPr="00F63B31" w:rsidRDefault="00F63B31" w:rsidP="00CD6CD7">
            <w:pPr>
              <w:pStyle w:val="TableCell"/>
              <w:keepNext/>
              <w:jc w:val="left"/>
            </w:pPr>
            <w:r w:rsidRPr="00F63B31">
              <w:t xml:space="preserve">Greater </w:t>
            </w:r>
            <w:smartTag w:uri="urn:schemas-microsoft-com:office:smarttags" w:element="place">
              <w:smartTag w:uri="urn:schemas-microsoft-com:office:smarttags" w:element="City">
                <w:r w:rsidRPr="00F63B31">
                  <w:t>Glasgow</w:t>
                </w:r>
              </w:smartTag>
            </w:smartTag>
          </w:p>
        </w:tc>
        <w:tc>
          <w:tcPr>
            <w:tcW w:w="1180" w:type="pct"/>
          </w:tcPr>
          <w:p w:rsidR="00F63B31" w:rsidRPr="00F63B31" w:rsidRDefault="00F63B31" w:rsidP="00CD6CD7">
            <w:pPr>
              <w:pStyle w:val="TableCell"/>
              <w:keepNext/>
            </w:pPr>
            <w:r w:rsidRPr="00F63B31">
              <w:t>Not accurate</w:t>
            </w:r>
          </w:p>
        </w:tc>
        <w:tc>
          <w:tcPr>
            <w:tcW w:w="1268" w:type="pct"/>
          </w:tcPr>
          <w:p w:rsidR="00F63B31" w:rsidRPr="00F63B31" w:rsidRDefault="00F63B31" w:rsidP="00CD6CD7">
            <w:pPr>
              <w:pStyle w:val="TableCell"/>
              <w:keepNext/>
            </w:pPr>
            <w:r w:rsidRPr="00F63B31">
              <w:t>45</w:t>
            </w:r>
          </w:p>
        </w:tc>
        <w:tc>
          <w:tcPr>
            <w:tcW w:w="1093" w:type="pct"/>
          </w:tcPr>
          <w:p w:rsidR="00F63B31" w:rsidRPr="00F63B31" w:rsidRDefault="00F63B31" w:rsidP="00CD6CD7">
            <w:pPr>
              <w:pStyle w:val="TableCell"/>
              <w:keepNext/>
            </w:pPr>
            <w:r w:rsidRPr="00F63B31">
              <w:t>95</w:t>
            </w:r>
          </w:p>
        </w:tc>
      </w:tr>
      <w:tr w:rsidR="00F63B31" w:rsidRPr="00853F36" w:rsidTr="00CD6CD7">
        <w:tc>
          <w:tcPr>
            <w:tcW w:w="1459" w:type="pct"/>
          </w:tcPr>
          <w:p w:rsidR="00F63B31" w:rsidRPr="00F63B31" w:rsidRDefault="00F63B31" w:rsidP="00CD6CD7">
            <w:pPr>
              <w:pStyle w:val="TableCell"/>
              <w:keepNext/>
              <w:jc w:val="left"/>
            </w:pPr>
            <w:r w:rsidRPr="00F63B31">
              <w:t>Grampian</w:t>
            </w:r>
          </w:p>
        </w:tc>
        <w:tc>
          <w:tcPr>
            <w:tcW w:w="1180" w:type="pct"/>
          </w:tcPr>
          <w:p w:rsidR="00F63B31" w:rsidRPr="00F63B31" w:rsidRDefault="00F63B31" w:rsidP="00CD6CD7">
            <w:pPr>
              <w:pStyle w:val="TableCell"/>
              <w:keepNext/>
            </w:pPr>
            <w:r w:rsidRPr="00F63B31">
              <w:t>Not accurate</w:t>
            </w:r>
          </w:p>
        </w:tc>
        <w:tc>
          <w:tcPr>
            <w:tcW w:w="1268" w:type="pct"/>
          </w:tcPr>
          <w:p w:rsidR="00F63B31" w:rsidRPr="00F63B31" w:rsidRDefault="00F63B31" w:rsidP="00CD6CD7">
            <w:pPr>
              <w:pStyle w:val="TableCell"/>
              <w:keepNext/>
            </w:pPr>
            <w:r w:rsidRPr="00F63B31">
              <w:t>71</w:t>
            </w:r>
          </w:p>
        </w:tc>
        <w:tc>
          <w:tcPr>
            <w:tcW w:w="1093" w:type="pct"/>
          </w:tcPr>
          <w:p w:rsidR="00F63B31" w:rsidRPr="00F63B31" w:rsidRDefault="00F63B31" w:rsidP="00CD6CD7">
            <w:pPr>
              <w:pStyle w:val="TableCell"/>
              <w:keepNext/>
            </w:pPr>
            <w:r w:rsidRPr="00F63B31">
              <w:t>106</w:t>
            </w:r>
          </w:p>
        </w:tc>
      </w:tr>
      <w:tr w:rsidR="00F63B31" w:rsidRPr="00853F36" w:rsidTr="00CD6CD7">
        <w:tc>
          <w:tcPr>
            <w:tcW w:w="1459" w:type="pct"/>
          </w:tcPr>
          <w:p w:rsidR="00F63B31" w:rsidRPr="00F63B31" w:rsidRDefault="00F63B31" w:rsidP="00CD6CD7">
            <w:pPr>
              <w:pStyle w:val="TableCell"/>
              <w:keepNext/>
              <w:jc w:val="left"/>
            </w:pPr>
            <w:r w:rsidRPr="00F63B31">
              <w:t xml:space="preserve">Forth </w:t>
            </w:r>
            <w:smartTag w:uri="urn:schemas-microsoft-com:office:smarttags" w:element="PlaceType">
              <w:r w:rsidRPr="00F63B31">
                <w:t>Valley</w:t>
              </w:r>
            </w:smartTag>
          </w:p>
        </w:tc>
        <w:tc>
          <w:tcPr>
            <w:tcW w:w="1180" w:type="pct"/>
          </w:tcPr>
          <w:p w:rsidR="00F63B31" w:rsidRPr="00F63B31" w:rsidRDefault="00F63B31" w:rsidP="00CD6CD7">
            <w:pPr>
              <w:pStyle w:val="TableCell"/>
              <w:keepNext/>
            </w:pPr>
            <w:r w:rsidRPr="00F63B31">
              <w:t>96</w:t>
            </w:r>
          </w:p>
        </w:tc>
        <w:tc>
          <w:tcPr>
            <w:tcW w:w="1268" w:type="pct"/>
          </w:tcPr>
          <w:p w:rsidR="00F63B31" w:rsidRPr="00F63B31" w:rsidRDefault="00F63B31" w:rsidP="00CD6CD7">
            <w:pPr>
              <w:pStyle w:val="TableCell"/>
              <w:keepNext/>
            </w:pPr>
            <w:r w:rsidRPr="00F63B31">
              <w:t>33</w:t>
            </w:r>
          </w:p>
        </w:tc>
        <w:tc>
          <w:tcPr>
            <w:tcW w:w="1093" w:type="pct"/>
          </w:tcPr>
          <w:p w:rsidR="00F63B31" w:rsidRPr="00F63B31" w:rsidRDefault="00F63B31" w:rsidP="00CD6CD7">
            <w:pPr>
              <w:pStyle w:val="TableCell"/>
              <w:keepNext/>
            </w:pPr>
            <w:r w:rsidRPr="00F63B31">
              <w:t>62</w:t>
            </w:r>
          </w:p>
        </w:tc>
      </w:tr>
      <w:tr w:rsidR="00F63B31" w:rsidRPr="00853F36" w:rsidTr="00CD6CD7">
        <w:tc>
          <w:tcPr>
            <w:tcW w:w="1459" w:type="pct"/>
          </w:tcPr>
          <w:p w:rsidR="00F63B31" w:rsidRPr="00F63B31" w:rsidRDefault="00F63B31" w:rsidP="00CD6CD7">
            <w:pPr>
              <w:pStyle w:val="TableCell"/>
              <w:keepNext/>
              <w:jc w:val="left"/>
            </w:pPr>
            <w:r w:rsidRPr="00F63B31">
              <w:t>Fife</w:t>
            </w:r>
          </w:p>
        </w:tc>
        <w:tc>
          <w:tcPr>
            <w:tcW w:w="1180" w:type="pct"/>
          </w:tcPr>
          <w:p w:rsidR="00F63B31" w:rsidRPr="00F63B31" w:rsidRDefault="00F63B31" w:rsidP="00CD6CD7">
            <w:pPr>
              <w:pStyle w:val="TableCell"/>
              <w:keepNext/>
            </w:pPr>
            <w:r w:rsidRPr="00F63B31">
              <w:t>63</w:t>
            </w:r>
          </w:p>
        </w:tc>
        <w:tc>
          <w:tcPr>
            <w:tcW w:w="1268" w:type="pct"/>
          </w:tcPr>
          <w:p w:rsidR="00F63B31" w:rsidRPr="00F63B31" w:rsidRDefault="00F63B31" w:rsidP="00CD6CD7">
            <w:pPr>
              <w:pStyle w:val="TableCell"/>
              <w:keepNext/>
            </w:pPr>
            <w:r w:rsidRPr="00F63B31">
              <w:t>45</w:t>
            </w:r>
          </w:p>
        </w:tc>
        <w:tc>
          <w:tcPr>
            <w:tcW w:w="1093" w:type="pct"/>
          </w:tcPr>
          <w:p w:rsidR="00F63B31" w:rsidRPr="00F63B31" w:rsidRDefault="00F63B31" w:rsidP="00CD6CD7">
            <w:pPr>
              <w:pStyle w:val="TableCell"/>
              <w:keepNext/>
            </w:pPr>
            <w:r w:rsidRPr="00F63B31">
              <w:t>57</w:t>
            </w:r>
          </w:p>
        </w:tc>
      </w:tr>
      <w:tr w:rsidR="00F63B31" w:rsidRPr="00853F36" w:rsidTr="00CD6CD7">
        <w:tc>
          <w:tcPr>
            <w:tcW w:w="1459" w:type="pct"/>
          </w:tcPr>
          <w:p w:rsidR="00F63B31" w:rsidRPr="00F63B31" w:rsidRDefault="00F63B31" w:rsidP="00CD6CD7">
            <w:pPr>
              <w:pStyle w:val="TableCell"/>
              <w:keepNext/>
              <w:jc w:val="left"/>
            </w:pPr>
            <w:r w:rsidRPr="00F63B31">
              <w:t xml:space="preserve">Dumfries and </w:t>
            </w:r>
            <w:smartTag w:uri="urn:schemas-microsoft-com:office:smarttags" w:element="place">
              <w:r w:rsidRPr="00F63B31">
                <w:t>Galloway</w:t>
              </w:r>
            </w:smartTag>
          </w:p>
        </w:tc>
        <w:tc>
          <w:tcPr>
            <w:tcW w:w="1180" w:type="pct"/>
          </w:tcPr>
          <w:p w:rsidR="00F63B31" w:rsidRPr="00F63B31" w:rsidRDefault="00F63B31" w:rsidP="00CD6CD7">
            <w:pPr>
              <w:pStyle w:val="TableCell"/>
              <w:keepNext/>
            </w:pPr>
            <w:r w:rsidRPr="00F63B31">
              <w:t>33</w:t>
            </w:r>
          </w:p>
        </w:tc>
        <w:tc>
          <w:tcPr>
            <w:tcW w:w="1268" w:type="pct"/>
          </w:tcPr>
          <w:p w:rsidR="00F63B31" w:rsidRPr="00F63B31" w:rsidRDefault="00F63B31" w:rsidP="00CD6CD7">
            <w:pPr>
              <w:pStyle w:val="TableCell"/>
              <w:keepNext/>
            </w:pPr>
            <w:r w:rsidRPr="00F63B31">
              <w:t>57</w:t>
            </w:r>
          </w:p>
        </w:tc>
        <w:tc>
          <w:tcPr>
            <w:tcW w:w="1093" w:type="pct"/>
          </w:tcPr>
          <w:p w:rsidR="00F63B31" w:rsidRPr="00F63B31" w:rsidRDefault="00F63B31" w:rsidP="00CD6CD7">
            <w:pPr>
              <w:pStyle w:val="TableCell"/>
              <w:keepNext/>
            </w:pPr>
            <w:r w:rsidRPr="00F63B31">
              <w:t>84</w:t>
            </w:r>
          </w:p>
        </w:tc>
      </w:tr>
      <w:tr w:rsidR="00F63B31" w:rsidRPr="00853F36" w:rsidTr="00CD6CD7">
        <w:tc>
          <w:tcPr>
            <w:tcW w:w="1459" w:type="pct"/>
          </w:tcPr>
          <w:p w:rsidR="00F63B31" w:rsidRPr="00F63B31" w:rsidRDefault="00F63B31" w:rsidP="00CD6CD7">
            <w:pPr>
              <w:pStyle w:val="TableCell"/>
              <w:keepNext/>
              <w:jc w:val="left"/>
            </w:pPr>
            <w:r w:rsidRPr="00F63B31">
              <w:t>Borders</w:t>
            </w:r>
          </w:p>
        </w:tc>
        <w:tc>
          <w:tcPr>
            <w:tcW w:w="1180" w:type="pct"/>
          </w:tcPr>
          <w:p w:rsidR="00F63B31" w:rsidRPr="00F63B31" w:rsidRDefault="00F63B31" w:rsidP="00CD6CD7">
            <w:pPr>
              <w:pStyle w:val="TableCell"/>
              <w:keepNext/>
            </w:pPr>
            <w:r w:rsidRPr="00F63B31">
              <w:t>168</w:t>
            </w:r>
          </w:p>
        </w:tc>
        <w:tc>
          <w:tcPr>
            <w:tcW w:w="1268" w:type="pct"/>
          </w:tcPr>
          <w:p w:rsidR="00F63B31" w:rsidRPr="00F63B31" w:rsidRDefault="00F63B31" w:rsidP="00CD6CD7">
            <w:pPr>
              <w:pStyle w:val="TableCell"/>
              <w:keepNext/>
            </w:pPr>
            <w:r w:rsidRPr="00F63B31">
              <w:t>134</w:t>
            </w:r>
          </w:p>
        </w:tc>
        <w:tc>
          <w:tcPr>
            <w:tcW w:w="1093" w:type="pct"/>
          </w:tcPr>
          <w:p w:rsidR="00F63B31" w:rsidRPr="00F63B31" w:rsidRDefault="00F63B31" w:rsidP="00CD6CD7">
            <w:pPr>
              <w:pStyle w:val="TableCell"/>
              <w:keepNext/>
            </w:pPr>
            <w:r w:rsidRPr="00F63B31">
              <w:t>72</w:t>
            </w:r>
          </w:p>
        </w:tc>
      </w:tr>
      <w:tr w:rsidR="00F63B31" w:rsidRPr="00853F36" w:rsidTr="00CD6CD7">
        <w:tc>
          <w:tcPr>
            <w:tcW w:w="1459" w:type="pct"/>
          </w:tcPr>
          <w:p w:rsidR="00F63B31" w:rsidRPr="00F63B31" w:rsidRDefault="00F63B31" w:rsidP="00CD6CD7">
            <w:pPr>
              <w:pStyle w:val="TableCell"/>
              <w:keepNext/>
              <w:jc w:val="left"/>
            </w:pPr>
            <w:r w:rsidRPr="00F63B31">
              <w:t xml:space="preserve">Ayrshire and </w:t>
            </w:r>
            <w:smartTag w:uri="urn:schemas-microsoft-com:office:smarttags" w:element="place">
              <w:r w:rsidRPr="00F63B31">
                <w:t>Arran</w:t>
              </w:r>
            </w:smartTag>
          </w:p>
        </w:tc>
        <w:tc>
          <w:tcPr>
            <w:tcW w:w="1180" w:type="pct"/>
          </w:tcPr>
          <w:p w:rsidR="00F63B31" w:rsidRPr="00F63B31" w:rsidRDefault="00F63B31" w:rsidP="00CD6CD7">
            <w:pPr>
              <w:pStyle w:val="TableCell"/>
              <w:keepNext/>
            </w:pPr>
            <w:r w:rsidRPr="00F63B31">
              <w:t>69</w:t>
            </w:r>
          </w:p>
        </w:tc>
        <w:tc>
          <w:tcPr>
            <w:tcW w:w="1268" w:type="pct"/>
          </w:tcPr>
          <w:p w:rsidR="00F63B31" w:rsidRPr="00F63B31" w:rsidRDefault="00F63B31" w:rsidP="00CD6CD7">
            <w:pPr>
              <w:pStyle w:val="TableCell"/>
              <w:keepNext/>
            </w:pPr>
            <w:r w:rsidRPr="00F63B31">
              <w:t>62</w:t>
            </w:r>
          </w:p>
        </w:tc>
        <w:tc>
          <w:tcPr>
            <w:tcW w:w="1093" w:type="pct"/>
          </w:tcPr>
          <w:p w:rsidR="00F63B31" w:rsidRPr="00F63B31" w:rsidRDefault="00F63B31" w:rsidP="00CD6CD7">
            <w:pPr>
              <w:pStyle w:val="TableCell"/>
              <w:keepNext/>
            </w:pPr>
            <w:r w:rsidRPr="00F63B31">
              <w:t>103</w:t>
            </w:r>
          </w:p>
        </w:tc>
      </w:tr>
      <w:tr w:rsidR="00F63B31" w:rsidRPr="00853F36" w:rsidTr="00CD6CD7">
        <w:tc>
          <w:tcPr>
            <w:tcW w:w="1459" w:type="pct"/>
          </w:tcPr>
          <w:p w:rsidR="00F63B31" w:rsidRPr="00F63B31" w:rsidRDefault="00F63B31" w:rsidP="00CD6CD7">
            <w:pPr>
              <w:pStyle w:val="TableCell"/>
              <w:keepNext/>
              <w:jc w:val="left"/>
            </w:pPr>
            <w:r w:rsidRPr="00F63B31">
              <w:t xml:space="preserve">Argyll and </w:t>
            </w:r>
            <w:smartTag w:uri="urn:schemas-microsoft-com:office:smarttags" w:element="place">
              <w:r w:rsidRPr="00F63B31">
                <w:t>Clyde</w:t>
              </w:r>
            </w:smartTag>
          </w:p>
        </w:tc>
        <w:tc>
          <w:tcPr>
            <w:tcW w:w="1180" w:type="pct"/>
          </w:tcPr>
          <w:p w:rsidR="00F63B31" w:rsidRPr="00F63B31" w:rsidRDefault="00F63B31" w:rsidP="00CD6CD7">
            <w:pPr>
              <w:pStyle w:val="TableCell"/>
              <w:keepNext/>
            </w:pPr>
            <w:r w:rsidRPr="00F63B31">
              <w:t>80</w:t>
            </w:r>
          </w:p>
        </w:tc>
        <w:tc>
          <w:tcPr>
            <w:tcW w:w="1268" w:type="pct"/>
          </w:tcPr>
          <w:p w:rsidR="00F63B31" w:rsidRPr="00F63B31" w:rsidRDefault="00F63B31" w:rsidP="00CD6CD7">
            <w:pPr>
              <w:pStyle w:val="TableCell"/>
              <w:keepNext/>
            </w:pPr>
            <w:r w:rsidRPr="00F63B31">
              <w:t>38</w:t>
            </w:r>
          </w:p>
        </w:tc>
        <w:tc>
          <w:tcPr>
            <w:tcW w:w="1093" w:type="pct"/>
          </w:tcPr>
          <w:p w:rsidR="00F63B31" w:rsidRPr="00F63B31" w:rsidRDefault="00F63B31" w:rsidP="00CD6CD7">
            <w:pPr>
              <w:pStyle w:val="TableCell"/>
              <w:keepNext/>
            </w:pPr>
            <w:r w:rsidRPr="00F63B31">
              <w:t>87</w:t>
            </w:r>
          </w:p>
        </w:tc>
      </w:tr>
    </w:tbl>
    <w:p w:rsidR="00F63B31" w:rsidRPr="00853F36" w:rsidRDefault="00F63B31" w:rsidP="00CD6CD7">
      <w:pPr>
        <w:pStyle w:val="TableNote"/>
      </w:pPr>
      <w:r w:rsidRPr="00853F36">
        <w:t>Source: Scottish Executive accessible at http://www.scotland.gov.uk/Publications/2003/08/18065/25750</w:t>
      </w:r>
    </w:p>
    <w:p w:rsidR="00F63B31" w:rsidRPr="00853F36" w:rsidRDefault="00F63B31" w:rsidP="00DA1A61">
      <w:pPr>
        <w:pStyle w:val="Heading2"/>
        <w:numPr>
          <w:ilvl w:val="1"/>
          <w:numId w:val="12"/>
        </w:numPr>
        <w:ind w:hanging="1800"/>
      </w:pPr>
      <w:bookmarkStart w:id="195" w:name="_Toc386464560"/>
      <w:bookmarkStart w:id="196" w:name="_Toc386470055"/>
      <w:bookmarkStart w:id="197" w:name="_Toc390269728"/>
      <w:bookmarkStart w:id="198" w:name="_Toc415733731"/>
      <w:r w:rsidRPr="00853F36">
        <w:t>The USA</w:t>
      </w:r>
      <w:bookmarkEnd w:id="195"/>
      <w:bookmarkEnd w:id="196"/>
      <w:bookmarkEnd w:id="197"/>
      <w:bookmarkEnd w:id="198"/>
    </w:p>
    <w:p w:rsidR="00F63B31" w:rsidRPr="006A1F68" w:rsidRDefault="00F63B31" w:rsidP="00F63B31">
      <w:r>
        <w:t>In 2004</w:t>
      </w:r>
      <w:r w:rsidR="009B64A7">
        <w:t>,</w:t>
      </w:r>
      <w:r>
        <w:t xml:space="preserve"> analyses determined</w:t>
      </w:r>
      <w:r w:rsidRPr="006A1F68">
        <w:t xml:space="preserve"> that there </w:t>
      </w:r>
      <w:r>
        <w:t>were</w:t>
      </w:r>
      <w:r w:rsidRPr="006A1F68">
        <w:t xml:space="preserve"> 1,621 students per school psychologist in the </w:t>
      </w:r>
      <w:smartTag w:uri="urn:schemas-microsoft-com:office:smarttags" w:element="place">
        <w:smartTag w:uri="urn:schemas-microsoft-com:office:smarttags" w:element="country-region">
          <w:r w:rsidRPr="006A1F68">
            <w:t>United States</w:t>
          </w:r>
        </w:smartTag>
      </w:smartTag>
      <w:r w:rsidRPr="006A1F68">
        <w:t>, which represents an 11% decrease from the 1,816 reported for 1999</w:t>
      </w:r>
      <w:r>
        <w:t>. The ratio of psychologists to students varied widely from state to state.</w:t>
      </w:r>
      <w:r>
        <w:rPr>
          <w:rStyle w:val="FootnoteReference"/>
        </w:rPr>
        <w:footnoteReference w:id="103"/>
      </w:r>
    </w:p>
    <w:p w:rsidR="00F63B31" w:rsidRPr="00853F36" w:rsidRDefault="00F63B31" w:rsidP="00F63B31">
      <w:r>
        <w:t xml:space="preserve">A </w:t>
      </w:r>
      <w:r w:rsidRPr="00853F36">
        <w:t>study among</w:t>
      </w:r>
      <w:r w:rsidR="00985205">
        <w:t xml:space="preserve"> </w:t>
      </w:r>
      <w:r w:rsidRPr="00853F36">
        <w:t xml:space="preserve">105 occupational therapists and occupational therapy assistants working in schools </w:t>
      </w:r>
      <w:r>
        <w:t>in Colorado</w:t>
      </w:r>
      <w:r w:rsidR="009B64A7">
        <w:t>,</w:t>
      </w:r>
      <w:r w:rsidRPr="00853F36">
        <w:t xml:space="preserve"> found that the average caseload was 44 students. Most frequently served were kindergarten</w:t>
      </w:r>
      <w:r w:rsidR="00985205">
        <w:t xml:space="preserve"> (5 to 6 years of age)</w:t>
      </w:r>
      <w:r w:rsidRPr="00853F36">
        <w:t xml:space="preserve"> through third-grade students </w:t>
      </w:r>
      <w:r w:rsidR="00985205">
        <w:t>(8 to 9 years of age)</w:t>
      </w:r>
      <w:r w:rsidR="009B64A7">
        <w:t>,</w:t>
      </w:r>
      <w:r w:rsidR="00985205" w:rsidRPr="00853F36">
        <w:t xml:space="preserve"> </w:t>
      </w:r>
      <w:r w:rsidRPr="00853F36">
        <w:t>with perceptual or communicative disabilities. The occupational therapists delivered services most often in pullout treatment areas. The ther</w:t>
      </w:r>
      <w:r w:rsidR="009B64A7">
        <w:t>apists spent most of their work-</w:t>
      </w:r>
      <w:r w:rsidRPr="00853F36">
        <w:t>week providing direct services.</w:t>
      </w:r>
      <w:r w:rsidR="00031ABC" w:rsidRPr="009B64A7">
        <w:rPr>
          <w:rStyle w:val="FootnoteReference"/>
        </w:rPr>
        <w:footnoteReference w:id="104"/>
      </w:r>
      <w:r w:rsidR="009B64A7" w:rsidRPr="009B64A7">
        <w:rPr>
          <w:vertAlign w:val="superscript"/>
        </w:rPr>
        <w:t>,</w:t>
      </w:r>
      <w:r w:rsidRPr="009B64A7">
        <w:rPr>
          <w:rStyle w:val="FootnoteReference"/>
        </w:rPr>
        <w:footnoteReference w:id="105"/>
      </w:r>
    </w:p>
    <w:p w:rsidR="00F63B31" w:rsidRDefault="00F63B31" w:rsidP="00F63B31">
      <w:r>
        <w:t xml:space="preserve">The North Carolina </w:t>
      </w:r>
      <w:r w:rsidR="009B64A7">
        <w:t xml:space="preserve">(NC) </w:t>
      </w:r>
      <w:r>
        <w:t>Department of Education published a school based OT guide, as well as a formula to use for calculating an appropriate caseload number based upon different factors.</w:t>
      </w:r>
      <w:r>
        <w:rPr>
          <w:rStyle w:val="FootnoteReference"/>
        </w:rPr>
        <w:footnoteReference w:id="106"/>
      </w:r>
      <w:r>
        <w:t xml:space="preserve"> Like </w:t>
      </w:r>
      <w:smartTag w:uri="urn:schemas-microsoft-com:office:smarttags" w:element="place">
        <w:smartTag w:uri="urn:schemas-microsoft-com:office:smarttags" w:element="State">
          <w:r>
            <w:t>Ohio</w:t>
          </w:r>
        </w:smartTag>
      </w:smartTag>
      <w:r>
        <w:t xml:space="preserve">, NC Department of Education has a ratio of 50 students per 1 occupational therapist. </w:t>
      </w:r>
    </w:p>
    <w:p w:rsidR="00F63B31" w:rsidRDefault="00F63B31" w:rsidP="00F63B31">
      <w:r>
        <w:t>The Dept of Education in Ohio mandates that service providers provide direct services</w:t>
      </w:r>
      <w:r>
        <w:rPr>
          <w:rStyle w:val="FootnoteReference"/>
          <w:b/>
        </w:rPr>
        <w:footnoteReference w:id="107"/>
      </w:r>
      <w:r>
        <w:t xml:space="preserve"> in accordance with</w:t>
      </w:r>
      <w:r w:rsidR="00E90BD7">
        <w:t xml:space="preserve"> the ratios shown in Table </w:t>
      </w:r>
      <w:r w:rsidR="00A85193">
        <w:t>25</w:t>
      </w:r>
      <w:r>
        <w:t>:</w:t>
      </w:r>
      <w:r>
        <w:rPr>
          <w:rStyle w:val="FootnoteReference"/>
          <w:b/>
        </w:rPr>
        <w:footnoteReference w:id="108"/>
      </w:r>
    </w:p>
    <w:p w:rsidR="00F63B31" w:rsidRPr="00534C3E" w:rsidRDefault="00346A83" w:rsidP="00F63B31">
      <w:pPr>
        <w:pStyle w:val="TableTitle"/>
      </w:pPr>
      <w:bookmarkStart w:id="199" w:name="_Toc419879428"/>
      <w:r>
        <w:t>Table</w:t>
      </w:r>
      <w:r w:rsidR="00A85193">
        <w:t xml:space="preserve"> 25</w:t>
      </w:r>
      <w:r w:rsidR="00F63B31">
        <w:t>: Provision of direct services in accordance with the following ratios</w:t>
      </w:r>
      <w:bookmarkEnd w:id="1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5"/>
        <w:gridCol w:w="1578"/>
        <w:gridCol w:w="1079"/>
        <w:gridCol w:w="1728"/>
      </w:tblGrid>
      <w:tr w:rsidR="00F63B31" w:rsidTr="00E21F90">
        <w:tc>
          <w:tcPr>
            <w:tcW w:w="2460" w:type="pct"/>
          </w:tcPr>
          <w:p w:rsidR="00F63B31" w:rsidRDefault="00F63B31" w:rsidP="00E21F90">
            <w:pPr>
              <w:pStyle w:val="TableHead"/>
              <w:keepNext/>
            </w:pPr>
            <w:r>
              <w:t>Services</w:t>
            </w:r>
          </w:p>
        </w:tc>
        <w:tc>
          <w:tcPr>
            <w:tcW w:w="914" w:type="pct"/>
          </w:tcPr>
          <w:p w:rsidR="00F63B31" w:rsidRDefault="00F63B31" w:rsidP="00E21F90">
            <w:pPr>
              <w:pStyle w:val="TableHead"/>
              <w:keepNext/>
            </w:pPr>
            <w:r>
              <w:t>School Age</w:t>
            </w:r>
          </w:p>
        </w:tc>
        <w:tc>
          <w:tcPr>
            <w:tcW w:w="625" w:type="pct"/>
          </w:tcPr>
          <w:p w:rsidR="00F63B31" w:rsidRDefault="00F63B31" w:rsidP="00E21F90">
            <w:pPr>
              <w:pStyle w:val="TableHead"/>
              <w:keepNext/>
            </w:pPr>
            <w:r>
              <w:t>OR</w:t>
            </w:r>
          </w:p>
        </w:tc>
        <w:tc>
          <w:tcPr>
            <w:tcW w:w="1001" w:type="pct"/>
          </w:tcPr>
          <w:p w:rsidR="00F63B31" w:rsidRDefault="00F63B31" w:rsidP="00E21F90">
            <w:pPr>
              <w:pStyle w:val="TableHead"/>
              <w:keepNext/>
            </w:pPr>
            <w:r>
              <w:t>Preschool</w:t>
            </w:r>
          </w:p>
        </w:tc>
      </w:tr>
      <w:tr w:rsidR="00F63B31" w:rsidTr="00E21F90">
        <w:tc>
          <w:tcPr>
            <w:tcW w:w="2460" w:type="pct"/>
          </w:tcPr>
          <w:p w:rsidR="00F63B31" w:rsidRDefault="00F63B31" w:rsidP="00E21F90">
            <w:pPr>
              <w:pStyle w:val="TableCell"/>
              <w:keepNext/>
              <w:jc w:val="left"/>
            </w:pPr>
            <w:r>
              <w:t>Occupational therapist</w:t>
            </w:r>
          </w:p>
        </w:tc>
        <w:tc>
          <w:tcPr>
            <w:tcW w:w="914" w:type="pct"/>
          </w:tcPr>
          <w:p w:rsidR="00F63B31" w:rsidRDefault="00F63B31" w:rsidP="00E21F90">
            <w:pPr>
              <w:pStyle w:val="TableCell"/>
              <w:keepNext/>
            </w:pPr>
            <w:r>
              <w:t>50</w:t>
            </w:r>
          </w:p>
        </w:tc>
        <w:tc>
          <w:tcPr>
            <w:tcW w:w="625" w:type="pct"/>
          </w:tcPr>
          <w:p w:rsidR="00F63B31" w:rsidRDefault="00F63B31" w:rsidP="00E21F90">
            <w:pPr>
              <w:pStyle w:val="TableCell"/>
              <w:keepNext/>
            </w:pPr>
            <w:r>
              <w:t>OR</w:t>
            </w:r>
          </w:p>
        </w:tc>
        <w:tc>
          <w:tcPr>
            <w:tcW w:w="1001" w:type="pct"/>
          </w:tcPr>
          <w:p w:rsidR="00F63B31" w:rsidRDefault="00F63B31" w:rsidP="00E21F90">
            <w:pPr>
              <w:pStyle w:val="TableCell"/>
              <w:keepNext/>
            </w:pPr>
            <w:r>
              <w:t>40</w:t>
            </w:r>
          </w:p>
        </w:tc>
      </w:tr>
      <w:tr w:rsidR="00F63B31" w:rsidTr="00E21F90">
        <w:tc>
          <w:tcPr>
            <w:tcW w:w="2460" w:type="pct"/>
          </w:tcPr>
          <w:p w:rsidR="00F63B31" w:rsidRDefault="00F63B31" w:rsidP="00E21F90">
            <w:pPr>
              <w:pStyle w:val="TableCell"/>
              <w:keepNext/>
              <w:jc w:val="left"/>
            </w:pPr>
            <w:r>
              <w:t>Physiotherapist</w:t>
            </w:r>
          </w:p>
        </w:tc>
        <w:tc>
          <w:tcPr>
            <w:tcW w:w="914" w:type="pct"/>
          </w:tcPr>
          <w:p w:rsidR="00F63B31" w:rsidRDefault="00F63B31" w:rsidP="00E21F90">
            <w:pPr>
              <w:pStyle w:val="TableCell"/>
              <w:keepNext/>
            </w:pPr>
            <w:r>
              <w:t>50</w:t>
            </w:r>
          </w:p>
        </w:tc>
        <w:tc>
          <w:tcPr>
            <w:tcW w:w="625" w:type="pct"/>
          </w:tcPr>
          <w:p w:rsidR="00F63B31" w:rsidRDefault="00F63B31" w:rsidP="00E21F90">
            <w:pPr>
              <w:pStyle w:val="TableCell"/>
              <w:keepNext/>
            </w:pPr>
            <w:r>
              <w:t>OR</w:t>
            </w:r>
          </w:p>
        </w:tc>
        <w:tc>
          <w:tcPr>
            <w:tcW w:w="1001" w:type="pct"/>
          </w:tcPr>
          <w:p w:rsidR="00F63B31" w:rsidRDefault="00F63B31" w:rsidP="00E21F90">
            <w:pPr>
              <w:pStyle w:val="TableCell"/>
              <w:keepNext/>
            </w:pPr>
            <w:r>
              <w:t>40</w:t>
            </w:r>
          </w:p>
        </w:tc>
      </w:tr>
      <w:tr w:rsidR="00F63B31" w:rsidTr="00E21F90">
        <w:tc>
          <w:tcPr>
            <w:tcW w:w="2460" w:type="pct"/>
          </w:tcPr>
          <w:p w:rsidR="00F63B31" w:rsidRDefault="00F63B31" w:rsidP="00E21F90">
            <w:pPr>
              <w:pStyle w:val="TableCell"/>
              <w:keepNext/>
              <w:jc w:val="left"/>
            </w:pPr>
            <w:r>
              <w:t>Speech and Language therapist</w:t>
            </w:r>
          </w:p>
        </w:tc>
        <w:tc>
          <w:tcPr>
            <w:tcW w:w="914" w:type="pct"/>
          </w:tcPr>
          <w:p w:rsidR="00F63B31" w:rsidRDefault="00F63B31" w:rsidP="00E21F90">
            <w:pPr>
              <w:pStyle w:val="TableCell"/>
              <w:keepNext/>
            </w:pPr>
            <w:r>
              <w:t>80 - 50 for complex</w:t>
            </w:r>
          </w:p>
        </w:tc>
        <w:tc>
          <w:tcPr>
            <w:tcW w:w="625" w:type="pct"/>
          </w:tcPr>
          <w:p w:rsidR="00F63B31" w:rsidRDefault="00F63B31" w:rsidP="00E21F90">
            <w:pPr>
              <w:pStyle w:val="TableCell"/>
              <w:keepNext/>
            </w:pPr>
            <w:r>
              <w:t>OR</w:t>
            </w:r>
          </w:p>
        </w:tc>
        <w:tc>
          <w:tcPr>
            <w:tcW w:w="1001" w:type="pct"/>
          </w:tcPr>
          <w:p w:rsidR="00F63B31" w:rsidRDefault="00F63B31" w:rsidP="00E21F90">
            <w:pPr>
              <w:pStyle w:val="TableCell"/>
              <w:keepNext/>
            </w:pPr>
            <w:r>
              <w:t>50</w:t>
            </w:r>
          </w:p>
        </w:tc>
      </w:tr>
      <w:tr w:rsidR="00F63B31" w:rsidTr="00E21F90">
        <w:tc>
          <w:tcPr>
            <w:tcW w:w="2460" w:type="pct"/>
          </w:tcPr>
          <w:p w:rsidR="00F63B31" w:rsidRDefault="00F63B31" w:rsidP="00E21F90">
            <w:pPr>
              <w:pStyle w:val="TableCell"/>
              <w:keepNext/>
              <w:jc w:val="left"/>
            </w:pPr>
            <w:r>
              <w:t>School psychologist</w:t>
            </w:r>
          </w:p>
        </w:tc>
        <w:tc>
          <w:tcPr>
            <w:tcW w:w="914" w:type="pct"/>
          </w:tcPr>
          <w:p w:rsidR="00F63B31" w:rsidRDefault="00F63B31" w:rsidP="00E21F90">
            <w:pPr>
              <w:pStyle w:val="TableCell"/>
              <w:keepNext/>
            </w:pPr>
            <w:r>
              <w:t>125</w:t>
            </w:r>
          </w:p>
        </w:tc>
        <w:tc>
          <w:tcPr>
            <w:tcW w:w="625" w:type="pct"/>
          </w:tcPr>
          <w:p w:rsidR="00F63B31" w:rsidRDefault="00F63B31" w:rsidP="00E21F90">
            <w:pPr>
              <w:pStyle w:val="TableCell"/>
              <w:keepNext/>
            </w:pPr>
            <w:r>
              <w:t>AND</w:t>
            </w:r>
          </w:p>
        </w:tc>
        <w:tc>
          <w:tcPr>
            <w:tcW w:w="1001" w:type="pct"/>
          </w:tcPr>
          <w:p w:rsidR="00F63B31" w:rsidRDefault="00F63B31" w:rsidP="00E21F90">
            <w:pPr>
              <w:pStyle w:val="TableCell"/>
              <w:keepNext/>
            </w:pPr>
            <w:r>
              <w:t>75</w:t>
            </w:r>
          </w:p>
        </w:tc>
      </w:tr>
      <w:tr w:rsidR="00F63B31" w:rsidTr="00E21F90">
        <w:tc>
          <w:tcPr>
            <w:tcW w:w="2460" w:type="pct"/>
          </w:tcPr>
          <w:p w:rsidR="00F63B31" w:rsidRDefault="00F63B31" w:rsidP="00E21F90">
            <w:pPr>
              <w:pStyle w:val="TableCell"/>
              <w:keepNext/>
              <w:jc w:val="left"/>
            </w:pPr>
            <w:r>
              <w:t>Adapted Physical Education</w:t>
            </w:r>
          </w:p>
        </w:tc>
        <w:tc>
          <w:tcPr>
            <w:tcW w:w="914" w:type="pct"/>
          </w:tcPr>
          <w:p w:rsidR="00F63B31" w:rsidRDefault="00F63B31" w:rsidP="00E21F90">
            <w:pPr>
              <w:pStyle w:val="TableCell"/>
              <w:keepNext/>
            </w:pPr>
            <w:r>
              <w:t>100</w:t>
            </w:r>
          </w:p>
        </w:tc>
        <w:tc>
          <w:tcPr>
            <w:tcW w:w="625" w:type="pct"/>
          </w:tcPr>
          <w:p w:rsidR="00F63B31" w:rsidRDefault="00F63B31" w:rsidP="00E21F90">
            <w:pPr>
              <w:pStyle w:val="TableCell"/>
              <w:keepNext/>
            </w:pPr>
            <w:r>
              <w:t>OR</w:t>
            </w:r>
          </w:p>
        </w:tc>
        <w:tc>
          <w:tcPr>
            <w:tcW w:w="1001" w:type="pct"/>
          </w:tcPr>
          <w:p w:rsidR="00F63B31" w:rsidRDefault="00F63B31" w:rsidP="00E21F90">
            <w:pPr>
              <w:pStyle w:val="TableCell"/>
              <w:keepNext/>
            </w:pPr>
            <w:r>
              <w:t>100</w:t>
            </w:r>
          </w:p>
        </w:tc>
      </w:tr>
      <w:tr w:rsidR="00F63B31" w:rsidTr="00E21F90">
        <w:tc>
          <w:tcPr>
            <w:tcW w:w="2460" w:type="pct"/>
          </w:tcPr>
          <w:p w:rsidR="00F63B31" w:rsidRDefault="00F63B31" w:rsidP="00E21F90">
            <w:pPr>
              <w:pStyle w:val="TableCell"/>
              <w:keepNext/>
              <w:jc w:val="left"/>
            </w:pPr>
            <w:r>
              <w:t>Audiologist</w:t>
            </w:r>
          </w:p>
        </w:tc>
        <w:tc>
          <w:tcPr>
            <w:tcW w:w="914" w:type="pct"/>
          </w:tcPr>
          <w:p w:rsidR="00F63B31" w:rsidRDefault="00F63B31" w:rsidP="00E21F90">
            <w:pPr>
              <w:pStyle w:val="TableCell"/>
              <w:keepNext/>
            </w:pPr>
            <w:r>
              <w:t>100</w:t>
            </w:r>
          </w:p>
        </w:tc>
        <w:tc>
          <w:tcPr>
            <w:tcW w:w="625" w:type="pct"/>
          </w:tcPr>
          <w:p w:rsidR="00F63B31" w:rsidRDefault="00F63B31" w:rsidP="00E21F90">
            <w:pPr>
              <w:pStyle w:val="TableCell"/>
              <w:keepNext/>
            </w:pPr>
            <w:r>
              <w:t>OR</w:t>
            </w:r>
          </w:p>
        </w:tc>
        <w:tc>
          <w:tcPr>
            <w:tcW w:w="1001" w:type="pct"/>
          </w:tcPr>
          <w:p w:rsidR="00F63B31" w:rsidRDefault="00F63B31" w:rsidP="00E21F90">
            <w:pPr>
              <w:pStyle w:val="TableCell"/>
              <w:keepNext/>
            </w:pPr>
            <w:r>
              <w:t>75</w:t>
            </w:r>
          </w:p>
        </w:tc>
      </w:tr>
      <w:tr w:rsidR="00F63B31" w:rsidTr="00E21F90">
        <w:tc>
          <w:tcPr>
            <w:tcW w:w="2460" w:type="pct"/>
          </w:tcPr>
          <w:p w:rsidR="00F63B31" w:rsidRDefault="00F63B31" w:rsidP="00E21F90">
            <w:pPr>
              <w:pStyle w:val="TableCell"/>
              <w:keepNext/>
              <w:jc w:val="left"/>
            </w:pPr>
            <w:r>
              <w:t>Orientation and Mobility</w:t>
            </w:r>
          </w:p>
        </w:tc>
        <w:tc>
          <w:tcPr>
            <w:tcW w:w="914" w:type="pct"/>
          </w:tcPr>
          <w:p w:rsidR="00F63B31" w:rsidRDefault="00F63B31" w:rsidP="00E21F90">
            <w:pPr>
              <w:pStyle w:val="TableCell"/>
              <w:keepNext/>
            </w:pPr>
            <w:r>
              <w:t>50</w:t>
            </w:r>
          </w:p>
        </w:tc>
        <w:tc>
          <w:tcPr>
            <w:tcW w:w="625" w:type="pct"/>
          </w:tcPr>
          <w:p w:rsidR="00F63B31" w:rsidRDefault="00F63B31" w:rsidP="00E21F90">
            <w:pPr>
              <w:pStyle w:val="TableCell"/>
              <w:keepNext/>
            </w:pPr>
            <w:r>
              <w:t>OR</w:t>
            </w:r>
          </w:p>
        </w:tc>
        <w:tc>
          <w:tcPr>
            <w:tcW w:w="1001" w:type="pct"/>
          </w:tcPr>
          <w:p w:rsidR="00F63B31" w:rsidRDefault="00F63B31" w:rsidP="00E21F90">
            <w:pPr>
              <w:pStyle w:val="TableCell"/>
              <w:keepNext/>
            </w:pPr>
            <w:r>
              <w:t>40</w:t>
            </w:r>
          </w:p>
        </w:tc>
      </w:tr>
      <w:tr w:rsidR="00F63B31" w:rsidTr="00E21F90">
        <w:tc>
          <w:tcPr>
            <w:tcW w:w="2460" w:type="pct"/>
          </w:tcPr>
          <w:p w:rsidR="00F63B31" w:rsidRDefault="00F63B31" w:rsidP="00E21F90">
            <w:pPr>
              <w:pStyle w:val="TableCell"/>
              <w:keepNext/>
              <w:jc w:val="left"/>
            </w:pPr>
            <w:r>
              <w:t>Work Study Coordinator</w:t>
            </w:r>
          </w:p>
        </w:tc>
        <w:tc>
          <w:tcPr>
            <w:tcW w:w="914" w:type="pct"/>
          </w:tcPr>
          <w:p w:rsidR="00F63B31" w:rsidRDefault="00F63B31" w:rsidP="00E21F90">
            <w:pPr>
              <w:pStyle w:val="TableCell"/>
              <w:keepNext/>
            </w:pPr>
            <w:r>
              <w:t>75</w:t>
            </w:r>
          </w:p>
        </w:tc>
        <w:tc>
          <w:tcPr>
            <w:tcW w:w="625" w:type="pct"/>
          </w:tcPr>
          <w:p w:rsidR="00F63B31" w:rsidRDefault="00F63B31" w:rsidP="00E21F90">
            <w:pPr>
              <w:pStyle w:val="TableCell"/>
              <w:keepNext/>
            </w:pPr>
            <w:r>
              <w:t>OR</w:t>
            </w:r>
          </w:p>
        </w:tc>
        <w:tc>
          <w:tcPr>
            <w:tcW w:w="1001" w:type="pct"/>
          </w:tcPr>
          <w:p w:rsidR="00F63B31" w:rsidRDefault="00F63B31" w:rsidP="00E21F90">
            <w:pPr>
              <w:pStyle w:val="TableCell"/>
              <w:keepNext/>
            </w:pPr>
            <w:r>
              <w:t>N/A</w:t>
            </w:r>
          </w:p>
        </w:tc>
      </w:tr>
      <w:tr w:rsidR="00F63B31" w:rsidTr="00E21F90">
        <w:tc>
          <w:tcPr>
            <w:tcW w:w="2460" w:type="pct"/>
          </w:tcPr>
          <w:p w:rsidR="00F63B31" w:rsidRDefault="00F63B31" w:rsidP="00E21F90">
            <w:pPr>
              <w:pStyle w:val="TableCell"/>
              <w:keepNext/>
              <w:jc w:val="left"/>
            </w:pPr>
            <w:r>
              <w:t>Vocational Special Education Coordinator</w:t>
            </w:r>
          </w:p>
        </w:tc>
        <w:tc>
          <w:tcPr>
            <w:tcW w:w="914" w:type="pct"/>
          </w:tcPr>
          <w:p w:rsidR="00F63B31" w:rsidRDefault="00F63B31" w:rsidP="00E21F90">
            <w:pPr>
              <w:pStyle w:val="TableCell"/>
              <w:keepNext/>
            </w:pPr>
            <w:r>
              <w:t>50</w:t>
            </w:r>
          </w:p>
        </w:tc>
        <w:tc>
          <w:tcPr>
            <w:tcW w:w="625" w:type="pct"/>
          </w:tcPr>
          <w:p w:rsidR="00F63B31" w:rsidRDefault="00F63B31" w:rsidP="00E21F90">
            <w:pPr>
              <w:pStyle w:val="TableCell"/>
              <w:keepNext/>
            </w:pPr>
            <w:r>
              <w:t>OR</w:t>
            </w:r>
          </w:p>
        </w:tc>
        <w:tc>
          <w:tcPr>
            <w:tcW w:w="1001" w:type="pct"/>
          </w:tcPr>
          <w:p w:rsidR="00F63B31" w:rsidRDefault="00F63B31" w:rsidP="00E21F90">
            <w:pPr>
              <w:pStyle w:val="TableCell"/>
              <w:keepNext/>
            </w:pPr>
            <w:r>
              <w:t>N/A</w:t>
            </w:r>
          </w:p>
        </w:tc>
      </w:tr>
    </w:tbl>
    <w:p w:rsidR="00F63B31" w:rsidRDefault="00F63B31" w:rsidP="00B42B21">
      <w:pPr>
        <w:pStyle w:val="TableNote"/>
      </w:pPr>
      <w:r>
        <w:t xml:space="preserve">Source: </w:t>
      </w:r>
      <w:smartTag w:uri="urn:schemas-microsoft-com:office:smarttags" w:element="place">
        <w:smartTag w:uri="urn:schemas-microsoft-com:office:smarttags" w:element="State">
          <w:r>
            <w:t>Ohio</w:t>
          </w:r>
        </w:smartTag>
      </w:smartTag>
      <w:r>
        <w:t xml:space="preserve"> Admin. Code 3301-51-09 (1) (3-4) edited </w:t>
      </w:r>
    </w:p>
    <w:p w:rsidR="00F63B31" w:rsidRDefault="00F63B31" w:rsidP="00F63B31">
      <w:r>
        <w:t>The Dept mandates that school age intervention specialists provide direct services in accordance with particular ra</w:t>
      </w:r>
      <w:r w:rsidR="00A85193">
        <w:t>tios. These are shown in Table 26</w:t>
      </w:r>
      <w:r w:rsidR="009B64A7">
        <w:t>.</w:t>
      </w:r>
    </w:p>
    <w:p w:rsidR="004339C7" w:rsidRDefault="00E74F63" w:rsidP="00E74F63">
      <w:r>
        <w:t>The Ohio Department of Education lays out rules for determining caseloads for staff</w:t>
      </w:r>
      <w:r w:rsidR="009B64A7">
        <w:t xml:space="preserve"> who serve preschool and school </w:t>
      </w:r>
      <w:r>
        <w:t>age children.</w:t>
      </w:r>
      <w:r>
        <w:rPr>
          <w:rStyle w:val="FootnoteReference"/>
        </w:rPr>
        <w:footnoteReference w:id="109"/>
      </w:r>
      <w:r>
        <w:t xml:space="preserve"> </w:t>
      </w:r>
    </w:p>
    <w:p w:rsidR="00E74F63" w:rsidRDefault="00E74F63" w:rsidP="00E74F63">
      <w:r w:rsidRPr="000B4B4B">
        <w:t xml:space="preserve">In </w:t>
      </w:r>
      <w:r>
        <w:t>practice, differences remain between the AHP board and the Ohio Department of Education, Office for Exceptional Children</w:t>
      </w:r>
      <w:r w:rsidR="009B64A7">
        <w:t>,</w:t>
      </w:r>
      <w:r>
        <w:t xml:space="preserve"> on how appropriate caseloads are defined and determined for OT and PT. This has led to OTs and PTs supervising multiple occupational therapy and physical therapy assistants and, thereby, being responsible for large numbers of students. There are cases of OTs and PTs coordinating services for over 200 students. There are instances of OTs and PTs assigned caseloads for direct services far exceeding Office for Exceptional Children standards. This contravenes the laws and rules that regulate the practice of these professions in Ohio.</w:t>
      </w:r>
      <w:r>
        <w:rPr>
          <w:rStyle w:val="FootnoteReference"/>
        </w:rPr>
        <w:footnoteReference w:id="110"/>
      </w:r>
    </w:p>
    <w:p w:rsidR="00E74F63" w:rsidRDefault="00E74F63" w:rsidP="00E74F63">
      <w:pPr>
        <w:pStyle w:val="TableTitle"/>
      </w:pPr>
      <w:bookmarkStart w:id="200" w:name="_Toc419879429"/>
      <w:r>
        <w:t>Table 26: School-age intervention specialists shall provide direct services in accordance with the following ratios</w:t>
      </w:r>
      <w:bookmarkEnd w:id="2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6"/>
        <w:gridCol w:w="1657"/>
        <w:gridCol w:w="1015"/>
        <w:gridCol w:w="1748"/>
        <w:gridCol w:w="1089"/>
        <w:gridCol w:w="1495"/>
      </w:tblGrid>
      <w:tr w:rsidR="00E74F63" w:rsidTr="00D76EEE">
        <w:tc>
          <w:tcPr>
            <w:tcW w:w="5000" w:type="pct"/>
            <w:gridSpan w:val="6"/>
          </w:tcPr>
          <w:p w:rsidR="00E74F63" w:rsidRDefault="00E74F63" w:rsidP="00E21F90">
            <w:pPr>
              <w:pStyle w:val="TableHead"/>
              <w:keepNext/>
            </w:pPr>
            <w:r>
              <w:t>Caseload ratios for intervention specialists</w:t>
            </w:r>
          </w:p>
        </w:tc>
      </w:tr>
      <w:tr w:rsidR="00E74F63" w:rsidTr="00D76EEE">
        <w:tc>
          <w:tcPr>
            <w:tcW w:w="942" w:type="pct"/>
          </w:tcPr>
          <w:p w:rsidR="00E74F63" w:rsidRDefault="00E74F63" w:rsidP="00E21F90">
            <w:pPr>
              <w:pStyle w:val="TableHead"/>
              <w:keepNext/>
            </w:pPr>
            <w:r>
              <w:t>Disability Category</w:t>
            </w:r>
          </w:p>
        </w:tc>
        <w:tc>
          <w:tcPr>
            <w:tcW w:w="1548" w:type="pct"/>
            <w:gridSpan w:val="2"/>
          </w:tcPr>
          <w:p w:rsidR="00E74F63" w:rsidRDefault="00E74F63" w:rsidP="00E21F90">
            <w:pPr>
              <w:pStyle w:val="TableHead"/>
              <w:keepNext/>
            </w:pPr>
            <w:r>
              <w:t>By school level</w:t>
            </w:r>
          </w:p>
        </w:tc>
        <w:tc>
          <w:tcPr>
            <w:tcW w:w="1644" w:type="pct"/>
            <w:gridSpan w:val="2"/>
          </w:tcPr>
          <w:p w:rsidR="00E74F63" w:rsidRDefault="00E74F63" w:rsidP="00E21F90">
            <w:pPr>
              <w:pStyle w:val="TableHead"/>
              <w:keepNext/>
            </w:pPr>
            <w:r>
              <w:t>Per instruction period</w:t>
            </w:r>
          </w:p>
        </w:tc>
        <w:tc>
          <w:tcPr>
            <w:tcW w:w="866" w:type="pct"/>
          </w:tcPr>
          <w:p w:rsidR="00E74F63" w:rsidRDefault="00E74F63" w:rsidP="00E21F90">
            <w:pPr>
              <w:pStyle w:val="TableHead"/>
              <w:keepNext/>
            </w:pPr>
            <w:r>
              <w:t>Age range per instruction period</w:t>
            </w:r>
          </w:p>
        </w:tc>
      </w:tr>
      <w:tr w:rsidR="00E74F63" w:rsidTr="00D76EEE">
        <w:tc>
          <w:tcPr>
            <w:tcW w:w="942" w:type="pct"/>
          </w:tcPr>
          <w:p w:rsidR="00E74F63" w:rsidRDefault="00E74F63" w:rsidP="00E21F90">
            <w:pPr>
              <w:pStyle w:val="TableHead"/>
              <w:keepNext/>
            </w:pPr>
          </w:p>
        </w:tc>
        <w:tc>
          <w:tcPr>
            <w:tcW w:w="960" w:type="pct"/>
          </w:tcPr>
          <w:p w:rsidR="00E74F63" w:rsidRDefault="00E74F63" w:rsidP="00E21F90">
            <w:pPr>
              <w:pStyle w:val="TableHead"/>
              <w:keepNext/>
            </w:pPr>
            <w:r>
              <w:t>Elementary Middle Jr. High</w:t>
            </w:r>
          </w:p>
        </w:tc>
        <w:tc>
          <w:tcPr>
            <w:tcW w:w="588" w:type="pct"/>
          </w:tcPr>
          <w:p w:rsidR="00E74F63" w:rsidRDefault="00E74F63" w:rsidP="00E21F90">
            <w:pPr>
              <w:pStyle w:val="TableHead"/>
              <w:keepNext/>
            </w:pPr>
            <w:r>
              <w:t>High School</w:t>
            </w:r>
          </w:p>
        </w:tc>
        <w:tc>
          <w:tcPr>
            <w:tcW w:w="1013" w:type="pct"/>
          </w:tcPr>
          <w:p w:rsidR="00E74F63" w:rsidRDefault="00E74F63" w:rsidP="00E21F90">
            <w:pPr>
              <w:pStyle w:val="TableHead"/>
              <w:keepNext/>
            </w:pPr>
            <w:r>
              <w:t>Elementary Middle Jr. High</w:t>
            </w:r>
          </w:p>
        </w:tc>
        <w:tc>
          <w:tcPr>
            <w:tcW w:w="631" w:type="pct"/>
          </w:tcPr>
          <w:p w:rsidR="00E74F63" w:rsidRDefault="00E74F63" w:rsidP="00E21F90">
            <w:pPr>
              <w:pStyle w:val="TableHead"/>
              <w:keepNext/>
            </w:pPr>
            <w:r>
              <w:t>High School</w:t>
            </w:r>
          </w:p>
        </w:tc>
        <w:tc>
          <w:tcPr>
            <w:tcW w:w="866" w:type="pct"/>
          </w:tcPr>
          <w:p w:rsidR="00E74F63" w:rsidRDefault="00E74F63" w:rsidP="00E21F90">
            <w:pPr>
              <w:pStyle w:val="TableHead"/>
              <w:keepNext/>
            </w:pPr>
            <w:r>
              <w:t xml:space="preserve">60 </w:t>
            </w:r>
            <w:proofErr w:type="spellStart"/>
            <w:r>
              <w:t>mnths</w:t>
            </w:r>
            <w:proofErr w:type="spellEnd"/>
          </w:p>
        </w:tc>
      </w:tr>
      <w:tr w:rsidR="00E74F63" w:rsidTr="00D76EEE">
        <w:tc>
          <w:tcPr>
            <w:tcW w:w="942" w:type="pct"/>
          </w:tcPr>
          <w:p w:rsidR="00E74F63" w:rsidRDefault="00E74F63" w:rsidP="00E21F90">
            <w:pPr>
              <w:pStyle w:val="TableCell"/>
              <w:keepNext/>
              <w:jc w:val="left"/>
            </w:pPr>
            <w:r>
              <w:t>Cognitive disabilities</w:t>
            </w:r>
          </w:p>
        </w:tc>
        <w:tc>
          <w:tcPr>
            <w:tcW w:w="960" w:type="pct"/>
          </w:tcPr>
          <w:p w:rsidR="00E74F63" w:rsidRDefault="00E74F63" w:rsidP="00E21F90">
            <w:pPr>
              <w:pStyle w:val="TableCell"/>
              <w:keepNext/>
            </w:pPr>
            <w:r>
              <w:t>16</w:t>
            </w:r>
          </w:p>
        </w:tc>
        <w:tc>
          <w:tcPr>
            <w:tcW w:w="588" w:type="pct"/>
          </w:tcPr>
          <w:p w:rsidR="00E74F63" w:rsidRDefault="00E74F63" w:rsidP="00E21F90">
            <w:pPr>
              <w:pStyle w:val="TableCell"/>
              <w:keepNext/>
            </w:pPr>
            <w:r>
              <w:t>24</w:t>
            </w:r>
          </w:p>
        </w:tc>
        <w:tc>
          <w:tcPr>
            <w:tcW w:w="1013" w:type="pct"/>
          </w:tcPr>
          <w:p w:rsidR="00E74F63" w:rsidRDefault="00E74F63" w:rsidP="00E21F90">
            <w:pPr>
              <w:pStyle w:val="TableCell"/>
              <w:keepNext/>
            </w:pPr>
            <w:r>
              <w:t>12</w:t>
            </w:r>
          </w:p>
        </w:tc>
        <w:tc>
          <w:tcPr>
            <w:tcW w:w="631" w:type="pct"/>
          </w:tcPr>
          <w:p w:rsidR="00E74F63" w:rsidRDefault="00E74F63" w:rsidP="00E21F90">
            <w:pPr>
              <w:pStyle w:val="TableCell"/>
              <w:keepNext/>
            </w:pPr>
            <w:r>
              <w:t>16</w:t>
            </w:r>
          </w:p>
        </w:tc>
        <w:tc>
          <w:tcPr>
            <w:tcW w:w="866" w:type="pct"/>
          </w:tcPr>
          <w:p w:rsidR="00E74F63" w:rsidRDefault="00E74F63" w:rsidP="00E21F90">
            <w:pPr>
              <w:pStyle w:val="TableCell"/>
              <w:keepNext/>
            </w:pPr>
            <w:r>
              <w:t xml:space="preserve">60 </w:t>
            </w:r>
            <w:proofErr w:type="spellStart"/>
            <w:r>
              <w:t>mnths</w:t>
            </w:r>
            <w:proofErr w:type="spellEnd"/>
          </w:p>
        </w:tc>
      </w:tr>
      <w:tr w:rsidR="00E74F63" w:rsidTr="00D76EEE">
        <w:tc>
          <w:tcPr>
            <w:tcW w:w="942" w:type="pct"/>
          </w:tcPr>
          <w:p w:rsidR="00E74F63" w:rsidRDefault="00E74F63" w:rsidP="00E21F90">
            <w:pPr>
              <w:pStyle w:val="TableCell"/>
              <w:keepNext/>
              <w:jc w:val="left"/>
            </w:pPr>
            <w:r>
              <w:t>SLD</w:t>
            </w:r>
          </w:p>
        </w:tc>
        <w:tc>
          <w:tcPr>
            <w:tcW w:w="960" w:type="pct"/>
          </w:tcPr>
          <w:p w:rsidR="00E74F63" w:rsidRDefault="00E74F63" w:rsidP="00E21F90">
            <w:pPr>
              <w:pStyle w:val="TableCell"/>
              <w:keepNext/>
            </w:pPr>
            <w:r>
              <w:t>16</w:t>
            </w:r>
          </w:p>
        </w:tc>
        <w:tc>
          <w:tcPr>
            <w:tcW w:w="588" w:type="pct"/>
          </w:tcPr>
          <w:p w:rsidR="00E74F63" w:rsidRDefault="00E74F63" w:rsidP="00E21F90">
            <w:pPr>
              <w:pStyle w:val="TableCell"/>
              <w:keepNext/>
            </w:pPr>
            <w:r>
              <w:t>24</w:t>
            </w:r>
          </w:p>
        </w:tc>
        <w:tc>
          <w:tcPr>
            <w:tcW w:w="1013" w:type="pct"/>
          </w:tcPr>
          <w:p w:rsidR="00E74F63" w:rsidRDefault="00E74F63" w:rsidP="00E21F90">
            <w:pPr>
              <w:pStyle w:val="TableCell"/>
              <w:keepNext/>
            </w:pPr>
            <w:r>
              <w:t>12</w:t>
            </w:r>
          </w:p>
        </w:tc>
        <w:tc>
          <w:tcPr>
            <w:tcW w:w="631" w:type="pct"/>
          </w:tcPr>
          <w:p w:rsidR="00E74F63" w:rsidRDefault="00E74F63" w:rsidP="00E21F90">
            <w:pPr>
              <w:pStyle w:val="TableCell"/>
              <w:keepNext/>
            </w:pPr>
            <w:r>
              <w:t>12</w:t>
            </w:r>
          </w:p>
        </w:tc>
        <w:tc>
          <w:tcPr>
            <w:tcW w:w="866" w:type="pct"/>
          </w:tcPr>
          <w:p w:rsidR="00E74F63" w:rsidRDefault="00E74F63" w:rsidP="00E21F90">
            <w:pPr>
              <w:pStyle w:val="TableCell"/>
              <w:keepNext/>
            </w:pPr>
            <w:r>
              <w:t xml:space="preserve">60 </w:t>
            </w:r>
            <w:proofErr w:type="spellStart"/>
            <w:r>
              <w:t>mnths</w:t>
            </w:r>
            <w:proofErr w:type="spellEnd"/>
          </w:p>
        </w:tc>
      </w:tr>
      <w:tr w:rsidR="00E74F63" w:rsidTr="00D76EEE">
        <w:tc>
          <w:tcPr>
            <w:tcW w:w="942" w:type="pct"/>
          </w:tcPr>
          <w:p w:rsidR="00E74F63" w:rsidRDefault="00E74F63" w:rsidP="00E21F90">
            <w:pPr>
              <w:pStyle w:val="TableCell"/>
              <w:keepNext/>
              <w:jc w:val="left"/>
            </w:pPr>
            <w:r>
              <w:t>HI, VI, OH, OHI</w:t>
            </w:r>
            <w:r>
              <w:rPr>
                <w:rStyle w:val="FootnoteReference"/>
              </w:rPr>
              <w:footnoteReference w:id="111"/>
            </w:r>
          </w:p>
        </w:tc>
        <w:tc>
          <w:tcPr>
            <w:tcW w:w="960" w:type="pct"/>
          </w:tcPr>
          <w:p w:rsidR="00E74F63" w:rsidRDefault="00E74F63" w:rsidP="00E21F90">
            <w:pPr>
              <w:pStyle w:val="TableCell"/>
              <w:keepNext/>
            </w:pPr>
            <w:r>
              <w:t>10</w:t>
            </w:r>
          </w:p>
        </w:tc>
        <w:tc>
          <w:tcPr>
            <w:tcW w:w="588" w:type="pct"/>
          </w:tcPr>
          <w:p w:rsidR="00E74F63" w:rsidRDefault="00E74F63" w:rsidP="00E21F90">
            <w:pPr>
              <w:pStyle w:val="TableCell"/>
              <w:keepNext/>
            </w:pPr>
            <w:r>
              <w:t>10</w:t>
            </w:r>
          </w:p>
        </w:tc>
        <w:tc>
          <w:tcPr>
            <w:tcW w:w="1013" w:type="pct"/>
          </w:tcPr>
          <w:p w:rsidR="00E74F63" w:rsidRDefault="00E74F63" w:rsidP="00E21F90">
            <w:pPr>
              <w:pStyle w:val="TableCell"/>
              <w:keepNext/>
            </w:pPr>
            <w:r>
              <w:t>8</w:t>
            </w:r>
          </w:p>
        </w:tc>
        <w:tc>
          <w:tcPr>
            <w:tcW w:w="631" w:type="pct"/>
          </w:tcPr>
          <w:p w:rsidR="00E74F63" w:rsidRDefault="00E74F63" w:rsidP="00E21F90">
            <w:pPr>
              <w:pStyle w:val="TableCell"/>
              <w:keepNext/>
            </w:pPr>
            <w:r>
              <w:t>8</w:t>
            </w:r>
          </w:p>
        </w:tc>
        <w:tc>
          <w:tcPr>
            <w:tcW w:w="866" w:type="pct"/>
          </w:tcPr>
          <w:p w:rsidR="00E74F63" w:rsidRDefault="00E74F63" w:rsidP="00E21F90">
            <w:pPr>
              <w:pStyle w:val="TableCell"/>
              <w:keepNext/>
            </w:pPr>
            <w:r>
              <w:t xml:space="preserve">60 </w:t>
            </w:r>
            <w:proofErr w:type="spellStart"/>
            <w:r>
              <w:t>mnths</w:t>
            </w:r>
            <w:proofErr w:type="spellEnd"/>
          </w:p>
        </w:tc>
      </w:tr>
      <w:tr w:rsidR="00E74F63" w:rsidTr="00D76EEE">
        <w:tc>
          <w:tcPr>
            <w:tcW w:w="942" w:type="pct"/>
          </w:tcPr>
          <w:p w:rsidR="00E74F63" w:rsidRDefault="00E74F63" w:rsidP="00E21F90">
            <w:pPr>
              <w:pStyle w:val="TableCell"/>
              <w:keepNext/>
              <w:jc w:val="left"/>
            </w:pPr>
            <w:r>
              <w:t>Emotional Disturbance</w:t>
            </w:r>
          </w:p>
        </w:tc>
        <w:tc>
          <w:tcPr>
            <w:tcW w:w="960" w:type="pct"/>
          </w:tcPr>
          <w:p w:rsidR="00E74F63" w:rsidRDefault="00E74F63" w:rsidP="00E21F90">
            <w:pPr>
              <w:pStyle w:val="TableCell"/>
              <w:keepNext/>
            </w:pPr>
            <w:r>
              <w:t>12</w:t>
            </w:r>
          </w:p>
        </w:tc>
        <w:tc>
          <w:tcPr>
            <w:tcW w:w="588" w:type="pct"/>
          </w:tcPr>
          <w:p w:rsidR="00E74F63" w:rsidRDefault="00E74F63" w:rsidP="00E21F90">
            <w:pPr>
              <w:pStyle w:val="TableCell"/>
              <w:keepNext/>
            </w:pPr>
            <w:r>
              <w:t>12</w:t>
            </w:r>
          </w:p>
        </w:tc>
        <w:tc>
          <w:tcPr>
            <w:tcW w:w="1013" w:type="pct"/>
          </w:tcPr>
          <w:p w:rsidR="00E74F63" w:rsidRDefault="00E74F63" w:rsidP="00E21F90">
            <w:pPr>
              <w:pStyle w:val="TableCell"/>
              <w:keepNext/>
            </w:pPr>
            <w:r>
              <w:t>10</w:t>
            </w:r>
          </w:p>
        </w:tc>
        <w:tc>
          <w:tcPr>
            <w:tcW w:w="631" w:type="pct"/>
          </w:tcPr>
          <w:p w:rsidR="00E74F63" w:rsidRDefault="00E74F63" w:rsidP="00E21F90">
            <w:pPr>
              <w:pStyle w:val="TableCell"/>
              <w:keepNext/>
            </w:pPr>
            <w:r>
              <w:t>10</w:t>
            </w:r>
          </w:p>
        </w:tc>
        <w:tc>
          <w:tcPr>
            <w:tcW w:w="866" w:type="pct"/>
          </w:tcPr>
          <w:p w:rsidR="00E74F63" w:rsidRDefault="00E74F63" w:rsidP="00E21F90">
            <w:pPr>
              <w:pStyle w:val="TableCell"/>
              <w:keepNext/>
            </w:pPr>
            <w:r>
              <w:t xml:space="preserve">60 </w:t>
            </w:r>
            <w:proofErr w:type="spellStart"/>
            <w:r>
              <w:t>mnths</w:t>
            </w:r>
            <w:proofErr w:type="spellEnd"/>
          </w:p>
        </w:tc>
      </w:tr>
      <w:tr w:rsidR="00E74F63" w:rsidTr="00D76EEE">
        <w:tc>
          <w:tcPr>
            <w:tcW w:w="942" w:type="pct"/>
          </w:tcPr>
          <w:p w:rsidR="00E74F63" w:rsidRDefault="00E74F63" w:rsidP="00E21F90">
            <w:pPr>
              <w:pStyle w:val="TableCell"/>
              <w:keepNext/>
              <w:jc w:val="left"/>
            </w:pPr>
            <w:r>
              <w:t>Multiple Disabilities</w:t>
            </w:r>
          </w:p>
        </w:tc>
        <w:tc>
          <w:tcPr>
            <w:tcW w:w="960" w:type="pct"/>
          </w:tcPr>
          <w:p w:rsidR="00E74F63" w:rsidRDefault="00E74F63" w:rsidP="00E21F90">
            <w:pPr>
              <w:pStyle w:val="TableCell"/>
              <w:keepNext/>
            </w:pPr>
            <w:r>
              <w:t>8</w:t>
            </w:r>
          </w:p>
        </w:tc>
        <w:tc>
          <w:tcPr>
            <w:tcW w:w="588" w:type="pct"/>
          </w:tcPr>
          <w:p w:rsidR="00E74F63" w:rsidRDefault="00E74F63" w:rsidP="00E21F90">
            <w:pPr>
              <w:pStyle w:val="TableCell"/>
              <w:keepNext/>
            </w:pPr>
            <w:r>
              <w:t>8</w:t>
            </w:r>
          </w:p>
        </w:tc>
        <w:tc>
          <w:tcPr>
            <w:tcW w:w="1013" w:type="pct"/>
          </w:tcPr>
          <w:p w:rsidR="00E74F63" w:rsidRDefault="00E74F63" w:rsidP="00E21F90">
            <w:pPr>
              <w:pStyle w:val="TableCell"/>
              <w:keepNext/>
            </w:pPr>
            <w:r>
              <w:t>8</w:t>
            </w:r>
          </w:p>
        </w:tc>
        <w:tc>
          <w:tcPr>
            <w:tcW w:w="631" w:type="pct"/>
          </w:tcPr>
          <w:p w:rsidR="00E74F63" w:rsidRDefault="00E74F63" w:rsidP="00E21F90">
            <w:pPr>
              <w:pStyle w:val="TableCell"/>
              <w:keepNext/>
            </w:pPr>
            <w:r>
              <w:t>8</w:t>
            </w:r>
          </w:p>
        </w:tc>
        <w:tc>
          <w:tcPr>
            <w:tcW w:w="866" w:type="pct"/>
          </w:tcPr>
          <w:p w:rsidR="00E74F63" w:rsidRDefault="00E74F63" w:rsidP="00E21F90">
            <w:pPr>
              <w:pStyle w:val="TableCell"/>
              <w:keepNext/>
            </w:pPr>
            <w:r>
              <w:t xml:space="preserve">60 </w:t>
            </w:r>
            <w:proofErr w:type="spellStart"/>
            <w:r>
              <w:t>mnths</w:t>
            </w:r>
            <w:proofErr w:type="spellEnd"/>
          </w:p>
        </w:tc>
      </w:tr>
      <w:tr w:rsidR="00E74F63" w:rsidTr="00D76EEE">
        <w:tc>
          <w:tcPr>
            <w:tcW w:w="942" w:type="pct"/>
          </w:tcPr>
          <w:p w:rsidR="00E74F63" w:rsidRDefault="00E74F63" w:rsidP="00E21F90">
            <w:pPr>
              <w:pStyle w:val="TableCell"/>
              <w:keepNext/>
              <w:jc w:val="left"/>
            </w:pPr>
            <w:r>
              <w:t>Autistic, Deaf-Blind, TBI</w:t>
            </w:r>
            <w:r>
              <w:rPr>
                <w:rStyle w:val="FootnoteReference"/>
              </w:rPr>
              <w:footnoteReference w:id="112"/>
            </w:r>
          </w:p>
        </w:tc>
        <w:tc>
          <w:tcPr>
            <w:tcW w:w="960" w:type="pct"/>
          </w:tcPr>
          <w:p w:rsidR="00E74F63" w:rsidRDefault="00E74F63" w:rsidP="00E21F90">
            <w:pPr>
              <w:pStyle w:val="TableCell"/>
              <w:keepNext/>
            </w:pPr>
            <w:r>
              <w:t>6</w:t>
            </w:r>
          </w:p>
        </w:tc>
        <w:tc>
          <w:tcPr>
            <w:tcW w:w="588" w:type="pct"/>
          </w:tcPr>
          <w:p w:rsidR="00E74F63" w:rsidRDefault="00E74F63" w:rsidP="00E21F90">
            <w:pPr>
              <w:pStyle w:val="TableCell"/>
              <w:keepNext/>
            </w:pPr>
            <w:r>
              <w:t>6</w:t>
            </w:r>
          </w:p>
        </w:tc>
        <w:tc>
          <w:tcPr>
            <w:tcW w:w="1013" w:type="pct"/>
          </w:tcPr>
          <w:p w:rsidR="00E74F63" w:rsidRDefault="00E74F63" w:rsidP="00E21F90">
            <w:pPr>
              <w:pStyle w:val="TableCell"/>
              <w:keepNext/>
            </w:pPr>
            <w:r>
              <w:t>6</w:t>
            </w:r>
          </w:p>
        </w:tc>
        <w:tc>
          <w:tcPr>
            <w:tcW w:w="631" w:type="pct"/>
          </w:tcPr>
          <w:p w:rsidR="00E74F63" w:rsidRDefault="00E74F63" w:rsidP="00E21F90">
            <w:pPr>
              <w:pStyle w:val="TableCell"/>
              <w:keepNext/>
            </w:pPr>
            <w:r>
              <w:t>6</w:t>
            </w:r>
          </w:p>
        </w:tc>
        <w:tc>
          <w:tcPr>
            <w:tcW w:w="866" w:type="pct"/>
          </w:tcPr>
          <w:p w:rsidR="00E74F63" w:rsidRDefault="00E74F63" w:rsidP="00E21F90">
            <w:pPr>
              <w:pStyle w:val="TableCell"/>
              <w:keepNext/>
            </w:pPr>
            <w:r>
              <w:t xml:space="preserve">60 </w:t>
            </w:r>
            <w:proofErr w:type="spellStart"/>
            <w:r>
              <w:t>mnths</w:t>
            </w:r>
            <w:proofErr w:type="spellEnd"/>
          </w:p>
        </w:tc>
      </w:tr>
      <w:tr w:rsidR="00E74F63" w:rsidTr="00D76EEE">
        <w:tc>
          <w:tcPr>
            <w:tcW w:w="942" w:type="pct"/>
          </w:tcPr>
          <w:p w:rsidR="00E74F63" w:rsidRDefault="00E74F63" w:rsidP="00E21F90">
            <w:pPr>
              <w:pStyle w:val="TableCell"/>
              <w:keepNext/>
              <w:jc w:val="left"/>
            </w:pPr>
            <w:r>
              <w:t>Multiple categories</w:t>
            </w:r>
          </w:p>
        </w:tc>
        <w:tc>
          <w:tcPr>
            <w:tcW w:w="960" w:type="pct"/>
          </w:tcPr>
          <w:p w:rsidR="00E74F63" w:rsidRDefault="00E74F63" w:rsidP="00E21F90">
            <w:pPr>
              <w:pStyle w:val="TableCell"/>
              <w:keepNext/>
            </w:pPr>
            <w:r>
              <w:t>16</w:t>
            </w:r>
          </w:p>
        </w:tc>
        <w:tc>
          <w:tcPr>
            <w:tcW w:w="588" w:type="pct"/>
          </w:tcPr>
          <w:p w:rsidR="00E74F63" w:rsidRDefault="00E74F63" w:rsidP="00E21F90">
            <w:pPr>
              <w:pStyle w:val="TableCell"/>
              <w:keepNext/>
            </w:pPr>
            <w:r>
              <w:t>24</w:t>
            </w:r>
          </w:p>
        </w:tc>
        <w:tc>
          <w:tcPr>
            <w:tcW w:w="1013" w:type="pct"/>
          </w:tcPr>
          <w:p w:rsidR="00E74F63" w:rsidRDefault="00E74F63" w:rsidP="00E21F90">
            <w:pPr>
              <w:pStyle w:val="TableCell"/>
              <w:keepNext/>
            </w:pPr>
            <w:r>
              <w:t>16</w:t>
            </w:r>
          </w:p>
        </w:tc>
        <w:tc>
          <w:tcPr>
            <w:tcW w:w="631" w:type="pct"/>
          </w:tcPr>
          <w:p w:rsidR="00E74F63" w:rsidRDefault="00E74F63" w:rsidP="00E21F90">
            <w:pPr>
              <w:pStyle w:val="TableCell"/>
              <w:keepNext/>
            </w:pPr>
            <w:r>
              <w:t>24</w:t>
            </w:r>
          </w:p>
        </w:tc>
        <w:tc>
          <w:tcPr>
            <w:tcW w:w="866" w:type="pct"/>
          </w:tcPr>
          <w:p w:rsidR="00E74F63" w:rsidRDefault="00E74F63" w:rsidP="00E21F90">
            <w:pPr>
              <w:pStyle w:val="TableCell"/>
              <w:keepNext/>
            </w:pPr>
            <w:r>
              <w:t xml:space="preserve">60 </w:t>
            </w:r>
            <w:proofErr w:type="spellStart"/>
            <w:r>
              <w:t>mnths</w:t>
            </w:r>
            <w:proofErr w:type="spellEnd"/>
          </w:p>
        </w:tc>
      </w:tr>
    </w:tbl>
    <w:p w:rsidR="00E74F63" w:rsidRPr="004339C7" w:rsidRDefault="00E74F63" w:rsidP="007866C0">
      <w:pPr>
        <w:pStyle w:val="TableNote"/>
      </w:pPr>
      <w:r w:rsidRPr="004339C7">
        <w:t>Source: Ohio Admin. Code 3301-51-09 (1-2)</w:t>
      </w:r>
    </w:p>
    <w:p w:rsidR="00E74F63" w:rsidRDefault="00E74F63" w:rsidP="00E74F63">
      <w:r>
        <w:t xml:space="preserve">What is of interest is the work undertaken in </w:t>
      </w:r>
      <w:smartTag w:uri="urn:schemas-microsoft-com:office:smarttags" w:element="place">
        <w:smartTag w:uri="urn:schemas-microsoft-com:office:smarttags" w:element="State">
          <w:r>
            <w:t>Ohio</w:t>
          </w:r>
        </w:smartTag>
      </w:smartTag>
      <w:r>
        <w:t xml:space="preserve"> to determine optimal caseload ratios. The </w:t>
      </w:r>
      <w:r w:rsidRPr="006A60A6">
        <w:t>Caseload Ratio Steering Committee</w:t>
      </w:r>
      <w:r w:rsidR="004339C7">
        <w:t>,</w:t>
      </w:r>
      <w:r w:rsidRPr="006A60A6">
        <w:t xml:space="preserve"> formed by the Ohio Department of Education</w:t>
      </w:r>
      <w:r w:rsidR="004339C7">
        <w:t>,</w:t>
      </w:r>
      <w:r w:rsidRPr="006A60A6">
        <w:t xml:space="preserve"> decided that ratios should be flexible to accommodate variations in the intensity of needed services and to address the reality that most districts had moved to a system that provides services in inclusive settings.</w:t>
      </w:r>
      <w:r>
        <w:rPr>
          <w:rStyle w:val="FootnoteReference"/>
        </w:rPr>
        <w:footnoteReference w:id="113"/>
      </w:r>
      <w:r w:rsidRPr="008013CC">
        <w:t xml:space="preserve"> </w:t>
      </w:r>
      <w:r>
        <w:t xml:space="preserve">Twenty one educational agencies received grants to study processes for calculating the FTE of service provider caseload ratios. These 21 agencies studied workloads and caseloads of OTs, PTs, SLPs, School Psychologists and others. They have implemented workload-reducing strategies and developed different approaches. The majority of strategies are based on the workload philosophy of: time for workload duties + time for services =the total number of hours in a </w:t>
      </w:r>
      <w:r w:rsidR="004339C7">
        <w:t>service provider’s work-</w:t>
      </w:r>
      <w:r>
        <w:t>week.</w:t>
      </w:r>
      <w:r>
        <w:rPr>
          <w:rStyle w:val="FootnoteReference"/>
          <w:b/>
        </w:rPr>
        <w:footnoteReference w:id="114"/>
      </w:r>
      <w:r>
        <w:t xml:space="preserve"> The various approaches have been evaluated against </w:t>
      </w:r>
      <w:r w:rsidRPr="006A60A6">
        <w:t>student outcomes to see which approaches of workload/</w:t>
      </w:r>
      <w:r>
        <w:t xml:space="preserve"> </w:t>
      </w:r>
      <w:r w:rsidRPr="006A60A6">
        <w:t>caseload balance provide the best ou</w:t>
      </w:r>
      <w:r>
        <w:t xml:space="preserve">tcomes for </w:t>
      </w:r>
      <w:r w:rsidRPr="006A60A6">
        <w:t>students.</w:t>
      </w:r>
      <w:r>
        <w:rPr>
          <w:rStyle w:val="FootnoteReference"/>
        </w:rPr>
        <w:footnoteReference w:id="115"/>
      </w:r>
      <w:r w:rsidRPr="006A60A6">
        <w:t xml:space="preserve"> </w:t>
      </w:r>
      <w:r>
        <w:t>A report (</w:t>
      </w:r>
      <w:r w:rsidRPr="00ED5B61">
        <w:t>October 2014</w:t>
      </w:r>
      <w:r>
        <w:t xml:space="preserve">) outlines which </w:t>
      </w:r>
      <w:r w:rsidRPr="00D05ECC">
        <w:t xml:space="preserve">workload/ caseload </w:t>
      </w:r>
      <w:r>
        <w:t xml:space="preserve">approaches </w:t>
      </w:r>
      <w:r w:rsidRPr="00D05ECC">
        <w:t>provide</w:t>
      </w:r>
      <w:r>
        <w:t>d</w:t>
      </w:r>
      <w:r w:rsidRPr="00D05ECC">
        <w:t xml:space="preserve"> t</w:t>
      </w:r>
      <w:r>
        <w:t>he best outcomes for students. While m</w:t>
      </w:r>
      <w:r w:rsidRPr="00E471A7">
        <w:t>ethodological limitations prevented the research team from fully recommending one or more of the alternative caseload ratio approac</w:t>
      </w:r>
      <w:r>
        <w:t xml:space="preserve">hes and accompanying strategies, </w:t>
      </w:r>
      <w:r w:rsidRPr="005D3180">
        <w:t xml:space="preserve">positive outcomes were realized when the data </w:t>
      </w:r>
      <w:r>
        <w:t>was considered</w:t>
      </w:r>
      <w:r w:rsidRPr="005D3180">
        <w:t xml:space="preserve"> as a whole</w:t>
      </w:r>
      <w:r>
        <w:t>.</w:t>
      </w:r>
      <w:r>
        <w:rPr>
          <w:rStyle w:val="FootnoteReference"/>
        </w:rPr>
        <w:footnoteReference w:id="116"/>
      </w:r>
    </w:p>
    <w:p w:rsidR="00F63B31" w:rsidRPr="00853F36" w:rsidRDefault="00F63B31" w:rsidP="00F63B31">
      <w:pPr>
        <w:rPr>
          <w:szCs w:val="26"/>
        </w:rPr>
      </w:pPr>
      <w:r w:rsidRPr="00853F36">
        <w:rPr>
          <w:szCs w:val="26"/>
        </w:rPr>
        <w:t>The National Outcomes Measurement Systems [NOMS] project</w:t>
      </w:r>
      <w:r w:rsidR="004339C7">
        <w:rPr>
          <w:szCs w:val="26"/>
        </w:rPr>
        <w:t>,</w:t>
      </w:r>
      <w:r w:rsidRPr="00853F36">
        <w:rPr>
          <w:szCs w:val="26"/>
        </w:rPr>
        <w:t xml:space="preserve"> carried out by the American Speech and Hearing Association (ASHA) in 2000</w:t>
      </w:r>
      <w:r w:rsidR="004339C7">
        <w:rPr>
          <w:szCs w:val="26"/>
        </w:rPr>
        <w:t>,</w:t>
      </w:r>
      <w:r w:rsidRPr="00853F36">
        <w:rPr>
          <w:rStyle w:val="FootnoteReference"/>
          <w:szCs w:val="26"/>
        </w:rPr>
        <w:footnoteReference w:id="117"/>
      </w:r>
      <w:r w:rsidRPr="00853F36">
        <w:rPr>
          <w:szCs w:val="26"/>
        </w:rPr>
        <w:t xml:space="preserve"> suggested that flexible work models in which SLT can modify practice according to the need of the child are more sustainable wit</w:t>
      </w:r>
      <w:r w:rsidR="008013CC">
        <w:rPr>
          <w:szCs w:val="26"/>
        </w:rPr>
        <w:t>h caseloads of 40 or less. Case</w:t>
      </w:r>
      <w:r w:rsidRPr="00853F36">
        <w:rPr>
          <w:szCs w:val="26"/>
        </w:rPr>
        <w:t>loads of more than 40 children</w:t>
      </w:r>
      <w:r w:rsidR="004339C7">
        <w:rPr>
          <w:szCs w:val="26"/>
        </w:rPr>
        <w:t>, imposed a model of group-</w:t>
      </w:r>
      <w:r w:rsidRPr="00853F36">
        <w:rPr>
          <w:szCs w:val="26"/>
        </w:rPr>
        <w:t>working on those providing the SLT services - that is, therapy provision was likely to be made to children in groups eliminating the possibility of individual support.</w:t>
      </w:r>
      <w:r w:rsidRPr="00853F36">
        <w:rPr>
          <w:rStyle w:val="FootnoteReference"/>
          <w:szCs w:val="26"/>
        </w:rPr>
        <w:footnoteReference w:id="118"/>
      </w:r>
      <w:r w:rsidRPr="00853F36">
        <w:rPr>
          <w:szCs w:val="26"/>
        </w:rPr>
        <w:t xml:space="preserve"> In 2004</w:t>
      </w:r>
      <w:r w:rsidR="004339C7">
        <w:rPr>
          <w:szCs w:val="26"/>
        </w:rPr>
        <w:t>,</w:t>
      </w:r>
      <w:r w:rsidRPr="00853F36">
        <w:rPr>
          <w:szCs w:val="26"/>
        </w:rPr>
        <w:t xml:space="preserve"> ASHA showed that in the USA</w:t>
      </w:r>
      <w:r w:rsidR="004339C7">
        <w:rPr>
          <w:szCs w:val="26"/>
        </w:rPr>
        <w:t>, ASHA-certified school-</w:t>
      </w:r>
      <w:r w:rsidRPr="00853F36">
        <w:rPr>
          <w:szCs w:val="26"/>
        </w:rPr>
        <w:t>based SLPs had median monthly caseloads of 50 with a range from 20-53.</w:t>
      </w:r>
      <w:r w:rsidRPr="00853F36">
        <w:rPr>
          <w:rStyle w:val="FootnoteReference"/>
          <w:szCs w:val="26"/>
        </w:rPr>
        <w:footnoteReference w:id="119"/>
      </w:r>
    </w:p>
    <w:p w:rsidR="00F63B31" w:rsidRPr="00F2018F" w:rsidRDefault="00F63B31" w:rsidP="00F63B31">
      <w:r>
        <w:t>In Illinois</w:t>
      </w:r>
      <w:r w:rsidR="004339C7">
        <w:t>,</w:t>
      </w:r>
      <w:r>
        <w:t xml:space="preserve"> in 2009</w:t>
      </w:r>
      <w:r w:rsidR="004339C7">
        <w:t>,</w:t>
      </w:r>
      <w:r>
        <w:t xml:space="preserve"> the State Board of Education specified that t</w:t>
      </w:r>
      <w:r w:rsidRPr="00F2018F">
        <w:t>he number of children served by a speech-language pathologist</w:t>
      </w:r>
      <w:r w:rsidR="004339C7">
        <w:t>,</w:t>
      </w:r>
      <w:r w:rsidRPr="00F2018F">
        <w:t xml:space="preserve"> shall be based on the spee</w:t>
      </w:r>
      <w:r>
        <w:t>ch-language needs of each child and</w:t>
      </w:r>
      <w:r w:rsidR="004339C7">
        <w:t>,</w:t>
      </w:r>
      <w:r>
        <w:t xml:space="preserve"> that, t</w:t>
      </w:r>
      <w:r w:rsidRPr="00F2018F">
        <w:t xml:space="preserve">he other provisions of </w:t>
      </w:r>
      <w:r w:rsidR="00031ABC">
        <w:t>the Administrative Code</w:t>
      </w:r>
      <w:r w:rsidRPr="00F2018F">
        <w:t xml:space="preserve"> notwithstanding, at no time shall the caseload of a speech-language pathologist exceed 60 students.</w:t>
      </w:r>
      <w:r>
        <w:rPr>
          <w:rStyle w:val="FootnoteReference"/>
        </w:rPr>
        <w:footnoteReference w:id="120"/>
      </w:r>
    </w:p>
    <w:p w:rsidR="00F63B31" w:rsidRPr="00853F36" w:rsidRDefault="00F63B31" w:rsidP="00F63B31">
      <w:r w:rsidRPr="00853F36">
        <w:t xml:space="preserve">In </w:t>
      </w:r>
      <w:r w:rsidR="008013CC">
        <w:t>the USA</w:t>
      </w:r>
      <w:r w:rsidR="004339C7">
        <w:t>, in</w:t>
      </w:r>
      <w:r w:rsidR="008013CC">
        <w:t xml:space="preserve"> </w:t>
      </w:r>
      <w:r w:rsidRPr="00853F36">
        <w:t>various studies with speech–language pathologists (SLP)</w:t>
      </w:r>
      <w:r w:rsidR="00031ABC">
        <w:t>,</w:t>
      </w:r>
      <w:r w:rsidRPr="00853F36">
        <w:t xml:space="preserve"> the following findings were reported and/or observations made</w:t>
      </w:r>
      <w:r>
        <w:t>:</w:t>
      </w:r>
    </w:p>
    <w:p w:rsidR="00F63B31" w:rsidRPr="00853F36" w:rsidRDefault="00F63B31" w:rsidP="00F63B31">
      <w:pPr>
        <w:pStyle w:val="ListBullet"/>
        <w:numPr>
          <w:ilvl w:val="0"/>
          <w:numId w:val="1"/>
        </w:numPr>
      </w:pPr>
      <w:r w:rsidRPr="00853F36">
        <w:t>Caseload is more accurately conceptualised as only one part of a SLPs workload</w:t>
      </w:r>
      <w:r w:rsidRPr="00853F36">
        <w:rPr>
          <w:rStyle w:val="FootnoteReference"/>
        </w:rPr>
        <w:footnoteReference w:id="121"/>
      </w:r>
    </w:p>
    <w:p w:rsidR="00F63B31" w:rsidRPr="00853F36" w:rsidRDefault="00F63B31" w:rsidP="00F63B31">
      <w:pPr>
        <w:pStyle w:val="ListBullet"/>
        <w:numPr>
          <w:ilvl w:val="0"/>
          <w:numId w:val="1"/>
        </w:numPr>
      </w:pPr>
      <w:r w:rsidRPr="00853F36">
        <w:t>Caseload affected the ability of 75% of SLPs to engage in collaboration with other teachers</w:t>
      </w:r>
      <w:r w:rsidRPr="00853F36">
        <w:rPr>
          <w:rStyle w:val="FootnoteReference"/>
        </w:rPr>
        <w:footnoteReference w:id="122"/>
      </w:r>
    </w:p>
    <w:p w:rsidR="00F63B31" w:rsidRPr="00853F36" w:rsidRDefault="00F63B31" w:rsidP="00F63B31">
      <w:pPr>
        <w:pStyle w:val="ListBullet"/>
        <w:numPr>
          <w:ilvl w:val="0"/>
          <w:numId w:val="1"/>
        </w:numPr>
      </w:pPr>
      <w:r w:rsidRPr="00853F36">
        <w:t>Many states and school districts interpreted the maximum as a minimum and increased caseloads until many clinicians were “at breaking point”</w:t>
      </w:r>
      <w:r w:rsidRPr="00853F36">
        <w:rPr>
          <w:rStyle w:val="FootnoteReference"/>
        </w:rPr>
        <w:footnoteReference w:id="123"/>
      </w:r>
    </w:p>
    <w:p w:rsidR="00F63B31" w:rsidRPr="00853F36" w:rsidRDefault="00F63B31" w:rsidP="00F63B31">
      <w:pPr>
        <w:pStyle w:val="ListBullet"/>
        <w:numPr>
          <w:ilvl w:val="0"/>
          <w:numId w:val="1"/>
        </w:numPr>
      </w:pPr>
      <w:r w:rsidRPr="00853F36">
        <w:t>Earlier identification of children with multiple disabilities, the role of speech–language pathologists (SLP) in literacy, and increased recognition of the needs of children with multiple disabilities are resulting in large caseloads, greater time demands and additional workload responsibilities for SLPs</w:t>
      </w:r>
      <w:r w:rsidRPr="00853F36">
        <w:rPr>
          <w:rStyle w:val="FootnoteReference"/>
        </w:rPr>
        <w:footnoteReference w:id="124"/>
      </w:r>
    </w:p>
    <w:p w:rsidR="00F63B31" w:rsidRPr="00853F36" w:rsidRDefault="00F63B31" w:rsidP="00F63B31">
      <w:pPr>
        <w:pStyle w:val="ListBullet"/>
        <w:numPr>
          <w:ilvl w:val="0"/>
          <w:numId w:val="1"/>
        </w:numPr>
      </w:pPr>
      <w:r w:rsidRPr="00853F36">
        <w:t>The four highest ranked challenges in the school setting for SLPs</w:t>
      </w:r>
      <w:r w:rsidR="004339C7">
        <w:t>,</w:t>
      </w:r>
      <w:r w:rsidRPr="00853F36">
        <w:t xml:space="preserve"> included workload activities (paperwork, time, planning, and collaboration), caseload, other professionals understanding SLP role and salary</w:t>
      </w:r>
      <w:r w:rsidRPr="00853F36">
        <w:rPr>
          <w:rStyle w:val="FootnoteReference"/>
        </w:rPr>
        <w:footnoteReference w:id="125"/>
      </w:r>
    </w:p>
    <w:p w:rsidR="00F63B31" w:rsidRPr="00853F36" w:rsidRDefault="00F63B31" w:rsidP="00F63B31">
      <w:pPr>
        <w:pStyle w:val="ListBullet"/>
        <w:numPr>
          <w:ilvl w:val="0"/>
          <w:numId w:val="1"/>
        </w:numPr>
      </w:pPr>
      <w:r w:rsidRPr="00853F36">
        <w:t>The increase in the number of children identified with disabilities, school cutbacks on funding, excessive caseload size, significant administrative responsibilities, increased paperwork, and lack of resources to do the job</w:t>
      </w:r>
      <w:r w:rsidR="004339C7">
        <w:t>,</w:t>
      </w:r>
      <w:r w:rsidRPr="00853F36">
        <w:t xml:space="preserve"> are factors contributing to higher levels of stress and burnout in school-based SLP</w:t>
      </w:r>
      <w:r w:rsidRPr="00853F36">
        <w:rPr>
          <w:rStyle w:val="FootnoteReference"/>
        </w:rPr>
        <w:t xml:space="preserve"> </w:t>
      </w:r>
      <w:r w:rsidRPr="00853F36">
        <w:rPr>
          <w:rStyle w:val="FootnoteReference"/>
        </w:rPr>
        <w:footnoteReference w:id="126"/>
      </w:r>
    </w:p>
    <w:p w:rsidR="00F63B31" w:rsidRPr="00853F36" w:rsidRDefault="00F63B31" w:rsidP="00F63B31">
      <w:pPr>
        <w:pStyle w:val="ListBullet"/>
        <w:numPr>
          <w:ilvl w:val="0"/>
          <w:numId w:val="1"/>
        </w:numPr>
      </w:pPr>
      <w:r w:rsidRPr="00853F36">
        <w:t>The current trend of increasing caseloads and the expanded responsibilities of SLPs are factors contributing to high rates of attrition</w:t>
      </w:r>
      <w:r w:rsidRPr="00853F36">
        <w:rPr>
          <w:rStyle w:val="FootnoteReference"/>
        </w:rPr>
        <w:footnoteReference w:id="127"/>
      </w:r>
    </w:p>
    <w:p w:rsidR="00F63B31" w:rsidRPr="00853F36" w:rsidRDefault="00F63B31" w:rsidP="00F63B31">
      <w:pPr>
        <w:pStyle w:val="ListBullet"/>
        <w:numPr>
          <w:ilvl w:val="0"/>
          <w:numId w:val="1"/>
        </w:numPr>
      </w:pPr>
      <w:r w:rsidRPr="00853F36">
        <w:t>Age of participants, years at a job and caseload were predictive of job satisfaction among 382 SLPs from 10 school districts in Central Florida</w:t>
      </w:r>
      <w:r w:rsidR="004339C7">
        <w:t>.</w:t>
      </w:r>
      <w:r w:rsidRPr="00853F36">
        <w:rPr>
          <w:rStyle w:val="FootnoteReference"/>
        </w:rPr>
        <w:footnoteReference w:id="128"/>
      </w:r>
    </w:p>
    <w:p w:rsidR="00F63B31" w:rsidRDefault="00F63B31" w:rsidP="00DA1A61">
      <w:pPr>
        <w:pStyle w:val="Heading2"/>
        <w:numPr>
          <w:ilvl w:val="1"/>
          <w:numId w:val="12"/>
        </w:numPr>
        <w:ind w:hanging="1800"/>
      </w:pPr>
      <w:bookmarkStart w:id="201" w:name="_Toc386464561"/>
      <w:bookmarkStart w:id="202" w:name="_Toc386470056"/>
      <w:bookmarkStart w:id="203" w:name="_Toc390269729"/>
      <w:bookmarkStart w:id="204" w:name="_Toc415733732"/>
      <w:r w:rsidRPr="00853F36">
        <w:t>New Zealand</w:t>
      </w:r>
      <w:bookmarkEnd w:id="201"/>
      <w:bookmarkEnd w:id="202"/>
      <w:bookmarkEnd w:id="203"/>
      <w:bookmarkEnd w:id="204"/>
    </w:p>
    <w:p w:rsidR="00F8616F" w:rsidRPr="00F8616F" w:rsidRDefault="00F8616F" w:rsidP="00F8616F">
      <w:r w:rsidRPr="00B629DF">
        <w:t xml:space="preserve">Specialist staff </w:t>
      </w:r>
      <w:r w:rsidR="00A85193">
        <w:t>in Table 27</w:t>
      </w:r>
      <w:r>
        <w:t xml:space="preserve"> </w:t>
      </w:r>
      <w:r w:rsidRPr="00B629DF">
        <w:t>include</w:t>
      </w:r>
      <w:r>
        <w:t xml:space="preserve"> physiotherapists, occupational therapists, speech and language therapists and educational psychologists. Caseloads range from 35 per specialist staff to 50 with an average caseload of 41children.</w:t>
      </w:r>
    </w:p>
    <w:p w:rsidR="00F63B31" w:rsidRPr="00853F36" w:rsidRDefault="00346A83" w:rsidP="00F63B31">
      <w:pPr>
        <w:pStyle w:val="TableTitle"/>
      </w:pPr>
      <w:bookmarkStart w:id="205" w:name="_Toc419879430"/>
      <w:r>
        <w:t>Table</w:t>
      </w:r>
      <w:r w:rsidR="00A85193">
        <w:t xml:space="preserve"> 27</w:t>
      </w:r>
      <w:r w:rsidR="00F63B31" w:rsidRPr="00853F36">
        <w:t>: Caseloads for specialist staff</w:t>
      </w:r>
      <w:r w:rsidR="00F63B31" w:rsidRPr="00853F36">
        <w:rPr>
          <w:rStyle w:val="FootnoteReference"/>
        </w:rPr>
        <w:footnoteReference w:id="129"/>
      </w:r>
      <w:r w:rsidR="00F63B31" w:rsidRPr="00853F36">
        <w:t xml:space="preserve"> providing special education services in </w:t>
      </w:r>
      <w:smartTag w:uri="urn:schemas-microsoft-com:office:smarttags" w:element="place">
        <w:smartTag w:uri="urn:schemas-microsoft-com:office:smarttags" w:element="country-region">
          <w:r w:rsidR="00F63B31" w:rsidRPr="00853F36">
            <w:t>New Zealand</w:t>
          </w:r>
        </w:smartTag>
      </w:smartTag>
      <w:r w:rsidR="00F63B31" w:rsidRPr="00853F36">
        <w:rPr>
          <w:rStyle w:val="FootnoteReference"/>
        </w:rPr>
        <w:footnoteReference w:id="130"/>
      </w:r>
      <w:bookmarkEnd w:id="205"/>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806"/>
        <w:gridCol w:w="3274"/>
      </w:tblGrid>
      <w:tr w:rsidR="00F63B31" w:rsidRPr="00853F36" w:rsidTr="00D70F89">
        <w:tc>
          <w:tcPr>
            <w:tcW w:w="1560" w:type="dxa"/>
          </w:tcPr>
          <w:p w:rsidR="00F63B31" w:rsidRPr="00F63B31" w:rsidRDefault="00F63B31" w:rsidP="003F0FC7">
            <w:pPr>
              <w:pStyle w:val="TableHead"/>
            </w:pPr>
            <w:r w:rsidRPr="00F63B31">
              <w:t>Service</w:t>
            </w:r>
          </w:p>
        </w:tc>
        <w:tc>
          <w:tcPr>
            <w:tcW w:w="4806" w:type="dxa"/>
          </w:tcPr>
          <w:p w:rsidR="00F63B31" w:rsidRPr="00F63B31" w:rsidRDefault="00F63B31" w:rsidP="003F0FC7">
            <w:pPr>
              <w:pStyle w:val="TableHead"/>
            </w:pPr>
            <w:r w:rsidRPr="00F63B31">
              <w:t>Caseload</w:t>
            </w:r>
          </w:p>
        </w:tc>
        <w:tc>
          <w:tcPr>
            <w:tcW w:w="3274" w:type="dxa"/>
          </w:tcPr>
          <w:p w:rsidR="00F63B31" w:rsidRPr="00F63B31" w:rsidRDefault="00F63B31" w:rsidP="003F0FC7">
            <w:pPr>
              <w:pStyle w:val="TableHead"/>
            </w:pPr>
            <w:r w:rsidRPr="00F63B31">
              <w:t>Extra information</w:t>
            </w:r>
          </w:p>
        </w:tc>
      </w:tr>
      <w:tr w:rsidR="00F63B31" w:rsidRPr="00F63B31" w:rsidTr="00D70F89">
        <w:tc>
          <w:tcPr>
            <w:tcW w:w="1560" w:type="dxa"/>
          </w:tcPr>
          <w:p w:rsidR="00F63B31" w:rsidRPr="00F63B31" w:rsidRDefault="00D76EEE" w:rsidP="00D76EEE">
            <w:pPr>
              <w:pStyle w:val="TableCell"/>
              <w:jc w:val="left"/>
            </w:pPr>
            <w:r>
              <w:t>Early Inter</w:t>
            </w:r>
            <w:r w:rsidR="00F63B31" w:rsidRPr="00F63B31">
              <w:t>vention</w:t>
            </w:r>
          </w:p>
        </w:tc>
        <w:tc>
          <w:tcPr>
            <w:tcW w:w="4806" w:type="dxa"/>
          </w:tcPr>
          <w:p w:rsidR="00F63B31" w:rsidRPr="00F63B31" w:rsidRDefault="00F63B31" w:rsidP="003F0FC7">
            <w:pPr>
              <w:pStyle w:val="TableCell"/>
            </w:pPr>
            <w:r w:rsidRPr="00F63B31">
              <w:t>12-13,000 children per year (4% of the birth to school entry population) with 300 specialist staff</w:t>
            </w:r>
          </w:p>
          <w:p w:rsidR="00F8616F" w:rsidRDefault="00F8616F" w:rsidP="003F0FC7">
            <w:pPr>
              <w:pStyle w:val="TableCell"/>
            </w:pPr>
          </w:p>
          <w:p w:rsidR="00F63B31" w:rsidRPr="00F63B31" w:rsidRDefault="00F63B31" w:rsidP="003F0FC7">
            <w:pPr>
              <w:pStyle w:val="TableCell"/>
            </w:pPr>
            <w:r w:rsidRPr="00F63B31">
              <w:t>This equates to a caseload of approx 43 children per specialist staff</w:t>
            </w:r>
          </w:p>
        </w:tc>
        <w:tc>
          <w:tcPr>
            <w:tcW w:w="3274" w:type="dxa"/>
          </w:tcPr>
          <w:p w:rsidR="00F63B31" w:rsidRPr="00F63B31" w:rsidRDefault="00F63B31" w:rsidP="003F0FC7">
            <w:pPr>
              <w:pStyle w:val="TableCell"/>
            </w:pPr>
            <w:r w:rsidRPr="00F63B31">
              <w:t>Includes children with complex needs, communication needs, and behaviour needs</w:t>
            </w:r>
          </w:p>
          <w:p w:rsidR="00F63B31" w:rsidRPr="00F63B31" w:rsidRDefault="00F63B31" w:rsidP="003F0FC7">
            <w:pPr>
              <w:pStyle w:val="TableCell"/>
            </w:pPr>
            <w:r w:rsidRPr="00F63B31">
              <w:t xml:space="preserve">Birth to school entry (5years of age for most) </w:t>
            </w:r>
          </w:p>
        </w:tc>
      </w:tr>
      <w:tr w:rsidR="00F63B31" w:rsidRPr="00F63B31" w:rsidTr="00D70F89">
        <w:tc>
          <w:tcPr>
            <w:tcW w:w="1560" w:type="dxa"/>
          </w:tcPr>
          <w:p w:rsidR="00F63B31" w:rsidRPr="00F63B31" w:rsidRDefault="00F63B31" w:rsidP="00D76EEE">
            <w:pPr>
              <w:pStyle w:val="TableCell"/>
              <w:jc w:val="left"/>
            </w:pPr>
            <w:r w:rsidRPr="00F63B31">
              <w:t>Complex needs (school)</w:t>
            </w:r>
          </w:p>
        </w:tc>
        <w:tc>
          <w:tcPr>
            <w:tcW w:w="4806" w:type="dxa"/>
          </w:tcPr>
          <w:p w:rsidR="00F63B31" w:rsidRPr="00F63B31" w:rsidRDefault="00F63B31" w:rsidP="003F0FC7">
            <w:pPr>
              <w:pStyle w:val="TableCell"/>
            </w:pPr>
            <w:r w:rsidRPr="00F63B31">
              <w:t>7000 students (1% of school age population)</w:t>
            </w:r>
          </w:p>
          <w:p w:rsidR="00F63B31" w:rsidRPr="00F63B31" w:rsidRDefault="00F63B31" w:rsidP="003F0FC7">
            <w:pPr>
              <w:pStyle w:val="TableCell"/>
            </w:pPr>
            <w:r w:rsidRPr="00F63B31">
              <w:t>200 specialist staff approx</w:t>
            </w:r>
          </w:p>
          <w:p w:rsidR="00F8616F" w:rsidRDefault="00F8616F" w:rsidP="003F0FC7">
            <w:pPr>
              <w:pStyle w:val="TableCell"/>
            </w:pPr>
          </w:p>
          <w:p w:rsidR="00F63B31" w:rsidRPr="00F63B31" w:rsidRDefault="00F63B31" w:rsidP="003B2D53">
            <w:pPr>
              <w:pStyle w:val="TableCell"/>
            </w:pPr>
            <w:r w:rsidRPr="00F63B31">
              <w:t>This equates to a caseload of approximately 35 child</w:t>
            </w:r>
            <w:r w:rsidR="003B2D53">
              <w:t>ren per specialist staff member</w:t>
            </w:r>
          </w:p>
        </w:tc>
        <w:tc>
          <w:tcPr>
            <w:tcW w:w="3274" w:type="dxa"/>
          </w:tcPr>
          <w:p w:rsidR="00F63B31" w:rsidRPr="00F63B31" w:rsidRDefault="00F63B31" w:rsidP="003F0FC7">
            <w:pPr>
              <w:pStyle w:val="TableCell"/>
            </w:pPr>
            <w:r w:rsidRPr="00F63B31">
              <w:t>Children verified for the Ongoing Resourcing Scheme giving entitlement to ongoing specialist and para-professional support, plus extra teacher time -5 years to end of school</w:t>
            </w:r>
          </w:p>
        </w:tc>
      </w:tr>
      <w:tr w:rsidR="00F63B31" w:rsidRPr="00F63B31" w:rsidTr="00D70F89">
        <w:tc>
          <w:tcPr>
            <w:tcW w:w="1560" w:type="dxa"/>
          </w:tcPr>
          <w:p w:rsidR="00F8616F" w:rsidRDefault="00F63B31" w:rsidP="00D76EEE">
            <w:pPr>
              <w:pStyle w:val="TableCell"/>
              <w:jc w:val="left"/>
            </w:pPr>
            <w:r w:rsidRPr="00F63B31">
              <w:t>Behaviour services</w:t>
            </w:r>
          </w:p>
          <w:p w:rsidR="00F63B31" w:rsidRPr="00F63B31" w:rsidRDefault="00F63B31" w:rsidP="00D76EEE">
            <w:pPr>
              <w:pStyle w:val="TableCell"/>
              <w:jc w:val="left"/>
            </w:pPr>
            <w:r w:rsidRPr="00F63B31">
              <w:t>(school)</w:t>
            </w:r>
          </w:p>
        </w:tc>
        <w:tc>
          <w:tcPr>
            <w:tcW w:w="4806" w:type="dxa"/>
          </w:tcPr>
          <w:p w:rsidR="00F63B31" w:rsidRPr="00F63B31" w:rsidRDefault="00F63B31" w:rsidP="003F0FC7">
            <w:pPr>
              <w:pStyle w:val="TableCell"/>
            </w:pPr>
            <w:r w:rsidRPr="00F63B31">
              <w:t>8-10,000 students (1% of school age population)</w:t>
            </w:r>
          </w:p>
          <w:p w:rsidR="00F8616F" w:rsidRDefault="003B2D53" w:rsidP="003B2D53">
            <w:pPr>
              <w:pStyle w:val="TableCell"/>
            </w:pPr>
            <w:r>
              <w:t>200+ specialist staff</w:t>
            </w:r>
          </w:p>
          <w:p w:rsidR="00F63B31" w:rsidRPr="00F63B31" w:rsidRDefault="00F63B31" w:rsidP="003F0FC7">
            <w:pPr>
              <w:pStyle w:val="TableCell"/>
            </w:pPr>
            <w:r w:rsidRPr="00F63B31">
              <w:t>This equates to a caseload of approximately 50 per specialist staff member</w:t>
            </w:r>
          </w:p>
        </w:tc>
        <w:tc>
          <w:tcPr>
            <w:tcW w:w="3274" w:type="dxa"/>
          </w:tcPr>
          <w:p w:rsidR="00F63B31" w:rsidRPr="00F63B31" w:rsidRDefault="00F63B31" w:rsidP="003F0FC7">
            <w:pPr>
              <w:pStyle w:val="TableCell"/>
            </w:pPr>
            <w:r w:rsidRPr="00F63B31">
              <w:t>5years to end of school (target 5-14 years)</w:t>
            </w:r>
          </w:p>
        </w:tc>
      </w:tr>
      <w:tr w:rsidR="00F63B31" w:rsidRPr="00F63B31" w:rsidTr="00D70F89">
        <w:tc>
          <w:tcPr>
            <w:tcW w:w="1560" w:type="dxa"/>
          </w:tcPr>
          <w:p w:rsidR="00F63B31" w:rsidRPr="00F63B31" w:rsidRDefault="00F63B31" w:rsidP="00D76EEE">
            <w:pPr>
              <w:pStyle w:val="TableCell"/>
              <w:jc w:val="left"/>
            </w:pPr>
            <w:r w:rsidRPr="00F63B31">
              <w:t>Communication services (school)</w:t>
            </w:r>
          </w:p>
        </w:tc>
        <w:tc>
          <w:tcPr>
            <w:tcW w:w="4806" w:type="dxa"/>
          </w:tcPr>
          <w:p w:rsidR="00F8616F" w:rsidRDefault="00F63B31" w:rsidP="003B2D53">
            <w:pPr>
              <w:pStyle w:val="TableCell"/>
            </w:pPr>
            <w:r w:rsidRPr="00F63B31">
              <w:t xml:space="preserve">5500-7000 students (1% of school age population) 200 specialist staff </w:t>
            </w:r>
          </w:p>
          <w:p w:rsidR="00F63B31" w:rsidRPr="00F63B31" w:rsidRDefault="00F63B31" w:rsidP="003F0FC7">
            <w:pPr>
              <w:pStyle w:val="TableCell"/>
            </w:pPr>
            <w:r w:rsidRPr="00F63B31">
              <w:t>This equates to a caseload of approximately 35 per specialist staff member.</w:t>
            </w:r>
          </w:p>
        </w:tc>
        <w:tc>
          <w:tcPr>
            <w:tcW w:w="3274" w:type="dxa"/>
          </w:tcPr>
          <w:p w:rsidR="00F63B31" w:rsidRPr="00F63B31" w:rsidRDefault="00F63B31" w:rsidP="003F0FC7">
            <w:pPr>
              <w:pStyle w:val="TableCell"/>
            </w:pPr>
            <w:r w:rsidRPr="00F63B31">
              <w:t>5 years to end of school (target 5-8 years)</w:t>
            </w:r>
          </w:p>
          <w:p w:rsidR="00F63B31" w:rsidRPr="00F63B31" w:rsidRDefault="00F63B31" w:rsidP="003F0FC7">
            <w:pPr>
              <w:pStyle w:val="TableCell"/>
            </w:pPr>
          </w:p>
        </w:tc>
      </w:tr>
    </w:tbl>
    <w:p w:rsidR="00F8616F" w:rsidRDefault="00A85193" w:rsidP="00F63B31">
      <w:pPr>
        <w:spacing w:before="240"/>
      </w:pPr>
      <w:r>
        <w:t>The numbers given in Table 28</w:t>
      </w:r>
      <w:r w:rsidR="00F63B31">
        <w:t xml:space="preserve"> show lower caseloads for specialists and in particular for educational psychologists</w:t>
      </w:r>
      <w:r w:rsidR="004339C7">
        <w:t>,</w:t>
      </w:r>
      <w:r w:rsidR="00F63B31">
        <w:t xml:space="preserve"> with caseloads of 15-20 for a mix of complex and moderate, school aged an</w:t>
      </w:r>
      <w:r w:rsidR="00F8616F">
        <w:t xml:space="preserve">d early intervention. </w:t>
      </w:r>
    </w:p>
    <w:p w:rsidR="00F63B31" w:rsidRPr="00853F36" w:rsidRDefault="00346A83" w:rsidP="00F63B31">
      <w:pPr>
        <w:pStyle w:val="TableTitle"/>
      </w:pPr>
      <w:bookmarkStart w:id="206" w:name="_Toc419879431"/>
      <w:r>
        <w:t xml:space="preserve">Table </w:t>
      </w:r>
      <w:r w:rsidR="00A85193">
        <w:t>28</w:t>
      </w:r>
      <w:r w:rsidR="00F63B31" w:rsidRPr="00853F36">
        <w:t xml:space="preserve">: Caseloads for staff in early intervention and school based services in New Zealand </w:t>
      </w:r>
      <w:r w:rsidR="00F63B31" w:rsidRPr="00853F36">
        <w:rPr>
          <w:rStyle w:val="FootnoteReference"/>
        </w:rPr>
        <w:footnoteReference w:id="131"/>
      </w:r>
      <w:bookmarkEnd w:id="2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324"/>
        <w:gridCol w:w="5590"/>
      </w:tblGrid>
      <w:tr w:rsidR="00F63B31" w:rsidRPr="00F63B31" w:rsidTr="00F63B31">
        <w:tc>
          <w:tcPr>
            <w:tcW w:w="1728" w:type="dxa"/>
          </w:tcPr>
          <w:p w:rsidR="00F63B31" w:rsidRPr="00853F36" w:rsidRDefault="00F63B31" w:rsidP="003F0FC7">
            <w:pPr>
              <w:pStyle w:val="TableHead"/>
            </w:pPr>
            <w:r w:rsidRPr="00853F36">
              <w:t>Profession</w:t>
            </w:r>
          </w:p>
        </w:tc>
        <w:tc>
          <w:tcPr>
            <w:tcW w:w="1324" w:type="dxa"/>
          </w:tcPr>
          <w:p w:rsidR="00F63B31" w:rsidRPr="00853F36" w:rsidRDefault="00F63B31" w:rsidP="003F0FC7">
            <w:pPr>
              <w:pStyle w:val="TableHead"/>
            </w:pPr>
            <w:r w:rsidRPr="00853F36">
              <w:t>Caseload</w:t>
            </w:r>
          </w:p>
        </w:tc>
        <w:tc>
          <w:tcPr>
            <w:tcW w:w="5804" w:type="dxa"/>
          </w:tcPr>
          <w:p w:rsidR="00F63B31" w:rsidRPr="00853F36" w:rsidRDefault="00F63B31" w:rsidP="003F0FC7">
            <w:pPr>
              <w:pStyle w:val="TableHead"/>
            </w:pPr>
            <w:r w:rsidRPr="00853F36">
              <w:t>Extra information</w:t>
            </w:r>
          </w:p>
        </w:tc>
      </w:tr>
      <w:tr w:rsidR="00F63B31" w:rsidRPr="00F63B31" w:rsidTr="00F63B31">
        <w:tc>
          <w:tcPr>
            <w:tcW w:w="1728" w:type="dxa"/>
          </w:tcPr>
          <w:p w:rsidR="00F63B31" w:rsidRPr="00F63B31" w:rsidRDefault="00F63B31" w:rsidP="00D76EEE">
            <w:pPr>
              <w:pStyle w:val="TableCell"/>
              <w:jc w:val="left"/>
            </w:pPr>
            <w:r w:rsidRPr="00F63B31">
              <w:t>Speech-language therapist</w:t>
            </w:r>
          </w:p>
        </w:tc>
        <w:tc>
          <w:tcPr>
            <w:tcW w:w="1324" w:type="dxa"/>
          </w:tcPr>
          <w:p w:rsidR="00F63B31" w:rsidRPr="00F63B31" w:rsidRDefault="00F63B31" w:rsidP="003F0FC7">
            <w:pPr>
              <w:pStyle w:val="TableCell"/>
            </w:pPr>
            <w:r w:rsidRPr="00F63B31">
              <w:t>30 -40</w:t>
            </w:r>
          </w:p>
          <w:p w:rsidR="00F63B31" w:rsidRPr="00F63B31" w:rsidRDefault="00F63B31" w:rsidP="003F0FC7">
            <w:pPr>
              <w:pStyle w:val="TableCell"/>
              <w:rPr>
                <w:b/>
              </w:rPr>
            </w:pPr>
          </w:p>
        </w:tc>
        <w:tc>
          <w:tcPr>
            <w:tcW w:w="5804" w:type="dxa"/>
          </w:tcPr>
          <w:p w:rsidR="00F63B31" w:rsidRPr="00F63B31" w:rsidRDefault="00F63B31" w:rsidP="003F0FC7">
            <w:pPr>
              <w:pStyle w:val="TableCell"/>
            </w:pPr>
            <w:r w:rsidRPr="00F63B31">
              <w:t>Mix of complex and moderate</w:t>
            </w:r>
          </w:p>
          <w:p w:rsidR="00F63B31" w:rsidRPr="00F63B31" w:rsidRDefault="00F63B31" w:rsidP="003F0FC7">
            <w:pPr>
              <w:pStyle w:val="TableCell"/>
            </w:pPr>
            <w:r w:rsidRPr="00F63B31">
              <w:t>Mix of school aged and early intervention</w:t>
            </w:r>
          </w:p>
          <w:p w:rsidR="00F63B31" w:rsidRPr="00F63B31" w:rsidRDefault="00F63B31" w:rsidP="003F0FC7">
            <w:pPr>
              <w:pStyle w:val="TableCell"/>
            </w:pPr>
            <w:r w:rsidRPr="00F63B31">
              <w:t>Mix of team cases and comm. only cases</w:t>
            </w:r>
          </w:p>
          <w:p w:rsidR="00F63B31" w:rsidRPr="00F63B31" w:rsidRDefault="00F63B31" w:rsidP="003F0FC7">
            <w:pPr>
              <w:pStyle w:val="TableCell"/>
            </w:pPr>
            <w:r w:rsidRPr="00F63B31">
              <w:t>On average</w:t>
            </w:r>
            <w:r w:rsidR="00F8616F">
              <w:t>,</w:t>
            </w:r>
            <w:r w:rsidRPr="00F63B31">
              <w:t xml:space="preserve"> a SLT should be picking up about 4 cases per month. This is going to vary example an experienced SLT may have a higher proportion of complex needs cases and so may not pick up as often. It might be better to think about pickup rates as a team rather than individuals</w:t>
            </w:r>
          </w:p>
          <w:p w:rsidR="00F63B31" w:rsidRPr="00F63B31" w:rsidRDefault="00F63B31" w:rsidP="003F0FC7">
            <w:pPr>
              <w:pStyle w:val="TableCell"/>
            </w:pPr>
          </w:p>
        </w:tc>
      </w:tr>
      <w:tr w:rsidR="00F63B31" w:rsidRPr="00F63B31" w:rsidTr="00F63B31">
        <w:trPr>
          <w:trHeight w:val="958"/>
        </w:trPr>
        <w:tc>
          <w:tcPr>
            <w:tcW w:w="1728" w:type="dxa"/>
          </w:tcPr>
          <w:p w:rsidR="00F63B31" w:rsidRPr="00F63B31" w:rsidRDefault="00F63B31" w:rsidP="00D76EEE">
            <w:pPr>
              <w:pStyle w:val="TableCell"/>
              <w:jc w:val="left"/>
            </w:pPr>
            <w:r w:rsidRPr="00F63B31">
              <w:t>Early intervention teacher</w:t>
            </w:r>
          </w:p>
        </w:tc>
        <w:tc>
          <w:tcPr>
            <w:tcW w:w="1324" w:type="dxa"/>
          </w:tcPr>
          <w:p w:rsidR="00F63B31" w:rsidRPr="00F63B31" w:rsidRDefault="00F63B31" w:rsidP="003F0FC7">
            <w:pPr>
              <w:pStyle w:val="TableCell"/>
            </w:pPr>
            <w:r w:rsidRPr="00F63B31">
              <w:t>20- 25</w:t>
            </w:r>
          </w:p>
          <w:p w:rsidR="00F63B31" w:rsidRPr="00F63B31" w:rsidRDefault="00F63B31" w:rsidP="003F0FC7">
            <w:pPr>
              <w:pStyle w:val="TableCell"/>
              <w:rPr>
                <w:b/>
              </w:rPr>
            </w:pPr>
          </w:p>
        </w:tc>
        <w:tc>
          <w:tcPr>
            <w:tcW w:w="5804" w:type="dxa"/>
          </w:tcPr>
          <w:p w:rsidR="00F63B31" w:rsidRPr="00F63B31" w:rsidRDefault="00F63B31" w:rsidP="003F0FC7">
            <w:pPr>
              <w:pStyle w:val="TableCell"/>
            </w:pPr>
            <w:r w:rsidRPr="00F63B31">
              <w:t>Mix of complex and moderate</w:t>
            </w:r>
          </w:p>
          <w:p w:rsidR="00F63B31" w:rsidRPr="00F63B31" w:rsidRDefault="00F63B31" w:rsidP="003F0FC7">
            <w:pPr>
              <w:pStyle w:val="TableCell"/>
            </w:pPr>
            <w:r w:rsidRPr="00F63B31">
              <w:t xml:space="preserve">Mix of lead worker or other </w:t>
            </w:r>
          </w:p>
        </w:tc>
      </w:tr>
      <w:tr w:rsidR="00F63B31" w:rsidRPr="00F63B31" w:rsidTr="00F63B31">
        <w:tc>
          <w:tcPr>
            <w:tcW w:w="1728" w:type="dxa"/>
          </w:tcPr>
          <w:p w:rsidR="00F63B31" w:rsidRPr="00F63B31" w:rsidRDefault="00F63B31" w:rsidP="00D76EEE">
            <w:pPr>
              <w:pStyle w:val="TableCell"/>
              <w:jc w:val="left"/>
            </w:pPr>
            <w:r w:rsidRPr="00F63B31">
              <w:t>Educational Psychologist</w:t>
            </w:r>
          </w:p>
        </w:tc>
        <w:tc>
          <w:tcPr>
            <w:tcW w:w="1324" w:type="dxa"/>
          </w:tcPr>
          <w:p w:rsidR="00F63B31" w:rsidRPr="00F63B31" w:rsidRDefault="00F63B31" w:rsidP="003F0FC7">
            <w:pPr>
              <w:pStyle w:val="TableCell"/>
            </w:pPr>
            <w:r w:rsidRPr="00F63B31">
              <w:t xml:space="preserve">15-20 </w:t>
            </w:r>
          </w:p>
        </w:tc>
        <w:tc>
          <w:tcPr>
            <w:tcW w:w="5804" w:type="dxa"/>
          </w:tcPr>
          <w:p w:rsidR="00F63B31" w:rsidRPr="00F63B31" w:rsidRDefault="00F63B31" w:rsidP="003F0FC7">
            <w:pPr>
              <w:pStyle w:val="TableCell"/>
            </w:pPr>
            <w:r w:rsidRPr="00F63B31">
              <w:t>Mix of complex and moderate</w:t>
            </w:r>
          </w:p>
          <w:p w:rsidR="00F63B31" w:rsidRPr="00F63B31" w:rsidRDefault="00F63B31" w:rsidP="003F0FC7">
            <w:pPr>
              <w:pStyle w:val="TableCell"/>
            </w:pPr>
            <w:r w:rsidRPr="00F63B31">
              <w:t xml:space="preserve">Mix of school aged and early intervention </w:t>
            </w:r>
          </w:p>
        </w:tc>
      </w:tr>
    </w:tbl>
    <w:p w:rsidR="00F63B31" w:rsidRDefault="00F63B31" w:rsidP="00DA1A61">
      <w:pPr>
        <w:pStyle w:val="Heading2"/>
        <w:numPr>
          <w:ilvl w:val="1"/>
          <w:numId w:val="12"/>
        </w:numPr>
        <w:ind w:hanging="1800"/>
      </w:pPr>
      <w:bookmarkStart w:id="207" w:name="_Toc386464562"/>
      <w:bookmarkStart w:id="208" w:name="_Toc386470057"/>
      <w:bookmarkStart w:id="209" w:name="_Toc390269730"/>
      <w:bookmarkStart w:id="210" w:name="_Toc415733733"/>
      <w:r w:rsidRPr="00853F36">
        <w:t>Australia</w:t>
      </w:r>
      <w:bookmarkEnd w:id="207"/>
      <w:bookmarkEnd w:id="208"/>
      <w:bookmarkEnd w:id="209"/>
      <w:bookmarkEnd w:id="210"/>
    </w:p>
    <w:p w:rsidR="00F8616F" w:rsidRPr="00F8616F" w:rsidRDefault="00A85193" w:rsidP="009275CD">
      <w:pPr>
        <w:spacing w:before="120"/>
      </w:pPr>
      <w:r>
        <w:t>In Table 29</w:t>
      </w:r>
      <w:r w:rsidR="00F8616F">
        <w:t xml:space="preserve"> below, caseloads are 8-10 for inte</w:t>
      </w:r>
      <w:r w:rsidR="003B2D53">
        <w:t xml:space="preserve">nsive complex case management. </w:t>
      </w:r>
      <w:r w:rsidR="00F8616F">
        <w:t xml:space="preserve">However, in the absence of definitions of what is complex and intensive etc it is difficult to compare these different caseloads. </w:t>
      </w:r>
    </w:p>
    <w:p w:rsidR="00F63B31" w:rsidRPr="00853F36" w:rsidRDefault="00346A83" w:rsidP="00F63B31">
      <w:pPr>
        <w:pStyle w:val="TableTitle"/>
      </w:pPr>
      <w:bookmarkStart w:id="211" w:name="_Toc419879432"/>
      <w:r>
        <w:t>Table</w:t>
      </w:r>
      <w:r w:rsidR="00A85193">
        <w:t xml:space="preserve"> 29</w:t>
      </w:r>
      <w:r w:rsidR="00F63B31" w:rsidRPr="00853F36">
        <w:t>: Caseloads for case management services in adult and school age community service teams in South Australia</w:t>
      </w:r>
      <w:r w:rsidR="00F63B31" w:rsidRPr="00853F36">
        <w:rPr>
          <w:rStyle w:val="FootnoteReference"/>
          <w:b w:val="0"/>
        </w:rPr>
        <w:footnoteReference w:id="132"/>
      </w:r>
      <w:bookmarkEnd w:id="2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4"/>
        <w:gridCol w:w="2726"/>
      </w:tblGrid>
      <w:tr w:rsidR="00F63B31" w:rsidRPr="00F63B31" w:rsidTr="003B2D53">
        <w:trPr>
          <w:trHeight w:val="309"/>
        </w:trPr>
        <w:tc>
          <w:tcPr>
            <w:tcW w:w="6062" w:type="dxa"/>
          </w:tcPr>
          <w:p w:rsidR="00F63B31" w:rsidRPr="003B2D53" w:rsidRDefault="00F63B31" w:rsidP="003F0FC7">
            <w:pPr>
              <w:pStyle w:val="TableHead"/>
              <w:rPr>
                <w:sz w:val="24"/>
              </w:rPr>
            </w:pPr>
            <w:r w:rsidRPr="003B2D53">
              <w:rPr>
                <w:sz w:val="24"/>
              </w:rPr>
              <w:t>Case type</w:t>
            </w:r>
          </w:p>
        </w:tc>
        <w:tc>
          <w:tcPr>
            <w:tcW w:w="2794" w:type="dxa"/>
          </w:tcPr>
          <w:p w:rsidR="00F63B31" w:rsidRPr="003B2D53" w:rsidRDefault="00F63B31" w:rsidP="003F0FC7">
            <w:pPr>
              <w:pStyle w:val="TableHead"/>
              <w:rPr>
                <w:sz w:val="24"/>
              </w:rPr>
            </w:pPr>
            <w:r w:rsidRPr="003B2D53">
              <w:rPr>
                <w:sz w:val="24"/>
              </w:rPr>
              <w:t>Ratio of staff to client</w:t>
            </w:r>
          </w:p>
        </w:tc>
      </w:tr>
      <w:tr w:rsidR="00F63B31" w:rsidRPr="00F63B31" w:rsidTr="003B2D53">
        <w:tc>
          <w:tcPr>
            <w:tcW w:w="6062" w:type="dxa"/>
          </w:tcPr>
          <w:p w:rsidR="00F63B31" w:rsidRPr="00853F36" w:rsidRDefault="00F63B31" w:rsidP="00D76EEE">
            <w:pPr>
              <w:pStyle w:val="TableCell"/>
              <w:jc w:val="left"/>
            </w:pPr>
            <w:r w:rsidRPr="00853F36">
              <w:t>Individual case management</w:t>
            </w:r>
          </w:p>
        </w:tc>
        <w:tc>
          <w:tcPr>
            <w:tcW w:w="2794" w:type="dxa"/>
          </w:tcPr>
          <w:p w:rsidR="00F63B31" w:rsidRPr="00853F36" w:rsidRDefault="00F63B31" w:rsidP="003F0FC7">
            <w:pPr>
              <w:pStyle w:val="TableCell"/>
            </w:pPr>
            <w:r w:rsidRPr="00853F36">
              <w:t>1:20</w:t>
            </w:r>
          </w:p>
        </w:tc>
      </w:tr>
      <w:tr w:rsidR="00F63B31" w:rsidRPr="00F63B31" w:rsidTr="003B2D53">
        <w:tc>
          <w:tcPr>
            <w:tcW w:w="6062" w:type="dxa"/>
          </w:tcPr>
          <w:p w:rsidR="00F63B31" w:rsidRPr="00853F36" w:rsidRDefault="00F63B31" w:rsidP="00D76EEE">
            <w:pPr>
              <w:pStyle w:val="TableCell"/>
              <w:jc w:val="left"/>
            </w:pPr>
            <w:r w:rsidRPr="00853F36">
              <w:t>Intensive complex case management</w:t>
            </w:r>
          </w:p>
        </w:tc>
        <w:tc>
          <w:tcPr>
            <w:tcW w:w="2794" w:type="dxa"/>
          </w:tcPr>
          <w:p w:rsidR="00F63B31" w:rsidRPr="00853F36" w:rsidRDefault="00F63B31" w:rsidP="003F0FC7">
            <w:pPr>
              <w:pStyle w:val="TableCell"/>
            </w:pPr>
            <w:r w:rsidRPr="00853F36">
              <w:t>1:8/10</w:t>
            </w:r>
          </w:p>
        </w:tc>
      </w:tr>
      <w:tr w:rsidR="00F63B31" w:rsidRPr="00F63B31" w:rsidTr="003B2D53">
        <w:tc>
          <w:tcPr>
            <w:tcW w:w="6062" w:type="dxa"/>
          </w:tcPr>
          <w:p w:rsidR="00F63B31" w:rsidRPr="00853F36" w:rsidRDefault="00F8616F" w:rsidP="00D76EEE">
            <w:pPr>
              <w:pStyle w:val="TableCell"/>
              <w:jc w:val="left"/>
            </w:pPr>
            <w:r>
              <w:t>Mixed caseloads -</w:t>
            </w:r>
            <w:r w:rsidR="00F63B31" w:rsidRPr="00853F36">
              <w:t xml:space="preserve"> case manageme</w:t>
            </w:r>
            <w:r>
              <w:t>nt, monitoring, and maintenance</w:t>
            </w:r>
          </w:p>
        </w:tc>
        <w:tc>
          <w:tcPr>
            <w:tcW w:w="2794" w:type="dxa"/>
          </w:tcPr>
          <w:p w:rsidR="00F63B31" w:rsidRPr="00853F36" w:rsidRDefault="00F63B31" w:rsidP="003F0FC7">
            <w:pPr>
              <w:pStyle w:val="TableCell"/>
            </w:pPr>
            <w:r w:rsidRPr="00853F36">
              <w:t>1:35</w:t>
            </w:r>
          </w:p>
        </w:tc>
      </w:tr>
    </w:tbl>
    <w:p w:rsidR="00F63B31" w:rsidRPr="00853F36" w:rsidRDefault="00F63B31" w:rsidP="00DA1A61">
      <w:pPr>
        <w:pStyle w:val="Heading2"/>
        <w:numPr>
          <w:ilvl w:val="1"/>
          <w:numId w:val="12"/>
        </w:numPr>
        <w:ind w:hanging="1800"/>
      </w:pPr>
      <w:bookmarkStart w:id="212" w:name="_Toc386464563"/>
      <w:bookmarkStart w:id="213" w:name="_Toc386470058"/>
      <w:bookmarkStart w:id="214" w:name="_Toc390269731"/>
      <w:bookmarkStart w:id="215" w:name="_Toc415733734"/>
      <w:r w:rsidRPr="00853F36">
        <w:t>Slovakia</w:t>
      </w:r>
      <w:bookmarkEnd w:id="212"/>
      <w:bookmarkEnd w:id="213"/>
      <w:bookmarkEnd w:id="214"/>
      <w:bookmarkEnd w:id="215"/>
    </w:p>
    <w:p w:rsidR="00F63B31" w:rsidRPr="00853F36" w:rsidRDefault="00346A83" w:rsidP="00F63B31">
      <w:pPr>
        <w:pStyle w:val="TableTitle"/>
      </w:pPr>
      <w:bookmarkStart w:id="216" w:name="_Toc419879433"/>
      <w:r>
        <w:t xml:space="preserve">Table </w:t>
      </w:r>
      <w:r w:rsidR="00A85193">
        <w:t>30</w:t>
      </w:r>
      <w:r w:rsidR="00F63B31" w:rsidRPr="00853F36">
        <w:t>: Some figures for services and therapists in Slovakia</w:t>
      </w:r>
      <w:r w:rsidR="00F63B31" w:rsidRPr="00853F36">
        <w:rPr>
          <w:rStyle w:val="FootnoteReference"/>
        </w:rPr>
        <w:footnoteReference w:id="133"/>
      </w:r>
      <w:bookmarkEnd w:id="2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0"/>
        <w:gridCol w:w="4242"/>
      </w:tblGrid>
      <w:tr w:rsidR="00F63B31" w:rsidRPr="00F63B31" w:rsidTr="00F63B31">
        <w:tc>
          <w:tcPr>
            <w:tcW w:w="4280" w:type="dxa"/>
          </w:tcPr>
          <w:p w:rsidR="00F63B31" w:rsidRPr="00F63B31" w:rsidRDefault="00F63B31" w:rsidP="00D76EEE">
            <w:pPr>
              <w:pStyle w:val="TableCell"/>
              <w:jc w:val="left"/>
              <w:rPr>
                <w:lang w:val="en-GB" w:eastAsia="en-GB"/>
              </w:rPr>
            </w:pPr>
            <w:r w:rsidRPr="00F63B31">
              <w:rPr>
                <w:lang w:val="en-GB" w:eastAsia="en-GB"/>
              </w:rPr>
              <w:t>Number of Special educational counselling centres</w:t>
            </w:r>
          </w:p>
        </w:tc>
        <w:tc>
          <w:tcPr>
            <w:tcW w:w="4242" w:type="dxa"/>
          </w:tcPr>
          <w:p w:rsidR="00F63B31" w:rsidRPr="00F63B31" w:rsidRDefault="00F63B31" w:rsidP="003F0FC7">
            <w:pPr>
              <w:pStyle w:val="TableCell"/>
              <w:rPr>
                <w:lang w:val="en-GB" w:eastAsia="en-GB"/>
              </w:rPr>
            </w:pPr>
            <w:r w:rsidRPr="00F63B31">
              <w:rPr>
                <w:lang w:val="en-GB" w:eastAsia="en-GB"/>
              </w:rPr>
              <w:t>121</w:t>
            </w:r>
          </w:p>
        </w:tc>
      </w:tr>
      <w:tr w:rsidR="00F63B31" w:rsidRPr="00F63B31" w:rsidTr="00F63B31">
        <w:tc>
          <w:tcPr>
            <w:tcW w:w="4280" w:type="dxa"/>
          </w:tcPr>
          <w:p w:rsidR="00F63B31" w:rsidRPr="00F63B31" w:rsidRDefault="00F63B31" w:rsidP="00D76EEE">
            <w:pPr>
              <w:pStyle w:val="TableCell"/>
              <w:jc w:val="left"/>
              <w:rPr>
                <w:lang w:val="en-GB" w:eastAsia="en-GB"/>
              </w:rPr>
            </w:pPr>
            <w:r w:rsidRPr="00F63B31">
              <w:rPr>
                <w:lang w:val="en-GB" w:eastAsia="en-GB"/>
              </w:rPr>
              <w:t>Number of all clients (from birth to completion of school education)</w:t>
            </w:r>
          </w:p>
        </w:tc>
        <w:tc>
          <w:tcPr>
            <w:tcW w:w="4242" w:type="dxa"/>
          </w:tcPr>
          <w:p w:rsidR="00F63B31" w:rsidRPr="00F63B31" w:rsidRDefault="00F63B31" w:rsidP="003F0FC7">
            <w:pPr>
              <w:pStyle w:val="TableCell"/>
              <w:rPr>
                <w:lang w:val="en-GB" w:eastAsia="en-GB"/>
              </w:rPr>
            </w:pPr>
            <w:r w:rsidRPr="00F63B31">
              <w:rPr>
                <w:lang w:val="en-GB" w:eastAsia="en-GB"/>
              </w:rPr>
              <w:t>71660</w:t>
            </w:r>
          </w:p>
        </w:tc>
      </w:tr>
      <w:tr w:rsidR="00F63B31" w:rsidRPr="00F63B31" w:rsidTr="00F63B31">
        <w:tc>
          <w:tcPr>
            <w:tcW w:w="4280" w:type="dxa"/>
          </w:tcPr>
          <w:p w:rsidR="00F63B31" w:rsidRPr="00F63B31" w:rsidRDefault="00F63B31" w:rsidP="00D76EEE">
            <w:pPr>
              <w:pStyle w:val="TableCell"/>
              <w:jc w:val="left"/>
              <w:rPr>
                <w:lang w:val="en-GB" w:eastAsia="en-GB"/>
              </w:rPr>
            </w:pPr>
            <w:r w:rsidRPr="00F63B31">
              <w:rPr>
                <w:lang w:val="en-GB" w:eastAsia="en-GB"/>
              </w:rPr>
              <w:t>Number of children of age 0-3 years</w:t>
            </w:r>
          </w:p>
        </w:tc>
        <w:tc>
          <w:tcPr>
            <w:tcW w:w="4242" w:type="dxa"/>
          </w:tcPr>
          <w:p w:rsidR="00F63B31" w:rsidRPr="00F63B31" w:rsidRDefault="00F63B31" w:rsidP="003F0FC7">
            <w:pPr>
              <w:pStyle w:val="TableCell"/>
              <w:rPr>
                <w:lang w:val="en-GB" w:eastAsia="en-GB"/>
              </w:rPr>
            </w:pPr>
            <w:r w:rsidRPr="00F63B31">
              <w:rPr>
                <w:lang w:val="en-GB" w:eastAsia="en-GB"/>
              </w:rPr>
              <w:t>1266</w:t>
            </w:r>
          </w:p>
        </w:tc>
      </w:tr>
      <w:tr w:rsidR="00F63B31" w:rsidRPr="00F63B31" w:rsidTr="00F63B31">
        <w:tc>
          <w:tcPr>
            <w:tcW w:w="4280" w:type="dxa"/>
          </w:tcPr>
          <w:p w:rsidR="00F63B31" w:rsidRPr="00F63B31" w:rsidRDefault="00F63B31" w:rsidP="00D76EEE">
            <w:pPr>
              <w:pStyle w:val="TableCell"/>
              <w:jc w:val="left"/>
              <w:rPr>
                <w:lang w:val="en-GB" w:eastAsia="en-GB"/>
              </w:rPr>
            </w:pPr>
            <w:r w:rsidRPr="00F63B31">
              <w:rPr>
                <w:lang w:val="en-GB" w:eastAsia="en-GB"/>
              </w:rPr>
              <w:t xml:space="preserve">Number of special educators including speech therapists </w:t>
            </w:r>
          </w:p>
        </w:tc>
        <w:tc>
          <w:tcPr>
            <w:tcW w:w="4242" w:type="dxa"/>
          </w:tcPr>
          <w:p w:rsidR="00F63B31" w:rsidRPr="00F63B31" w:rsidRDefault="00F63B31" w:rsidP="00D76EEE">
            <w:pPr>
              <w:pStyle w:val="TableCell"/>
              <w:rPr>
                <w:lang w:val="en-GB" w:eastAsia="en-GB"/>
              </w:rPr>
            </w:pPr>
            <w:r w:rsidRPr="00F63B31">
              <w:rPr>
                <w:lang w:val="en-GB" w:eastAsia="en-GB"/>
              </w:rPr>
              <w:t>391(71,660/391 =1:183children)</w:t>
            </w:r>
          </w:p>
        </w:tc>
      </w:tr>
      <w:tr w:rsidR="00F63B31" w:rsidRPr="00F63B31" w:rsidTr="00F63B31">
        <w:tc>
          <w:tcPr>
            <w:tcW w:w="4280" w:type="dxa"/>
          </w:tcPr>
          <w:p w:rsidR="00F63B31" w:rsidRPr="00F63B31" w:rsidRDefault="00F63B31" w:rsidP="00D76EEE">
            <w:pPr>
              <w:pStyle w:val="TableCell"/>
              <w:jc w:val="left"/>
              <w:rPr>
                <w:lang w:val="en-GB" w:eastAsia="en-GB"/>
              </w:rPr>
            </w:pPr>
            <w:r w:rsidRPr="00F63B31">
              <w:rPr>
                <w:lang w:val="en-GB" w:eastAsia="en-GB"/>
              </w:rPr>
              <w:t>The number of therapists for behaviour problems</w:t>
            </w:r>
          </w:p>
        </w:tc>
        <w:tc>
          <w:tcPr>
            <w:tcW w:w="4242" w:type="dxa"/>
          </w:tcPr>
          <w:p w:rsidR="00F63B31" w:rsidRPr="00F63B31" w:rsidRDefault="00F63B31" w:rsidP="003F0FC7">
            <w:pPr>
              <w:pStyle w:val="TableCell"/>
              <w:rPr>
                <w:lang w:val="en-GB" w:eastAsia="en-GB"/>
              </w:rPr>
            </w:pPr>
            <w:r w:rsidRPr="00F63B31">
              <w:rPr>
                <w:lang w:val="en-GB" w:eastAsia="en-GB"/>
              </w:rPr>
              <w:t>11(71,660/391=1:6515 children)</w:t>
            </w:r>
          </w:p>
        </w:tc>
      </w:tr>
      <w:tr w:rsidR="00F63B31" w:rsidRPr="00F63B31" w:rsidTr="00F63B31">
        <w:tc>
          <w:tcPr>
            <w:tcW w:w="4280" w:type="dxa"/>
          </w:tcPr>
          <w:p w:rsidR="00F63B31" w:rsidRPr="00F63B31" w:rsidRDefault="00F63B31" w:rsidP="00D76EEE">
            <w:pPr>
              <w:pStyle w:val="TableCell"/>
              <w:jc w:val="left"/>
              <w:rPr>
                <w:lang w:val="en-GB" w:eastAsia="en-GB"/>
              </w:rPr>
            </w:pPr>
            <w:r w:rsidRPr="00F63B31">
              <w:rPr>
                <w:lang w:val="en-GB" w:eastAsia="en-GB"/>
              </w:rPr>
              <w:t>The number of social teachers</w:t>
            </w:r>
          </w:p>
        </w:tc>
        <w:tc>
          <w:tcPr>
            <w:tcW w:w="4242" w:type="dxa"/>
          </w:tcPr>
          <w:p w:rsidR="00F63B31" w:rsidRPr="00F63B31" w:rsidRDefault="00F63B31" w:rsidP="003F0FC7">
            <w:pPr>
              <w:pStyle w:val="TableCell"/>
              <w:rPr>
                <w:lang w:val="en-GB" w:eastAsia="en-GB"/>
              </w:rPr>
            </w:pPr>
            <w:r w:rsidRPr="00F63B31">
              <w:rPr>
                <w:lang w:val="en-GB" w:eastAsia="en-GB"/>
              </w:rPr>
              <w:t>14(71,660/14=1:5119 children)</w:t>
            </w:r>
          </w:p>
        </w:tc>
      </w:tr>
      <w:tr w:rsidR="00F63B31" w:rsidRPr="00F63B31" w:rsidTr="00F63B31">
        <w:tc>
          <w:tcPr>
            <w:tcW w:w="4280" w:type="dxa"/>
          </w:tcPr>
          <w:p w:rsidR="00F63B31" w:rsidRPr="00F63B31" w:rsidRDefault="00F63B31" w:rsidP="00D76EEE">
            <w:pPr>
              <w:pStyle w:val="TableCell"/>
              <w:jc w:val="left"/>
              <w:rPr>
                <w:lang w:val="en-GB" w:eastAsia="en-GB"/>
              </w:rPr>
            </w:pPr>
            <w:r w:rsidRPr="00F63B31">
              <w:rPr>
                <w:lang w:val="en-GB" w:eastAsia="en-GB"/>
              </w:rPr>
              <w:t>Number of psychologists</w:t>
            </w:r>
            <w:r w:rsidRPr="00F63B31">
              <w:rPr>
                <w:lang w:val="en-GB" w:eastAsia="en-GB"/>
              </w:rPr>
              <w:tab/>
            </w:r>
          </w:p>
        </w:tc>
        <w:tc>
          <w:tcPr>
            <w:tcW w:w="4242" w:type="dxa"/>
          </w:tcPr>
          <w:p w:rsidR="00F63B31" w:rsidRPr="00F63B31" w:rsidRDefault="00F63B31" w:rsidP="003F0FC7">
            <w:pPr>
              <w:pStyle w:val="TableCell"/>
              <w:rPr>
                <w:lang w:val="en-GB" w:eastAsia="en-GB"/>
              </w:rPr>
            </w:pPr>
            <w:r w:rsidRPr="00F63B31">
              <w:rPr>
                <w:lang w:val="en-GB" w:eastAsia="en-GB"/>
              </w:rPr>
              <w:t>157 (71,660/157=1:456 children)</w:t>
            </w:r>
          </w:p>
        </w:tc>
      </w:tr>
    </w:tbl>
    <w:p w:rsidR="003E307C" w:rsidRPr="00AA7990" w:rsidRDefault="00D76EEE" w:rsidP="00D76EEE">
      <w:pPr>
        <w:pStyle w:val="Heading1"/>
        <w:rPr>
          <w:lang w:val="en-GB"/>
        </w:rPr>
      </w:pPr>
      <w:bookmarkStart w:id="217" w:name="_Toc386464542"/>
      <w:bookmarkStart w:id="218" w:name="_Toc386470037"/>
      <w:bookmarkStart w:id="219" w:name="_Toc390269698"/>
      <w:r>
        <w:br w:type="page"/>
      </w:r>
      <w:bookmarkStart w:id="220" w:name="_Toc415733735"/>
      <w:r w:rsidR="003E307C">
        <w:t xml:space="preserve">Appendix 1: </w:t>
      </w:r>
      <w:r w:rsidR="003E307C" w:rsidRPr="00853F36">
        <w:t>Disability services for children</w:t>
      </w:r>
      <w:bookmarkEnd w:id="217"/>
      <w:bookmarkEnd w:id="218"/>
      <w:bookmarkEnd w:id="219"/>
      <w:bookmarkEnd w:id="220"/>
    </w:p>
    <w:p w:rsidR="003E307C" w:rsidRDefault="003E307C" w:rsidP="003E307C">
      <w:bookmarkStart w:id="221" w:name="_Toc386464543"/>
      <w:bookmarkStart w:id="222" w:name="_Toc386470038"/>
      <w:bookmarkStart w:id="223" w:name="_Toc386464545"/>
      <w:bookmarkStart w:id="224" w:name="_Toc386470040"/>
      <w:r>
        <w:t xml:space="preserve">This appendix presents findings on: </w:t>
      </w:r>
    </w:p>
    <w:p w:rsidR="003E307C" w:rsidRDefault="003E307C" w:rsidP="003E307C">
      <w:pPr>
        <w:pStyle w:val="ListBullet"/>
        <w:numPr>
          <w:ilvl w:val="0"/>
          <w:numId w:val="1"/>
        </w:numPr>
        <w:ind w:left="357" w:hanging="357"/>
      </w:pPr>
      <w:r>
        <w:t>The central role that outcomes play in developing effective services</w:t>
      </w:r>
    </w:p>
    <w:p w:rsidR="003E307C" w:rsidRDefault="004339C7" w:rsidP="003E307C">
      <w:pPr>
        <w:pStyle w:val="ListBullet"/>
        <w:numPr>
          <w:ilvl w:val="0"/>
          <w:numId w:val="1"/>
        </w:numPr>
        <w:ind w:left="357" w:hanging="357"/>
      </w:pPr>
      <w:r>
        <w:t>T</w:t>
      </w:r>
      <w:r w:rsidR="003E307C">
        <w:t>he provision of quality care for children with disabilities</w:t>
      </w:r>
    </w:p>
    <w:p w:rsidR="003E307C" w:rsidRDefault="003E307C" w:rsidP="003E307C">
      <w:pPr>
        <w:pStyle w:val="ListBullet"/>
        <w:numPr>
          <w:ilvl w:val="0"/>
          <w:numId w:val="1"/>
        </w:numPr>
        <w:ind w:left="357" w:hanging="357"/>
      </w:pPr>
      <w:r>
        <w:t>Family and child-centred early intervention services</w:t>
      </w:r>
    </w:p>
    <w:p w:rsidR="003E307C" w:rsidRDefault="003E307C" w:rsidP="003E307C">
      <w:pPr>
        <w:pStyle w:val="ListBullet"/>
        <w:numPr>
          <w:ilvl w:val="0"/>
          <w:numId w:val="1"/>
        </w:numPr>
        <w:ind w:left="357" w:hanging="357"/>
      </w:pPr>
      <w:r>
        <w:t xml:space="preserve">Teamwork or inter-professional collaboration in children’s services </w:t>
      </w:r>
    </w:p>
    <w:p w:rsidR="003E307C" w:rsidRDefault="003E307C" w:rsidP="003E307C">
      <w:pPr>
        <w:pStyle w:val="ListBullet"/>
        <w:numPr>
          <w:ilvl w:val="0"/>
          <w:numId w:val="1"/>
        </w:numPr>
        <w:ind w:left="357" w:hanging="357"/>
      </w:pPr>
      <w:r>
        <w:t>Good practice in the Allied Health Professions</w:t>
      </w:r>
      <w:r w:rsidR="004339C7">
        <w:t>(AHP)</w:t>
      </w:r>
      <w:r>
        <w:t xml:space="preserve">/therapy services </w:t>
      </w:r>
    </w:p>
    <w:p w:rsidR="003E307C" w:rsidRDefault="003E307C" w:rsidP="003E307C">
      <w:pPr>
        <w:pStyle w:val="ListBullet"/>
        <w:numPr>
          <w:ilvl w:val="0"/>
          <w:numId w:val="1"/>
        </w:numPr>
        <w:spacing w:after="240"/>
        <w:ind w:left="357" w:hanging="357"/>
      </w:pPr>
      <w:r>
        <w:t xml:space="preserve">The changing status of AHP/therapy services </w:t>
      </w:r>
    </w:p>
    <w:p w:rsidR="003E307C" w:rsidRPr="00853F36" w:rsidRDefault="003E307C" w:rsidP="006525FD">
      <w:pPr>
        <w:pStyle w:val="Heading2"/>
      </w:pPr>
      <w:bookmarkStart w:id="225" w:name="_Toc390269699"/>
      <w:bookmarkStart w:id="226" w:name="_Toc415733736"/>
      <w:r w:rsidRPr="00853F36">
        <w:t xml:space="preserve">The role of outcomes in developing </w:t>
      </w:r>
      <w:r>
        <w:t xml:space="preserve">children’s </w:t>
      </w:r>
      <w:r w:rsidRPr="00853F36">
        <w:t>services</w:t>
      </w:r>
      <w:bookmarkEnd w:id="223"/>
      <w:bookmarkEnd w:id="224"/>
      <w:bookmarkEnd w:id="225"/>
      <w:bookmarkEnd w:id="226"/>
    </w:p>
    <w:p w:rsidR="003E307C" w:rsidRPr="00853F36" w:rsidRDefault="003E307C" w:rsidP="003E307C">
      <w:r w:rsidRPr="00853F36">
        <w:t>An outcome is a result. It is not a service, an intervention, an activity nor an output. An outcome refers to the impact of an activity or service, on a child’s development or behaviour or functioning.</w:t>
      </w:r>
      <w:r w:rsidRPr="00853F36">
        <w:rPr>
          <w:rStyle w:val="FootnoteReference"/>
        </w:rPr>
        <w:footnoteReference w:id="134"/>
      </w:r>
      <w:r w:rsidRPr="00853F36">
        <w:t xml:space="preserve"> It is a benefit experienced as a result of services and supports provided to a child or family.</w:t>
      </w:r>
      <w:r w:rsidRPr="00853F36">
        <w:rPr>
          <w:rStyle w:val="FootnoteReference"/>
        </w:rPr>
        <w:footnoteReference w:id="135"/>
      </w:r>
      <w:r w:rsidRPr="00853F36">
        <w:rPr>
          <w:rStyle w:val="FootnoteReference"/>
        </w:rPr>
        <w:footnoteReference w:id="136"/>
      </w:r>
      <w:r w:rsidRPr="00853F36">
        <w:t xml:space="preserve"> </w:t>
      </w:r>
    </w:p>
    <w:p w:rsidR="003E307C" w:rsidRPr="00853F36" w:rsidRDefault="003E307C" w:rsidP="003E307C">
      <w:r w:rsidRPr="00853F36">
        <w:t xml:space="preserve">Any framework for identifying and measuring outcomes for children with </w:t>
      </w:r>
      <w:r w:rsidR="00D76EEE" w:rsidRPr="00853F36">
        <w:t>disabilities</w:t>
      </w:r>
      <w:r w:rsidRPr="00853F36">
        <w:t xml:space="preserve"> should focus on a person’s individual talents, capabilities and interests once their basic “foundational” needs and “fundamental” outcomes have been met. Fundamental outcomes include, for example:</w:t>
      </w:r>
      <w:r w:rsidRPr="00853F36">
        <w:rPr>
          <w:rStyle w:val="FootnoteReference"/>
        </w:rPr>
        <w:t xml:space="preserve"> </w:t>
      </w:r>
      <w:r w:rsidRPr="00853F36">
        <w:rPr>
          <w:rStyle w:val="FootnoteReference"/>
        </w:rPr>
        <w:footnoteReference w:id="137"/>
      </w:r>
    </w:p>
    <w:p w:rsidR="003E307C" w:rsidRPr="00853F36" w:rsidRDefault="003E307C" w:rsidP="003E307C">
      <w:pPr>
        <w:pStyle w:val="ListBullet"/>
        <w:numPr>
          <w:ilvl w:val="0"/>
          <w:numId w:val="1"/>
        </w:numPr>
      </w:pPr>
      <w:r w:rsidRPr="00853F36">
        <w:t>Communication</w:t>
      </w:r>
    </w:p>
    <w:p w:rsidR="003E307C" w:rsidRPr="00853F36" w:rsidRDefault="003E307C" w:rsidP="003E307C">
      <w:pPr>
        <w:pStyle w:val="ListBullet"/>
        <w:numPr>
          <w:ilvl w:val="0"/>
          <w:numId w:val="1"/>
        </w:numPr>
      </w:pPr>
      <w:r w:rsidRPr="00853F36">
        <w:t>Physical wellbeing</w:t>
      </w:r>
    </w:p>
    <w:p w:rsidR="003E307C" w:rsidRPr="00853F36" w:rsidRDefault="003E307C" w:rsidP="003E307C">
      <w:pPr>
        <w:pStyle w:val="ListBullet"/>
        <w:numPr>
          <w:ilvl w:val="0"/>
          <w:numId w:val="1"/>
        </w:numPr>
      </w:pPr>
      <w:r w:rsidRPr="00853F36">
        <w:t>Emotional wellbeing</w:t>
      </w:r>
    </w:p>
    <w:p w:rsidR="003E307C" w:rsidRPr="00853F36" w:rsidRDefault="003E307C" w:rsidP="003E307C">
      <w:pPr>
        <w:pStyle w:val="ListBullet"/>
        <w:numPr>
          <w:ilvl w:val="0"/>
          <w:numId w:val="1"/>
        </w:numPr>
      </w:pPr>
      <w:r w:rsidRPr="00853F36">
        <w:t>Socialising</w:t>
      </w:r>
    </w:p>
    <w:p w:rsidR="003E307C" w:rsidRPr="00853F36" w:rsidRDefault="003E307C" w:rsidP="003E307C">
      <w:pPr>
        <w:pStyle w:val="ListBullet"/>
        <w:numPr>
          <w:ilvl w:val="0"/>
          <w:numId w:val="1"/>
        </w:numPr>
        <w:spacing w:after="240"/>
        <w:ind w:left="357" w:hanging="357"/>
      </w:pPr>
      <w:r w:rsidRPr="00853F36">
        <w:t>Being safe from exploitation</w:t>
      </w:r>
    </w:p>
    <w:p w:rsidR="003E307C" w:rsidRPr="00853F36" w:rsidRDefault="003E307C" w:rsidP="003E307C">
      <w:r w:rsidRPr="00853F36">
        <w:t>The Barnardos Assessment Framework’s (BAF) considers five dimensions of children’s development: behavioural, emotional, educational, physical and social. It promotes the central principal of identification of needs first, outcomes second and services third. This Assessment Framework considers needs, outcomes and services in a systematic manner and considers that it is vital to adhere to the sequence to ensure that services are needs-led and outcomes focused. When the desired outcomes are considered for a child or family, appropriate services/interventions can then be planned and offered:</w:t>
      </w:r>
      <w:r w:rsidRPr="00853F36">
        <w:rPr>
          <w:rStyle w:val="FootnoteReference"/>
        </w:rPr>
        <w:footnoteReference w:id="138"/>
      </w:r>
    </w:p>
    <w:p w:rsidR="003E307C" w:rsidRPr="00853F36" w:rsidRDefault="003E307C" w:rsidP="003E307C">
      <w:pPr>
        <w:pStyle w:val="ListBullet"/>
        <w:numPr>
          <w:ilvl w:val="0"/>
          <w:numId w:val="1"/>
        </w:numPr>
      </w:pPr>
      <w:r w:rsidRPr="00853F36">
        <w:t>First, identify the need in the child’s life, for example, increased social skills</w:t>
      </w:r>
    </w:p>
    <w:p w:rsidR="003E307C" w:rsidRPr="00853F36" w:rsidRDefault="003E307C" w:rsidP="003E307C">
      <w:pPr>
        <w:pStyle w:val="ListBullet"/>
        <w:numPr>
          <w:ilvl w:val="0"/>
          <w:numId w:val="1"/>
        </w:numPr>
      </w:pPr>
      <w:r w:rsidRPr="00853F36">
        <w:t>Then consider the desired outcomes, for example, the child plays with peers</w:t>
      </w:r>
    </w:p>
    <w:p w:rsidR="003E307C" w:rsidRPr="00853F36" w:rsidRDefault="003E307C" w:rsidP="003E307C">
      <w:pPr>
        <w:pStyle w:val="ListBullet"/>
        <w:numPr>
          <w:ilvl w:val="0"/>
          <w:numId w:val="1"/>
        </w:numPr>
        <w:spacing w:after="240"/>
        <w:ind w:left="357" w:hanging="357"/>
      </w:pPr>
      <w:r w:rsidRPr="00853F36">
        <w:t>When the outcomes are clarified, consider the services that are required to attain the outcome, for example, child attends a friendship group. It is important to adhere to this sequence to ensure that services offered are needs-led and outcomes-focused.</w:t>
      </w:r>
    </w:p>
    <w:p w:rsidR="003E307C" w:rsidRPr="00853F36" w:rsidRDefault="003E307C" w:rsidP="003E307C">
      <w:r w:rsidRPr="00853F36">
        <w:t>Cook and Miller (2012) distinguish between personal outcomes and outcomes for services, organisations or nations.</w:t>
      </w:r>
      <w:r w:rsidRPr="00853F36">
        <w:rPr>
          <w:rStyle w:val="FootnoteReference"/>
        </w:rPr>
        <w:footnoteReference w:id="139"/>
      </w:r>
      <w:r w:rsidRPr="00853F36">
        <w:t xml:space="preserve"> These different outcome ‘levels’ are interrelated.</w:t>
      </w:r>
    </w:p>
    <w:p w:rsidR="003E307C" w:rsidRPr="00853F36" w:rsidRDefault="003E307C" w:rsidP="003E307C">
      <w:r w:rsidRPr="00853F36">
        <w:t>Engaging individual children with disabilities in the process of defining their outcomes is at the core of a personal outcomes model. Even though the starting point is the individual child, the child exists in a network of people: familial, social, and professional. A personal outcomes approach requires a shift in service provision so that the focus is on working with individuals, identifying what they want and then how to get there. Ideally, the achievement of personal outcomes should inform the achievement of outcomes from services, organisations and nations. Challenges in applying this framework to children and young people with disabilities include:</w:t>
      </w:r>
      <w:r w:rsidRPr="00853F36">
        <w:rPr>
          <w:rStyle w:val="FootnoteReference"/>
        </w:rPr>
        <w:footnoteReference w:id="140"/>
      </w:r>
    </w:p>
    <w:p w:rsidR="003E307C" w:rsidRPr="00853F36" w:rsidRDefault="003E307C" w:rsidP="003E307C">
      <w:pPr>
        <w:pStyle w:val="ListBullet"/>
        <w:numPr>
          <w:ilvl w:val="0"/>
          <w:numId w:val="1"/>
        </w:numPr>
      </w:pPr>
      <w:r w:rsidRPr="00853F36">
        <w:t>A child’s multiple needs and the number of professionals and agencies involved, as well as the views of parents/carers</w:t>
      </w:r>
    </w:p>
    <w:p w:rsidR="003E307C" w:rsidRPr="00853F36" w:rsidRDefault="004339C7" w:rsidP="003E307C">
      <w:pPr>
        <w:pStyle w:val="ListBullet"/>
        <w:numPr>
          <w:ilvl w:val="0"/>
          <w:numId w:val="1"/>
        </w:numPr>
      </w:pPr>
      <w:r>
        <w:t xml:space="preserve">The </w:t>
      </w:r>
      <w:r w:rsidR="003E307C" w:rsidRPr="00853F36">
        <w:t>difficult</w:t>
      </w:r>
      <w:r>
        <w:t>y in ensuring</w:t>
      </w:r>
      <w:r w:rsidR="003E307C" w:rsidRPr="00853F36">
        <w:t xml:space="preserve"> that children with complex communication impairments have their voices</w:t>
      </w:r>
      <w:r>
        <w:t xml:space="preserve"> fully heard</w:t>
      </w:r>
    </w:p>
    <w:p w:rsidR="003E307C" w:rsidRPr="00853F36" w:rsidRDefault="004339C7" w:rsidP="003E307C">
      <w:pPr>
        <w:pStyle w:val="ListBullet"/>
        <w:numPr>
          <w:ilvl w:val="0"/>
          <w:numId w:val="1"/>
        </w:numPr>
        <w:spacing w:after="240"/>
        <w:ind w:left="357" w:hanging="357"/>
      </w:pPr>
      <w:r>
        <w:t xml:space="preserve">Measuring </w:t>
      </w:r>
      <w:r w:rsidR="003E307C" w:rsidRPr="00853F36">
        <w:t xml:space="preserve">soft outcomes. If measurable results are required, there may be concern that the most vulnerable users might miss out on </w:t>
      </w:r>
      <w:r w:rsidR="008418B3">
        <w:t xml:space="preserve">having </w:t>
      </w:r>
      <w:r w:rsidR="003E307C" w:rsidRPr="00853F36">
        <w:t xml:space="preserve">soft outcomes </w:t>
      </w:r>
      <w:r w:rsidR="008418B3">
        <w:t xml:space="preserve">assessed because they are more </w:t>
      </w:r>
      <w:r w:rsidR="003E307C" w:rsidRPr="00853F36">
        <w:t>challenging to measure.</w:t>
      </w:r>
    </w:p>
    <w:p w:rsidR="003E307C" w:rsidRPr="00853F36" w:rsidRDefault="003E307C" w:rsidP="003E307C">
      <w:r w:rsidRPr="00853F36">
        <w:t>Miller (2011)</w:t>
      </w:r>
      <w:r w:rsidRPr="00853F36">
        <w:rPr>
          <w:rStyle w:val="FootnoteReference"/>
        </w:rPr>
        <w:footnoteReference w:id="141"/>
      </w:r>
      <w:r w:rsidRPr="00853F36">
        <w:t xml:space="preserve"> cites the following benefits at all outcome levels:</w:t>
      </w:r>
    </w:p>
    <w:p w:rsidR="003E307C" w:rsidRPr="00853F36" w:rsidRDefault="003E307C" w:rsidP="003E307C">
      <w:pPr>
        <w:pStyle w:val="ListBullet"/>
        <w:numPr>
          <w:ilvl w:val="0"/>
          <w:numId w:val="1"/>
        </w:numPr>
      </w:pPr>
      <w:r w:rsidRPr="00853F36">
        <w:t>For people who use services and their families, being involved in defining the outcomes they want</w:t>
      </w:r>
      <w:r w:rsidR="008418B3">
        <w:t>, which</w:t>
      </w:r>
      <w:r w:rsidRPr="00853F36">
        <w:t xml:space="preserve"> can be empowering and result in increased support</w:t>
      </w:r>
    </w:p>
    <w:p w:rsidR="003E307C" w:rsidRPr="00853F36" w:rsidRDefault="003E307C" w:rsidP="003E307C">
      <w:pPr>
        <w:pStyle w:val="ListBullet"/>
        <w:numPr>
          <w:ilvl w:val="0"/>
          <w:numId w:val="1"/>
        </w:numPr>
      </w:pPr>
      <w:r w:rsidRPr="00853F36">
        <w:t xml:space="preserve">Working with individuals to develop outcome-focussed plans, and reviewing the outcomes achieved, </w:t>
      </w:r>
      <w:r w:rsidR="008418B3">
        <w:t xml:space="preserve">which </w:t>
      </w:r>
      <w:r w:rsidRPr="00853F36">
        <w:t>can achieve clarity of purpose</w:t>
      </w:r>
    </w:p>
    <w:p w:rsidR="003E307C" w:rsidRPr="00853F36" w:rsidRDefault="003E307C" w:rsidP="003E307C">
      <w:pPr>
        <w:pStyle w:val="ListBullet"/>
        <w:numPr>
          <w:ilvl w:val="0"/>
          <w:numId w:val="1"/>
        </w:numPr>
        <w:spacing w:after="240"/>
        <w:ind w:left="357" w:hanging="357"/>
      </w:pPr>
      <w:r w:rsidRPr="00853F36">
        <w:t>An outcomes approach</w:t>
      </w:r>
      <w:r w:rsidR="008418B3">
        <w:t>, which</w:t>
      </w:r>
      <w:r w:rsidRPr="00853F36">
        <w:t xml:space="preserve"> can help organisations to focus on the differences they make to people’s lives</w:t>
      </w:r>
      <w:r w:rsidR="008418B3">
        <w:t>.</w:t>
      </w:r>
    </w:p>
    <w:p w:rsidR="003E307C" w:rsidRPr="00853F36" w:rsidRDefault="003E307C" w:rsidP="003E307C">
      <w:r w:rsidRPr="00853F36">
        <w:t>In 2013</w:t>
      </w:r>
      <w:r w:rsidR="008418B3">
        <w:t>,</w:t>
      </w:r>
      <w:r w:rsidRPr="00853F36">
        <w:t xml:space="preserve"> the Scottish Government published a report on developing an outcomes model for children with disabilities in Scotland, it concluded:</w:t>
      </w:r>
      <w:r w:rsidRPr="00853F36">
        <w:rPr>
          <w:rStyle w:val="FootnoteReference"/>
        </w:rPr>
        <w:footnoteReference w:id="142"/>
      </w:r>
    </w:p>
    <w:p w:rsidR="003E307C" w:rsidRPr="00853F36" w:rsidRDefault="003E307C" w:rsidP="003E307C">
      <w:pPr>
        <w:pStyle w:val="ListBullet"/>
        <w:numPr>
          <w:ilvl w:val="0"/>
          <w:numId w:val="1"/>
        </w:numPr>
      </w:pPr>
      <w:r w:rsidRPr="00853F36">
        <w:t>There is no absolute list of outcomes appropriate to all children with disabilities and there is no single outcomes model suitable for all situations. Currently developing outcome models is a work in progress</w:t>
      </w:r>
    </w:p>
    <w:p w:rsidR="003E307C" w:rsidRPr="00853F36" w:rsidRDefault="003E307C" w:rsidP="003E307C">
      <w:pPr>
        <w:pStyle w:val="ListBullet"/>
        <w:numPr>
          <w:ilvl w:val="0"/>
          <w:numId w:val="1"/>
        </w:numPr>
      </w:pPr>
      <w:r w:rsidRPr="00853F36">
        <w:t>For many children with disabilities</w:t>
      </w:r>
      <w:r w:rsidR="008418B3">
        <w:t>,</w:t>
      </w:r>
      <w:r w:rsidRPr="00853F36">
        <w:t xml:space="preserve"> fundamental outcomes need to be achieved as a foundation before others outcomes can be attained. For example, effective communication is a fundamental outcome for many children with disability. Other fundamental outcomes vary according to the nature of the disability. Attaining fundamental outcomes ensures that children with disability have a basic quality of life</w:t>
      </w:r>
      <w:r w:rsidR="008418B3">
        <w:t>. This is the priority and</w:t>
      </w:r>
      <w:r w:rsidRPr="00853F36">
        <w:t xml:space="preserve"> other outcomes should follow this.</w:t>
      </w:r>
    </w:p>
    <w:p w:rsidR="003E307C" w:rsidRPr="00853F36" w:rsidRDefault="003E307C" w:rsidP="003E307C">
      <w:pPr>
        <w:pStyle w:val="ListBullet"/>
        <w:numPr>
          <w:ilvl w:val="0"/>
          <w:numId w:val="1"/>
        </w:numPr>
        <w:spacing w:after="240"/>
        <w:ind w:left="357" w:hanging="357"/>
      </w:pPr>
      <w:r w:rsidRPr="00853F36">
        <w:t>The development of an outcomes model requires collaboration across and between agencies; leadership within the team developing it; and, engagement from the professional staff involved. Active engagement from within each agency is required including the front-line staff of the agency.</w:t>
      </w:r>
    </w:p>
    <w:p w:rsidR="003E307C" w:rsidRPr="00853F36" w:rsidRDefault="003E307C" w:rsidP="003E307C">
      <w:r w:rsidRPr="00853F36">
        <w:t>The Scottish Government promotes ‘Getting it Right for Every Child’ (GIRFEC). GIRFEC has 8 wellbeing indicators: “Safe, Healthy, Achieving, Nurtured, Active, Respected, Responsible and Included” (SHANARRI). GIRFEC provides:</w:t>
      </w:r>
    </w:p>
    <w:p w:rsidR="003E307C" w:rsidRPr="00853F36" w:rsidRDefault="003E307C" w:rsidP="003E307C">
      <w:pPr>
        <w:pStyle w:val="ListBullet"/>
        <w:numPr>
          <w:ilvl w:val="0"/>
          <w:numId w:val="1"/>
        </w:numPr>
      </w:pPr>
      <w:r w:rsidRPr="00853F36">
        <w:t>A framework for naming outcomes using the SHANARRI indicators through a tool called My World Triangle which can be used to gather information to understand what is happening to a child and family</w:t>
      </w:r>
    </w:p>
    <w:p w:rsidR="003E307C" w:rsidRPr="00853F36" w:rsidRDefault="003E307C" w:rsidP="003E307C">
      <w:pPr>
        <w:pStyle w:val="ListBullet"/>
        <w:numPr>
          <w:ilvl w:val="0"/>
          <w:numId w:val="1"/>
        </w:numPr>
      </w:pPr>
      <w:r w:rsidRPr="00853F36">
        <w:t>A tool called the Resilience Matrix to document, analyse and summarise the strengths and pressures in a child’s situation, from information gathered using the My World Triangle tool plus specialist assessments. The information collected is grouped under four headings: resilience, vulnerability, protective environment and adversity</w:t>
      </w:r>
      <w:r w:rsidR="008418B3">
        <w:t>.</w:t>
      </w:r>
    </w:p>
    <w:p w:rsidR="003E307C" w:rsidRPr="00853F36" w:rsidRDefault="003E307C" w:rsidP="003E307C">
      <w:r w:rsidRPr="00853F36">
        <w:t xml:space="preserve">How these indicators are applied to </w:t>
      </w:r>
      <w:r w:rsidR="008418B3">
        <w:t>children with disabilities need</w:t>
      </w:r>
      <w:r w:rsidRPr="00853F36">
        <w:t xml:space="preserve"> to be defined. For example, what does healthy mean for a child with a life-limiting condition? What does achieving mean for a child with complex multiple impairments? The government proposes that a partnership between disability organisations (including children and parent-led groups) and public agencies could identify where outcomes work or where they are being developed in each field of disability and for all age groups and then jointly plan, develop and implement such work. This would consolidate ongoing outcomes work and allow people newly addressing outcomes measurement to avoid redoing work.</w:t>
      </w:r>
    </w:p>
    <w:p w:rsidR="008418B3" w:rsidRDefault="003E307C" w:rsidP="003E307C">
      <w:r w:rsidRPr="00853F36">
        <w:t xml:space="preserve">Early intervention services in </w:t>
      </w:r>
      <w:smartTag w:uri="urn:schemas-microsoft-com:office:smarttags" w:element="place">
        <w:smartTag w:uri="urn:schemas-microsoft-com:office:smarttags" w:element="State">
          <w:r w:rsidRPr="00853F36">
            <w:t>Colorado</w:t>
          </w:r>
        </w:smartTag>
      </w:smartTag>
      <w:r w:rsidRPr="00853F36">
        <w:t xml:space="preserve"> have clear child and family outcomes measurement and work towards these outcomes. Currently family outcomes are measured yearly. Child outcomes are measured when a child enters the service and again when a child leaves the service. </w:t>
      </w:r>
    </w:p>
    <w:p w:rsidR="003E307C" w:rsidRPr="00853F36" w:rsidRDefault="003E307C" w:rsidP="008418B3">
      <w:pPr>
        <w:spacing w:after="120"/>
      </w:pPr>
      <w:r w:rsidRPr="00853F36">
        <w:t>The three child outcomes are:</w:t>
      </w:r>
    </w:p>
    <w:p w:rsidR="003E307C" w:rsidRPr="00853F36" w:rsidRDefault="003E307C" w:rsidP="003E307C">
      <w:pPr>
        <w:pStyle w:val="ListBullet"/>
        <w:numPr>
          <w:ilvl w:val="0"/>
          <w:numId w:val="1"/>
        </w:numPr>
      </w:pPr>
      <w:r w:rsidRPr="00853F36">
        <w:t>A child has positive social relationships</w:t>
      </w:r>
    </w:p>
    <w:p w:rsidR="003E307C" w:rsidRPr="00853F36" w:rsidRDefault="003E307C" w:rsidP="003E307C">
      <w:pPr>
        <w:pStyle w:val="ListBullet"/>
        <w:numPr>
          <w:ilvl w:val="0"/>
          <w:numId w:val="1"/>
        </w:numPr>
      </w:pPr>
      <w:r w:rsidRPr="00853F36">
        <w:t>A child acquires and uses knowledge and skills</w:t>
      </w:r>
    </w:p>
    <w:p w:rsidR="003E307C" w:rsidRPr="00853F36" w:rsidRDefault="003E307C" w:rsidP="008418B3">
      <w:pPr>
        <w:pStyle w:val="ListBullet"/>
        <w:numPr>
          <w:ilvl w:val="0"/>
          <w:numId w:val="1"/>
        </w:numPr>
        <w:spacing w:after="240"/>
        <w:ind w:left="357" w:hanging="357"/>
      </w:pPr>
      <w:r w:rsidRPr="00853F36">
        <w:t>A child takes appropriate action to meet his or her needs</w:t>
      </w:r>
      <w:r w:rsidR="008418B3">
        <w:t>.</w:t>
      </w:r>
    </w:p>
    <w:p w:rsidR="003E307C" w:rsidRPr="00853F36" w:rsidRDefault="003E307C" w:rsidP="003E307C">
      <w:pPr>
        <w:pStyle w:val="ListBullet"/>
        <w:numPr>
          <w:ilvl w:val="0"/>
          <w:numId w:val="0"/>
        </w:numPr>
      </w:pPr>
      <w:r w:rsidRPr="00853F36">
        <w:t>The three family outcomes are:</w:t>
      </w:r>
    </w:p>
    <w:p w:rsidR="003E307C" w:rsidRPr="00853F36" w:rsidRDefault="003E307C" w:rsidP="003E307C">
      <w:pPr>
        <w:pStyle w:val="ListBullet"/>
        <w:numPr>
          <w:ilvl w:val="0"/>
          <w:numId w:val="1"/>
        </w:numPr>
      </w:pPr>
      <w:r w:rsidRPr="00853F36">
        <w:t>A family knows their rights within the Early Intervention Colorado system</w:t>
      </w:r>
    </w:p>
    <w:p w:rsidR="003E307C" w:rsidRPr="00853F36" w:rsidRDefault="003E307C" w:rsidP="003E307C">
      <w:pPr>
        <w:pStyle w:val="ListBullet"/>
        <w:numPr>
          <w:ilvl w:val="0"/>
          <w:numId w:val="1"/>
        </w:numPr>
      </w:pPr>
      <w:r w:rsidRPr="00853F36">
        <w:t>A family communicates their child’s needs</w:t>
      </w:r>
    </w:p>
    <w:p w:rsidR="003E307C" w:rsidRPr="00853F36" w:rsidRDefault="003E307C" w:rsidP="003E307C">
      <w:pPr>
        <w:pStyle w:val="ListBullet"/>
        <w:numPr>
          <w:ilvl w:val="0"/>
          <w:numId w:val="1"/>
        </w:numPr>
        <w:spacing w:after="240"/>
        <w:ind w:left="357" w:hanging="357"/>
      </w:pPr>
      <w:r w:rsidRPr="00853F36">
        <w:t>A family helps their child learn and develop</w:t>
      </w:r>
      <w:r w:rsidR="008418B3">
        <w:t>.</w:t>
      </w:r>
    </w:p>
    <w:p w:rsidR="003E307C" w:rsidRPr="00853F36" w:rsidRDefault="003E307C" w:rsidP="0040246E">
      <w:pPr>
        <w:pStyle w:val="Heading2"/>
      </w:pPr>
      <w:bookmarkStart w:id="227" w:name="_Toc386464544"/>
      <w:bookmarkStart w:id="228" w:name="_Toc386470039"/>
      <w:bookmarkStart w:id="229" w:name="_Toc390269700"/>
      <w:bookmarkStart w:id="230" w:name="_Toc415733737"/>
      <w:bookmarkEnd w:id="221"/>
      <w:bookmarkEnd w:id="222"/>
      <w:r>
        <w:t>Suggestions on providing quality care to children with disabilities</w:t>
      </w:r>
      <w:bookmarkEnd w:id="229"/>
      <w:bookmarkEnd w:id="230"/>
      <w:r>
        <w:t xml:space="preserve"> </w:t>
      </w:r>
    </w:p>
    <w:p w:rsidR="003E307C" w:rsidRPr="00853F36" w:rsidRDefault="003E307C" w:rsidP="003E307C">
      <w:r w:rsidRPr="00853F36">
        <w:t>In a 2012 UK Care Quality Commission Report</w:t>
      </w:r>
      <w:r w:rsidRPr="00853F36">
        <w:rPr>
          <w:rStyle w:val="FootnoteReference"/>
        </w:rPr>
        <w:footnoteReference w:id="143"/>
      </w:r>
      <w:r w:rsidRPr="00853F36">
        <w:t>, suggestions on service improvement from parents included coordination of service, parents’ involvement in care and communication, the quality of care and provision and diagnosis and access to services. Parents’ suggestions included:</w:t>
      </w:r>
    </w:p>
    <w:p w:rsidR="003E307C" w:rsidRPr="00853F36" w:rsidRDefault="003E307C" w:rsidP="003E307C">
      <w:pPr>
        <w:pStyle w:val="ListBullet"/>
        <w:numPr>
          <w:ilvl w:val="0"/>
          <w:numId w:val="1"/>
        </w:numPr>
      </w:pPr>
      <w:r w:rsidRPr="00853F36">
        <w:t>A referral system where the patient is assisted at every step and followed up and where the various services involved ensure that they work well together</w:t>
      </w:r>
    </w:p>
    <w:p w:rsidR="003E307C" w:rsidRPr="00853F36" w:rsidRDefault="003E307C" w:rsidP="003E307C">
      <w:pPr>
        <w:pStyle w:val="ListBullet"/>
        <w:numPr>
          <w:ilvl w:val="0"/>
          <w:numId w:val="1"/>
        </w:numPr>
      </w:pPr>
      <w:r w:rsidRPr="00853F36">
        <w:t>Information provision on what is available and how to access support, advice and support, “honesty, truth and help around the needs of my child”</w:t>
      </w:r>
    </w:p>
    <w:p w:rsidR="003E307C" w:rsidRPr="00853F36" w:rsidRDefault="003E307C" w:rsidP="003E307C">
      <w:pPr>
        <w:pStyle w:val="ListBullet"/>
        <w:numPr>
          <w:ilvl w:val="0"/>
          <w:numId w:val="1"/>
        </w:numPr>
      </w:pPr>
      <w:r w:rsidRPr="00853F36">
        <w:t>Holistic/person centred services take into account the needs of the family. “We were not given time to ask questions”, “We did not receive counselling”</w:t>
      </w:r>
    </w:p>
    <w:p w:rsidR="003E307C" w:rsidRPr="00853F36" w:rsidRDefault="003E307C" w:rsidP="003E307C">
      <w:pPr>
        <w:pStyle w:val="ListBullet"/>
        <w:numPr>
          <w:ilvl w:val="0"/>
          <w:numId w:val="1"/>
        </w:numPr>
        <w:spacing w:after="240"/>
      </w:pPr>
      <w:r w:rsidRPr="00853F36">
        <w:t>Good communication skills–the ability to empathise, listen and to be open to other ideas</w:t>
      </w:r>
      <w:r w:rsidR="008418B3">
        <w:t>.</w:t>
      </w:r>
    </w:p>
    <w:p w:rsidR="003E307C" w:rsidRPr="00853F36" w:rsidRDefault="003E307C" w:rsidP="003E307C">
      <w:r>
        <w:t>I</w:t>
      </w:r>
      <w:r w:rsidRPr="00853F36">
        <w:t>n the UK</w:t>
      </w:r>
      <w:r w:rsidR="008418B3">
        <w:t>,</w:t>
      </w:r>
      <w:r w:rsidRPr="00853F36">
        <w:t xml:space="preserve"> a 2011 report from the National Network Parent Carer Forum</w:t>
      </w:r>
      <w:r w:rsidRPr="00853F36">
        <w:rPr>
          <w:rStyle w:val="FootnoteReference"/>
        </w:rPr>
        <w:footnoteReference w:id="144"/>
      </w:r>
      <w:r w:rsidRPr="00853F36">
        <w:t xml:space="preserve"> </w:t>
      </w:r>
      <w:r>
        <w:t xml:space="preserve">made </w:t>
      </w:r>
      <w:r w:rsidRPr="00853F36">
        <w:t xml:space="preserve">recommendations around providing good-quality care to families </w:t>
      </w:r>
      <w:r>
        <w:t>with a disabled child</w:t>
      </w:r>
      <w:r w:rsidRPr="00853F36">
        <w:t>:</w:t>
      </w:r>
    </w:p>
    <w:p w:rsidR="003E307C" w:rsidRPr="00853F36" w:rsidRDefault="003E307C" w:rsidP="003E307C">
      <w:pPr>
        <w:pStyle w:val="ListBullet"/>
        <w:numPr>
          <w:ilvl w:val="0"/>
          <w:numId w:val="1"/>
        </w:numPr>
      </w:pPr>
      <w:r w:rsidRPr="00853F36">
        <w:t>“Sma</w:t>
      </w:r>
      <w:r>
        <w:t>rter use of scarce resources – p</w:t>
      </w:r>
      <w:r w:rsidRPr="00853F36">
        <w:t>arent carers are often asked the same questions by different providers and there is no systematic cross reference.”</w:t>
      </w:r>
    </w:p>
    <w:p w:rsidR="003E307C" w:rsidRPr="00853F36" w:rsidRDefault="003E307C" w:rsidP="003E307C">
      <w:pPr>
        <w:pStyle w:val="ListBullet"/>
        <w:numPr>
          <w:ilvl w:val="0"/>
          <w:numId w:val="1"/>
        </w:numPr>
        <w:spacing w:after="240"/>
      </w:pPr>
      <w:r w:rsidRPr="00853F36">
        <w:t>“Strategic involvement of expert parent carer representatives at policy design stage, and in monitoring patterns of service delivery.”</w:t>
      </w:r>
    </w:p>
    <w:p w:rsidR="003E307C" w:rsidRPr="00853F36" w:rsidRDefault="003E307C" w:rsidP="003E307C">
      <w:r w:rsidRPr="00853F36">
        <w:t>The focus of the 2011 UK Disabled Children and Health Reform report</w:t>
      </w:r>
      <w:r w:rsidRPr="00853F36">
        <w:rPr>
          <w:rStyle w:val="FootnoteReference"/>
        </w:rPr>
        <w:footnoteReference w:id="145"/>
      </w:r>
      <w:r w:rsidRPr="00853F36">
        <w:t xml:space="preserve"> was also on how to improve services. There were recommendations on leadership, on commissioning and on information provision and support to children with disabilities and their families</w:t>
      </w:r>
      <w:r w:rsidR="008418B3">
        <w:t>,</w:t>
      </w:r>
      <w:r w:rsidRPr="00853F36">
        <w:t xml:space="preserve"> to ensure that they understand the way in which the health system works.</w:t>
      </w:r>
    </w:p>
    <w:p w:rsidR="003E307C" w:rsidRPr="00853F36" w:rsidRDefault="003E307C" w:rsidP="003E307C">
      <w:r w:rsidRPr="00853F36">
        <w:t xml:space="preserve">Barnardos proposed the development of a national structure in </w:t>
      </w:r>
      <w:smartTag w:uri="urn:schemas-microsoft-com:office:smarttags" w:element="place">
        <w:smartTag w:uri="urn:schemas-microsoft-com:office:smarttags" w:element="country-region">
          <w:r w:rsidRPr="00853F36">
            <w:t>Ireland</w:t>
          </w:r>
        </w:smartTag>
      </w:smartTag>
      <w:r w:rsidRPr="00853F36">
        <w:t xml:space="preserve"> that would address the lack of a reference development model for children’s services and the variation in services and standards delivered by local services.</w:t>
      </w:r>
      <w:r w:rsidRPr="00853F36">
        <w:rPr>
          <w:rStyle w:val="FootnoteReference"/>
        </w:rPr>
        <w:footnoteReference w:id="146"/>
      </w:r>
      <w:r w:rsidRPr="00853F36">
        <w:t xml:space="preserve"> Their recommendations include:</w:t>
      </w:r>
    </w:p>
    <w:p w:rsidR="003E307C" w:rsidRPr="00853F36" w:rsidRDefault="003E307C" w:rsidP="003E307C">
      <w:pPr>
        <w:pStyle w:val="ListBullet"/>
        <w:numPr>
          <w:ilvl w:val="0"/>
          <w:numId w:val="1"/>
        </w:numPr>
      </w:pPr>
      <w:r w:rsidRPr="00853F36">
        <w:t>Establish a model stating the principles and values which should underpin children’s services</w:t>
      </w:r>
    </w:p>
    <w:p w:rsidR="003E307C" w:rsidRPr="00853F36" w:rsidRDefault="003E307C" w:rsidP="003E307C">
      <w:pPr>
        <w:pStyle w:val="ListBullet"/>
        <w:numPr>
          <w:ilvl w:val="0"/>
          <w:numId w:val="1"/>
        </w:numPr>
      </w:pPr>
      <w:r w:rsidRPr="00853F36">
        <w:t>Outline outcome performance measures for services delivered through statutory and voluntary sectors</w:t>
      </w:r>
    </w:p>
    <w:p w:rsidR="003E307C" w:rsidRPr="00853F36" w:rsidRDefault="003E307C" w:rsidP="003E307C">
      <w:pPr>
        <w:pStyle w:val="ListBullet"/>
        <w:numPr>
          <w:ilvl w:val="0"/>
          <w:numId w:val="1"/>
        </w:numPr>
      </w:pPr>
      <w:r w:rsidRPr="00853F36">
        <w:t>Establish a model that determines how and where resources should be allocated</w:t>
      </w:r>
    </w:p>
    <w:p w:rsidR="003E307C" w:rsidRPr="00853F36" w:rsidRDefault="003E307C" w:rsidP="003E307C">
      <w:pPr>
        <w:pStyle w:val="ListBullet"/>
        <w:numPr>
          <w:ilvl w:val="0"/>
          <w:numId w:val="1"/>
        </w:numPr>
      </w:pPr>
      <w:r w:rsidRPr="00853F36">
        <w:t>Introduce a common system for assessing the needs of children or reporting on outcomes</w:t>
      </w:r>
    </w:p>
    <w:p w:rsidR="003E307C" w:rsidRPr="00853F36" w:rsidRDefault="003E307C" w:rsidP="003E307C">
      <w:pPr>
        <w:pStyle w:val="ListBullet"/>
        <w:numPr>
          <w:ilvl w:val="0"/>
          <w:numId w:val="1"/>
        </w:numPr>
      </w:pPr>
      <w:r w:rsidRPr="00853F36">
        <w:t>Establish a single common accessible universal information database showing good practice and policy developments across the services hosted by an agency delivering services</w:t>
      </w:r>
    </w:p>
    <w:p w:rsidR="003E307C" w:rsidRPr="00853F36" w:rsidRDefault="003E307C" w:rsidP="003E307C">
      <w:pPr>
        <w:pStyle w:val="ListBullet"/>
        <w:numPr>
          <w:ilvl w:val="0"/>
          <w:numId w:val="1"/>
        </w:numPr>
        <w:spacing w:after="240"/>
      </w:pPr>
      <w:r w:rsidRPr="00853F36">
        <w:t>Develop an input model that ensures complementary services rather than duplicating services. Currently there is no ‘input model’ detailing level of staff, services and investment. Neither are there indicators or a directory of statutory and voluntary services. This makes it impossible to assess outcomes</w:t>
      </w:r>
    </w:p>
    <w:p w:rsidR="003E307C" w:rsidRPr="00853F36" w:rsidRDefault="003E307C" w:rsidP="0040246E">
      <w:pPr>
        <w:pStyle w:val="Heading2"/>
      </w:pPr>
      <w:bookmarkStart w:id="231" w:name="_Toc390269701"/>
      <w:bookmarkStart w:id="232" w:name="_Toc415733738"/>
      <w:r>
        <w:t xml:space="preserve">Effective </w:t>
      </w:r>
      <w:r w:rsidRPr="00853F36">
        <w:t xml:space="preserve">practice for </w:t>
      </w:r>
      <w:r>
        <w:t xml:space="preserve">AHP or </w:t>
      </w:r>
      <w:r w:rsidRPr="00853F36">
        <w:t>therapy services</w:t>
      </w:r>
      <w:bookmarkEnd w:id="227"/>
      <w:bookmarkEnd w:id="228"/>
      <w:bookmarkEnd w:id="231"/>
      <w:bookmarkEnd w:id="232"/>
    </w:p>
    <w:p w:rsidR="003E307C" w:rsidRPr="00853F36" w:rsidRDefault="003E307C" w:rsidP="003E307C">
      <w:r w:rsidRPr="00853F36">
        <w:t xml:space="preserve">Therapy services </w:t>
      </w:r>
      <w:r>
        <w:t xml:space="preserve">or the services provided by Allied Health Professions </w:t>
      </w:r>
      <w:r w:rsidRPr="00853F36">
        <w:t>form an important part of children’s disability services. These services are provided by a diverse group of professionals</w:t>
      </w:r>
      <w:r w:rsidR="008418B3">
        <w:t>,</w:t>
      </w:r>
      <w:r w:rsidRPr="00853F36">
        <w:t xml:space="preserve"> who provide different contributions to health and social care</w:t>
      </w:r>
      <w:r w:rsidR="008418B3">
        <w:t>,</w:t>
      </w:r>
      <w:r w:rsidRPr="00853F36">
        <w:t xml:space="preserve"> and can span organisational boundaries.</w:t>
      </w:r>
    </w:p>
    <w:p w:rsidR="003E307C" w:rsidRPr="00853F36" w:rsidRDefault="003E307C" w:rsidP="003E307C">
      <w:r w:rsidRPr="00853F36">
        <w:t>Bundy et al reviewed the resea</w:t>
      </w:r>
      <w:r>
        <w:t xml:space="preserve">rch literature on best </w:t>
      </w:r>
      <w:r w:rsidRPr="00853F36">
        <w:t>practice for therapy services in the disability sector.</w:t>
      </w:r>
      <w:r w:rsidRPr="00853F36">
        <w:rPr>
          <w:rStyle w:val="FootnoteReference"/>
        </w:rPr>
        <w:footnoteReference w:id="147"/>
      </w:r>
      <w:r>
        <w:t xml:space="preserve"> Best practice</w:t>
      </w:r>
      <w:r w:rsidRPr="00853F36">
        <w:t xml:space="preserve"> was defined as</w:t>
      </w:r>
      <w:r w:rsidR="008418B3">
        <w:t>,</w:t>
      </w:r>
      <w:r w:rsidRPr="00853F36">
        <w:t xml:space="preserve"> the available evidence plus clinical reasoning</w:t>
      </w:r>
      <w:r w:rsidR="008418B3">
        <w:t>,</w:t>
      </w:r>
      <w:r w:rsidRPr="00853F36">
        <w:t xml:space="preserve"> plus knowledge of local and individual factors.</w:t>
      </w:r>
    </w:p>
    <w:p w:rsidR="003E307C" w:rsidRPr="00853F36" w:rsidRDefault="003E307C" w:rsidP="003E307C">
      <w:r w:rsidRPr="00853F36">
        <w:t>Key findings to guide the development and pr</w:t>
      </w:r>
      <w:r w:rsidR="008418B3">
        <w:t>ovision of therapy services include</w:t>
      </w:r>
      <w:r w:rsidRPr="00853F36">
        <w:t>:</w:t>
      </w:r>
    </w:p>
    <w:p w:rsidR="003E307C" w:rsidRPr="00853F36" w:rsidRDefault="003E307C" w:rsidP="003E307C">
      <w:pPr>
        <w:pStyle w:val="ListBullet"/>
        <w:numPr>
          <w:ilvl w:val="0"/>
          <w:numId w:val="1"/>
        </w:numPr>
      </w:pPr>
      <w:r w:rsidRPr="00853F36">
        <w:t>Family-centred and person-centred practices are best practice but clinical practice often falls short of this</w:t>
      </w:r>
    </w:p>
    <w:p w:rsidR="003E307C" w:rsidRPr="00853F36" w:rsidRDefault="003E307C" w:rsidP="003E307C">
      <w:pPr>
        <w:pStyle w:val="ListBullet"/>
        <w:numPr>
          <w:ilvl w:val="0"/>
          <w:numId w:val="1"/>
        </w:numPr>
      </w:pPr>
      <w:r w:rsidRPr="00853F36">
        <w:t>Therapy should be tailored to each person’s needs and is generally more effective when it is delivered in natural settings and targets functional goals</w:t>
      </w:r>
    </w:p>
    <w:p w:rsidR="003E307C" w:rsidRPr="00853F36" w:rsidRDefault="003E307C" w:rsidP="003E307C">
      <w:pPr>
        <w:pStyle w:val="ListBullet"/>
        <w:numPr>
          <w:ilvl w:val="0"/>
          <w:numId w:val="1"/>
        </w:numPr>
      </w:pPr>
      <w:r w:rsidRPr="00853F36">
        <w:t>Services need to be coordinated and accessible</w:t>
      </w:r>
    </w:p>
    <w:p w:rsidR="003E307C" w:rsidRPr="00853F36" w:rsidRDefault="003E307C" w:rsidP="003E307C">
      <w:pPr>
        <w:pStyle w:val="ListBullet"/>
        <w:numPr>
          <w:ilvl w:val="0"/>
          <w:numId w:val="1"/>
        </w:numPr>
      </w:pPr>
      <w:r w:rsidRPr="00853F36">
        <w:t>Self-efficacy and self-advocacy are important in the design and delivery of services</w:t>
      </w:r>
    </w:p>
    <w:p w:rsidR="003E307C" w:rsidRPr="00853F36" w:rsidRDefault="003E307C" w:rsidP="003E307C">
      <w:pPr>
        <w:pStyle w:val="ListBullet"/>
        <w:numPr>
          <w:ilvl w:val="0"/>
          <w:numId w:val="1"/>
        </w:numPr>
      </w:pPr>
      <w:r>
        <w:t xml:space="preserve">Families </w:t>
      </w:r>
      <w:r w:rsidRPr="00853F36">
        <w:t xml:space="preserve">generally do not find information timely or accurate </w:t>
      </w:r>
    </w:p>
    <w:p w:rsidR="003E307C" w:rsidRPr="00853F36" w:rsidRDefault="003E307C" w:rsidP="003E307C">
      <w:pPr>
        <w:pStyle w:val="ListBullet"/>
        <w:numPr>
          <w:ilvl w:val="0"/>
          <w:numId w:val="1"/>
        </w:numPr>
      </w:pPr>
      <w:r w:rsidRPr="00853F36">
        <w:t>Therapy staff need to share a common understanding of disability</w:t>
      </w:r>
    </w:p>
    <w:p w:rsidR="003E307C" w:rsidRPr="00853F36" w:rsidRDefault="003E307C" w:rsidP="003E307C">
      <w:pPr>
        <w:pStyle w:val="ListBullet"/>
        <w:numPr>
          <w:ilvl w:val="0"/>
          <w:numId w:val="1"/>
        </w:numPr>
        <w:ind w:left="357" w:hanging="357"/>
      </w:pPr>
      <w:r w:rsidRPr="00853F36">
        <w:t>Direct, indirect and consultative modes of service delivery are all valid treatment options. Available research suggests indirect and consultative services are at least equally effective as direct services although most practice and effectiveness research relates to direct therapy</w:t>
      </w:r>
      <w:r w:rsidRPr="00853F36">
        <w:rPr>
          <w:rStyle w:val="FootnoteReference"/>
        </w:rPr>
        <w:footnoteReference w:id="148"/>
      </w:r>
    </w:p>
    <w:p w:rsidR="003E307C" w:rsidRPr="00853F36" w:rsidRDefault="003E307C" w:rsidP="003E307C">
      <w:pPr>
        <w:pStyle w:val="ListBullet"/>
        <w:numPr>
          <w:ilvl w:val="0"/>
          <w:numId w:val="1"/>
        </w:numPr>
        <w:ind w:left="357" w:hanging="357"/>
      </w:pPr>
      <w:r w:rsidRPr="00853F36">
        <w:t>In practice, indirect and, in particular, collaborative consultation are under-utilised and should be considered viable adjuncts or alternatives to traditional direct therapy services</w:t>
      </w:r>
    </w:p>
    <w:p w:rsidR="003E307C" w:rsidRPr="00853F36" w:rsidRDefault="003E307C" w:rsidP="003E307C">
      <w:pPr>
        <w:pStyle w:val="ListBullet"/>
        <w:numPr>
          <w:ilvl w:val="0"/>
          <w:numId w:val="1"/>
        </w:numPr>
        <w:tabs>
          <w:tab w:val="clear" w:pos="360"/>
          <w:tab w:val="num" w:pos="717"/>
        </w:tabs>
        <w:ind w:left="714" w:hanging="357"/>
      </w:pPr>
      <w:r w:rsidRPr="00853F36">
        <w:t>Direct therapy</w:t>
      </w:r>
      <w:r w:rsidR="008418B3">
        <w:t>,</w:t>
      </w:r>
      <w:r w:rsidRPr="00853F36">
        <w:t xml:space="preserve"> whether individual or group</w:t>
      </w:r>
      <w:r w:rsidR="008418B3">
        <w:t>,</w:t>
      </w:r>
      <w:r w:rsidRPr="00853F36">
        <w:t xml:space="preserve"> is best suited for interventions to increase or maintain skills</w:t>
      </w:r>
    </w:p>
    <w:p w:rsidR="003E307C" w:rsidRPr="00853F36" w:rsidRDefault="003E307C" w:rsidP="003E307C">
      <w:pPr>
        <w:pStyle w:val="ListBullet"/>
        <w:numPr>
          <w:ilvl w:val="0"/>
          <w:numId w:val="1"/>
        </w:numPr>
        <w:tabs>
          <w:tab w:val="clear" w:pos="360"/>
          <w:tab w:val="num" w:pos="717"/>
        </w:tabs>
        <w:ind w:left="714" w:hanging="357"/>
      </w:pPr>
      <w:r w:rsidRPr="00853F36">
        <w:t>Indirect therapy is well suited for interventions to provide practice in everyday settings</w:t>
      </w:r>
    </w:p>
    <w:p w:rsidR="003E307C" w:rsidRPr="00853F36" w:rsidRDefault="003E307C" w:rsidP="003E307C">
      <w:pPr>
        <w:pStyle w:val="ListBullet"/>
        <w:numPr>
          <w:ilvl w:val="0"/>
          <w:numId w:val="1"/>
        </w:numPr>
        <w:tabs>
          <w:tab w:val="clear" w:pos="360"/>
          <w:tab w:val="num" w:pos="717"/>
        </w:tabs>
        <w:ind w:left="714" w:hanging="357"/>
      </w:pPr>
      <w:r w:rsidRPr="00853F36">
        <w:t>Collaborative approaches to therapy aim to solve everyday problems and build self-management skills</w:t>
      </w:r>
    </w:p>
    <w:p w:rsidR="003E307C" w:rsidRPr="00853F36" w:rsidRDefault="003E307C" w:rsidP="003E307C">
      <w:pPr>
        <w:pStyle w:val="ListBullet"/>
        <w:numPr>
          <w:ilvl w:val="0"/>
          <w:numId w:val="1"/>
        </w:numPr>
        <w:ind w:left="357" w:hanging="357"/>
      </w:pPr>
      <w:r w:rsidRPr="00853F36">
        <w:t>To manage caseloads and achieve optimum outcomes for persons with a disability, therapists need to be supported in the provision of all forms of therapy service delivery through organisational structures, policies and procedures</w:t>
      </w:r>
    </w:p>
    <w:p w:rsidR="003E307C" w:rsidRPr="00853F36" w:rsidRDefault="003E307C" w:rsidP="003E307C">
      <w:pPr>
        <w:pStyle w:val="ListBullet"/>
        <w:numPr>
          <w:ilvl w:val="0"/>
          <w:numId w:val="1"/>
        </w:numPr>
        <w:ind w:left="357" w:hanging="357"/>
      </w:pPr>
      <w:r w:rsidRPr="00853F36">
        <w:t>Measures of productivity need to reflect that different services are appropriate in different circumstances, and that functional outcomes are of the highest priority</w:t>
      </w:r>
    </w:p>
    <w:p w:rsidR="003E307C" w:rsidRPr="00853F36" w:rsidRDefault="003E307C" w:rsidP="003E307C">
      <w:pPr>
        <w:pStyle w:val="ListBullet"/>
        <w:numPr>
          <w:ilvl w:val="0"/>
          <w:numId w:val="1"/>
        </w:numPr>
        <w:ind w:left="357" w:hanging="357"/>
      </w:pPr>
      <w:r w:rsidRPr="00853F36">
        <w:t>Therapists generally require more training and experience with collaborative consultation</w:t>
      </w:r>
    </w:p>
    <w:p w:rsidR="003E307C" w:rsidRPr="00853F36" w:rsidRDefault="003E307C" w:rsidP="003E307C">
      <w:pPr>
        <w:pStyle w:val="ListBullet"/>
        <w:numPr>
          <w:ilvl w:val="0"/>
          <w:numId w:val="1"/>
        </w:numPr>
        <w:ind w:left="357" w:hanging="357"/>
      </w:pPr>
      <w:r w:rsidRPr="00853F36">
        <w:t xml:space="preserve">Principles of demand management can be used to increase information and access to services, ensure effective service coordination and delivery, manage ‘inappropriate demand’ </w:t>
      </w:r>
      <w:r w:rsidR="008418B3">
        <w:t xml:space="preserve">which is </w:t>
      </w:r>
      <w:r w:rsidRPr="00853F36">
        <w:t>defined as both the demand for services that are not necessary and lack of demand for services that are indicated. Demand management strategies that seek to maximise services include:</w:t>
      </w:r>
    </w:p>
    <w:p w:rsidR="003E307C" w:rsidRPr="00853F36" w:rsidRDefault="003E307C" w:rsidP="003E307C">
      <w:pPr>
        <w:pStyle w:val="ListBullet2"/>
        <w:numPr>
          <w:ilvl w:val="0"/>
          <w:numId w:val="3"/>
        </w:numPr>
        <w:tabs>
          <w:tab w:val="clear" w:pos="717"/>
        </w:tabs>
        <w:ind w:left="641" w:hanging="357"/>
      </w:pPr>
      <w:r w:rsidRPr="00853F36">
        <w:rPr>
          <w:b/>
        </w:rPr>
        <w:t>‘Intake’ of clients</w:t>
      </w:r>
      <w:r w:rsidRPr="00853F36">
        <w:t>: pathways for initial client contact, initial assessment of nee</w:t>
      </w:r>
      <w:r w:rsidR="008418B3">
        <w:t>ds, and prioritisation of needs</w:t>
      </w:r>
    </w:p>
    <w:p w:rsidR="003E307C" w:rsidRPr="00853F36" w:rsidRDefault="003E307C" w:rsidP="003E307C">
      <w:pPr>
        <w:pStyle w:val="ListBullet2"/>
        <w:numPr>
          <w:ilvl w:val="0"/>
          <w:numId w:val="3"/>
        </w:numPr>
        <w:tabs>
          <w:tab w:val="clear" w:pos="717"/>
        </w:tabs>
        <w:ind w:left="641" w:hanging="357"/>
      </w:pPr>
      <w:r w:rsidRPr="00853F36">
        <w:rPr>
          <w:b/>
        </w:rPr>
        <w:t>‘Flow-through’ of clients</w:t>
      </w:r>
      <w:r w:rsidRPr="00853F36">
        <w:t>: waiting list procedures (e.g., review and recall), use of individual or group therapy sessions, indirect therapy, and consultative models of service delivery, and caseload management (e.g., balancing more complex or long term needs with si</w:t>
      </w:r>
      <w:r w:rsidR="008418B3">
        <w:t>mple or easily addressed needs)</w:t>
      </w:r>
    </w:p>
    <w:p w:rsidR="003E307C" w:rsidRPr="00853F36" w:rsidRDefault="003E307C" w:rsidP="003E307C">
      <w:pPr>
        <w:pStyle w:val="ListBullet2"/>
        <w:numPr>
          <w:ilvl w:val="0"/>
          <w:numId w:val="3"/>
        </w:numPr>
        <w:tabs>
          <w:tab w:val="clear" w:pos="717"/>
        </w:tabs>
        <w:spacing w:after="240"/>
        <w:ind w:left="641" w:hanging="357"/>
      </w:pPr>
      <w:r w:rsidRPr="00853F36">
        <w:t>‘</w:t>
      </w:r>
      <w:r w:rsidRPr="00853F36">
        <w:rPr>
          <w:b/>
        </w:rPr>
        <w:t>Discharge’ of clients</w:t>
      </w:r>
      <w:r w:rsidRPr="00853F36">
        <w:t>: planning for discharge, review and recall, and discharge criteria, policies and procedures.</w:t>
      </w:r>
      <w:r w:rsidRPr="00853F36">
        <w:rPr>
          <w:rStyle w:val="FootnoteReference"/>
        </w:rPr>
        <w:t xml:space="preserve"> </w:t>
      </w:r>
      <w:r w:rsidRPr="00853F36">
        <w:rPr>
          <w:rStyle w:val="FootnoteReference"/>
        </w:rPr>
        <w:footnoteReference w:id="149"/>
      </w:r>
    </w:p>
    <w:p w:rsidR="003E307C" w:rsidRPr="00853F36" w:rsidRDefault="003E307C" w:rsidP="003E307C">
      <w:pPr>
        <w:pStyle w:val="ListBullet2"/>
        <w:numPr>
          <w:ilvl w:val="0"/>
          <w:numId w:val="0"/>
        </w:numPr>
        <w:spacing w:before="240" w:after="240"/>
      </w:pPr>
      <w:r w:rsidRPr="00853F36">
        <w:t>Transition from one service to another is a</w:t>
      </w:r>
      <w:r>
        <w:t>n important issue</w:t>
      </w:r>
      <w:r w:rsidR="008418B3">
        <w:t xml:space="preserve"> and professionals working with children increasingly recognise the importance of s</w:t>
      </w:r>
      <w:r w:rsidRPr="00853F36">
        <w:t>mooth transfers</w:t>
      </w:r>
      <w:r>
        <w:t>.</w:t>
      </w:r>
      <w:r w:rsidRPr="00853F36">
        <w:rPr>
          <w:rStyle w:val="FootnoteReference"/>
          <w:bCs/>
          <w:iCs/>
        </w:rPr>
        <w:footnoteReference w:id="150"/>
      </w:r>
    </w:p>
    <w:p w:rsidR="003E307C" w:rsidRPr="00853F36" w:rsidRDefault="003E307C" w:rsidP="0040246E">
      <w:pPr>
        <w:pStyle w:val="Heading2"/>
      </w:pPr>
      <w:bookmarkStart w:id="233" w:name="_Toc386464546"/>
      <w:bookmarkStart w:id="234" w:name="_Toc386470041"/>
      <w:bookmarkStart w:id="235" w:name="_Toc386464548"/>
      <w:bookmarkStart w:id="236" w:name="_Toc386470043"/>
      <w:bookmarkStart w:id="237" w:name="_Toc390269702"/>
      <w:bookmarkStart w:id="238" w:name="_Toc415733739"/>
      <w:r w:rsidRPr="00853F36">
        <w:t>The changing status of the Allied Health Professions</w:t>
      </w:r>
      <w:bookmarkEnd w:id="235"/>
      <w:bookmarkEnd w:id="236"/>
      <w:bookmarkEnd w:id="237"/>
      <w:bookmarkEnd w:id="238"/>
    </w:p>
    <w:p w:rsidR="003E307C" w:rsidRPr="00853F36" w:rsidRDefault="003E307C" w:rsidP="003E307C">
      <w:r w:rsidRPr="00853F36">
        <w:t>“There is little agreement on what comprises the allied health workforce at either the stakeholder, jurisdictional or national level”.</w:t>
      </w:r>
      <w:r w:rsidRPr="00853F36">
        <w:rPr>
          <w:rStyle w:val="FootnoteReference"/>
        </w:rPr>
        <w:footnoteReference w:id="151"/>
      </w:r>
    </w:p>
    <w:p w:rsidR="003E307C" w:rsidRPr="00853F36" w:rsidRDefault="003E307C" w:rsidP="003E307C">
      <w:r w:rsidRPr="00853F36">
        <w:t>Therapy services in the past have often been considered as those provided by occupational therapists, physiotherapists and speech and language therapists. However, the range of professionals registered as AHPs is expanding and varies across jurisdictions. For e</w:t>
      </w:r>
      <w:r w:rsidR="008418B3">
        <w:t>xample, in England, there are twelve</w:t>
      </w:r>
      <w:r w:rsidRPr="00853F36">
        <w:t xml:space="preserve"> diverse statutory-registered AHP</w:t>
      </w:r>
      <w:r w:rsidR="008418B3">
        <w:t>s</w:t>
      </w:r>
      <w:r w:rsidRPr="00853F36">
        <w:t xml:space="preserve"> who deliver care to patients across a variety of settings. In Wales</w:t>
      </w:r>
      <w:r w:rsidRPr="00853F36">
        <w:rPr>
          <w:rStyle w:val="FootnoteReference"/>
        </w:rPr>
        <w:footnoteReference w:id="152"/>
      </w:r>
      <w:r w:rsidRPr="00853F36">
        <w:t xml:space="preserve"> and in Ireland</w:t>
      </w:r>
      <w:r w:rsidRPr="00853F36">
        <w:rPr>
          <w:rStyle w:val="FootnoteReference"/>
        </w:rPr>
        <w:footnoteReference w:id="153"/>
      </w:r>
      <w:r w:rsidRPr="00853F36">
        <w:t xml:space="preserve"> the</w:t>
      </w:r>
      <w:r w:rsidR="008418B3">
        <w:t>re are seven</w:t>
      </w:r>
      <w:r w:rsidRPr="00853F36">
        <w:t xml:space="preserve"> groups of AHPs.</w:t>
      </w:r>
      <w:r w:rsidRPr="00853F36" w:rsidDel="00EA548C">
        <w:rPr>
          <w:rStyle w:val="FootnoteReference"/>
        </w:rPr>
        <w:t xml:space="preserve"> </w:t>
      </w:r>
      <w:r w:rsidRPr="00853F36">
        <w:rPr>
          <w:lang w:val="en-GB"/>
        </w:rPr>
        <w:t>In Scotland</w:t>
      </w:r>
      <w:r w:rsidR="008418B3">
        <w:rPr>
          <w:lang w:val="en-GB"/>
        </w:rPr>
        <w:t>,</w:t>
      </w:r>
      <w:r w:rsidRPr="00853F36">
        <w:rPr>
          <w:lang w:val="en-GB"/>
        </w:rPr>
        <w:t xml:space="preserve"> there are </w:t>
      </w:r>
      <w:r w:rsidR="008418B3">
        <w:rPr>
          <w:lang w:val="en-GB"/>
        </w:rPr>
        <w:t>eleven</w:t>
      </w:r>
      <w:r w:rsidRPr="00853F36">
        <w:rPr>
          <w:lang w:val="en-GB"/>
        </w:rPr>
        <w:t xml:space="preserve"> groups.</w:t>
      </w:r>
      <w:r w:rsidRPr="00853F36">
        <w:rPr>
          <w:rStyle w:val="FootnoteReference"/>
          <w:lang w:val="en-GB"/>
        </w:rPr>
        <w:footnoteReference w:id="154"/>
      </w:r>
      <w:r w:rsidRPr="00853F36">
        <w:rPr>
          <w:lang w:val="en-GB"/>
        </w:rPr>
        <w:t xml:space="preserve"> </w:t>
      </w:r>
      <w:r w:rsidRPr="00853F36">
        <w:t xml:space="preserve">A therapy service provider in </w:t>
      </w:r>
      <w:smartTag w:uri="urn:schemas-microsoft-com:office:smarttags" w:element="place">
        <w:smartTag w:uri="urn:schemas-microsoft-com:office:smarttags" w:element="State">
          <w:r w:rsidRPr="00853F36">
            <w:t>Western Australia</w:t>
          </w:r>
        </w:smartTag>
      </w:smartTag>
      <w:r w:rsidRPr="00853F36">
        <w:t xml:space="preserve"> called Therapy Focus employs 80 therapists all in Speech Pathology, Physiotherapy and Occupational Therapy and contracts psychological and other allied health services as required.</w:t>
      </w:r>
      <w:r w:rsidRPr="00853F36">
        <w:rPr>
          <w:rStyle w:val="FootnoteReference"/>
        </w:rPr>
        <w:footnoteReference w:id="155"/>
      </w:r>
    </w:p>
    <w:p w:rsidR="003E307C" w:rsidRPr="00853F36" w:rsidRDefault="003E307C" w:rsidP="003E307C">
      <w:r w:rsidRPr="00853F36">
        <w:t>“While grouping and considering the various ‘allied health’ professions as a single entity can be conceived as beneficial by workforce planners</w:t>
      </w:r>
      <w:r w:rsidR="008418B3">
        <w:t>,</w:t>
      </w:r>
      <w:r w:rsidRPr="00853F36">
        <w:t xml:space="preserve"> since it potentially reduces the number of forms of labour that have to be considered in the production function for delivery of health services, it more likely hinders the development of appropriate workforce planning solutions.”</w:t>
      </w:r>
      <w:r w:rsidRPr="00853F36">
        <w:rPr>
          <w:rStyle w:val="FootnoteReference"/>
        </w:rPr>
        <w:footnoteReference w:id="156"/>
      </w:r>
    </w:p>
    <w:p w:rsidR="003E307C" w:rsidRPr="00853F36" w:rsidRDefault="003E307C" w:rsidP="003E307C">
      <w:r w:rsidRPr="00853F36">
        <w:t>For the purpose of our research we are interested in allied health professionals (AHP) and other healthcare professionals who work in community disability services for children, for example, speech and language therapists, physiotherapists, occupational therapists, social workers, psychologists etc.</w:t>
      </w:r>
    </w:p>
    <w:p w:rsidR="003E307C" w:rsidRPr="00853F36" w:rsidRDefault="003E307C" w:rsidP="003E307C">
      <w:r w:rsidRPr="00853F36">
        <w:t xml:space="preserve">The status of the allied health professions varies widely across professions and jurisdictions and defining allied health labour is a challenging endeavour. In addition, comprehensive and accurate data on allied health service activity is poor, particularly in community settings. These realities affect the development of community children’s disability services in </w:t>
      </w:r>
      <w:smartTag w:uri="urn:schemas-microsoft-com:office:smarttags" w:element="place">
        <w:smartTag w:uri="urn:schemas-microsoft-com:office:smarttags" w:element="country-region">
          <w:r w:rsidRPr="00853F36">
            <w:t>Ireland</w:t>
          </w:r>
        </w:smartTag>
      </w:smartTag>
      <w:r w:rsidRPr="00853F36">
        <w:t xml:space="preserve"> as well as in other jurisdictions.</w:t>
      </w:r>
    </w:p>
    <w:p w:rsidR="003E307C" w:rsidRPr="00853F36" w:rsidRDefault="003E307C" w:rsidP="003E307C">
      <w:r w:rsidRPr="00853F36">
        <w:t xml:space="preserve">In </w:t>
      </w:r>
      <w:smartTag w:uri="urn:schemas-microsoft-com:office:smarttags" w:element="place">
        <w:smartTag w:uri="urn:schemas-microsoft-com:office:smarttags" w:element="country-region">
          <w:r w:rsidRPr="00853F36">
            <w:t>New Zealand</w:t>
          </w:r>
        </w:smartTag>
      </w:smartTag>
      <w:r w:rsidRPr="00853F36">
        <w:t>, front-line AHP manage budgets, service provision, planning and outcomes and accountability and auditing.</w:t>
      </w:r>
      <w:r w:rsidRPr="00853F36">
        <w:rPr>
          <w:rStyle w:val="FootnoteReference"/>
        </w:rPr>
        <w:t xml:space="preserve"> </w:t>
      </w:r>
      <w:r w:rsidRPr="00853F36">
        <w:rPr>
          <w:rStyle w:val="FootnoteReference"/>
        </w:rPr>
        <w:footnoteReference w:id="157"/>
      </w:r>
      <w:r w:rsidRPr="00853F36">
        <w:t xml:space="preserve"> In </w:t>
      </w:r>
      <w:smartTag w:uri="urn:schemas-microsoft-com:office:smarttags" w:element="place">
        <w:smartTag w:uri="urn:schemas-microsoft-com:office:smarttags" w:element="country-region">
          <w:r w:rsidRPr="00853F36">
            <w:t>Ireland</w:t>
          </w:r>
        </w:smartTag>
      </w:smartTag>
      <w:r w:rsidRPr="00853F36">
        <w:t>, AHP are not represented in an advisory capacity in the Department of Health. Likewise, they do not have clinical representation at service level and at regional level.</w:t>
      </w:r>
      <w:r w:rsidRPr="00853F36">
        <w:rPr>
          <w:rStyle w:val="FootnoteReference"/>
        </w:rPr>
        <w:footnoteReference w:id="158"/>
      </w:r>
    </w:p>
    <w:p w:rsidR="003E307C" w:rsidRPr="00853F36" w:rsidRDefault="003E307C" w:rsidP="003E307C">
      <w:r w:rsidRPr="00853F36">
        <w:t>In Scotland</w:t>
      </w:r>
      <w:r w:rsidR="008418B3">
        <w:t>,</w:t>
      </w:r>
      <w:r w:rsidRPr="00853F36">
        <w:t xml:space="preserve"> allied health professions are being portrayed as ‘agents of change in health and social care’ under the Scottish Government’s 2012-2015National Delivery Plan for the Allied Health Professions:</w:t>
      </w:r>
    </w:p>
    <w:p w:rsidR="003E307C" w:rsidRPr="00853F36" w:rsidRDefault="003E307C" w:rsidP="003E307C">
      <w:pPr>
        <w:pStyle w:val="ListBullet"/>
        <w:numPr>
          <w:ilvl w:val="0"/>
          <w:numId w:val="1"/>
        </w:numPr>
      </w:pPr>
      <w:r w:rsidRPr="00853F36">
        <w:t>“Scotland's AHPs are working at the edge of a paradigmatic shift in the public sector</w:t>
      </w:r>
      <w:r w:rsidR="009A793A">
        <w:t>,</w:t>
      </w:r>
      <w:r w:rsidRPr="00853F36">
        <w:t xml:space="preserve"> towards enablement and personalisation, promoting an asset-based approach, self-management, resilience and independent living and preventing over-reliance on hospitals and professional intervention</w:t>
      </w:r>
    </w:p>
    <w:p w:rsidR="003E307C" w:rsidRPr="00853F36" w:rsidRDefault="003E307C" w:rsidP="003E307C">
      <w:pPr>
        <w:pStyle w:val="ListBullet"/>
        <w:numPr>
          <w:ilvl w:val="0"/>
          <w:numId w:val="1"/>
        </w:numPr>
      </w:pPr>
      <w:r w:rsidRPr="00853F36">
        <w:t>“AHP directors and AHP leaders, working across health and social care, will be key to enhancing the AHP contribution to the joint planning and delivery of services, particularly for those with complex needs, long-term conditions, dementia and for children and young people</w:t>
      </w:r>
    </w:p>
    <w:p w:rsidR="003E307C" w:rsidRPr="00853F36" w:rsidRDefault="003E307C" w:rsidP="003E307C">
      <w:pPr>
        <w:pStyle w:val="ListBullet"/>
        <w:numPr>
          <w:ilvl w:val="0"/>
          <w:numId w:val="1"/>
        </w:numPr>
      </w:pPr>
      <w:r w:rsidRPr="00853F36">
        <w:t>“AHPs have a key contribution to make to the wider public health agenda, improving health and well-being by, for example, promoting physical activity and healthy nutrition, providing cancer prevention and vocational rehabilitation services, and enabling children to get the best possible start in life and achieve their full potential</w:t>
      </w:r>
    </w:p>
    <w:p w:rsidR="003E307C" w:rsidRPr="00853F36" w:rsidRDefault="003E307C" w:rsidP="003E307C">
      <w:pPr>
        <w:pStyle w:val="ListBullet"/>
        <w:numPr>
          <w:ilvl w:val="0"/>
          <w:numId w:val="1"/>
        </w:numPr>
      </w:pPr>
      <w:r w:rsidRPr="00853F36">
        <w:t>“AHPs’ expertise in rehabilitation and enablement will be key to supporting the vision of health and social care integration and delivering on the nationally agreed outcomes for integration</w:t>
      </w:r>
    </w:p>
    <w:p w:rsidR="003E307C" w:rsidRPr="00853F36" w:rsidRDefault="003E307C" w:rsidP="003E307C">
      <w:pPr>
        <w:pStyle w:val="ListBullet"/>
        <w:numPr>
          <w:ilvl w:val="0"/>
          <w:numId w:val="1"/>
        </w:numPr>
      </w:pPr>
      <w:r w:rsidRPr="00853F36">
        <w:t>“Reducing inappropriate admissions and unnecessary care costs are key to affordable and sustainable services in the future. AHP interventions can significantly reduce unnecessary admissions to hospital and diminish dependency on care services, resulting in significant savings in health and social care</w:t>
      </w:r>
    </w:p>
    <w:p w:rsidR="003E307C" w:rsidRPr="00853F36" w:rsidRDefault="003E307C" w:rsidP="003E307C">
      <w:pPr>
        <w:pStyle w:val="ListBullet"/>
        <w:numPr>
          <w:ilvl w:val="0"/>
          <w:numId w:val="1"/>
        </w:numPr>
        <w:spacing w:after="240"/>
        <w:ind w:left="357" w:hanging="357"/>
      </w:pPr>
      <w:r w:rsidRPr="00853F36">
        <w:t>“As first-point-of-contact practitioners, AHPs make a vital contribution to faster diagnostics and earlier interventions in primary care. They work closely with general practitioners and community teams to provide alternative pathways to secondary care referral and prevent admissions in areas such as falls prevention and musculoskeletal services.”</w:t>
      </w:r>
      <w:r w:rsidRPr="00853F36">
        <w:rPr>
          <w:rStyle w:val="FootnoteReference"/>
        </w:rPr>
        <w:t xml:space="preserve"> </w:t>
      </w:r>
      <w:r w:rsidRPr="00853F36">
        <w:rPr>
          <w:rStyle w:val="FootnoteReference"/>
        </w:rPr>
        <w:footnoteReference w:id="159"/>
      </w:r>
    </w:p>
    <w:p w:rsidR="003E307C" w:rsidRPr="00853F36" w:rsidRDefault="003E307C" w:rsidP="003E307C">
      <w:r w:rsidRPr="00853F36">
        <w:t xml:space="preserve">In </w:t>
      </w:r>
      <w:smartTag w:uri="urn:schemas-microsoft-com:office:smarttags" w:element="place">
        <w:smartTag w:uri="urn:schemas-microsoft-com:office:smarttags" w:element="country-region">
          <w:r w:rsidRPr="00853F36">
            <w:t>Canada</w:t>
          </w:r>
        </w:smartTag>
      </w:smartTag>
      <w:r w:rsidRPr="00853F36">
        <w:t>, occupational therapists consider that research shows that they can offer solutions to healthcare issues and suggests greater scope for occupational therapy in the management of outcomes in complex and chronic diseases.</w:t>
      </w:r>
      <w:r w:rsidRPr="00853F36">
        <w:rPr>
          <w:rStyle w:val="FootnoteReference"/>
        </w:rPr>
        <w:t xml:space="preserve"> </w:t>
      </w:r>
      <w:r w:rsidRPr="00853F36">
        <w:rPr>
          <w:rStyle w:val="FootnoteReference"/>
        </w:rPr>
        <w:footnoteReference w:id="160"/>
      </w:r>
      <w:r w:rsidRPr="00853F36">
        <w:t xml:space="preserve"> They argue from the evidence that they can provide cost-effective practical solutions to simple and complex problems and that currently they are underutilised. The Scottish Government point out that as of March 2012, there were approximately 10 000 AHPs working in acute and primary care settings across NHS Scotland and around 500 AHP practitioners in social care, predominantly occupational therapists who, despite comprising only 1% of the total social care workforce, addressed 35% of all adult referrals.</w:t>
      </w:r>
      <w:r w:rsidRPr="00853F36">
        <w:rPr>
          <w:rStyle w:val="FootnoteReference"/>
        </w:rPr>
        <w:footnoteReference w:id="161"/>
      </w:r>
    </w:p>
    <w:p w:rsidR="003E307C" w:rsidRPr="00853F36" w:rsidRDefault="003E307C" w:rsidP="003E307C">
      <w:r w:rsidRPr="00853F36">
        <w:t>Currently</w:t>
      </w:r>
      <w:r w:rsidR="009A793A">
        <w:t>,</w:t>
      </w:r>
      <w:r w:rsidRPr="00853F36">
        <w:t xml:space="preserve"> there is </w:t>
      </w:r>
      <w:r w:rsidR="009A793A">
        <w:t xml:space="preserve">some </w:t>
      </w:r>
      <w:r w:rsidRPr="00853F36">
        <w:t>interest in professional role revision, particularly of the allied health professionals and assistants. This stems in part from a desire to reduce medical workloads; to extend the range of services available to patients; to improve the quality of care and/or to reduce costs. It also comes from an increasing recognition of the roles that AHP can play in developing effective and efficient healthcare services. Changes to allied health professional roles include:</w:t>
      </w:r>
    </w:p>
    <w:p w:rsidR="003E307C" w:rsidRPr="00853F36" w:rsidRDefault="003E307C" w:rsidP="003E307C">
      <w:pPr>
        <w:pStyle w:val="ListBullet"/>
        <w:numPr>
          <w:ilvl w:val="0"/>
          <w:numId w:val="1"/>
        </w:numPr>
      </w:pPr>
      <w:r w:rsidRPr="00853F36">
        <w:t>Substitution - a person from one professional background performs tasks traditionally performed by another type of health professional</w:t>
      </w:r>
    </w:p>
    <w:p w:rsidR="003E307C" w:rsidRPr="00853F36" w:rsidRDefault="003E307C" w:rsidP="003E307C">
      <w:pPr>
        <w:pStyle w:val="ListBullet"/>
        <w:numPr>
          <w:ilvl w:val="0"/>
          <w:numId w:val="1"/>
        </w:numPr>
        <w:spacing w:after="240"/>
        <w:ind w:left="357" w:hanging="357"/>
      </w:pPr>
      <w:r w:rsidRPr="00853F36">
        <w:t>Supplementation - extending the range of service provision within one delivery system</w:t>
      </w:r>
      <w:r w:rsidR="009A793A">
        <w:t>.</w:t>
      </w:r>
    </w:p>
    <w:p w:rsidR="003E307C" w:rsidRPr="00853F36" w:rsidRDefault="003E307C" w:rsidP="003E307C">
      <w:r w:rsidRPr="00853F36">
        <w:t>A 2010 review</w:t>
      </w:r>
      <w:r w:rsidR="009A793A">
        <w:t>,</w:t>
      </w:r>
      <w:r w:rsidRPr="00853F36">
        <w:t xml:space="preserve"> of revision of professional roles in health care</w:t>
      </w:r>
      <w:r w:rsidR="009A793A">
        <w:t>,</w:t>
      </w:r>
      <w:r w:rsidRPr="00853F36">
        <w:t xml:space="preserve"> found one systematic review on role revision of allied healthcare professionals (physiotherapists, paramedics and radiographers).</w:t>
      </w:r>
      <w:r w:rsidRPr="00853F36">
        <w:rPr>
          <w:rStyle w:val="FootnoteReference"/>
        </w:rPr>
        <w:footnoteReference w:id="162"/>
      </w:r>
      <w:r w:rsidRPr="00853F36">
        <w:t xml:space="preserve"> Physiotherapists and paramedics were judged as substitution and radiographers as a mixture of substitution and supplementation. All three types of AHP, when suitably trained, appeared to assess, diagnose and treat patients as safely and effectively as physicians. No detrimental effect was found in extending the roles of non-medical professionals. In some cases, there was a positive effect on the quality of patient care. Gains in service efficiency may be achieved if doctors stop providing services that can be transferred to other health professionals and, instead, invest their time in activities that they alone can perform.</w:t>
      </w:r>
      <w:r w:rsidRPr="00853F36">
        <w:rPr>
          <w:rStyle w:val="FootnoteReference"/>
        </w:rPr>
        <w:footnoteReference w:id="163"/>
      </w:r>
      <w:r w:rsidRPr="00853F36">
        <w:t xml:space="preserve"> In rural locations in Australia</w:t>
      </w:r>
      <w:r w:rsidR="009A793A">
        <w:t>,</w:t>
      </w:r>
      <w:r w:rsidRPr="00853F36">
        <w:t xml:space="preserve"> there has been piloting of trained allied health assistants working under the supervision and delegation of allied health professionals in larger sites. Introduction of vocational qualifications for allied health assistance and discipline-specific allied health assistance</w:t>
      </w:r>
      <w:r w:rsidR="009A793A">
        <w:t>,</w:t>
      </w:r>
      <w:r w:rsidRPr="00853F36">
        <w:t xml:space="preserve"> such as physiotherapy assistance</w:t>
      </w:r>
      <w:r w:rsidR="009A793A">
        <w:t>,</w:t>
      </w:r>
      <w:r w:rsidRPr="00853F36">
        <w:t xml:space="preserve"> enables communities to access essential services closer to home.</w:t>
      </w:r>
      <w:r w:rsidRPr="00853F36">
        <w:rPr>
          <w:rStyle w:val="FootnoteReference"/>
        </w:rPr>
        <w:footnoteReference w:id="164"/>
      </w:r>
    </w:p>
    <w:p w:rsidR="003E307C" w:rsidRDefault="003E307C" w:rsidP="003E307C">
      <w:r w:rsidRPr="00853F36">
        <w:t>Successfully implementing new ways of working is dependent on professional respect, understanding of each others’ roles and building trust. Understanding and respect can be supported with good clinical governance, planning, team meetings and activities.</w:t>
      </w:r>
      <w:r w:rsidRPr="00853F36">
        <w:rPr>
          <w:rStyle w:val="FootnoteReference"/>
        </w:rPr>
        <w:footnoteReference w:id="165"/>
      </w:r>
      <w:r w:rsidRPr="00853F36">
        <w:t xml:space="preserve"> When changing the delineation of roles; which professional completes which task; task substitution etc</w:t>
      </w:r>
      <w:r w:rsidR="009A793A">
        <w:t>,</w:t>
      </w:r>
      <w:r w:rsidRPr="00853F36">
        <w:t xml:space="preserve"> should be considered. This will help maximise the various skills in the team and provide </w:t>
      </w:r>
      <w:r w:rsidR="009A793A">
        <w:t xml:space="preserve">better </w:t>
      </w:r>
      <w:r w:rsidRPr="00853F36">
        <w:t xml:space="preserve">care. </w:t>
      </w:r>
    </w:p>
    <w:p w:rsidR="003E307C" w:rsidRPr="00853F36" w:rsidRDefault="003E307C" w:rsidP="0040246E">
      <w:pPr>
        <w:pStyle w:val="Heading2"/>
      </w:pPr>
      <w:bookmarkStart w:id="239" w:name="_Toc390269703"/>
      <w:bookmarkStart w:id="240" w:name="_Toc415733740"/>
      <w:r>
        <w:t>F</w:t>
      </w:r>
      <w:r w:rsidRPr="00853F36">
        <w:t xml:space="preserve">amily and child centred </w:t>
      </w:r>
      <w:r>
        <w:t xml:space="preserve">early intervention </w:t>
      </w:r>
      <w:r w:rsidRPr="00853F36">
        <w:t>services</w:t>
      </w:r>
      <w:bookmarkEnd w:id="233"/>
      <w:bookmarkEnd w:id="234"/>
      <w:bookmarkEnd w:id="239"/>
      <w:bookmarkEnd w:id="240"/>
    </w:p>
    <w:p w:rsidR="003E307C" w:rsidRPr="00853F36" w:rsidRDefault="003E307C" w:rsidP="003E307C">
      <w:r w:rsidRPr="00853F36">
        <w:t>There is international agreement on the importance of a child’s earliest years and therefore on early intervention children’s services.</w:t>
      </w:r>
      <w:r w:rsidRPr="00853F36">
        <w:rPr>
          <w:rStyle w:val="FootnoteReference"/>
        </w:rPr>
        <w:footnoteReference w:id="166"/>
      </w:r>
      <w:r w:rsidRPr="00853F36">
        <w:t xml:space="preserve"> Econometric research shows</w:t>
      </w:r>
      <w:r w:rsidR="009A793A">
        <w:t>,</w:t>
      </w:r>
      <w:r w:rsidRPr="00853F36">
        <w:t xml:space="preserve"> that high quality early intervention programs save society significant a</w:t>
      </w:r>
      <w:r w:rsidR="009A793A">
        <w:t>mounts of money over time and are</w:t>
      </w:r>
      <w:r w:rsidRPr="00853F36">
        <w:t xml:space="preserve"> a way to overcome disadvantage.</w:t>
      </w:r>
      <w:r w:rsidRPr="00853F36">
        <w:rPr>
          <w:rStyle w:val="FootnoteReference"/>
        </w:rPr>
        <w:footnoteReference w:id="167"/>
      </w:r>
    </w:p>
    <w:p w:rsidR="003E307C" w:rsidRPr="00853F36" w:rsidRDefault="003E307C" w:rsidP="003E307C">
      <w:r w:rsidRPr="00853F36">
        <w:t>Early intervention services for children with disabilities have been defined as:</w:t>
      </w:r>
    </w:p>
    <w:p w:rsidR="003E307C" w:rsidRPr="00853F36" w:rsidRDefault="003E307C" w:rsidP="003E307C">
      <w:pPr>
        <w:pStyle w:val="ListBullet"/>
        <w:numPr>
          <w:ilvl w:val="0"/>
          <w:numId w:val="1"/>
        </w:numPr>
      </w:pPr>
      <w:r w:rsidRPr="00853F36">
        <w:t>The provision of support and resources to families of infants and young children including informal and formal social support networks</w:t>
      </w:r>
      <w:r w:rsidR="009A793A">
        <w:t>,</w:t>
      </w:r>
      <w:r w:rsidRPr="00853F36">
        <w:t xml:space="preserve"> that impact both directly and indirectly on parent, family and child functioning</w:t>
      </w:r>
      <w:r w:rsidRPr="00853F36">
        <w:rPr>
          <w:rStyle w:val="FootnoteReference"/>
        </w:rPr>
        <w:footnoteReference w:id="168"/>
      </w:r>
    </w:p>
    <w:p w:rsidR="003E307C" w:rsidRPr="00853F36" w:rsidRDefault="003E307C" w:rsidP="003E307C">
      <w:pPr>
        <w:pStyle w:val="ListBullet"/>
        <w:numPr>
          <w:ilvl w:val="0"/>
          <w:numId w:val="1"/>
        </w:numPr>
        <w:spacing w:after="240"/>
      </w:pPr>
      <w:r w:rsidRPr="00853F36">
        <w:t>Child and parent orientated activities that are implemented to support the child’s disability or development</w:t>
      </w:r>
      <w:r w:rsidRPr="00853F36">
        <w:rPr>
          <w:rStyle w:val="FootnoteReference"/>
        </w:rPr>
        <w:footnoteReference w:id="169"/>
      </w:r>
    </w:p>
    <w:p w:rsidR="003E307C" w:rsidRPr="00853F36" w:rsidRDefault="003E307C" w:rsidP="003E307C">
      <w:r w:rsidRPr="00853F36">
        <w:t>Dunst</w:t>
      </w:r>
      <w:r w:rsidRPr="00853F36">
        <w:rPr>
          <w:rStyle w:val="FootnoteReference"/>
        </w:rPr>
        <w:footnoteReference w:id="170"/>
      </w:r>
      <w:r w:rsidRPr="00853F36">
        <w:t>, Bailey</w:t>
      </w:r>
      <w:r w:rsidRPr="00853F36">
        <w:rPr>
          <w:rStyle w:val="FootnoteReference"/>
        </w:rPr>
        <w:footnoteReference w:id="171"/>
      </w:r>
      <w:r w:rsidRPr="00853F36">
        <w:t>, Turnbull</w:t>
      </w:r>
      <w:r w:rsidRPr="00853F36">
        <w:rPr>
          <w:rStyle w:val="FootnoteReference"/>
        </w:rPr>
        <w:footnoteReference w:id="172"/>
      </w:r>
      <w:r w:rsidRPr="00853F36">
        <w:t xml:space="preserve"> and others</w:t>
      </w:r>
      <w:r w:rsidRPr="00853F36">
        <w:rPr>
          <w:rStyle w:val="FootnoteReference"/>
        </w:rPr>
        <w:footnoteReference w:id="173"/>
      </w:r>
      <w:r w:rsidRPr="00853F36">
        <w:t xml:space="preserve"> developed integrated models for early intervention services that focus on child, parent and family capacity building as the major outcome for measuring success. The Family Centred Model of Early Intervention</w:t>
      </w:r>
      <w:r w:rsidR="009A793A">
        <w:t>,</w:t>
      </w:r>
      <w:r w:rsidRPr="00853F36">
        <w:t xml:space="preserve"> identifies the family and the child as the target of intervention and parents acquiring competencies that enable them to support the development of their children is crucial. Dale</w:t>
      </w:r>
      <w:r w:rsidR="009A793A">
        <w:t>,</w:t>
      </w:r>
      <w:r w:rsidRPr="00853F36">
        <w:t xml:space="preserve"> proposed a negotiated collaborative model with the premise that parents and professionals have separate but potentially valuable contributions to make.</w:t>
      </w:r>
      <w:r w:rsidRPr="00853F36">
        <w:rPr>
          <w:rStyle w:val="FootnoteReference"/>
        </w:rPr>
        <w:footnoteReference w:id="174"/>
      </w:r>
      <w:r w:rsidRPr="00853F36">
        <w:t xml:space="preserve"> In the family centred model, parents, siblings, teachers and others all have a role to play as well as therapists.</w:t>
      </w:r>
    </w:p>
    <w:p w:rsidR="003E307C" w:rsidRPr="00853F36" w:rsidRDefault="003E307C" w:rsidP="003E307C">
      <w:pPr>
        <w:pStyle w:val="ListBullet"/>
        <w:numPr>
          <w:ilvl w:val="0"/>
          <w:numId w:val="0"/>
        </w:numPr>
      </w:pPr>
      <w:r w:rsidRPr="00853F36">
        <w:t>The shift towards family-centred children’s services continues to develop.</w:t>
      </w:r>
      <w:r w:rsidRPr="00853F36">
        <w:rPr>
          <w:rStyle w:val="FootnoteReference"/>
          <w:bCs/>
          <w:iCs/>
        </w:rPr>
        <w:t xml:space="preserve"> </w:t>
      </w:r>
      <w:r w:rsidRPr="00853F36">
        <w:rPr>
          <w:rStyle w:val="FootnoteReference"/>
          <w:bCs/>
          <w:iCs/>
        </w:rPr>
        <w:footnoteReference w:id="175"/>
      </w:r>
      <w:r w:rsidRPr="00853F36">
        <w:t xml:space="preserve"> A parent and family focus first appeared during the 1940s.</w:t>
      </w:r>
      <w:r w:rsidRPr="00853F36">
        <w:rPr>
          <w:rStyle w:val="FootnoteReference"/>
        </w:rPr>
        <w:footnoteReference w:id="176"/>
      </w:r>
      <w:r w:rsidRPr="00853F36">
        <w:t xml:space="preserve"> The perspective of parents as crucial to children’s learning emerged in the 1960s. This orientation increasingly recognised that professionals should work very closely with parents to promote the child’s development and should be able to identify and respond to parents needs.</w:t>
      </w:r>
      <w:r w:rsidRPr="00853F36">
        <w:rPr>
          <w:rStyle w:val="FootnoteReference"/>
        </w:rPr>
        <w:footnoteReference w:id="177"/>
      </w:r>
    </w:p>
    <w:p w:rsidR="003E307C" w:rsidRPr="00853F36" w:rsidRDefault="003E307C" w:rsidP="003E307C">
      <w:smartTag w:uri="urn:schemas-microsoft-com:office:smarttags" w:element="place">
        <w:smartTag w:uri="urn:schemas-microsoft-com:office:smarttags" w:element="City">
          <w:r w:rsidRPr="00853F36">
            <w:t>Moore</w:t>
          </w:r>
        </w:smartTag>
      </w:smartTag>
      <w:r w:rsidRPr="00853F36">
        <w:t xml:space="preserve"> and Larkin (2005) summarised key bodies of work on </w:t>
      </w:r>
      <w:r>
        <w:t xml:space="preserve">family-based or </w:t>
      </w:r>
      <w:r w:rsidRPr="00853F36">
        <w:t>family-centred practice.</w:t>
      </w:r>
      <w:r w:rsidRPr="00853F36">
        <w:rPr>
          <w:rStyle w:val="FootnoteReference"/>
        </w:rPr>
        <w:footnoteReference w:id="178"/>
      </w:r>
      <w:r w:rsidRPr="00853F36">
        <w:t xml:space="preserve"> These include:</w:t>
      </w:r>
    </w:p>
    <w:p w:rsidR="003E307C" w:rsidRPr="009A793A" w:rsidRDefault="003E307C" w:rsidP="003E307C">
      <w:pPr>
        <w:pStyle w:val="ListBullet"/>
        <w:numPr>
          <w:ilvl w:val="0"/>
          <w:numId w:val="1"/>
        </w:numPr>
        <w:rPr>
          <w:vertAlign w:val="superscript"/>
        </w:rPr>
      </w:pPr>
      <w:r w:rsidRPr="00853F36">
        <w:t>Carl Dunst and colleagues</w:t>
      </w:r>
      <w:r w:rsidR="009A793A">
        <w:t>’</w:t>
      </w:r>
      <w:r w:rsidRPr="00853F36">
        <w:t xml:space="preserve"> work </w:t>
      </w:r>
      <w:r w:rsidR="009A793A">
        <w:t xml:space="preserve">which </w:t>
      </w:r>
      <w:r w:rsidRPr="00853F36">
        <w:t>emphasises the need to embed intervention and support in the everyday environments of the child and family and the importance of mobilising</w:t>
      </w:r>
      <w:r w:rsidR="009A793A">
        <w:t xml:space="preserve"> family and community resources</w:t>
      </w:r>
      <w:r w:rsidRPr="00853F36">
        <w:t xml:space="preserve"> </w:t>
      </w:r>
      <w:r w:rsidRPr="009A793A">
        <w:rPr>
          <w:rStyle w:val="FootnoteReference"/>
        </w:rPr>
        <w:footnoteReference w:id="179"/>
      </w:r>
      <w:r w:rsidR="009A793A" w:rsidRPr="009A793A">
        <w:rPr>
          <w:vertAlign w:val="superscript"/>
        </w:rPr>
        <w:t>,</w:t>
      </w:r>
      <w:r w:rsidRPr="009A793A">
        <w:rPr>
          <w:rStyle w:val="FootnoteReference"/>
        </w:rPr>
        <w:footnoteReference w:id="180"/>
      </w:r>
      <w:r w:rsidRPr="009A793A">
        <w:rPr>
          <w:vertAlign w:val="superscript"/>
        </w:rPr>
        <w:t xml:space="preserve"> </w:t>
      </w:r>
    </w:p>
    <w:p w:rsidR="003E307C" w:rsidRPr="00853F36" w:rsidRDefault="003E307C" w:rsidP="003E307C">
      <w:pPr>
        <w:pStyle w:val="ListBullet"/>
        <w:numPr>
          <w:ilvl w:val="0"/>
          <w:numId w:val="1"/>
        </w:numPr>
      </w:pPr>
      <w:r w:rsidRPr="00853F36">
        <w:t>Don Bailey and colleagues at the Frank Porter Graham Centre at the University of North Carolina</w:t>
      </w:r>
      <w:r w:rsidR="009A793A">
        <w:t>,</w:t>
      </w:r>
      <w:r w:rsidRPr="00853F36">
        <w:rPr>
          <w:rStyle w:val="FootnoteReference"/>
        </w:rPr>
        <w:footnoteReference w:id="181"/>
      </w:r>
      <w:r w:rsidRPr="00853F36">
        <w:t xml:space="preserve"> </w:t>
      </w:r>
      <w:r w:rsidR="009A793A">
        <w:t xml:space="preserve">who </w:t>
      </w:r>
      <w:r w:rsidRPr="00853F36">
        <w:t>developed approaches to train practitioners in family-centred practice</w:t>
      </w:r>
    </w:p>
    <w:p w:rsidR="003E307C" w:rsidRPr="00853F36" w:rsidRDefault="003E307C" w:rsidP="003E307C">
      <w:pPr>
        <w:pStyle w:val="ListBullet"/>
        <w:numPr>
          <w:ilvl w:val="0"/>
          <w:numId w:val="1"/>
        </w:numPr>
      </w:pPr>
      <w:r w:rsidRPr="00853F36">
        <w:t xml:space="preserve">Ann and </w:t>
      </w:r>
      <w:proofErr w:type="spellStart"/>
      <w:r w:rsidRPr="00853F36">
        <w:t>Rud</w:t>
      </w:r>
      <w:proofErr w:type="spellEnd"/>
      <w:r w:rsidRPr="00853F36">
        <w:t xml:space="preserve"> Turnbull and colleagues at the Beach Centre in Kansas</w:t>
      </w:r>
      <w:r w:rsidR="009A793A">
        <w:t>,</w:t>
      </w:r>
      <w:r w:rsidRPr="00853F36">
        <w:rPr>
          <w:rStyle w:val="FootnoteReference"/>
        </w:rPr>
        <w:footnoteReference w:id="182"/>
      </w:r>
      <w:r w:rsidRPr="00853F36">
        <w:t xml:space="preserve"> </w:t>
      </w:r>
      <w:r w:rsidR="009A793A">
        <w:t xml:space="preserve">who </w:t>
      </w:r>
      <w:r w:rsidRPr="00853F36">
        <w:t>are parents of a child with a disability and focus on the relationship between parents and practitioners</w:t>
      </w:r>
    </w:p>
    <w:p w:rsidR="003E307C" w:rsidRPr="00853F36" w:rsidRDefault="003E307C" w:rsidP="003E307C">
      <w:pPr>
        <w:pStyle w:val="ListBullet"/>
        <w:numPr>
          <w:ilvl w:val="0"/>
          <w:numId w:val="1"/>
        </w:numPr>
      </w:pPr>
      <w:r w:rsidRPr="00853F36">
        <w:t xml:space="preserve">Mary Law and Peter Rosenbaum’s team at the CanChild Centre for Childhood Disability Research at </w:t>
      </w:r>
      <w:smartTag w:uri="urn:schemas-microsoft-com:office:smarttags" w:element="PlaceName">
        <w:r w:rsidRPr="00853F36">
          <w:t>McMaster</w:t>
        </w:r>
      </w:smartTag>
      <w:r w:rsidRPr="00853F36">
        <w:t xml:space="preserve"> </w:t>
      </w:r>
      <w:smartTag w:uri="urn:schemas-microsoft-com:office:smarttags" w:element="PlaceType">
        <w:r w:rsidRPr="00853F36">
          <w:t>University</w:t>
        </w:r>
      </w:smartTag>
      <w:r w:rsidRPr="00853F36">
        <w:t xml:space="preserve"> in Canada</w:t>
      </w:r>
      <w:r w:rsidR="009A793A">
        <w:t>,</w:t>
      </w:r>
      <w:r w:rsidRPr="00853F36">
        <w:rPr>
          <w:rStyle w:val="FootnoteReference"/>
        </w:rPr>
        <w:footnoteReference w:id="183"/>
      </w:r>
      <w:r w:rsidRPr="00853F36">
        <w:t xml:space="preserve"> </w:t>
      </w:r>
      <w:r w:rsidR="009A793A">
        <w:t xml:space="preserve">who </w:t>
      </w:r>
      <w:r w:rsidRPr="00853F36">
        <w:t>work primarily in rehabilitation settings and emphasise the importance of families receiving a range of general and specific information</w:t>
      </w:r>
    </w:p>
    <w:p w:rsidR="003E307C" w:rsidRPr="00853F36" w:rsidRDefault="003E307C" w:rsidP="003E307C">
      <w:pPr>
        <w:pStyle w:val="ListBullet"/>
        <w:numPr>
          <w:ilvl w:val="0"/>
          <w:numId w:val="1"/>
        </w:numPr>
      </w:pPr>
      <w:r w:rsidRPr="00853F36">
        <w:t xml:space="preserve">The Family Resource Coalition (now Family Support </w:t>
      </w:r>
      <w:smartTag w:uri="urn:schemas-microsoft-com:office:smarttags" w:element="place">
        <w:smartTag w:uri="urn:schemas-microsoft-com:office:smarttags" w:element="country-region">
          <w:r w:rsidRPr="00853F36">
            <w:t>America</w:t>
          </w:r>
        </w:smartTag>
      </w:smartTag>
      <w:r w:rsidRPr="00853F36">
        <w:t>)</w:t>
      </w:r>
      <w:r w:rsidR="009A793A">
        <w:t>,</w:t>
      </w:r>
      <w:r w:rsidRPr="00853F36">
        <w:rPr>
          <w:rStyle w:val="FootnoteReference"/>
        </w:rPr>
        <w:footnoteReference w:id="184"/>
      </w:r>
      <w:r w:rsidRPr="00853F36">
        <w:t xml:space="preserve"> </w:t>
      </w:r>
      <w:r w:rsidR="009A793A">
        <w:t xml:space="preserve">who </w:t>
      </w:r>
      <w:r w:rsidRPr="00853F36">
        <w:t>work with families in need of support. Their emphasis is on building on existing strengths of families and children rather than focusing on deficits</w:t>
      </w:r>
      <w:r w:rsidR="009A793A">
        <w:t>.</w:t>
      </w:r>
    </w:p>
    <w:p w:rsidR="003E307C" w:rsidRPr="00853F36" w:rsidRDefault="003E307C" w:rsidP="009A793A">
      <w:r w:rsidRPr="00853F36">
        <w:t>As family-centred practice has become the accepted service philosophy in children’s services, many other authors have contributed to furthering knowledge around early childhood intervention</w:t>
      </w:r>
      <w:r w:rsidRPr="00853F36">
        <w:rPr>
          <w:rStyle w:val="FootnoteReference"/>
        </w:rPr>
        <w:footnoteReference w:id="185"/>
      </w:r>
    </w:p>
    <w:p w:rsidR="003E307C" w:rsidRPr="00853F36" w:rsidRDefault="003E307C" w:rsidP="003E307C">
      <w:r w:rsidRPr="00853F36">
        <w:t>This growing body of research links family-centred practice to positive child and family outcomes.</w:t>
      </w:r>
      <w:r w:rsidRPr="00853F36">
        <w:rPr>
          <w:rStyle w:val="FootnoteReference"/>
        </w:rPr>
        <w:footnoteReference w:id="186"/>
      </w:r>
      <w:r w:rsidRPr="00853F36">
        <w:t xml:space="preserve"> A meta-analysis of 18 studies showed that using family-centred practice improved self-efficacy beliefs, programme satisfaction, parent perceptions of child behaviour and functioning, and parenting behaviour.</w:t>
      </w:r>
      <w:r w:rsidRPr="00853F36">
        <w:rPr>
          <w:rStyle w:val="FootnoteReference"/>
        </w:rPr>
        <w:footnoteReference w:id="187"/>
      </w:r>
      <w:r w:rsidRPr="00853F36">
        <w:t xml:space="preserve"> Another meta-analysis of 47 different studies linked family-centred practice to greater family satisfaction, stronger family beliefs of self-efficacy and sense of control, and greater family perceptions of helpfulness of supports and services.</w:t>
      </w:r>
      <w:r w:rsidRPr="00853F36">
        <w:rPr>
          <w:rStyle w:val="FootnoteReference"/>
        </w:rPr>
        <w:footnoteReference w:id="188"/>
      </w:r>
      <w:r w:rsidRPr="00853F36">
        <w:t xml:space="preserve"> </w:t>
      </w:r>
    </w:p>
    <w:p w:rsidR="003E307C" w:rsidRPr="00853F36" w:rsidRDefault="003E307C" w:rsidP="003E307C">
      <w:r w:rsidRPr="00853F36">
        <w:t>Based on the accumulating evidence of the benefits of family based practice, the US Council for exceptional children recommended the following:</w:t>
      </w:r>
      <w:r w:rsidRPr="00853F36">
        <w:rPr>
          <w:rStyle w:val="FootnoteReference"/>
        </w:rPr>
        <w:footnoteReference w:id="189"/>
      </w:r>
    </w:p>
    <w:p w:rsidR="003E307C" w:rsidRPr="00853F36" w:rsidRDefault="003E307C" w:rsidP="003E307C">
      <w:pPr>
        <w:pStyle w:val="ListBullet"/>
        <w:numPr>
          <w:ilvl w:val="0"/>
          <w:numId w:val="1"/>
        </w:numPr>
      </w:pPr>
      <w:r w:rsidRPr="00853F36">
        <w:t>Families and professionals should share responsibility and work collaboratively</w:t>
      </w:r>
    </w:p>
    <w:p w:rsidR="003E307C" w:rsidRPr="00853F36" w:rsidRDefault="003E307C" w:rsidP="003E307C">
      <w:pPr>
        <w:pStyle w:val="ListBullet"/>
        <w:numPr>
          <w:ilvl w:val="0"/>
          <w:numId w:val="1"/>
        </w:numPr>
      </w:pPr>
      <w:r w:rsidRPr="00853F36">
        <w:t>Practices should strengthen family functioning</w:t>
      </w:r>
    </w:p>
    <w:p w:rsidR="003E307C" w:rsidRPr="00853F36" w:rsidRDefault="003E307C" w:rsidP="003E307C">
      <w:pPr>
        <w:pStyle w:val="ListBullet"/>
        <w:numPr>
          <w:ilvl w:val="0"/>
          <w:numId w:val="1"/>
        </w:numPr>
      </w:pPr>
      <w:r w:rsidRPr="00853F36">
        <w:t>Practices should be individualised and flexible</w:t>
      </w:r>
    </w:p>
    <w:p w:rsidR="00DC6120" w:rsidRPr="00DC6120" w:rsidRDefault="003E307C" w:rsidP="004607BA">
      <w:pPr>
        <w:pStyle w:val="ListBullet"/>
      </w:pPr>
      <w:r w:rsidRPr="00853F36">
        <w:t>Practices should be strengths-ba</w:t>
      </w:r>
      <w:r w:rsidR="004607BA">
        <w:t>sed</w:t>
      </w:r>
      <w:r w:rsidR="009A793A">
        <w:t>.</w:t>
      </w:r>
    </w:p>
    <w:p w:rsidR="00DC6120" w:rsidRPr="00853F36" w:rsidRDefault="006A35CF" w:rsidP="00DC6120">
      <w:pPr>
        <w:pStyle w:val="Heading1"/>
        <w:pBdr>
          <w:top w:val="single" w:sz="4" w:space="3" w:color="auto"/>
        </w:pBdr>
      </w:pPr>
      <w:bookmarkStart w:id="241" w:name="_Toc386464547"/>
      <w:bookmarkStart w:id="242" w:name="_Toc386470042"/>
      <w:bookmarkStart w:id="243" w:name="_Toc390269704"/>
      <w:r>
        <w:br w:type="page"/>
      </w:r>
      <w:bookmarkStart w:id="244" w:name="_Toc415733741"/>
      <w:r w:rsidR="00DC6120">
        <w:t xml:space="preserve">Appendix 2: </w:t>
      </w:r>
      <w:bookmarkEnd w:id="241"/>
      <w:bookmarkEnd w:id="242"/>
      <w:bookmarkEnd w:id="243"/>
      <w:r>
        <w:t xml:space="preserve"> </w:t>
      </w:r>
      <w:r w:rsidR="00DC6120">
        <w:t>Teamwork</w:t>
      </w:r>
      <w:bookmarkEnd w:id="244"/>
    </w:p>
    <w:p w:rsidR="00DC6120" w:rsidRDefault="00DC6120" w:rsidP="007A31B0">
      <w:pPr>
        <w:pStyle w:val="Heading2"/>
      </w:pPr>
      <w:bookmarkStart w:id="245" w:name="_Toc415733742"/>
      <w:r>
        <w:t>Explaining teamwork</w:t>
      </w:r>
      <w:bookmarkEnd w:id="245"/>
      <w:r>
        <w:t xml:space="preserve"> </w:t>
      </w:r>
    </w:p>
    <w:p w:rsidR="00DC6120" w:rsidRDefault="00DC6120" w:rsidP="00DC6120">
      <w:r w:rsidRPr="00853F36">
        <w:t>The WHO (2010)</w:t>
      </w:r>
      <w:r w:rsidRPr="00853F36">
        <w:rPr>
          <w:rStyle w:val="FootnoteReference"/>
        </w:rPr>
        <w:footnoteReference w:id="190"/>
      </w:r>
      <w:r w:rsidRPr="00853F36">
        <w:t xml:space="preserve"> uses the term inter-professional collaboration (IPC)</w:t>
      </w:r>
      <w:r w:rsidRPr="00853F36">
        <w:rPr>
          <w:rStyle w:val="FootnoteReference"/>
        </w:rPr>
        <w:footnoteReference w:id="191"/>
      </w:r>
      <w:r w:rsidRPr="00853F36">
        <w:t xml:space="preserve"> to describe the situation of professions using a team approach with a common purpose and commitment. IPC is the process by which different professional groups work together to positively affect health.</w:t>
      </w:r>
      <w:r w:rsidRPr="00853F36">
        <w:rPr>
          <w:rStyle w:val="FootnoteReference"/>
        </w:rPr>
        <w:footnoteReference w:id="192"/>
      </w:r>
      <w:r w:rsidRPr="00853F36">
        <w:t xml:space="preserve"> A team approach involves ‘formally coordinated service delivery, provided by various disciplinary professionals who collaborate to varying degrees to provide appropriate services’.</w:t>
      </w:r>
      <w:r w:rsidRPr="00853F36">
        <w:rPr>
          <w:rStyle w:val="FootnoteReference"/>
        </w:rPr>
        <w:footnoteReference w:id="193"/>
      </w:r>
      <w:r w:rsidRPr="00853F36">
        <w:t xml:space="preserve"> </w:t>
      </w:r>
    </w:p>
    <w:p w:rsidR="00DC6120" w:rsidRPr="00853F36" w:rsidRDefault="00DC6120" w:rsidP="00DC6120">
      <w:pPr>
        <w:pStyle w:val="ListBullet"/>
        <w:numPr>
          <w:ilvl w:val="0"/>
          <w:numId w:val="0"/>
        </w:numPr>
      </w:pPr>
      <w:r w:rsidRPr="00853F36">
        <w:t>Collaboration bet</w:t>
      </w:r>
      <w:r>
        <w:t>ween different professionals can be</w:t>
      </w:r>
      <w:r w:rsidRPr="00853F36">
        <w:t xml:space="preserve"> defined as a style for direc</w:t>
      </w:r>
      <w:r>
        <w:t>t interaction between at least two</w:t>
      </w:r>
      <w:r w:rsidRPr="00853F36">
        <w:t xml:space="preserve"> coequal parties</w:t>
      </w:r>
      <w:r>
        <w:t>,</w:t>
      </w:r>
      <w:r w:rsidRPr="00853F36">
        <w:t xml:space="preserve"> voluntarily engaged in </w:t>
      </w:r>
      <w:r>
        <w:t>sharing decision-</w:t>
      </w:r>
      <w:r w:rsidRPr="00853F36">
        <w:t>making as they work towards a common goal.</w:t>
      </w:r>
      <w:r w:rsidRPr="00853F36">
        <w:rPr>
          <w:rStyle w:val="FootnoteReference"/>
        </w:rPr>
        <w:footnoteReference w:id="194"/>
      </w:r>
      <w:r w:rsidRPr="00853F36">
        <w:t xml:space="preserve"> Principles to enable collaboration include:</w:t>
      </w:r>
    </w:p>
    <w:p w:rsidR="00DC6120" w:rsidRPr="00853F36" w:rsidRDefault="00DC6120" w:rsidP="00DC6120">
      <w:pPr>
        <w:pStyle w:val="ListBullet"/>
        <w:numPr>
          <w:ilvl w:val="0"/>
          <w:numId w:val="1"/>
        </w:numPr>
      </w:pPr>
      <w:r w:rsidRPr="00853F36">
        <w:t>Form a committed team – true commitment from all to work as a team</w:t>
      </w:r>
    </w:p>
    <w:p w:rsidR="00DC6120" w:rsidRPr="00853F36" w:rsidRDefault="00DC6120" w:rsidP="00DC6120">
      <w:pPr>
        <w:pStyle w:val="ListBullet"/>
        <w:numPr>
          <w:ilvl w:val="0"/>
          <w:numId w:val="1"/>
        </w:numPr>
      </w:pPr>
      <w:r w:rsidRPr="00853F36">
        <w:t>Identify and work on a joint problem – tap into each other’s expertise</w:t>
      </w:r>
    </w:p>
    <w:p w:rsidR="00DC6120" w:rsidRPr="00853F36" w:rsidRDefault="00BE4E14" w:rsidP="00DC6120">
      <w:pPr>
        <w:pStyle w:val="ListBullet"/>
        <w:numPr>
          <w:ilvl w:val="0"/>
          <w:numId w:val="1"/>
        </w:numPr>
      </w:pPr>
      <w:r>
        <w:t>I</w:t>
      </w:r>
      <w:r w:rsidR="00DC6120" w:rsidRPr="00853F36">
        <w:t xml:space="preserve">nformal and formal exchanges which communicate roles </w:t>
      </w:r>
    </w:p>
    <w:p w:rsidR="00DC6120" w:rsidRPr="00853F36" w:rsidRDefault="00DC6120" w:rsidP="00DC6120">
      <w:pPr>
        <w:pStyle w:val="ListBullet"/>
        <w:numPr>
          <w:ilvl w:val="0"/>
          <w:numId w:val="1"/>
        </w:numPr>
        <w:spacing w:after="240"/>
      </w:pPr>
      <w:r w:rsidRPr="00853F36">
        <w:t>Leadership –address institutional barriers, reflect on effectiveness of teamwork</w:t>
      </w:r>
      <w:r w:rsidR="00BE4E14">
        <w:t>.</w:t>
      </w:r>
      <w:r w:rsidRPr="00853F36">
        <w:rPr>
          <w:rStyle w:val="FootnoteReference"/>
        </w:rPr>
        <w:footnoteReference w:id="195"/>
      </w:r>
    </w:p>
    <w:p w:rsidR="00DC6120" w:rsidRDefault="00DC6120" w:rsidP="00DC6120">
      <w:r w:rsidRPr="00853F36">
        <w:t>Regardless of the collaboration model used, the need for teamwork is built upon the assumption that no one profession or discipline has all of the necessary skills and knowledge to meet the complex needs of clients.</w:t>
      </w:r>
      <w:r w:rsidRPr="00853F36">
        <w:rPr>
          <w:rStyle w:val="FootnoteReference"/>
        </w:rPr>
        <w:footnoteReference w:id="196"/>
      </w:r>
      <w:r w:rsidRPr="00853F36">
        <w:t xml:space="preserve"> The goal of collaborative practice is that professionals from different disciplines work together and communicate frequently to optimize client care. The team should focus on achieving certain outcomes and overcoming problems. Each member contributes his or her knowledge and skill and takes into account the others’ contributions to facilitate holistic management of a person’s complex health problems.</w:t>
      </w:r>
      <w:r w:rsidRPr="00853F36">
        <w:rPr>
          <w:rStyle w:val="FootnoteReference"/>
        </w:rPr>
        <w:footnoteReference w:id="197"/>
      </w:r>
      <w:r w:rsidRPr="00853F36">
        <w:t xml:space="preserve"> The value of collaborative practice lies in its potential to offer multiple perspectives on clinical issues and create opportunities for enhancing collaborative care.</w:t>
      </w:r>
      <w:r w:rsidRPr="00853F36">
        <w:rPr>
          <w:rStyle w:val="FootnoteReference"/>
        </w:rPr>
        <w:footnoteReference w:id="198"/>
      </w:r>
      <w:r>
        <w:t xml:space="preserve"> </w:t>
      </w:r>
    </w:p>
    <w:p w:rsidR="00DC6120" w:rsidRPr="00853F36" w:rsidRDefault="00DC6120" w:rsidP="00DC6120">
      <w:r w:rsidRPr="00853F36">
        <w:t>While current thought and practice considers that inter-professional teams or IPC are more likely to provide consistent and cont</w:t>
      </w:r>
      <w:r>
        <w:t xml:space="preserve">inuous care to clients, </w:t>
      </w:r>
      <w:r w:rsidRPr="00853F36">
        <w:t>the literature provides limited evidence of the actual impact of IPC on client care and outcomes.</w:t>
      </w:r>
      <w:r w:rsidRPr="00853F36">
        <w:rPr>
          <w:rStyle w:val="FootnoteReference"/>
        </w:rPr>
        <w:footnoteReference w:id="199"/>
      </w:r>
    </w:p>
    <w:p w:rsidR="00DC6120" w:rsidRPr="00853F36" w:rsidRDefault="00DC6120" w:rsidP="00DC6120">
      <w:r>
        <w:t>D</w:t>
      </w:r>
      <w:r w:rsidRPr="00853F36">
        <w:t>efinitions of different kinds of teams a</w:t>
      </w:r>
      <w:r>
        <w:t>long a continuum may be helpful. However,</w:t>
      </w:r>
      <w:r w:rsidRPr="00853F36">
        <w:t xml:space="preserve"> </w:t>
      </w:r>
      <w:r>
        <w:t xml:space="preserve">in reality, </w:t>
      </w:r>
      <w:r w:rsidRPr="00853F36">
        <w:t>the actual process of team working is not clearly defined. In some instances</w:t>
      </w:r>
      <w:r>
        <w:t>,</w:t>
      </w:r>
      <w:r w:rsidRPr="00853F36">
        <w:t xml:space="preserve"> team members may find that they adopt different approaches depending</w:t>
      </w:r>
      <w:r>
        <w:t xml:space="preserve"> on the needs of the client/</w:t>
      </w:r>
      <w:r w:rsidRPr="00853F36">
        <w:t>client group. However, the concept of a continuum can be useful and may support team members to consider how they are functioning. The level of collaboration between team members is one of the defining criteria and perhaps</w:t>
      </w:r>
      <w:r w:rsidR="008128FB">
        <w:t>,</w:t>
      </w:r>
      <w:r w:rsidRPr="00853F36">
        <w:t xml:space="preserve"> for some teams in the early stages of development</w:t>
      </w:r>
      <w:r w:rsidR="008128FB">
        <w:t>,</w:t>
      </w:r>
      <w:r w:rsidRPr="00853F36">
        <w:t xml:space="preserve"> it may be helpful to consider how well they are doing around basic information sharing, providing feedback and consulting on shared care arrangements.</w:t>
      </w:r>
      <w:r w:rsidRPr="00853F36">
        <w:rPr>
          <w:rStyle w:val="FootnoteReference"/>
        </w:rPr>
        <w:footnoteReference w:id="200"/>
      </w:r>
    </w:p>
    <w:p w:rsidR="00DC6120" w:rsidRPr="006D5136" w:rsidRDefault="00DC6120" w:rsidP="00DC6120">
      <w:pPr>
        <w:pStyle w:val="ListBullet"/>
        <w:numPr>
          <w:ilvl w:val="0"/>
          <w:numId w:val="0"/>
        </w:numPr>
      </w:pPr>
      <w:r w:rsidRPr="00853F36">
        <w:t>Team development goes through the stages of forming, st</w:t>
      </w:r>
      <w:r>
        <w:t>orming, norming and performing</w:t>
      </w:r>
      <w:r w:rsidRPr="006D5136">
        <w:t xml:space="preserve"> </w:t>
      </w:r>
      <w:r>
        <w:t>and t</w:t>
      </w:r>
      <w:r w:rsidRPr="006D5136">
        <w:t xml:space="preserve">raining </w:t>
      </w:r>
      <w:r>
        <w:t xml:space="preserve">for teamwork </w:t>
      </w:r>
      <w:r w:rsidRPr="006D5136">
        <w:t xml:space="preserve">has been shown to be effective in a range of environments including commercial aviation and military operations </w:t>
      </w:r>
      <w:r w:rsidRPr="006D5136">
        <w:rPr>
          <w:rStyle w:val="FootnoteReference"/>
        </w:rPr>
        <w:footnoteReference w:id="201"/>
      </w:r>
      <w:r w:rsidRPr="006D5136">
        <w:t xml:space="preserve"> </w:t>
      </w:r>
      <w:r>
        <w:t xml:space="preserve">and </w:t>
      </w:r>
      <w:r w:rsidRPr="006D5136">
        <w:t>increasing client safety.</w:t>
      </w:r>
      <w:r w:rsidRPr="006D5136">
        <w:rPr>
          <w:rStyle w:val="FootnoteReference"/>
        </w:rPr>
        <w:footnoteReference w:id="202"/>
      </w:r>
    </w:p>
    <w:p w:rsidR="00DC6120" w:rsidRDefault="00DC6120" w:rsidP="007A31B0">
      <w:pPr>
        <w:pStyle w:val="Heading2"/>
      </w:pPr>
      <w:bookmarkStart w:id="246" w:name="_Toc415733743"/>
      <w:r>
        <w:t>Teamwork: Benefits and barriers</w:t>
      </w:r>
      <w:bookmarkEnd w:id="246"/>
    </w:p>
    <w:p w:rsidR="00DC6120" w:rsidRPr="00853F36" w:rsidRDefault="00DC6120" w:rsidP="00DC6120">
      <w:r>
        <w:t>The potential benefits of team</w:t>
      </w:r>
      <w:r w:rsidRPr="00853F36">
        <w:t>wo</w:t>
      </w:r>
      <w:r>
        <w:t>rk are self-</w:t>
      </w:r>
      <w:r w:rsidRPr="00853F36">
        <w:t>evident although there are also barriers to achieving effective teams. Benefits of teamwork to professionals and service users include:</w:t>
      </w:r>
      <w:r w:rsidRPr="00853F36">
        <w:rPr>
          <w:rStyle w:val="FootnoteReference"/>
        </w:rPr>
        <w:footnoteReference w:id="203"/>
      </w:r>
    </w:p>
    <w:p w:rsidR="00DC6120" w:rsidRPr="00853F36" w:rsidRDefault="00DC6120" w:rsidP="00DC6120">
      <w:pPr>
        <w:pStyle w:val="ListBullet"/>
        <w:numPr>
          <w:ilvl w:val="0"/>
          <w:numId w:val="1"/>
        </w:numPr>
      </w:pPr>
      <w:r w:rsidRPr="00853F36">
        <w:t>Continuity of care</w:t>
      </w:r>
    </w:p>
    <w:p w:rsidR="00DC6120" w:rsidRPr="00853F36" w:rsidRDefault="00DC6120" w:rsidP="00DC6120">
      <w:pPr>
        <w:pStyle w:val="ListBullet"/>
        <w:numPr>
          <w:ilvl w:val="0"/>
          <w:numId w:val="1"/>
        </w:numPr>
      </w:pPr>
      <w:r w:rsidRPr="00853F36">
        <w:t>The ability to take a comprehensive, holistic view of the service user’s needs</w:t>
      </w:r>
    </w:p>
    <w:p w:rsidR="00DC6120" w:rsidRPr="00853F36" w:rsidRDefault="00DC6120" w:rsidP="00DC6120">
      <w:pPr>
        <w:pStyle w:val="ListBullet"/>
        <w:numPr>
          <w:ilvl w:val="0"/>
          <w:numId w:val="1"/>
        </w:numPr>
      </w:pPr>
      <w:r w:rsidRPr="00853F36">
        <w:t>The availability of a range of skills and mutual support and education</w:t>
      </w:r>
    </w:p>
    <w:p w:rsidR="00DC6120" w:rsidRPr="00853F36" w:rsidRDefault="00DC6120" w:rsidP="00DC6120">
      <w:pPr>
        <w:pStyle w:val="ListBullet"/>
        <w:numPr>
          <w:ilvl w:val="0"/>
          <w:numId w:val="1"/>
        </w:numPr>
        <w:spacing w:after="240"/>
        <w:ind w:left="357" w:hanging="357"/>
      </w:pPr>
      <w:r w:rsidRPr="00853F36">
        <w:t>Support from colleagues is an important source of reward to team members</w:t>
      </w:r>
    </w:p>
    <w:p w:rsidR="00DC6120" w:rsidRPr="00853F36" w:rsidRDefault="00DC6120" w:rsidP="00DC6120">
      <w:r w:rsidRPr="00853F36">
        <w:t>Barriers to teamwork include:</w:t>
      </w:r>
    </w:p>
    <w:p w:rsidR="00DC6120" w:rsidRPr="00853F36" w:rsidRDefault="00DC6120" w:rsidP="00DC6120">
      <w:pPr>
        <w:pStyle w:val="ListBullet"/>
        <w:numPr>
          <w:ilvl w:val="0"/>
          <w:numId w:val="1"/>
        </w:numPr>
      </w:pPr>
      <w:r w:rsidRPr="00853F36">
        <w:t>Professional rivalry and mistrust</w:t>
      </w:r>
    </w:p>
    <w:p w:rsidR="00DC6120" w:rsidRPr="00853F36" w:rsidRDefault="00DC6120" w:rsidP="00DC6120">
      <w:pPr>
        <w:pStyle w:val="ListBullet"/>
        <w:numPr>
          <w:ilvl w:val="0"/>
          <w:numId w:val="1"/>
        </w:numPr>
      </w:pPr>
      <w:r w:rsidRPr="00853F36">
        <w:t>Lack of support for team-working from key professionals and health managers/ administrators</w:t>
      </w:r>
    </w:p>
    <w:p w:rsidR="00DC6120" w:rsidRPr="00853F36" w:rsidRDefault="00DC6120" w:rsidP="00DC6120">
      <w:pPr>
        <w:pStyle w:val="ListBullet"/>
        <w:numPr>
          <w:ilvl w:val="0"/>
          <w:numId w:val="1"/>
        </w:numPr>
      </w:pPr>
      <w:r w:rsidRPr="00853F36">
        <w:t>Confidentiality issues</w:t>
      </w:r>
    </w:p>
    <w:p w:rsidR="00DC6120" w:rsidRPr="00853F36" w:rsidRDefault="00DC6120" w:rsidP="00DC6120">
      <w:pPr>
        <w:pStyle w:val="ListBullet"/>
        <w:numPr>
          <w:ilvl w:val="0"/>
          <w:numId w:val="1"/>
        </w:numPr>
      </w:pPr>
      <w:r w:rsidRPr="00853F36">
        <w:t>Lack of knowledge of what other health professionals do and what unique skills they have to offer</w:t>
      </w:r>
    </w:p>
    <w:p w:rsidR="00DC6120" w:rsidRPr="00853F36" w:rsidRDefault="00DC6120" w:rsidP="00DC6120">
      <w:pPr>
        <w:pStyle w:val="ListBullet"/>
        <w:numPr>
          <w:ilvl w:val="0"/>
          <w:numId w:val="1"/>
        </w:numPr>
        <w:spacing w:after="240"/>
      </w:pPr>
      <w:r w:rsidRPr="00853F36">
        <w:t>Lack of training in team working is a significant barrier to effective teams.</w:t>
      </w:r>
      <w:r w:rsidRPr="00853F36">
        <w:rPr>
          <w:rStyle w:val="FootnoteReference"/>
        </w:rPr>
        <w:footnoteReference w:id="204"/>
      </w:r>
    </w:p>
    <w:p w:rsidR="00DC6120" w:rsidRPr="00853F36" w:rsidRDefault="008128FB" w:rsidP="00DC6120">
      <w:r>
        <w:t>T</w:t>
      </w:r>
      <w:r w:rsidR="00DC6120">
        <w:t xml:space="preserve">he NDA spoke to therapists in different parts of Ireland. A member of the Sligo EIT team reported on the joint experience of herself and her colleagues on </w:t>
      </w:r>
      <w:r w:rsidR="00DC6120" w:rsidRPr="00853F36">
        <w:t>inter</w:t>
      </w:r>
      <w:r w:rsidR="00DC6120">
        <w:t>-</w:t>
      </w:r>
      <w:r w:rsidR="00DC6120" w:rsidRPr="00853F36">
        <w:t>disciplinary work</w:t>
      </w:r>
      <w:r w:rsidR="00DC6120">
        <w:t>:</w:t>
      </w:r>
      <w:r w:rsidR="00DC6120" w:rsidRPr="00853F36">
        <w:rPr>
          <w:rStyle w:val="FootnoteReference"/>
        </w:rPr>
        <w:footnoteReference w:id="205"/>
      </w:r>
    </w:p>
    <w:p w:rsidR="00DC6120" w:rsidRPr="00853F36" w:rsidRDefault="00DC6120" w:rsidP="007A31B0">
      <w:pPr>
        <w:pStyle w:val="Heading3"/>
      </w:pPr>
      <w:bookmarkStart w:id="247" w:name="_Toc415667051"/>
      <w:bookmarkStart w:id="248" w:name="_Toc415733744"/>
      <w:r w:rsidRPr="00853F36">
        <w:t>Benefits of interdisciplinary work for the service user:</w:t>
      </w:r>
      <w:bookmarkEnd w:id="247"/>
      <w:bookmarkEnd w:id="248"/>
    </w:p>
    <w:p w:rsidR="00DC6120" w:rsidRPr="00853F36" w:rsidRDefault="00DC6120" w:rsidP="00DC6120">
      <w:pPr>
        <w:pStyle w:val="ListBullet"/>
        <w:numPr>
          <w:ilvl w:val="0"/>
          <w:numId w:val="1"/>
        </w:numPr>
      </w:pPr>
      <w:r w:rsidRPr="00853F36">
        <w:t>Reduced number of appointments</w:t>
      </w:r>
    </w:p>
    <w:p w:rsidR="00DC6120" w:rsidRPr="00853F36" w:rsidRDefault="00DC6120" w:rsidP="00DC6120">
      <w:pPr>
        <w:pStyle w:val="ListBullet"/>
        <w:numPr>
          <w:ilvl w:val="0"/>
          <w:numId w:val="1"/>
        </w:numPr>
      </w:pPr>
      <w:r>
        <w:t>Team communicating around the</w:t>
      </w:r>
      <w:r w:rsidRPr="00853F36">
        <w:t xml:space="preserve"> child </w:t>
      </w:r>
    </w:p>
    <w:p w:rsidR="00DC6120" w:rsidRPr="00853F36" w:rsidRDefault="00DC6120" w:rsidP="00DC6120">
      <w:pPr>
        <w:pStyle w:val="ListBullet"/>
        <w:numPr>
          <w:ilvl w:val="0"/>
          <w:numId w:val="1"/>
        </w:numPr>
      </w:pPr>
      <w:r w:rsidRPr="00853F36">
        <w:t>Holistic approach</w:t>
      </w:r>
    </w:p>
    <w:p w:rsidR="00DC6120" w:rsidRPr="00853F36" w:rsidRDefault="00DC6120" w:rsidP="00DC6120">
      <w:pPr>
        <w:pStyle w:val="ListBullet"/>
        <w:numPr>
          <w:ilvl w:val="0"/>
          <w:numId w:val="1"/>
        </w:numPr>
      </w:pPr>
      <w:r w:rsidRPr="00853F36">
        <w:t>Quality time</w:t>
      </w:r>
      <w:r w:rsidR="008128FB">
        <w:t>,</w:t>
      </w:r>
      <w:r w:rsidRPr="00853F36">
        <w:t xml:space="preserve"> which can enable one therapist to explain session activities</w:t>
      </w:r>
      <w:r w:rsidR="008128FB">
        <w:t>,</w:t>
      </w:r>
      <w:r w:rsidRPr="00853F36">
        <w:t xml:space="preserve"> while </w:t>
      </w:r>
      <w:r>
        <w:t>an</w:t>
      </w:r>
      <w:r w:rsidRPr="00853F36">
        <w:t xml:space="preserve">other therapist </w:t>
      </w:r>
      <w:r>
        <w:t xml:space="preserve">is </w:t>
      </w:r>
      <w:r w:rsidRPr="00853F36">
        <w:t>working with the child</w:t>
      </w:r>
    </w:p>
    <w:p w:rsidR="00DC6120" w:rsidRPr="00853F36" w:rsidRDefault="00DC6120" w:rsidP="00DC6120">
      <w:pPr>
        <w:pStyle w:val="ListBullet"/>
        <w:numPr>
          <w:ilvl w:val="0"/>
          <w:numId w:val="1"/>
        </w:numPr>
      </w:pPr>
      <w:r w:rsidRPr="00853F36">
        <w:t>Parents</w:t>
      </w:r>
      <w:r>
        <w:t>’</w:t>
      </w:r>
      <w:r w:rsidRPr="00853F36">
        <w:t xml:space="preserve"> awareness of multiple goals incorporated in one activity</w:t>
      </w:r>
    </w:p>
    <w:p w:rsidR="00DC6120" w:rsidRPr="00853F36" w:rsidRDefault="00DC6120" w:rsidP="00DC6120">
      <w:pPr>
        <w:pStyle w:val="ListBullet"/>
        <w:numPr>
          <w:ilvl w:val="0"/>
          <w:numId w:val="1"/>
        </w:numPr>
      </w:pPr>
      <w:r w:rsidRPr="00853F36">
        <w:t>Children focus longer</w:t>
      </w:r>
      <w:r w:rsidR="008128FB">
        <w:t>,</w:t>
      </w:r>
      <w:r w:rsidRPr="00853F36">
        <w:t xml:space="preserve"> as tasks are aimed at appropriate developmental level</w:t>
      </w:r>
    </w:p>
    <w:p w:rsidR="00DC6120" w:rsidRPr="00853F36" w:rsidRDefault="00DC6120" w:rsidP="00DC6120">
      <w:pPr>
        <w:pStyle w:val="ListBullet"/>
        <w:numPr>
          <w:ilvl w:val="0"/>
          <w:numId w:val="1"/>
        </w:numPr>
      </w:pPr>
      <w:r w:rsidRPr="00853F36">
        <w:t xml:space="preserve">Better management of behavioural difficulties </w:t>
      </w:r>
    </w:p>
    <w:p w:rsidR="00DC6120" w:rsidRPr="00853F36" w:rsidRDefault="00DC6120" w:rsidP="00DC6120">
      <w:pPr>
        <w:pStyle w:val="ListBullet"/>
        <w:numPr>
          <w:ilvl w:val="0"/>
          <w:numId w:val="1"/>
        </w:numPr>
        <w:spacing w:after="240"/>
      </w:pPr>
      <w:r w:rsidRPr="00853F36">
        <w:t>Good team working reduces parental anxiety and stress levels</w:t>
      </w:r>
    </w:p>
    <w:p w:rsidR="00DC6120" w:rsidRPr="00853F36" w:rsidRDefault="00DC6120" w:rsidP="007A31B0">
      <w:pPr>
        <w:pStyle w:val="Heading3"/>
      </w:pPr>
      <w:bookmarkStart w:id="249" w:name="_Toc415667052"/>
      <w:bookmarkStart w:id="250" w:name="_Toc415733745"/>
      <w:r w:rsidRPr="00853F36">
        <w:t>Benefits of interdisciplinary work for therapists:</w:t>
      </w:r>
      <w:bookmarkEnd w:id="249"/>
      <w:bookmarkEnd w:id="250"/>
    </w:p>
    <w:p w:rsidR="00DC6120" w:rsidRPr="00853F36" w:rsidRDefault="00DC6120" w:rsidP="00DC6120">
      <w:pPr>
        <w:pStyle w:val="ListBullet"/>
        <w:numPr>
          <w:ilvl w:val="0"/>
          <w:numId w:val="1"/>
        </w:numPr>
      </w:pPr>
      <w:r w:rsidRPr="00853F36">
        <w:t>Awareness of each other’s roles and goals with children</w:t>
      </w:r>
    </w:p>
    <w:p w:rsidR="00DC6120" w:rsidRPr="00853F36" w:rsidRDefault="00DC6120" w:rsidP="00DC6120">
      <w:pPr>
        <w:pStyle w:val="ListBullet"/>
        <w:numPr>
          <w:ilvl w:val="0"/>
          <w:numId w:val="1"/>
        </w:numPr>
      </w:pPr>
      <w:r w:rsidRPr="00853F36">
        <w:t>Holistic approach</w:t>
      </w:r>
    </w:p>
    <w:p w:rsidR="00DC6120" w:rsidRPr="00853F36" w:rsidRDefault="00DC6120" w:rsidP="00DC6120">
      <w:pPr>
        <w:pStyle w:val="ListBullet"/>
        <w:numPr>
          <w:ilvl w:val="0"/>
          <w:numId w:val="1"/>
        </w:numPr>
      </w:pPr>
      <w:r w:rsidRPr="00853F36">
        <w:t>Shared responsibility e.g. anxious / demanding parents</w:t>
      </w:r>
    </w:p>
    <w:p w:rsidR="00DC6120" w:rsidRPr="00853F36" w:rsidRDefault="00DC6120" w:rsidP="00DC6120">
      <w:pPr>
        <w:pStyle w:val="ListBullet"/>
        <w:numPr>
          <w:ilvl w:val="0"/>
          <w:numId w:val="1"/>
        </w:numPr>
      </w:pPr>
      <w:r w:rsidRPr="00853F36">
        <w:t>Overlap between areas of development</w:t>
      </w:r>
    </w:p>
    <w:p w:rsidR="00DC6120" w:rsidRPr="00853F36" w:rsidRDefault="00DC6120" w:rsidP="00DC6120">
      <w:pPr>
        <w:pStyle w:val="ListBullet"/>
        <w:numPr>
          <w:ilvl w:val="0"/>
          <w:numId w:val="1"/>
        </w:numPr>
      </w:pPr>
      <w:r w:rsidRPr="00853F36">
        <w:t>Shared planning, evaluation of client and documentation</w:t>
      </w:r>
    </w:p>
    <w:p w:rsidR="00DC6120" w:rsidRPr="00853F36" w:rsidRDefault="00DC6120" w:rsidP="00DC6120">
      <w:pPr>
        <w:pStyle w:val="ListBullet"/>
        <w:numPr>
          <w:ilvl w:val="0"/>
          <w:numId w:val="1"/>
        </w:numPr>
      </w:pPr>
      <w:r w:rsidRPr="00853F36">
        <w:t>Reduce number of phone calls, emails and correspondence</w:t>
      </w:r>
    </w:p>
    <w:p w:rsidR="00DC6120" w:rsidRPr="00853F36" w:rsidRDefault="00DC6120" w:rsidP="00DC6120">
      <w:pPr>
        <w:pStyle w:val="ListBullet"/>
        <w:numPr>
          <w:ilvl w:val="0"/>
          <w:numId w:val="1"/>
        </w:numPr>
      </w:pPr>
      <w:r w:rsidRPr="00853F36">
        <w:t>Allows carryover of discipline specific goals or activities (annual leave, sick leave or one to one sessions, visits)</w:t>
      </w:r>
    </w:p>
    <w:p w:rsidR="00DC6120" w:rsidRPr="00853F36" w:rsidRDefault="00DC6120" w:rsidP="00DC6120">
      <w:pPr>
        <w:pStyle w:val="ListBullet"/>
        <w:numPr>
          <w:ilvl w:val="0"/>
          <w:numId w:val="1"/>
        </w:numPr>
      </w:pPr>
      <w:r w:rsidRPr="00853F36">
        <w:t>Grounded understanding of goals in action</w:t>
      </w:r>
    </w:p>
    <w:p w:rsidR="00DC6120" w:rsidRPr="00853F36" w:rsidRDefault="00DC6120" w:rsidP="00DC6120">
      <w:pPr>
        <w:pStyle w:val="ListBullet"/>
        <w:numPr>
          <w:ilvl w:val="0"/>
          <w:numId w:val="1"/>
        </w:numPr>
      </w:pPr>
      <w:r w:rsidRPr="00853F36">
        <w:t>Generating new activities which creates a more diverse work experience</w:t>
      </w:r>
    </w:p>
    <w:p w:rsidR="00DC6120" w:rsidRPr="00853F36" w:rsidRDefault="00DC6120" w:rsidP="00DC6120">
      <w:pPr>
        <w:pStyle w:val="ListBullet"/>
        <w:numPr>
          <w:ilvl w:val="0"/>
          <w:numId w:val="1"/>
        </w:numPr>
      </w:pPr>
      <w:r w:rsidRPr="00853F36">
        <w:t>Positive mutual learning environment and ability to reflect within sessions momentarily while other therapist engaged with the child</w:t>
      </w:r>
    </w:p>
    <w:p w:rsidR="00DC6120" w:rsidRPr="00853F36" w:rsidRDefault="00DC6120" w:rsidP="00DC6120">
      <w:pPr>
        <w:pStyle w:val="ListBullet"/>
        <w:numPr>
          <w:ilvl w:val="0"/>
          <w:numId w:val="1"/>
        </w:numPr>
      </w:pPr>
      <w:r w:rsidRPr="00853F36">
        <w:t>Good team working reduces stress levels of clinicians and creates a more positive working environment</w:t>
      </w:r>
    </w:p>
    <w:p w:rsidR="00DC6120" w:rsidRPr="00853F36" w:rsidRDefault="00DC6120" w:rsidP="00DC6120">
      <w:pPr>
        <w:pStyle w:val="ListBullet"/>
        <w:numPr>
          <w:ilvl w:val="0"/>
          <w:numId w:val="1"/>
        </w:numPr>
        <w:spacing w:after="240"/>
      </w:pPr>
      <w:r w:rsidRPr="00853F36">
        <w:t>Joint note writing</w:t>
      </w:r>
    </w:p>
    <w:p w:rsidR="00DC6120" w:rsidRPr="00853F36" w:rsidRDefault="00DC6120" w:rsidP="007A31B0">
      <w:pPr>
        <w:pStyle w:val="Heading3"/>
      </w:pPr>
      <w:bookmarkStart w:id="251" w:name="_Toc415667053"/>
      <w:bookmarkStart w:id="252" w:name="_Toc415733746"/>
      <w:r w:rsidRPr="00853F36">
        <w:t>Benefits interdisciplinary work for Disability Services:</w:t>
      </w:r>
      <w:bookmarkEnd w:id="251"/>
      <w:bookmarkEnd w:id="252"/>
    </w:p>
    <w:p w:rsidR="00DC6120" w:rsidRPr="00853F36" w:rsidRDefault="00DC6120" w:rsidP="00DC6120">
      <w:pPr>
        <w:pStyle w:val="ListBullet"/>
        <w:numPr>
          <w:ilvl w:val="0"/>
          <w:numId w:val="1"/>
        </w:numPr>
      </w:pPr>
      <w:r w:rsidRPr="00853F36">
        <w:t xml:space="preserve">Waiting lists- child removed by all disciplines at one time versus </w:t>
      </w:r>
      <w:proofErr w:type="spellStart"/>
      <w:r w:rsidRPr="00853F36">
        <w:t>uni</w:t>
      </w:r>
      <w:proofErr w:type="spellEnd"/>
      <w:r w:rsidRPr="00853F36">
        <w:t>-disciplinary segmented approach</w:t>
      </w:r>
    </w:p>
    <w:p w:rsidR="00DC6120" w:rsidRPr="00853F36" w:rsidRDefault="00DC6120" w:rsidP="00DC6120">
      <w:pPr>
        <w:pStyle w:val="ListBullet"/>
        <w:numPr>
          <w:ilvl w:val="0"/>
          <w:numId w:val="1"/>
        </w:numPr>
      </w:pPr>
      <w:r w:rsidRPr="00853F36">
        <w:t>Clients goals are identified earlier enabling them to be addressed sooner and more appropriately</w:t>
      </w:r>
    </w:p>
    <w:p w:rsidR="00DC6120" w:rsidRPr="00853F36" w:rsidRDefault="00DC6120" w:rsidP="00DC6120">
      <w:pPr>
        <w:pStyle w:val="ListBullet"/>
        <w:numPr>
          <w:ilvl w:val="0"/>
          <w:numId w:val="1"/>
        </w:numPr>
      </w:pPr>
      <w:r w:rsidRPr="00853F36">
        <w:t>Groups are generated more readily due to understanding of client’s needs</w:t>
      </w:r>
    </w:p>
    <w:p w:rsidR="00DC6120" w:rsidRPr="00853F36" w:rsidRDefault="00DC6120" w:rsidP="00DC6120">
      <w:pPr>
        <w:pStyle w:val="ListBullet"/>
        <w:numPr>
          <w:ilvl w:val="0"/>
          <w:numId w:val="1"/>
        </w:numPr>
      </w:pPr>
      <w:r w:rsidRPr="00853F36">
        <w:t>Priority of disciplines needed at specific times in the child’s development</w:t>
      </w:r>
    </w:p>
    <w:p w:rsidR="00DC6120" w:rsidRPr="00853F36" w:rsidRDefault="00DC6120" w:rsidP="00DC6120">
      <w:pPr>
        <w:pStyle w:val="ListBullet"/>
        <w:numPr>
          <w:ilvl w:val="0"/>
          <w:numId w:val="1"/>
        </w:numPr>
      </w:pPr>
      <w:r w:rsidRPr="00853F36">
        <w:t xml:space="preserve">Unrecognised areas of need create difficulties for </w:t>
      </w:r>
      <w:proofErr w:type="spellStart"/>
      <w:r w:rsidRPr="00853F36">
        <w:t>uni</w:t>
      </w:r>
      <w:proofErr w:type="spellEnd"/>
      <w:r w:rsidRPr="00853F36">
        <w:t>-disciplinary working</w:t>
      </w:r>
    </w:p>
    <w:p w:rsidR="00DC6120" w:rsidRPr="00853F36" w:rsidRDefault="00DC6120" w:rsidP="00DC6120">
      <w:pPr>
        <w:pStyle w:val="ListBullet"/>
        <w:numPr>
          <w:ilvl w:val="0"/>
          <w:numId w:val="1"/>
        </w:numPr>
      </w:pPr>
      <w:r w:rsidRPr="00853F36">
        <w:t>Sessions are more holistic and richer</w:t>
      </w:r>
    </w:p>
    <w:p w:rsidR="00DC6120" w:rsidRPr="00853F36" w:rsidRDefault="00DC6120" w:rsidP="00DC6120">
      <w:pPr>
        <w:pStyle w:val="ListBullet"/>
        <w:numPr>
          <w:ilvl w:val="0"/>
          <w:numId w:val="1"/>
        </w:numPr>
      </w:pPr>
      <w:r w:rsidRPr="00853F36">
        <w:t>Ease of Scheduling service provision i.e. groups, school visits, preschool visits, assessment for education</w:t>
      </w:r>
    </w:p>
    <w:p w:rsidR="00DC6120" w:rsidRPr="00853F36" w:rsidRDefault="00DC6120" w:rsidP="00DC6120">
      <w:pPr>
        <w:pStyle w:val="ListBullet"/>
        <w:numPr>
          <w:ilvl w:val="0"/>
          <w:numId w:val="1"/>
        </w:numPr>
        <w:spacing w:after="240"/>
      </w:pPr>
      <w:r w:rsidRPr="00853F36">
        <w:t>Good team working reduces stress levels of clinicians and creates a more positive working environment.</w:t>
      </w:r>
    </w:p>
    <w:p w:rsidR="00DC6120" w:rsidRPr="00853F36" w:rsidRDefault="00DC6120" w:rsidP="007A31B0">
      <w:pPr>
        <w:pStyle w:val="Heading3"/>
      </w:pPr>
      <w:bookmarkStart w:id="253" w:name="_Toc415667054"/>
      <w:bookmarkStart w:id="254" w:name="_Toc415733747"/>
      <w:r w:rsidRPr="00853F36">
        <w:t>Drawbacks interdisciplinary work for therapists:</w:t>
      </w:r>
      <w:bookmarkEnd w:id="253"/>
      <w:bookmarkEnd w:id="254"/>
    </w:p>
    <w:p w:rsidR="00DC6120" w:rsidRPr="00853F36" w:rsidRDefault="00DC6120" w:rsidP="00DC6120">
      <w:pPr>
        <w:pStyle w:val="ListBullet"/>
        <w:numPr>
          <w:ilvl w:val="0"/>
          <w:numId w:val="1"/>
        </w:numPr>
      </w:pPr>
      <w:r w:rsidRPr="00853F36">
        <w:t>Adapting to other clinicians and their way of working e.g. personality, education, approaches, experiences</w:t>
      </w:r>
    </w:p>
    <w:p w:rsidR="00DC6120" w:rsidRPr="00853F36" w:rsidRDefault="00DC6120" w:rsidP="00DC6120">
      <w:pPr>
        <w:pStyle w:val="ListBullet"/>
        <w:numPr>
          <w:ilvl w:val="0"/>
          <w:numId w:val="1"/>
        </w:numPr>
      </w:pPr>
      <w:r w:rsidRPr="00853F36">
        <w:t>Ability to recognise discipline specific goals within sessions</w:t>
      </w:r>
    </w:p>
    <w:p w:rsidR="00DC6120" w:rsidRPr="00853F36" w:rsidRDefault="00DC6120" w:rsidP="00DC6120">
      <w:pPr>
        <w:pStyle w:val="ListBullet"/>
        <w:numPr>
          <w:ilvl w:val="0"/>
          <w:numId w:val="1"/>
        </w:numPr>
      </w:pPr>
      <w:r w:rsidRPr="00853F36">
        <w:t>Co-therapist versus lead therapist being interchangeable and being comfortable with the change in roles</w:t>
      </w:r>
    </w:p>
    <w:p w:rsidR="00DC6120" w:rsidRPr="00853F36" w:rsidRDefault="00DC6120" w:rsidP="00DC6120">
      <w:pPr>
        <w:pStyle w:val="ListBullet"/>
        <w:numPr>
          <w:ilvl w:val="0"/>
          <w:numId w:val="1"/>
        </w:numPr>
      </w:pPr>
      <w:r w:rsidRPr="00853F36">
        <w:t>Personal factors</w:t>
      </w:r>
    </w:p>
    <w:p w:rsidR="00DC6120" w:rsidRPr="00853F36" w:rsidRDefault="00DC6120" w:rsidP="00DC6120">
      <w:pPr>
        <w:pStyle w:val="ListBullet"/>
        <w:numPr>
          <w:ilvl w:val="0"/>
          <w:numId w:val="1"/>
        </w:numPr>
      </w:pPr>
      <w:r w:rsidRPr="00853F36">
        <w:t>Role threatened</w:t>
      </w:r>
    </w:p>
    <w:p w:rsidR="00DC6120" w:rsidRPr="00853F36" w:rsidRDefault="00DC6120" w:rsidP="00DC6120">
      <w:pPr>
        <w:pStyle w:val="ListBullet"/>
        <w:numPr>
          <w:ilvl w:val="0"/>
          <w:numId w:val="1"/>
        </w:numPr>
      </w:pPr>
      <w:r w:rsidRPr="00853F36">
        <w:t>Previous negative experiences of joint working</w:t>
      </w:r>
    </w:p>
    <w:p w:rsidR="00DC6120" w:rsidRPr="00853F36" w:rsidRDefault="00DC6120" w:rsidP="00DC6120">
      <w:pPr>
        <w:pStyle w:val="ListBullet"/>
        <w:numPr>
          <w:ilvl w:val="0"/>
          <w:numId w:val="1"/>
        </w:numPr>
      </w:pPr>
      <w:r w:rsidRPr="00853F36">
        <w:t>Varying waiting lists</w:t>
      </w:r>
    </w:p>
    <w:p w:rsidR="00DC6120" w:rsidRPr="00853F36" w:rsidRDefault="00DC6120" w:rsidP="00DC6120">
      <w:pPr>
        <w:pStyle w:val="ListBullet"/>
        <w:numPr>
          <w:ilvl w:val="0"/>
          <w:numId w:val="1"/>
        </w:numPr>
      </w:pPr>
      <w:r w:rsidRPr="00853F36">
        <w:t>Difficulty in communicating information to team members</w:t>
      </w:r>
    </w:p>
    <w:p w:rsidR="00DC6120" w:rsidRPr="00853F36" w:rsidRDefault="00DC6120" w:rsidP="00DC6120">
      <w:pPr>
        <w:pStyle w:val="ListBullet"/>
        <w:numPr>
          <w:ilvl w:val="0"/>
          <w:numId w:val="1"/>
        </w:numPr>
      </w:pPr>
      <w:r w:rsidRPr="00853F36">
        <w:t>Regular meetings arranged to plan intervention and block common dates</w:t>
      </w:r>
    </w:p>
    <w:p w:rsidR="00DC6120" w:rsidRPr="00853F36" w:rsidRDefault="00DC6120" w:rsidP="00DC6120">
      <w:pPr>
        <w:pStyle w:val="ListBullet"/>
        <w:numPr>
          <w:ilvl w:val="0"/>
          <w:numId w:val="1"/>
        </w:numPr>
      </w:pPr>
      <w:r w:rsidRPr="00853F36">
        <w:t>Mutual respect of preparation time and clean up time</w:t>
      </w:r>
    </w:p>
    <w:p w:rsidR="00DC6120" w:rsidRPr="00853F36" w:rsidRDefault="00DC6120" w:rsidP="00DC6120">
      <w:pPr>
        <w:pStyle w:val="ListBullet"/>
        <w:numPr>
          <w:ilvl w:val="0"/>
          <w:numId w:val="1"/>
        </w:numPr>
      </w:pPr>
      <w:r w:rsidRPr="00853F36">
        <w:t>Trying to find common ground</w:t>
      </w:r>
    </w:p>
    <w:p w:rsidR="00DC6120" w:rsidRPr="00853F36" w:rsidRDefault="00DC6120" w:rsidP="00DC6120">
      <w:pPr>
        <w:pStyle w:val="ListBullet"/>
        <w:numPr>
          <w:ilvl w:val="0"/>
          <w:numId w:val="1"/>
        </w:numPr>
        <w:spacing w:after="240"/>
      </w:pPr>
      <w:r w:rsidRPr="00853F36">
        <w:t>Discipline specific focus i.e. own agenda</w:t>
      </w:r>
    </w:p>
    <w:p w:rsidR="00DC6120" w:rsidRPr="00853F36" w:rsidRDefault="00DC6120" w:rsidP="007A31B0">
      <w:pPr>
        <w:pStyle w:val="Heading3"/>
      </w:pPr>
      <w:bookmarkStart w:id="255" w:name="_Toc415667055"/>
      <w:bookmarkStart w:id="256" w:name="_Toc415733748"/>
      <w:r w:rsidRPr="00853F36">
        <w:t>Drawbacks interdisciplinary work for Disability Services:</w:t>
      </w:r>
      <w:bookmarkEnd w:id="255"/>
      <w:bookmarkEnd w:id="256"/>
    </w:p>
    <w:p w:rsidR="00DC6120" w:rsidRDefault="00DC6120" w:rsidP="00DC6120">
      <w:pPr>
        <w:pStyle w:val="ListBullet"/>
        <w:numPr>
          <w:ilvl w:val="0"/>
          <w:numId w:val="1"/>
        </w:numPr>
        <w:spacing w:after="240"/>
      </w:pPr>
      <w:r w:rsidRPr="00853F36">
        <w:t>Management of conflict</w:t>
      </w:r>
      <w:r>
        <w:t xml:space="preserve"> and difficulties in e</w:t>
      </w:r>
      <w:r w:rsidRPr="00853F36">
        <w:t>stablishing team working and joint goal setting</w:t>
      </w:r>
    </w:p>
    <w:p w:rsidR="00DC6120" w:rsidRDefault="00DC6120" w:rsidP="00DC6120">
      <w:r w:rsidRPr="00853F36">
        <w:t>In 2006</w:t>
      </w:r>
      <w:r>
        <w:t>,</w:t>
      </w:r>
      <w:r w:rsidRPr="00853F36">
        <w:t xml:space="preserve"> the Mental Health Commission in Ireland conclu</w:t>
      </w:r>
      <w:r>
        <w:t>ded that research supports teamwork</w:t>
      </w:r>
      <w:r w:rsidRPr="00853F36">
        <w:t xml:space="preserve"> as the most effective means of delivering a comprehensive mental health service.</w:t>
      </w:r>
      <w:r w:rsidRPr="00853F36">
        <w:rPr>
          <w:rStyle w:val="FootnoteReference"/>
        </w:rPr>
        <w:footnoteReference w:id="206"/>
      </w:r>
      <w:r>
        <w:t xml:space="preserve"> </w:t>
      </w:r>
      <w:r w:rsidRPr="00853F36">
        <w:t>In 2010</w:t>
      </w:r>
      <w:r w:rsidR="008128FB">
        <w:t>,</w:t>
      </w:r>
      <w:r w:rsidRPr="00853F36">
        <w:t xml:space="preserve"> the HSE published ‘Improving team working; a guidance document’</w:t>
      </w:r>
      <w:r w:rsidR="008128FB">
        <w:t>,</w:t>
      </w:r>
      <w:r w:rsidRPr="00853F36">
        <w:t xml:space="preserve"> as part of the commitment by the HSE Organisational Change Function within Human Resources</w:t>
      </w:r>
      <w:r w:rsidR="008128FB">
        <w:t>,</w:t>
      </w:r>
      <w:r w:rsidRPr="00853F36">
        <w:t xml:space="preserve"> to develop materials to build capacity to manage change and promote service improvement.</w:t>
      </w:r>
      <w:r w:rsidRPr="00853F36">
        <w:rPr>
          <w:rStyle w:val="FootnoteReference"/>
        </w:rPr>
        <w:footnoteReference w:id="207"/>
      </w:r>
    </w:p>
    <w:p w:rsidR="00DC6120" w:rsidRPr="00853F36" w:rsidRDefault="00DC6120" w:rsidP="007A31B0">
      <w:pPr>
        <w:pStyle w:val="Heading2"/>
      </w:pPr>
      <w:bookmarkStart w:id="257" w:name="_Toc415733749"/>
      <w:r w:rsidRPr="00853F36">
        <w:t>Types of teams</w:t>
      </w:r>
      <w:bookmarkEnd w:id="257"/>
    </w:p>
    <w:p w:rsidR="00DC6120" w:rsidRPr="00853F36" w:rsidRDefault="00DC6120" w:rsidP="00DC6120">
      <w:pPr>
        <w:pStyle w:val="ListBullet"/>
        <w:numPr>
          <w:ilvl w:val="0"/>
          <w:numId w:val="0"/>
        </w:numPr>
      </w:pPr>
      <w:r w:rsidRPr="00853F36">
        <w:t>Multidisciplinary teams ‘share common goals but work independently. Therapists act within their professional domains and interact only formally with other team members e.g. in meetings.</w:t>
      </w:r>
      <w:r w:rsidRPr="00853F36">
        <w:rPr>
          <w:rStyle w:val="FootnoteReference"/>
        </w:rPr>
        <w:footnoteReference w:id="208"/>
      </w:r>
      <w:r w:rsidRPr="00853F36">
        <w:t xml:space="preserve"> Parents receive information related to a specific area of development and a plan is drawn up which relates to a specific discipline.</w:t>
      </w:r>
      <w:r w:rsidRPr="00853F36">
        <w:rPr>
          <w:rStyle w:val="FootnoteReference"/>
        </w:rPr>
        <w:footnoteReference w:id="209"/>
      </w:r>
      <w:r w:rsidRPr="00853F36">
        <w:t xml:space="preserve"> The low level of interaction among team members can result in the child and family providing identical information to multiple professionals. Service planning and delivery may not be based on a comprehensive, holistic understanding of the child and family’s strengths and needs.</w:t>
      </w:r>
      <w:r w:rsidRPr="00853F36">
        <w:rPr>
          <w:rStyle w:val="FootnoteReference"/>
        </w:rPr>
        <w:footnoteReference w:id="210"/>
      </w:r>
    </w:p>
    <w:p w:rsidR="00DC6120" w:rsidRPr="00853F36" w:rsidRDefault="00DC6120" w:rsidP="00DC6120">
      <w:r w:rsidRPr="00853F36">
        <w:t>Interdisciplinary teams share common goals and communicate with each other and with families with whom they work. Interaction is planned within the team. There are formal arrangements for communication, assessment, planning and intervention. There is increased parental involvement.</w:t>
      </w:r>
      <w:r w:rsidRPr="00853F36">
        <w:rPr>
          <w:rStyle w:val="FootnoteReference"/>
        </w:rPr>
        <w:footnoteReference w:id="211"/>
      </w:r>
      <w:r w:rsidRPr="00853F36">
        <w:t xml:space="preserve"> While each professional may deliver services independently, assessment and intervention results are shared and discussed among the team members.</w:t>
      </w:r>
      <w:r w:rsidRPr="00853F36">
        <w:rPr>
          <w:rStyle w:val="FootnoteReference"/>
        </w:rPr>
        <w:footnoteReference w:id="212"/>
      </w:r>
      <w:r w:rsidRPr="00853F36">
        <w:t xml:space="preserve"> This model requires that team members share core skills in areas such as counselling, family support work, communication and working with parents.</w:t>
      </w:r>
      <w:r w:rsidRPr="00853F36">
        <w:rPr>
          <w:rStyle w:val="FootnoteReference"/>
        </w:rPr>
        <w:footnoteReference w:id="213"/>
      </w:r>
      <w:r w:rsidRPr="00853F36">
        <w:t xml:space="preserve"> Families meet with the whole team, sub-groups of it or a team representative. Interdisciplinary work facilitates the exchange of information among team members.</w:t>
      </w:r>
      <w:r w:rsidRPr="00853F36">
        <w:rPr>
          <w:rStyle w:val="FootnoteReference"/>
        </w:rPr>
        <w:footnoteReference w:id="214"/>
      </w:r>
      <w:r w:rsidRPr="00853F36">
        <w:t xml:space="preserve"> While team members act within their professional domains</w:t>
      </w:r>
      <w:r w:rsidR="008128FB">
        <w:t>,</w:t>
      </w:r>
      <w:r w:rsidRPr="00853F36">
        <w:t xml:space="preserve"> they collaborate actively and frequently in planning and implementing interventions.</w:t>
      </w:r>
      <w:r w:rsidRPr="00853F36">
        <w:rPr>
          <w:rStyle w:val="FootnoteReference"/>
        </w:rPr>
        <w:footnoteReference w:id="215"/>
      </w:r>
      <w:r w:rsidRPr="00853F36">
        <w:t xml:space="preserve"> Each member of the interdisciplinary team takes responsibility for coordinating their information and intervention with that of other members of the team. All team members are considered to have equally valued status.</w:t>
      </w:r>
    </w:p>
    <w:p w:rsidR="00DC6120" w:rsidRPr="00853F36" w:rsidRDefault="00DC6120" w:rsidP="00DC6120">
      <w:r w:rsidRPr="00853F36">
        <w:t>Trans-disciplinary teams share common goals and use a systematic process for sharing roles and crossing disciplinary boundaries to maximise communication, interaction and co-operation. Therapists produce a single integrated intervention plan. Individual disciplines contribute according to the agreed needs of the child. This approach provides a framework for professionals to share and integrate the expertise of the team members.</w:t>
      </w:r>
      <w:r w:rsidRPr="00853F36">
        <w:rPr>
          <w:rStyle w:val="FootnoteReference"/>
        </w:rPr>
        <w:footnoteReference w:id="216"/>
      </w:r>
      <w:r w:rsidRPr="00853F36">
        <w:t xml:space="preserve"> Decisions are made by consensus and </w:t>
      </w:r>
      <w:r w:rsidR="008128FB">
        <w:t>family participation is crucial</w:t>
      </w:r>
      <w:r w:rsidRPr="00853F36">
        <w:t>.</w:t>
      </w:r>
      <w:r w:rsidRPr="00853F36">
        <w:rPr>
          <w:rStyle w:val="FootnoteReference"/>
        </w:rPr>
        <w:footnoteReference w:id="217"/>
      </w:r>
      <w:r w:rsidRPr="00853F36">
        <w:t xml:space="preserve"> One professional may work as a key-worker with the family. The parents are included as team-members. It is assumed that all team members, including the person with the disability and his/her family, will contribute to an intervention plan tailored to the needs of the child and family. Unlike any of the other teams, in the trans-disciplinary approach the potential also exists for the ‘case manager’ to be the person with a disability or a parent or carer.</w:t>
      </w:r>
      <w:r w:rsidRPr="00853F36">
        <w:rPr>
          <w:rStyle w:val="FootnoteReference"/>
        </w:rPr>
        <w:footnoteReference w:id="218"/>
      </w:r>
      <w:r w:rsidRPr="00853F36">
        <w:t xml:space="preserve"> Taking on a case manager role helps to achieve continuity of care over the long term and a focus on the individual’s needs in the process. Management of one’s own care needs also leads to self-advocacy, self-determination, independence and full participation. Trans-disciplinary working demands close team communication.</w:t>
      </w:r>
      <w:r w:rsidRPr="00853F36">
        <w:rPr>
          <w:rStyle w:val="FootnoteReference"/>
        </w:rPr>
        <w:footnoteReference w:id="219"/>
      </w:r>
      <w:r w:rsidRPr="00853F36">
        <w:t xml:space="preserve"> Team members overlap and cross over traditional roles. Boundaries between the roles of team members are blurred.</w:t>
      </w:r>
      <w:r w:rsidRPr="00853F36">
        <w:rPr>
          <w:rStyle w:val="FootnoteReference"/>
        </w:rPr>
        <w:footnoteReference w:id="220"/>
      </w:r>
      <w:r w:rsidRPr="00853F36">
        <w:t xml:space="preserve"> The characteristics of trans-disciplinary teams include:</w:t>
      </w:r>
      <w:r w:rsidRPr="00853F36">
        <w:rPr>
          <w:rStyle w:val="FootnoteReference"/>
        </w:rPr>
        <w:footnoteReference w:id="221"/>
      </w:r>
    </w:p>
    <w:p w:rsidR="00DC6120" w:rsidRPr="00853F36" w:rsidRDefault="00DC6120" w:rsidP="00DC6120">
      <w:pPr>
        <w:pStyle w:val="ListBullet"/>
        <w:numPr>
          <w:ilvl w:val="0"/>
          <w:numId w:val="1"/>
        </w:numPr>
      </w:pPr>
      <w:r w:rsidRPr="00853F36">
        <w:t>Interdependence across disciplines and with clients</w:t>
      </w:r>
    </w:p>
    <w:p w:rsidR="00DC6120" w:rsidRPr="00853F36" w:rsidRDefault="00DC6120" w:rsidP="00DC6120">
      <w:pPr>
        <w:pStyle w:val="ListBullet"/>
        <w:numPr>
          <w:ilvl w:val="0"/>
          <w:numId w:val="1"/>
        </w:numPr>
      </w:pPr>
      <w:r w:rsidRPr="00853F36">
        <w:t>Integrated interventions with an emphasis on natural settings</w:t>
      </w:r>
    </w:p>
    <w:p w:rsidR="00DC6120" w:rsidRPr="00853F36" w:rsidRDefault="00DC6120" w:rsidP="00DC6120">
      <w:pPr>
        <w:pStyle w:val="ListBullet"/>
        <w:numPr>
          <w:ilvl w:val="0"/>
          <w:numId w:val="1"/>
        </w:numPr>
      </w:pPr>
      <w:r w:rsidRPr="00853F36">
        <w:t>Functional goals</w:t>
      </w:r>
    </w:p>
    <w:p w:rsidR="00DC6120" w:rsidRPr="00853F36" w:rsidRDefault="00DC6120" w:rsidP="00DC6120">
      <w:pPr>
        <w:pStyle w:val="ListBullet"/>
        <w:numPr>
          <w:ilvl w:val="0"/>
          <w:numId w:val="1"/>
        </w:numPr>
      </w:pPr>
      <w:r w:rsidRPr="00853F36">
        <w:t>A holistic approach to the person/family and others supporting them</w:t>
      </w:r>
    </w:p>
    <w:p w:rsidR="00DC6120" w:rsidRPr="00853F36" w:rsidRDefault="00DC6120" w:rsidP="00DC6120">
      <w:pPr>
        <w:pStyle w:val="ListBullet"/>
        <w:numPr>
          <w:ilvl w:val="0"/>
          <w:numId w:val="1"/>
        </w:numPr>
        <w:spacing w:after="240"/>
      </w:pPr>
      <w:r w:rsidRPr="00853F36">
        <w:t>Family-centred and culturally appropriate practice</w:t>
      </w:r>
      <w:r w:rsidR="00F8343E">
        <w:t>.</w:t>
      </w:r>
    </w:p>
    <w:p w:rsidR="00DC6120" w:rsidRPr="00853F36" w:rsidRDefault="00DC6120" w:rsidP="00DC6120">
      <w:pPr>
        <w:rPr>
          <w:lang w:eastAsia="en-GB"/>
        </w:rPr>
      </w:pPr>
      <w:r w:rsidRPr="00853F36">
        <w:t>Such partnerships and teamwork require “abdication of paternalistic approaches in favour of collaborative relationships, empowerment, participatory involvement and competency enhancement approaches.”</w:t>
      </w:r>
      <w:r w:rsidRPr="00853F36">
        <w:rPr>
          <w:rStyle w:val="FootnoteReference"/>
        </w:rPr>
        <w:footnoteReference w:id="222"/>
      </w:r>
      <w:r w:rsidRPr="00853F36">
        <w:t xml:space="preserve"> It involves “a move away from the expert model of professionals gathering information and making decisions about service provision.”</w:t>
      </w:r>
      <w:r w:rsidRPr="00853F36">
        <w:rPr>
          <w:rStyle w:val="FootnoteReference"/>
        </w:rPr>
        <w:footnoteReference w:id="223"/>
      </w:r>
      <w:r w:rsidRPr="006D5136">
        <w:t xml:space="preserve"> </w:t>
      </w:r>
      <w:r>
        <w:t>C</w:t>
      </w:r>
      <w:r w:rsidRPr="00853F36">
        <w:t>ollaborative consultation differs from expert consultation, where a professional evaluates needs, develops interventions, and provides one-on-one intervention or makes recommendations to school staff. Collaborative</w:t>
      </w:r>
      <w:r w:rsidRPr="00853F36">
        <w:rPr>
          <w:lang w:eastAsia="en-GB"/>
        </w:rPr>
        <w:t xml:space="preserve"> consultation can be coordinated within the routines of the special education or regular education classroom.</w:t>
      </w:r>
      <w:r w:rsidRPr="00853F36">
        <w:rPr>
          <w:rStyle w:val="FootnoteReference"/>
          <w:lang w:eastAsia="en-GB"/>
        </w:rPr>
        <w:footnoteReference w:id="224"/>
      </w:r>
    </w:p>
    <w:p w:rsidR="00DC6120" w:rsidRDefault="00DC6120" w:rsidP="006A35CF">
      <w:pPr>
        <w:pStyle w:val="Heading2"/>
      </w:pPr>
      <w:bookmarkStart w:id="258" w:name="_Toc415733750"/>
      <w:r>
        <w:t>Developing services for children with disabilities</w:t>
      </w:r>
      <w:bookmarkEnd w:id="258"/>
    </w:p>
    <w:p w:rsidR="00DC6120" w:rsidRPr="00853F36" w:rsidRDefault="00DC6120" w:rsidP="00DC6120">
      <w:r>
        <w:t>T</w:t>
      </w:r>
      <w:r w:rsidRPr="00853F36">
        <w:t xml:space="preserve">he </w:t>
      </w:r>
      <w:r>
        <w:t>trend in</w:t>
      </w:r>
      <w:r w:rsidRPr="00853F36">
        <w:t xml:space="preserve"> service delivery in home, healthcare and school settings is moving to one where the child, the family and a range of professionals and agencies w</w:t>
      </w:r>
      <w:r>
        <w:t>ork together and share decision-</w:t>
      </w:r>
      <w:r w:rsidRPr="00853F36">
        <w:t>making.</w:t>
      </w:r>
      <w:r>
        <w:t xml:space="preserve"> Allied health professionals and other health professionals caring for children with disabilities and complex needs in community settings</w:t>
      </w:r>
      <w:r w:rsidR="00F8343E">
        <w:t>,</w:t>
      </w:r>
      <w:r>
        <w:t xml:space="preserve"> need to recognise the importance of information sharing: This requires a climate of inter-professional trust and mutual respect and requires arrangements like the co-location of health and social care professionals.</w:t>
      </w:r>
      <w:r>
        <w:rPr>
          <w:rStyle w:val="FootnoteReference"/>
        </w:rPr>
        <w:footnoteReference w:id="225"/>
      </w:r>
      <w:r>
        <w:t xml:space="preserve"> </w:t>
      </w:r>
      <w:r w:rsidRPr="00853F36">
        <w:t xml:space="preserve">“If partnership working is valued and valid, there has to be an identifiable outcome for children and young people, which is more than what would be gained by services being provided separately. This </w:t>
      </w:r>
      <w:r>
        <w:t xml:space="preserve">has been </w:t>
      </w:r>
      <w:r w:rsidRPr="00853F36">
        <w:t>descr</w:t>
      </w:r>
      <w:r>
        <w:t xml:space="preserve">ibed as collaborative advantage and this </w:t>
      </w:r>
      <w:r w:rsidRPr="00853F36">
        <w:t>concept should be central to evaluating the impact and outcomes for young people which are the result of partnership working”.</w:t>
      </w:r>
      <w:r w:rsidRPr="00853F36">
        <w:rPr>
          <w:rStyle w:val="FootnoteReference"/>
        </w:rPr>
        <w:footnoteReference w:id="226"/>
      </w:r>
    </w:p>
    <w:p w:rsidR="00DC6120" w:rsidRPr="00853F36" w:rsidRDefault="00DC6120" w:rsidP="00DC6120">
      <w:r w:rsidRPr="00853F36">
        <w:t>Children and young people with disabilities often require services and support from a range of agencies and from various disciplines prior to school as well as during their school years, so services delivered using inter-professional collaboration</w:t>
      </w:r>
      <w:r>
        <w:t xml:space="preserve"> could be more efficient</w:t>
      </w:r>
      <w:r w:rsidRPr="00853F36">
        <w:t>. There is evidence that inter-professional collaboration:</w:t>
      </w:r>
      <w:r w:rsidRPr="00853F36">
        <w:rPr>
          <w:rStyle w:val="FootnoteReference"/>
        </w:rPr>
        <w:footnoteReference w:id="227"/>
      </w:r>
    </w:p>
    <w:p w:rsidR="00DC6120" w:rsidRPr="00853F36" w:rsidRDefault="00DC6120" w:rsidP="00DC6120">
      <w:pPr>
        <w:pStyle w:val="ListBullet"/>
        <w:numPr>
          <w:ilvl w:val="0"/>
          <w:numId w:val="1"/>
        </w:numPr>
      </w:pPr>
      <w:r w:rsidRPr="00853F36">
        <w:t>Improves workplace quality by creating a collaborative culture between professions</w:t>
      </w:r>
    </w:p>
    <w:p w:rsidR="00DC6120" w:rsidRPr="00853F36" w:rsidRDefault="00DC6120" w:rsidP="00DC6120">
      <w:pPr>
        <w:pStyle w:val="ListBullet"/>
        <w:numPr>
          <w:ilvl w:val="0"/>
          <w:numId w:val="1"/>
        </w:numPr>
      </w:pPr>
      <w:r w:rsidRPr="00853F36">
        <w:t>Increases provider satisfaction by improving provider roles, inter-professional collaboration and/or quality of care</w:t>
      </w:r>
    </w:p>
    <w:p w:rsidR="00DC6120" w:rsidRPr="00853F36" w:rsidRDefault="00DC6120" w:rsidP="00DC6120">
      <w:pPr>
        <w:pStyle w:val="ListBullet"/>
        <w:numPr>
          <w:ilvl w:val="0"/>
          <w:numId w:val="1"/>
        </w:numPr>
      </w:pPr>
      <w:r w:rsidRPr="00853F36">
        <w:t>Reduces the cost of patient care</w:t>
      </w:r>
    </w:p>
    <w:p w:rsidR="00DC6120" w:rsidRPr="00853F36" w:rsidRDefault="00DC6120" w:rsidP="00DC6120">
      <w:pPr>
        <w:pStyle w:val="ListBullet"/>
        <w:numPr>
          <w:ilvl w:val="0"/>
          <w:numId w:val="1"/>
        </w:numPr>
        <w:spacing w:after="240"/>
      </w:pPr>
      <w:r w:rsidRPr="00853F36">
        <w:t>Enhances the quality of the workplace and increases provider satisfaction and attracts graduates to rural areas so is an effective health human resources planning and management strategy</w:t>
      </w:r>
      <w:r w:rsidR="00F8343E">
        <w:t>.</w:t>
      </w:r>
      <w:r w:rsidRPr="00853F36">
        <w:rPr>
          <w:rStyle w:val="FootnoteReference"/>
        </w:rPr>
        <w:footnoteReference w:id="228"/>
      </w:r>
    </w:p>
    <w:p w:rsidR="00DC6120" w:rsidRPr="00853F36" w:rsidRDefault="00DC6120" w:rsidP="00DC6120">
      <w:r w:rsidRPr="00853F36">
        <w:t>Internationally</w:t>
      </w:r>
      <w:r w:rsidR="00F8343E">
        <w:t>,</w:t>
      </w:r>
      <w:r w:rsidRPr="00853F36">
        <w:t xml:space="preserve"> there is agreement that </w:t>
      </w:r>
      <w:r>
        <w:t xml:space="preserve">the way forward is to develop </w:t>
      </w:r>
      <w:r w:rsidRPr="00853F36">
        <w:t>population-based, collaborative person-cent</w:t>
      </w:r>
      <w:r>
        <w:t>red</w:t>
      </w:r>
      <w:r w:rsidRPr="00853F36">
        <w:t xml:space="preserve"> services that deliver relevant, timely, cost-effective and efficient services to everyone tha</w:t>
      </w:r>
      <w:r>
        <w:t>t needs them</w:t>
      </w:r>
      <w:r w:rsidRPr="00853F36">
        <w:t xml:space="preserve">. </w:t>
      </w:r>
      <w:r>
        <w:t>I</w:t>
      </w:r>
      <w:r w:rsidRPr="00853F36">
        <w:t xml:space="preserve">n </w:t>
      </w:r>
      <w:smartTag w:uri="urn:schemas-microsoft-com:office:smarttags" w:element="place">
        <w:smartTag w:uri="urn:schemas-microsoft-com:office:smarttags" w:element="country-region">
          <w:r w:rsidRPr="00853F36">
            <w:t>Scotland</w:t>
          </w:r>
        </w:smartTag>
      </w:smartTag>
      <w:r w:rsidRPr="00853F36">
        <w:t>, a 2003 report</w:t>
      </w:r>
      <w:r>
        <w:rPr>
          <w:rStyle w:val="FootnoteReference"/>
        </w:rPr>
        <w:footnoteReference w:id="229"/>
      </w:r>
      <w:r w:rsidRPr="00853F36">
        <w:t xml:space="preserve"> recommended:</w:t>
      </w:r>
    </w:p>
    <w:p w:rsidR="00DC6120" w:rsidRPr="00853F36" w:rsidRDefault="00DC6120" w:rsidP="00DC6120">
      <w:pPr>
        <w:pStyle w:val="ListBullet"/>
        <w:numPr>
          <w:ilvl w:val="0"/>
          <w:numId w:val="1"/>
        </w:numPr>
        <w:ind w:left="357" w:hanging="357"/>
      </w:pPr>
      <w:r w:rsidRPr="00853F36">
        <w:t>Local Authorities and the NHS should develop integrated approaches to the provision of therapy and other related interventions for children</w:t>
      </w:r>
    </w:p>
    <w:p w:rsidR="00DC6120" w:rsidRPr="00853F36" w:rsidRDefault="00DC6120" w:rsidP="00DC6120">
      <w:pPr>
        <w:pStyle w:val="ListBullet"/>
        <w:numPr>
          <w:ilvl w:val="0"/>
          <w:numId w:val="1"/>
        </w:numPr>
        <w:ind w:left="357" w:hanging="357"/>
      </w:pPr>
      <w:r w:rsidRPr="00853F36">
        <w:t>AHP professional bodies, NHS Boards and Local Authorities should work in partnership</w:t>
      </w:r>
    </w:p>
    <w:p w:rsidR="00DC6120" w:rsidRPr="00853F36" w:rsidRDefault="00DC6120" w:rsidP="00DC6120">
      <w:pPr>
        <w:pStyle w:val="ListBullet"/>
        <w:numPr>
          <w:ilvl w:val="0"/>
          <w:numId w:val="1"/>
        </w:numPr>
        <w:ind w:left="357" w:hanging="357"/>
      </w:pPr>
      <w:r w:rsidRPr="00853F36">
        <w:t>The structure and skill mix within individual therapy professions should be reviewed to ensure effective and efficient use of resources and ability to meet demand</w:t>
      </w:r>
    </w:p>
    <w:p w:rsidR="00DC6120" w:rsidRPr="00853F36" w:rsidRDefault="00DC6120" w:rsidP="00DC6120">
      <w:pPr>
        <w:pStyle w:val="ListBullet"/>
        <w:numPr>
          <w:ilvl w:val="0"/>
          <w:numId w:val="1"/>
        </w:numPr>
        <w:ind w:left="357" w:hanging="357"/>
      </w:pPr>
      <w:r w:rsidRPr="00853F36">
        <w:t>The funding for Speech and Language Therapy to education authorities for pupils with ‘Records of Needs’ should be integrated with funding for SLT to other children</w:t>
      </w:r>
    </w:p>
    <w:p w:rsidR="00DC6120" w:rsidRPr="00853F36" w:rsidRDefault="00DC6120" w:rsidP="00DC6120">
      <w:pPr>
        <w:pStyle w:val="ListBullet"/>
        <w:numPr>
          <w:ilvl w:val="0"/>
          <w:numId w:val="1"/>
        </w:numPr>
        <w:ind w:left="357" w:hanging="357"/>
      </w:pPr>
      <w:r w:rsidRPr="00853F36">
        <w:t>A systematic approach to workforce analysis and development should be adopted for paediatric therapists and other therapists working with children</w:t>
      </w:r>
    </w:p>
    <w:p w:rsidR="00DC6120" w:rsidRPr="00853F36" w:rsidRDefault="00DC6120" w:rsidP="00DC6120">
      <w:pPr>
        <w:pStyle w:val="ListBullet"/>
        <w:numPr>
          <w:ilvl w:val="0"/>
          <w:numId w:val="1"/>
        </w:numPr>
        <w:spacing w:after="240"/>
        <w:ind w:left="357" w:hanging="357"/>
      </w:pPr>
      <w:r w:rsidRPr="00853F36">
        <w:t>Strategic planning arrangements need to be established to ensure the involvement of key stakeholders and effective and efficient delivery of services by therapists</w:t>
      </w:r>
      <w:r w:rsidR="00F8343E">
        <w:t>.</w:t>
      </w:r>
    </w:p>
    <w:p w:rsidR="00DC6120" w:rsidRPr="00853F36" w:rsidRDefault="00DC6120" w:rsidP="00DC6120">
      <w:r w:rsidRPr="00853F36">
        <w:t>In 2005</w:t>
      </w:r>
      <w:r>
        <w:t>,</w:t>
      </w:r>
      <w:r w:rsidRPr="00853F36">
        <w:t xml:space="preserve"> the European Agency for Development in Special Needs Education produced The Early Childhood Intervention Analysis of Situations in Europe Report. Drawing on effective services in 19 European cou</w:t>
      </w:r>
      <w:r>
        <w:t>ntries, the report recommended five</w:t>
      </w:r>
      <w:r w:rsidRPr="00853F36">
        <w:t xml:space="preserve"> key aspects that contribute to effective outcomes for children with a disability:</w:t>
      </w:r>
      <w:r w:rsidRPr="00FA248C">
        <w:rPr>
          <w:rStyle w:val="FootnoteReference"/>
        </w:rPr>
        <w:t xml:space="preserve"> </w:t>
      </w:r>
      <w:r w:rsidRPr="00853F36">
        <w:rPr>
          <w:rStyle w:val="FootnoteReference"/>
        </w:rPr>
        <w:footnoteReference w:id="230"/>
      </w:r>
    </w:p>
    <w:p w:rsidR="00DC6120" w:rsidRPr="00853F36" w:rsidRDefault="00DC6120" w:rsidP="00DC6120">
      <w:pPr>
        <w:pStyle w:val="ListBullet"/>
        <w:numPr>
          <w:ilvl w:val="0"/>
          <w:numId w:val="1"/>
        </w:numPr>
      </w:pPr>
      <w:r w:rsidRPr="00853F36">
        <w:t>Interdisciplinary work</w:t>
      </w:r>
    </w:p>
    <w:p w:rsidR="00DC6120" w:rsidRDefault="00DC6120" w:rsidP="00DC6120">
      <w:pPr>
        <w:pStyle w:val="ListBullet"/>
        <w:numPr>
          <w:ilvl w:val="0"/>
          <w:numId w:val="1"/>
        </w:numPr>
      </w:pPr>
      <w:r w:rsidRPr="00853F36">
        <w:t xml:space="preserve">Coordination of health, education and social sectors </w:t>
      </w:r>
    </w:p>
    <w:p w:rsidR="00DC6120" w:rsidRPr="00853F36" w:rsidRDefault="00DC6120" w:rsidP="00DC6120">
      <w:pPr>
        <w:pStyle w:val="ListBullet"/>
        <w:numPr>
          <w:ilvl w:val="0"/>
          <w:numId w:val="1"/>
        </w:numPr>
      </w:pPr>
      <w:r w:rsidRPr="00853F36">
        <w:t>Availability of services</w:t>
      </w:r>
    </w:p>
    <w:p w:rsidR="00DC6120" w:rsidRPr="00853F36" w:rsidRDefault="00DC6120" w:rsidP="00DC6120">
      <w:pPr>
        <w:pStyle w:val="ListBullet"/>
        <w:numPr>
          <w:ilvl w:val="0"/>
          <w:numId w:val="1"/>
        </w:numPr>
      </w:pPr>
      <w:r w:rsidRPr="00853F36">
        <w:t>Proximity</w:t>
      </w:r>
    </w:p>
    <w:p w:rsidR="00DC6120" w:rsidRPr="00853F36" w:rsidRDefault="00DC6120" w:rsidP="00DC6120">
      <w:pPr>
        <w:pStyle w:val="ListBullet"/>
        <w:numPr>
          <w:ilvl w:val="0"/>
          <w:numId w:val="1"/>
        </w:numPr>
      </w:pPr>
      <w:r w:rsidRPr="00853F36">
        <w:t>Affordability</w:t>
      </w:r>
      <w:r w:rsidR="00F8343E">
        <w:t>.</w:t>
      </w:r>
    </w:p>
    <w:p w:rsidR="00DC6120" w:rsidRPr="00853F36" w:rsidRDefault="00DC6120" w:rsidP="00DC6120">
      <w:pPr>
        <w:pStyle w:val="ListBullet"/>
        <w:numPr>
          <w:ilvl w:val="0"/>
          <w:numId w:val="0"/>
        </w:numPr>
      </w:pPr>
      <w:r w:rsidRPr="00853F36">
        <w:t xml:space="preserve">The purpose of </w:t>
      </w:r>
      <w:r>
        <w:t xml:space="preserve">developing </w:t>
      </w:r>
      <w:r w:rsidRPr="00853F36">
        <w:t xml:space="preserve">children’s services </w:t>
      </w:r>
      <w:r>
        <w:t xml:space="preserve">in this way </w:t>
      </w:r>
      <w:r w:rsidRPr="00853F36">
        <w:t>is to benefit children by</w:t>
      </w:r>
    </w:p>
    <w:p w:rsidR="00DC6120" w:rsidRPr="00853F36" w:rsidRDefault="00DC6120" w:rsidP="00DC6120">
      <w:pPr>
        <w:pStyle w:val="ListBullet"/>
        <w:numPr>
          <w:ilvl w:val="0"/>
          <w:numId w:val="1"/>
        </w:numPr>
      </w:pPr>
      <w:r w:rsidRPr="00853F36">
        <w:t>Empowering children and their families</w:t>
      </w:r>
    </w:p>
    <w:p w:rsidR="00DC6120" w:rsidRPr="00853F36" w:rsidRDefault="00DC6120" w:rsidP="00DC6120">
      <w:pPr>
        <w:pStyle w:val="ListBullet"/>
        <w:numPr>
          <w:ilvl w:val="0"/>
          <w:numId w:val="1"/>
        </w:numPr>
      </w:pPr>
      <w:r w:rsidRPr="00853F36">
        <w:t>Achieving more responsive services</w:t>
      </w:r>
    </w:p>
    <w:p w:rsidR="00DC6120" w:rsidRPr="00853F36" w:rsidRDefault="00DC6120" w:rsidP="00DC6120">
      <w:pPr>
        <w:pStyle w:val="ListBullet"/>
        <w:numPr>
          <w:ilvl w:val="0"/>
          <w:numId w:val="1"/>
        </w:numPr>
      </w:pPr>
      <w:r w:rsidRPr="00853F36">
        <w:t>Improving access to specialist services</w:t>
      </w:r>
    </w:p>
    <w:p w:rsidR="00DC6120" w:rsidRPr="00853F36" w:rsidRDefault="00DC6120" w:rsidP="00DC6120">
      <w:pPr>
        <w:pStyle w:val="ListBullet"/>
        <w:numPr>
          <w:ilvl w:val="0"/>
          <w:numId w:val="1"/>
        </w:numPr>
      </w:pPr>
      <w:r w:rsidRPr="00853F36">
        <w:t>Avoiding multiple assessments</w:t>
      </w:r>
    </w:p>
    <w:p w:rsidR="00DC6120" w:rsidRPr="00853F36" w:rsidRDefault="00DC6120" w:rsidP="00DC6120">
      <w:pPr>
        <w:pStyle w:val="ListBullet"/>
        <w:numPr>
          <w:ilvl w:val="0"/>
          <w:numId w:val="1"/>
        </w:numPr>
        <w:spacing w:after="240"/>
      </w:pPr>
      <w:r w:rsidRPr="00853F36">
        <w:t>Reducing waiting times</w:t>
      </w:r>
      <w:r w:rsidR="00F8343E">
        <w:t>.</w:t>
      </w:r>
      <w:r w:rsidRPr="00853F36">
        <w:rPr>
          <w:rStyle w:val="FootnoteReference"/>
        </w:rPr>
        <w:footnoteReference w:id="231"/>
      </w:r>
    </w:p>
    <w:p w:rsidR="00DC6120" w:rsidRPr="00853F36" w:rsidRDefault="00DC6120" w:rsidP="007A31B0">
      <w:pPr>
        <w:pStyle w:val="Heading2"/>
      </w:pPr>
      <w:bookmarkStart w:id="259" w:name="_Toc415733751"/>
      <w:r w:rsidRPr="00853F36">
        <w:t>Some research on teams in the health and social care services</w:t>
      </w:r>
      <w:bookmarkEnd w:id="259"/>
    </w:p>
    <w:p w:rsidR="00DC6120" w:rsidRPr="00853F36" w:rsidRDefault="00DC6120" w:rsidP="00DC6120">
      <w:r w:rsidRPr="00853F36">
        <w:t xml:space="preserve">In the </w:t>
      </w:r>
      <w:smartTag w:uri="urn:schemas-microsoft-com:office:smarttags" w:element="place">
        <w:smartTag w:uri="urn:schemas-microsoft-com:office:smarttags" w:element="country-region">
          <w:r w:rsidRPr="00853F36">
            <w:t>UK</w:t>
          </w:r>
        </w:smartTag>
      </w:smartTag>
      <w:r w:rsidRPr="00853F36">
        <w:t xml:space="preserve"> in 1999 a report, the Effectiveness of Health Care Teams in the National Health Service (NHS)</w:t>
      </w:r>
      <w:r w:rsidR="00F8343E">
        <w:t>,</w:t>
      </w:r>
      <w:r>
        <w:t xml:space="preserve"> was published</w:t>
      </w:r>
      <w:r w:rsidRPr="00853F36">
        <w:t>.</w:t>
      </w:r>
      <w:r w:rsidRPr="00853F36">
        <w:rPr>
          <w:rStyle w:val="FootnoteReference"/>
        </w:rPr>
        <w:footnoteReference w:id="232"/>
      </w:r>
      <w:r w:rsidRPr="00853F36">
        <w:t xml:space="preserve"> </w:t>
      </w:r>
      <w:r>
        <w:t xml:space="preserve">It contained a </w:t>
      </w:r>
      <w:r w:rsidRPr="00853F36">
        <w:t>literature revi</w:t>
      </w:r>
      <w:r>
        <w:t>ew on the benefits of team work and</w:t>
      </w:r>
      <w:r w:rsidRPr="00853F36">
        <w:t xml:space="preserve"> research results analysing relationships between inputs and processes, inputs and outputs and processes and outputs in 390 UK NHS teams and 7,000 NHS personnel. In addition, NHS clients were consulted.</w:t>
      </w:r>
      <w:r w:rsidRPr="00853F36">
        <w:rPr>
          <w:rStyle w:val="FootnoteReference"/>
        </w:rPr>
        <w:footnoteReference w:id="233"/>
      </w:r>
      <w:r w:rsidRPr="00853F36">
        <w:t xml:space="preserve"> The theoretical model used to guide the research and understa</w:t>
      </w:r>
      <w:r>
        <w:t>nd team functioning comprised:</w:t>
      </w:r>
    </w:p>
    <w:p w:rsidR="00DC6120" w:rsidRPr="00853F36" w:rsidRDefault="00DC6120" w:rsidP="00DC6120">
      <w:pPr>
        <w:pStyle w:val="ListBullet"/>
        <w:numPr>
          <w:ilvl w:val="0"/>
          <w:numId w:val="1"/>
        </w:numPr>
      </w:pPr>
      <w:r w:rsidRPr="00853F36">
        <w:t>Group processes such as leadership, clarity of objectives, participation, task orientation, support for innovation, reflexivity, decision making, integration and communication</w:t>
      </w:r>
    </w:p>
    <w:p w:rsidR="00DC6120" w:rsidRPr="00853F36" w:rsidRDefault="00DC6120" w:rsidP="00DC6120">
      <w:pPr>
        <w:pStyle w:val="ListBullet"/>
        <w:numPr>
          <w:ilvl w:val="0"/>
          <w:numId w:val="1"/>
        </w:numPr>
      </w:pPr>
      <w:r w:rsidRPr="00853F36">
        <w:t>Inputs such as health service environment, organisational context, team task and team composition</w:t>
      </w:r>
    </w:p>
    <w:p w:rsidR="00DC6120" w:rsidRPr="00853F36" w:rsidRDefault="00DC6120" w:rsidP="00DC6120">
      <w:pPr>
        <w:pStyle w:val="ListBullet"/>
        <w:numPr>
          <w:ilvl w:val="0"/>
          <w:numId w:val="1"/>
        </w:numPr>
        <w:spacing w:after="240"/>
      </w:pPr>
      <w:r w:rsidRPr="00853F36">
        <w:t>Outputs such as overall effectiveness, clinical outcomes, team member mental health, innovation, team member turnover, and cost effectiveness.</w:t>
      </w:r>
    </w:p>
    <w:p w:rsidR="00DC6120" w:rsidRPr="00853F36" w:rsidRDefault="00DC6120" w:rsidP="00DC6120">
      <w:pPr>
        <w:spacing w:after="120"/>
      </w:pPr>
      <w:r w:rsidRPr="00853F36">
        <w:t>Findings from this research included:</w:t>
      </w:r>
    </w:p>
    <w:p w:rsidR="00DC6120" w:rsidRPr="00853F36" w:rsidRDefault="00DC6120" w:rsidP="00DC6120">
      <w:pPr>
        <w:pStyle w:val="ListBullet"/>
        <w:numPr>
          <w:ilvl w:val="0"/>
          <w:numId w:val="1"/>
        </w:numPr>
      </w:pPr>
      <w:r w:rsidRPr="00853F36">
        <w:t>Health care teams were more effective and innovative across virtually all domains of functioning</w:t>
      </w:r>
      <w:r>
        <w:t xml:space="preserve"> the clearer the team’s objectives and the higher the level of</w:t>
      </w:r>
    </w:p>
    <w:p w:rsidR="00DC6120" w:rsidRPr="00853F36" w:rsidRDefault="00DC6120" w:rsidP="00DC6120">
      <w:pPr>
        <w:pStyle w:val="ListBullet2"/>
        <w:numPr>
          <w:ilvl w:val="0"/>
          <w:numId w:val="3"/>
        </w:numPr>
        <w:tabs>
          <w:tab w:val="clear" w:pos="717"/>
        </w:tabs>
        <w:ind w:left="641" w:hanging="357"/>
      </w:pPr>
      <w:r w:rsidRPr="00853F36">
        <w:t>participation in the team</w:t>
      </w:r>
    </w:p>
    <w:p w:rsidR="00DC6120" w:rsidRPr="00853F36" w:rsidRDefault="00DC6120" w:rsidP="00DC6120">
      <w:pPr>
        <w:pStyle w:val="ListBullet2"/>
        <w:numPr>
          <w:ilvl w:val="0"/>
          <w:numId w:val="3"/>
        </w:numPr>
        <w:tabs>
          <w:tab w:val="clear" w:pos="717"/>
        </w:tabs>
        <w:ind w:left="641" w:hanging="357"/>
      </w:pPr>
      <w:r w:rsidRPr="00853F36">
        <w:t>commitment to quality</w:t>
      </w:r>
    </w:p>
    <w:p w:rsidR="00DC6120" w:rsidRPr="00853F36" w:rsidRDefault="00DC6120" w:rsidP="00DC6120">
      <w:pPr>
        <w:pStyle w:val="ListBullet2"/>
        <w:numPr>
          <w:ilvl w:val="0"/>
          <w:numId w:val="3"/>
        </w:numPr>
        <w:tabs>
          <w:tab w:val="clear" w:pos="717"/>
        </w:tabs>
        <w:spacing w:after="240"/>
        <w:ind w:left="641" w:hanging="357"/>
      </w:pPr>
      <w:r w:rsidRPr="00853F36">
        <w:t>support of innovation</w:t>
      </w:r>
    </w:p>
    <w:p w:rsidR="00DC6120" w:rsidRPr="00853F36" w:rsidRDefault="00DC6120" w:rsidP="00DC6120">
      <w:pPr>
        <w:pStyle w:val="ListBullet"/>
        <w:numPr>
          <w:ilvl w:val="0"/>
          <w:numId w:val="1"/>
        </w:numPr>
      </w:pPr>
      <w:r w:rsidRPr="00853F36">
        <w:t>Those working in teams had better mental health than those working in looser groups or working individually. The benefits appeared to be due to:</w:t>
      </w:r>
    </w:p>
    <w:p w:rsidR="00DC6120" w:rsidRPr="00853F36" w:rsidRDefault="00DC6120" w:rsidP="00DC6120">
      <w:pPr>
        <w:pStyle w:val="ListBullet2"/>
        <w:numPr>
          <w:ilvl w:val="0"/>
          <w:numId w:val="3"/>
        </w:numPr>
        <w:tabs>
          <w:tab w:val="clear" w:pos="717"/>
        </w:tabs>
        <w:ind w:left="641" w:hanging="357"/>
      </w:pPr>
      <w:r w:rsidRPr="00853F36">
        <w:t>Greater role clarity</w:t>
      </w:r>
    </w:p>
    <w:p w:rsidR="00DC6120" w:rsidRPr="00853F36" w:rsidRDefault="00DC6120" w:rsidP="00DC6120">
      <w:pPr>
        <w:pStyle w:val="ListBullet2"/>
        <w:numPr>
          <w:ilvl w:val="0"/>
          <w:numId w:val="3"/>
        </w:numPr>
        <w:tabs>
          <w:tab w:val="clear" w:pos="717"/>
        </w:tabs>
        <w:ind w:left="641" w:hanging="357"/>
      </w:pPr>
      <w:r w:rsidRPr="00853F36">
        <w:t>Better peer support</w:t>
      </w:r>
    </w:p>
    <w:p w:rsidR="00DC6120" w:rsidRPr="00853F36" w:rsidRDefault="00DC6120" w:rsidP="00DC6120">
      <w:pPr>
        <w:pStyle w:val="ListBullet2"/>
        <w:numPr>
          <w:ilvl w:val="0"/>
          <w:numId w:val="3"/>
        </w:numPr>
        <w:tabs>
          <w:tab w:val="clear" w:pos="717"/>
        </w:tabs>
        <w:spacing w:after="240"/>
        <w:ind w:left="641" w:hanging="357"/>
      </w:pPr>
      <w:r w:rsidRPr="00853F36">
        <w:t>Buffering from the negative effects of orga</w:t>
      </w:r>
      <w:r w:rsidR="00F8343E">
        <w:t>nis</w:t>
      </w:r>
      <w:r>
        <w:t>ational climate and conflict</w:t>
      </w:r>
    </w:p>
    <w:p w:rsidR="00DC6120" w:rsidRPr="00853F36" w:rsidRDefault="00DC6120" w:rsidP="00DC6120">
      <w:pPr>
        <w:pStyle w:val="ListBullet"/>
        <w:numPr>
          <w:ilvl w:val="0"/>
          <w:numId w:val="1"/>
        </w:numPr>
        <w:spacing w:after="240"/>
      </w:pPr>
      <w:r w:rsidRPr="00853F36">
        <w:t>Those working in well functioning health care teams were more likely to stay working in these settings than profession</w:t>
      </w:r>
      <w:r w:rsidR="00F8343E">
        <w:t>als in poorly functioning teams</w:t>
      </w:r>
    </w:p>
    <w:p w:rsidR="00DC6120" w:rsidRPr="00853F36" w:rsidRDefault="00DC6120" w:rsidP="00DC6120">
      <w:pPr>
        <w:pStyle w:val="ListBullet"/>
        <w:numPr>
          <w:ilvl w:val="0"/>
          <w:numId w:val="1"/>
        </w:numPr>
      </w:pPr>
      <w:r w:rsidRPr="00853F36">
        <w:t>Communication, integration and regular meetings in Primary Health Care and Community Mental Health were associated with higher levels of effectiveness and innovation, yet the qua</w:t>
      </w:r>
      <w:r w:rsidR="00F8343E">
        <w:t>lity of meetings was often poor</w:t>
      </w:r>
    </w:p>
    <w:p w:rsidR="00DC6120" w:rsidRPr="00853F36" w:rsidRDefault="00DC6120" w:rsidP="00DC6120">
      <w:pPr>
        <w:pStyle w:val="ListBullet"/>
        <w:numPr>
          <w:ilvl w:val="0"/>
          <w:numId w:val="1"/>
        </w:numPr>
      </w:pPr>
      <w:r w:rsidRPr="00853F36">
        <w:t>Diversity of professional groups in Primary Health Care was linked to high levels of team innovation. In newly formed Community Mental Health Teams, t</w:t>
      </w:r>
      <w:r w:rsidR="00F8343E">
        <w:t>his relationship did not appear</w:t>
      </w:r>
    </w:p>
    <w:p w:rsidR="00DC6120" w:rsidRPr="00853F36" w:rsidRDefault="00DC6120" w:rsidP="00DC6120">
      <w:pPr>
        <w:pStyle w:val="ListBullet"/>
        <w:numPr>
          <w:ilvl w:val="0"/>
          <w:numId w:val="1"/>
        </w:numPr>
        <w:spacing w:after="240"/>
      </w:pPr>
      <w:r w:rsidRPr="00853F36">
        <w:t>Where there was no clear leader or where there was conflict over leadership in Community Mental Health and Primary Health Care, team objectives were unclear and there were low levels of effectiveness, innovation, participation and commitment to quality and poor team member mental health</w:t>
      </w:r>
      <w:r w:rsidRPr="00853F36">
        <w:rPr>
          <w:rStyle w:val="FootnoteReference"/>
        </w:rPr>
        <w:footnoteReference w:id="234"/>
      </w:r>
    </w:p>
    <w:p w:rsidR="00DC6120" w:rsidRPr="00853F36" w:rsidRDefault="00DC6120" w:rsidP="00DC6120">
      <w:pPr>
        <w:pStyle w:val="ListBullet"/>
        <w:numPr>
          <w:ilvl w:val="0"/>
          <w:numId w:val="1"/>
        </w:numPr>
        <w:spacing w:after="240"/>
      </w:pPr>
      <w:r w:rsidRPr="00853F36">
        <w:t>Bigger teams experienced greater strains on effective communication. While in most sectors, teams tend to be divided once they reach 12 or 13 members, some of the health care teams were 20, 30 or more members in size. These would be more correctly termed ‘organisations’: In and of itself, this would not be a problem, if there were people adequately trained to manage large operations and there was effective leadership.</w:t>
      </w:r>
      <w:r w:rsidRPr="00853F36">
        <w:rPr>
          <w:rStyle w:val="FootnoteReference"/>
        </w:rPr>
        <w:footnoteReference w:id="235"/>
      </w:r>
    </w:p>
    <w:p w:rsidR="00DC6120" w:rsidRPr="00853F36" w:rsidRDefault="00DC6120" w:rsidP="007A31B0">
      <w:pPr>
        <w:pStyle w:val="Heading2"/>
      </w:pPr>
      <w:bookmarkStart w:id="260" w:name="_Toc415733752"/>
      <w:r w:rsidRPr="00853F36">
        <w:t>Education/training for inter-professional collaboration (IPC)/teamwork</w:t>
      </w:r>
      <w:bookmarkEnd w:id="260"/>
    </w:p>
    <w:p w:rsidR="00DC6120" w:rsidRPr="00853F36" w:rsidRDefault="00DC6120" w:rsidP="00DC6120">
      <w:r w:rsidRPr="00853F36">
        <w:t>If health care professionals are to work together and share expertise in a team environment, it makes sense that their education and training should prepare them for</w:t>
      </w:r>
      <w:r>
        <w:t xml:space="preserve"> effective teamwork</w:t>
      </w:r>
      <w:r w:rsidRPr="00853F36">
        <w:t>.</w:t>
      </w:r>
      <w:r w:rsidRPr="00853F36">
        <w:rPr>
          <w:rStyle w:val="FootnoteReference"/>
        </w:rPr>
        <w:footnoteReference w:id="236"/>
      </w:r>
      <w:r w:rsidRPr="00853F36">
        <w:t xml:space="preserve"> While changes in education and training have taken place, a considerable proportion of training and practice in various health disciplines continues in the medical model so therapists’ actions tend to be less team based, person-centred, family-centred and strengths-based than is required</w:t>
      </w:r>
      <w:r>
        <w:t>.</w:t>
      </w:r>
      <w:r w:rsidRPr="00853F36">
        <w:rPr>
          <w:rStyle w:val="FootnoteReference"/>
        </w:rPr>
        <w:footnoteReference w:id="237"/>
      </w:r>
    </w:p>
    <w:p w:rsidR="00DC6120" w:rsidRPr="00853F36" w:rsidRDefault="00DC6120" w:rsidP="00DC6120">
      <w:r w:rsidRPr="00853F36">
        <w:t>The Canadian Inter-professional Health Collaborative has identified the following competencies necessary for inter-professional collaboration in their newly emerging national competency framework:</w:t>
      </w:r>
      <w:r w:rsidRPr="00853F36">
        <w:rPr>
          <w:rStyle w:val="FootnoteReference"/>
        </w:rPr>
        <w:footnoteReference w:id="238"/>
      </w:r>
    </w:p>
    <w:p w:rsidR="00DC6120" w:rsidRPr="00853F36" w:rsidRDefault="00DC6120" w:rsidP="00DC6120">
      <w:pPr>
        <w:pStyle w:val="ListBullet"/>
        <w:numPr>
          <w:ilvl w:val="0"/>
          <w:numId w:val="1"/>
        </w:numPr>
      </w:pPr>
      <w:r w:rsidRPr="00853F36">
        <w:t>Understanding one’s own role, the roles of those in other professions, and using this knowledge appropriately to establish and meet patients’ goals</w:t>
      </w:r>
    </w:p>
    <w:p w:rsidR="00DC6120" w:rsidRPr="00853F36" w:rsidRDefault="00DC6120" w:rsidP="00DC6120">
      <w:pPr>
        <w:pStyle w:val="ListBullet"/>
        <w:numPr>
          <w:ilvl w:val="0"/>
          <w:numId w:val="1"/>
        </w:numPr>
      </w:pPr>
      <w:r w:rsidRPr="00853F36">
        <w:t>Integrating and valuing, as a partner, the input, and the engagement of patients and families in designing and implementing care</w:t>
      </w:r>
    </w:p>
    <w:p w:rsidR="00DC6120" w:rsidRPr="00853F36" w:rsidRDefault="00DC6120" w:rsidP="00DC6120">
      <w:pPr>
        <w:pStyle w:val="ListBullet"/>
        <w:numPr>
          <w:ilvl w:val="0"/>
          <w:numId w:val="1"/>
        </w:numPr>
      </w:pPr>
      <w:r w:rsidRPr="00853F36">
        <w:t>Understanding the principles of team dynamics and group processes to enable effective inter-professional team collaboration</w:t>
      </w:r>
    </w:p>
    <w:p w:rsidR="00DC6120" w:rsidRPr="00853F36" w:rsidRDefault="00DC6120" w:rsidP="00DC6120">
      <w:pPr>
        <w:pStyle w:val="ListBullet"/>
        <w:numPr>
          <w:ilvl w:val="0"/>
          <w:numId w:val="1"/>
        </w:numPr>
      </w:pPr>
      <w:r w:rsidRPr="00853F36">
        <w:t>Understanding and applying leadership principles that support a collaborative practice model</w:t>
      </w:r>
    </w:p>
    <w:p w:rsidR="00DC6120" w:rsidRPr="00853F36" w:rsidRDefault="00DC6120" w:rsidP="00DC6120">
      <w:pPr>
        <w:pStyle w:val="ListBullet"/>
        <w:numPr>
          <w:ilvl w:val="0"/>
          <w:numId w:val="1"/>
        </w:numPr>
      </w:pPr>
      <w:r w:rsidRPr="00853F36">
        <w:t>Communicating with other professionals in a collaborative, responsive and responsible manner</w:t>
      </w:r>
    </w:p>
    <w:p w:rsidR="00DC6120" w:rsidRPr="00853F36" w:rsidRDefault="00DC6120" w:rsidP="00DC6120">
      <w:pPr>
        <w:pStyle w:val="ListBullet"/>
        <w:numPr>
          <w:ilvl w:val="0"/>
          <w:numId w:val="1"/>
        </w:numPr>
        <w:spacing w:after="240"/>
      </w:pPr>
      <w:r w:rsidRPr="00853F36">
        <w:t>Actively engaging self and others in positively and constructively addressing inter-professional conflict.</w:t>
      </w:r>
    </w:p>
    <w:p w:rsidR="00DC6120" w:rsidRPr="00853F36" w:rsidRDefault="00DC6120" w:rsidP="00DC6120">
      <w:r w:rsidRPr="00853F36">
        <w:t>T</w:t>
      </w:r>
      <w:r>
        <w:t xml:space="preserve">he literature confirms that </w:t>
      </w:r>
      <w:r w:rsidRPr="00853F36">
        <w:t>skills and attitudes necessary for teamwork between professionals should be introduced at the undergraduate level.</w:t>
      </w:r>
      <w:r w:rsidRPr="00853F36">
        <w:rPr>
          <w:rStyle w:val="FootnoteReference"/>
        </w:rPr>
        <w:footnoteReference w:id="239"/>
      </w:r>
      <w:r w:rsidRPr="00853F36">
        <w:t xml:space="preserve"> It is suggested that this should be through inter-professional education and practical experience as well as through modelling of inter-professional collaboration at the faculty level. While this need is acknowledged, to some degree, within the health disciplines, it is not often addressed across different sectors e.g. health and education. The literature stresses that training and support is required at both undergraduate and postgraduate/professional level to foster methods and strategies to support effective team functioning.</w:t>
      </w:r>
      <w:r w:rsidRPr="00853F36">
        <w:rPr>
          <w:rStyle w:val="FootnoteReference"/>
        </w:rPr>
        <w:footnoteReference w:id="240"/>
      </w:r>
    </w:p>
    <w:p w:rsidR="00DC6120" w:rsidRPr="00853F36" w:rsidRDefault="00DC6120" w:rsidP="00DC6120">
      <w:r w:rsidRPr="00853F36">
        <w:t>Inter-professional education (IPE) brings students from different disciplines together to learn with, from and about each other. By engaging in IPE that is explicit, interactive, and relevant to their future practice, students can:</w:t>
      </w:r>
      <w:r w:rsidRPr="00853F36">
        <w:rPr>
          <w:rStyle w:val="FootnoteReference"/>
        </w:rPr>
        <w:footnoteReference w:id="241"/>
      </w:r>
    </w:p>
    <w:p w:rsidR="00DC6120" w:rsidRPr="00853F36" w:rsidRDefault="00DC6120" w:rsidP="00DC6120">
      <w:pPr>
        <w:pStyle w:val="ListBullet"/>
        <w:numPr>
          <w:ilvl w:val="0"/>
          <w:numId w:val="1"/>
        </w:numPr>
      </w:pPr>
      <w:r w:rsidRPr="00853F36">
        <w:t>Learn new knowledge and develop new abilities;</w:t>
      </w:r>
    </w:p>
    <w:p w:rsidR="00DC6120" w:rsidRPr="00853F36" w:rsidRDefault="00DC6120" w:rsidP="00DC6120">
      <w:pPr>
        <w:pStyle w:val="ListBullet"/>
        <w:numPr>
          <w:ilvl w:val="0"/>
          <w:numId w:val="1"/>
        </w:numPr>
      </w:pPr>
      <w:r w:rsidRPr="00853F36">
        <w:t>Develop the interpersonal skills needed to work with others;</w:t>
      </w:r>
    </w:p>
    <w:p w:rsidR="00DC6120" w:rsidRPr="00853F36" w:rsidRDefault="00DC6120" w:rsidP="00DC6120">
      <w:pPr>
        <w:pStyle w:val="ListBullet"/>
        <w:numPr>
          <w:ilvl w:val="0"/>
          <w:numId w:val="1"/>
        </w:numPr>
      </w:pPr>
      <w:r w:rsidRPr="00853F36">
        <w:t>Gain experience working in team settings in which group members share common goals; and</w:t>
      </w:r>
    </w:p>
    <w:p w:rsidR="00DC6120" w:rsidRPr="00853F36" w:rsidRDefault="00DC6120" w:rsidP="00DC6120">
      <w:pPr>
        <w:pStyle w:val="ListBullet"/>
        <w:numPr>
          <w:ilvl w:val="0"/>
          <w:numId w:val="1"/>
        </w:numPr>
      </w:pPr>
      <w:r w:rsidRPr="00853F36">
        <w:t>Learn how to work with others to maximize the performance and output of the group.</w:t>
      </w:r>
    </w:p>
    <w:p w:rsidR="00DC6120" w:rsidRPr="00853F36" w:rsidRDefault="00DC6120" w:rsidP="00DC6120">
      <w:r w:rsidRPr="00853F36">
        <w:t>While measuring changes in skills, knowledge, and attitudes is a complex issue, many benefits to students have been reported as a result of inter-professional training programs.</w:t>
      </w:r>
      <w:r w:rsidRPr="00853F36">
        <w:rPr>
          <w:rStyle w:val="FootnoteReference"/>
        </w:rPr>
        <w:footnoteReference w:id="242"/>
      </w:r>
      <w:r w:rsidRPr="00853F36">
        <w:t xml:space="preserve"> Students who participate in IPE activities show increases in knowledge about the roles of other health professionals, have a greater respect for the contribution of other health care professionals, and understand the importance of working collaboratively to achieve optimal health outcomes.</w:t>
      </w:r>
      <w:r w:rsidRPr="00853F36">
        <w:rPr>
          <w:rStyle w:val="FootnoteReference"/>
        </w:rPr>
        <w:footnoteReference w:id="243"/>
      </w:r>
      <w:r w:rsidRPr="00853F36">
        <w:t xml:space="preserve"> Through IPE, students can develop competencies that will enable them to work collaboratively throughout their chosen careers. Therefore, the need to define the essential competencies required for collaborative practice and to develop and implement educational interventions to ensure t</w:t>
      </w:r>
      <w:r w:rsidR="00F8343E">
        <w:t>heir adoption is widely recognis</w:t>
      </w:r>
      <w:r w:rsidRPr="00853F36">
        <w:t>ed.</w:t>
      </w:r>
      <w:r w:rsidRPr="00853F36">
        <w:rPr>
          <w:rStyle w:val="FootnoteReference"/>
        </w:rPr>
        <w:footnoteReference w:id="244"/>
      </w:r>
    </w:p>
    <w:p w:rsidR="00DC6120" w:rsidRDefault="00DC6120" w:rsidP="007A31B0">
      <w:pPr>
        <w:pStyle w:val="Heading3"/>
      </w:pPr>
      <w:bookmarkStart w:id="261" w:name="_Toc415667060"/>
      <w:bookmarkStart w:id="262" w:name="_Toc415733753"/>
      <w:r>
        <w:t>Developing teamwork skills in the health services</w:t>
      </w:r>
      <w:bookmarkEnd w:id="261"/>
      <w:bookmarkEnd w:id="262"/>
    </w:p>
    <w:p w:rsidR="00DC6120" w:rsidRDefault="00DC6120" w:rsidP="00DC6120">
      <w:r>
        <w:t>“</w:t>
      </w:r>
      <w:r w:rsidRPr="003C7350">
        <w:t>Teams hold the potential to improve the value of health care, but to capture the full potential of team-based care, institutions, org</w:t>
      </w:r>
      <w:r>
        <w:t>anizations, governments, and in</w:t>
      </w:r>
      <w:r w:rsidRPr="003C7350">
        <w:t xml:space="preserve">dividuals must invest in people and processes that lead to </w:t>
      </w:r>
      <w:r>
        <w:t>improved outcomes. To target ex</w:t>
      </w:r>
      <w:r w:rsidRPr="003C7350">
        <w:t>penditures and plan wisely for outcom</w:t>
      </w:r>
      <w:r>
        <w:t xml:space="preserve">e-oriented team-based care, </w:t>
      </w:r>
      <w:r w:rsidRPr="003C7350">
        <w:t>top priorities should be the targeting of team-based care to situations in which it promote</w:t>
      </w:r>
      <w:r>
        <w:t xml:space="preserve">s the most efficiency, effectiveness and patient </w:t>
      </w:r>
      <w:r w:rsidRPr="003C7350">
        <w:t>engagement (including shared decision making)</w:t>
      </w:r>
      <w:r>
        <w:t>”</w:t>
      </w:r>
      <w:r w:rsidRPr="003C7350">
        <w:t>.</w:t>
      </w:r>
      <w:r>
        <w:rPr>
          <w:rStyle w:val="FootnoteReference"/>
        </w:rPr>
        <w:footnoteReference w:id="245"/>
      </w:r>
    </w:p>
    <w:p w:rsidR="00DC6120" w:rsidRDefault="00DC6120" w:rsidP="00DC6120">
      <w:r>
        <w:t xml:space="preserve">There are different approaches to optimising Human Resources (HR) in healthcare: </w:t>
      </w:r>
      <w:r w:rsidRPr="00B26430">
        <w:t xml:space="preserve">Policy-makers and managers </w:t>
      </w:r>
      <w:r>
        <w:t xml:space="preserve">use different </w:t>
      </w:r>
      <w:r w:rsidRPr="00B26430">
        <w:t xml:space="preserve">methods and initiatives to optimise the available workforce and achieve the right number and mix of personnel needed to provide care. </w:t>
      </w:r>
      <w:r>
        <w:t xml:space="preserve">A </w:t>
      </w:r>
      <w:r w:rsidRPr="00B26430">
        <w:t xml:space="preserve">literature review found that initiatives </w:t>
      </w:r>
      <w:r>
        <w:t xml:space="preserve">(such as staff-mix, number of personnel, mixing qualifications, balancing junior and senior staff, mixing disciplines, skill flexibility such as role substitution) </w:t>
      </w:r>
      <w:r w:rsidRPr="00B26430">
        <w:t>often focus more on staff types than on staff members' skills and the effective use of those skills</w:t>
      </w:r>
      <w:r>
        <w:t>.</w:t>
      </w:r>
      <w:r w:rsidRPr="00523DA5">
        <w:rPr>
          <w:rStyle w:val="FootnoteReference"/>
        </w:rPr>
        <w:t xml:space="preserve"> </w:t>
      </w:r>
      <w:r>
        <w:rPr>
          <w:rStyle w:val="FootnoteReference"/>
        </w:rPr>
        <w:footnoteReference w:id="246"/>
      </w:r>
      <w:r>
        <w:t xml:space="preserve"> </w:t>
      </w:r>
    </w:p>
    <w:p w:rsidR="00DC6120" w:rsidRDefault="00DC6120" w:rsidP="00DC6120">
      <w:r>
        <w:t>T</w:t>
      </w:r>
      <w:r w:rsidRPr="00B26430">
        <w:t xml:space="preserve">o use human resources most effectively, health care organisations </w:t>
      </w:r>
      <w:r>
        <w:t xml:space="preserve">should </w:t>
      </w:r>
      <w:r w:rsidRPr="00B26430">
        <w:t>consider a</w:t>
      </w:r>
      <w:r>
        <w:t>n</w:t>
      </w:r>
      <w:r w:rsidRPr="00B26430">
        <w:t xml:space="preserve"> </w:t>
      </w:r>
      <w:r>
        <w:t>approach</w:t>
      </w:r>
      <w:r w:rsidRPr="00B26430">
        <w:t xml:space="preserve"> that accou</w:t>
      </w:r>
      <w:r>
        <w:t>nts for factors beyond narrowly-</w:t>
      </w:r>
      <w:r w:rsidRPr="00B26430">
        <w:t xml:space="preserve">defined </w:t>
      </w:r>
      <w:r>
        <w:t xml:space="preserve">HR </w:t>
      </w:r>
      <w:r w:rsidRPr="00B26430">
        <w:t xml:space="preserve">management practices and </w:t>
      </w:r>
      <w:r>
        <w:t>which also include</w:t>
      </w:r>
      <w:r w:rsidRPr="00B26430">
        <w:t xml:space="preserve"> organisational and institutional conditions.</w:t>
      </w:r>
      <w:r>
        <w:t>”</w:t>
      </w:r>
      <w:r w:rsidRPr="00B26430">
        <w:rPr>
          <w:rStyle w:val="FootnoteReference"/>
        </w:rPr>
        <w:t xml:space="preserve"> </w:t>
      </w:r>
      <w:r>
        <w:rPr>
          <w:rStyle w:val="FootnoteReference"/>
        </w:rPr>
        <w:footnoteReference w:id="247"/>
      </w:r>
      <w:r>
        <w:t xml:space="preserve"> “</w:t>
      </w:r>
      <w:r w:rsidRPr="00AE5A52">
        <w:t xml:space="preserve">The evidence suggests that no matter which workers are employed or what their roles are, it is by tackling organisational issues </w:t>
      </w:r>
      <w:r>
        <w:t xml:space="preserve">(structures, management, resources, professional development opportunities) </w:t>
      </w:r>
      <w:r w:rsidRPr="00AE5A52">
        <w:t>that a</w:t>
      </w:r>
      <w:r>
        <w:t>n</w:t>
      </w:r>
      <w:r w:rsidRPr="00AE5A52">
        <w:t xml:space="preserve"> efficient and effective workforce can be generated</w:t>
      </w:r>
      <w:r>
        <w:t>”</w:t>
      </w:r>
      <w:r w:rsidRPr="00AE5A52">
        <w:t>.</w:t>
      </w:r>
      <w:r>
        <w:rPr>
          <w:rStyle w:val="FootnoteReference"/>
        </w:rPr>
        <w:footnoteReference w:id="248"/>
      </w:r>
      <w:r w:rsidRPr="00AE5A52">
        <w:t xml:space="preserve"> </w:t>
      </w:r>
      <w:r>
        <w:t>For example:</w:t>
      </w:r>
      <w:r w:rsidRPr="009A477D">
        <w:rPr>
          <w:rStyle w:val="FootnoteReference"/>
        </w:rPr>
        <w:t xml:space="preserve"> </w:t>
      </w:r>
      <w:r>
        <w:rPr>
          <w:rStyle w:val="FootnoteReference"/>
        </w:rPr>
        <w:footnoteReference w:id="249"/>
      </w:r>
    </w:p>
    <w:p w:rsidR="00DC6120" w:rsidRDefault="00DC6120" w:rsidP="00DC6120">
      <w:pPr>
        <w:pStyle w:val="ListBullet"/>
        <w:numPr>
          <w:ilvl w:val="0"/>
          <w:numId w:val="1"/>
        </w:numPr>
        <w:ind w:left="357" w:hanging="357"/>
      </w:pPr>
      <w:r>
        <w:t>O</w:t>
      </w:r>
      <w:r w:rsidRPr="00523DA5">
        <w:t>rganisation-level factors that support teamwork such as organisational structures, management/strategies, and resources/tools strongly influence both the development of health care teams' collaborative practices as well as their outcomes</w:t>
      </w:r>
    </w:p>
    <w:p w:rsidR="00DC6120" w:rsidRDefault="00DC6120" w:rsidP="00DC6120">
      <w:pPr>
        <w:pStyle w:val="ListBullet"/>
        <w:numPr>
          <w:ilvl w:val="0"/>
          <w:numId w:val="1"/>
        </w:numPr>
        <w:ind w:left="357" w:hanging="357"/>
      </w:pPr>
      <w:r>
        <w:t>O</w:t>
      </w:r>
      <w:r w:rsidRPr="009A477D">
        <w:t xml:space="preserve">rganisational characteristics that foster empowerment, decision ownership, job autonomy/discretion and participation boost </w:t>
      </w:r>
      <w:r>
        <w:t xml:space="preserve">healthcare </w:t>
      </w:r>
      <w:r w:rsidRPr="009A477D">
        <w:t>workers' productivity by engaging them in a responsible and responsive manner</w:t>
      </w:r>
    </w:p>
    <w:p w:rsidR="00DC6120" w:rsidRDefault="00DC6120" w:rsidP="00DC6120">
      <w:pPr>
        <w:pStyle w:val="ListBullet"/>
        <w:numPr>
          <w:ilvl w:val="0"/>
          <w:numId w:val="1"/>
        </w:numPr>
        <w:ind w:left="357" w:hanging="357"/>
      </w:pPr>
      <w:r>
        <w:t>A</w:t>
      </w:r>
      <w:r w:rsidRPr="009A477D">
        <w:t xml:space="preserve"> climate high in autonomy and supportiveness is positively related to job performance</w:t>
      </w:r>
    </w:p>
    <w:p w:rsidR="00DC6120" w:rsidRDefault="00DC6120" w:rsidP="00DC6120">
      <w:pPr>
        <w:pStyle w:val="ListBullet"/>
        <w:numPr>
          <w:ilvl w:val="0"/>
          <w:numId w:val="1"/>
        </w:numPr>
        <w:ind w:left="357" w:hanging="357"/>
      </w:pPr>
      <w:r w:rsidRPr="009A477D">
        <w:t xml:space="preserve">Managerial style, evaluation and reward systems, accountability, decision latitude, and opportunities for employee may </w:t>
      </w:r>
      <w:r>
        <w:t xml:space="preserve">all </w:t>
      </w:r>
      <w:r w:rsidRPr="009A477D">
        <w:t>influence an individual worker's level of commitment and motivation, and, therefore, levels of skills retention, skills utilisation, and skills development across an entire workforce</w:t>
      </w:r>
    </w:p>
    <w:p w:rsidR="00DC6120" w:rsidRDefault="00DC6120" w:rsidP="00DC6120">
      <w:pPr>
        <w:pStyle w:val="ListBullet"/>
        <w:numPr>
          <w:ilvl w:val="0"/>
          <w:numId w:val="1"/>
        </w:numPr>
        <w:ind w:left="357" w:hanging="357"/>
      </w:pPr>
      <w:r w:rsidRPr="00D40684">
        <w:t>Health care workers may also be more motivated to perform well if organisations and managers provide a clear sense of vision and mission, increase staff members' participation in decision-making, encourage teamwork, foster innovation, provide career structures and opportunities for promotion, and use available sanctions for poor performance in ways that are fair and consistent</w:t>
      </w:r>
      <w:r>
        <w:t>.</w:t>
      </w:r>
    </w:p>
    <w:p w:rsidR="00234FC8" w:rsidRDefault="006A35CF" w:rsidP="00234FC8">
      <w:pPr>
        <w:pStyle w:val="Heading1"/>
      </w:pPr>
      <w:r>
        <w:br w:type="page"/>
      </w:r>
      <w:bookmarkStart w:id="263" w:name="_Toc415733754"/>
      <w:r w:rsidR="00234FC8">
        <w:t>Appendix 3: Census data 2006 and 2011 compared</w:t>
      </w:r>
      <w:bookmarkEnd w:id="263"/>
    </w:p>
    <w:p w:rsidR="00234FC8" w:rsidRDefault="00234FC8" w:rsidP="006A35CF">
      <w:pPr>
        <w:sectPr w:rsidR="00234FC8" w:rsidSect="004035FE">
          <w:headerReference w:type="default" r:id="rId11"/>
          <w:footerReference w:type="default" r:id="rId12"/>
          <w:pgSz w:w="12240" w:h="15840"/>
          <w:pgMar w:top="1440" w:right="1800" w:bottom="1440" w:left="1800" w:header="708" w:footer="708" w:gutter="0"/>
          <w:cols w:space="708"/>
          <w:titlePg/>
          <w:docGrid w:linePitch="360"/>
        </w:sectPr>
      </w:pPr>
      <w:r>
        <w:t>Comparing Census 2011 with the data from Census 2006 show that there are differences between the two censuses in the age-specific prevalence of disability recorded, which cannot be fully explained by the differences in a number of the disability questions as between the two periods.</w:t>
      </w:r>
      <w:r>
        <w:rPr>
          <w:rStyle w:val="FootnoteReference"/>
        </w:rPr>
        <w:footnoteReference w:id="250"/>
      </w:r>
      <w:r>
        <w:t xml:space="preserve"> That upward drift may be attributable to more children on the borderline being included in the disability category in 2011 than in 2006 – it seems less likely that children with substantial support needs would have been classed differently in the two Census years.</w:t>
      </w:r>
      <w:r>
        <w:rPr>
          <w:rStyle w:val="FootnoteReference"/>
        </w:rPr>
        <w:footnoteReference w:id="251"/>
      </w:r>
      <w:r>
        <w:t xml:space="preserve"> So census figures on children with a disability need to be treated with some caution given this fluidity. </w:t>
      </w:r>
    </w:p>
    <w:p w:rsidR="00234FC8" w:rsidRDefault="009F7B74" w:rsidP="00C2050D">
      <w:pPr>
        <w:pStyle w:val="TableTitle"/>
      </w:pPr>
      <w:bookmarkStart w:id="264" w:name="_Toc419879434"/>
      <w:r>
        <w:t>Table 31:</w:t>
      </w:r>
      <w:r w:rsidR="00234FC8">
        <w:t xml:space="preserve"> Comparison between Census 2006 and Census 2011 prevalence of childhood disability by category</w:t>
      </w:r>
      <w:bookmarkEnd w:id="264"/>
    </w:p>
    <w:p w:rsidR="00234FC8" w:rsidRPr="00E04809" w:rsidRDefault="00234FC8" w:rsidP="006A35CF">
      <w:r w:rsidRPr="00E04809">
        <w:t>While changes in some wording took place in 2011, and some combined categories were split, the shaded areas show % differences in recorded prevalence for equivalent categories in 2006 and 2011</w:t>
      </w:r>
      <w:r>
        <w:t>. While small increases in prevalence are shown for 0-19 year olds in each category, learning disability seems to be the main driver, followed by the ‘other chronic disability or illness’ category</w:t>
      </w:r>
      <w:r w:rsidR="006A35CF">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541"/>
        <w:gridCol w:w="541"/>
        <w:gridCol w:w="542"/>
        <w:gridCol w:w="570"/>
        <w:gridCol w:w="554"/>
        <w:gridCol w:w="542"/>
        <w:gridCol w:w="565"/>
        <w:gridCol w:w="542"/>
        <w:gridCol w:w="542"/>
        <w:gridCol w:w="542"/>
        <w:gridCol w:w="773"/>
        <w:gridCol w:w="542"/>
        <w:gridCol w:w="824"/>
        <w:gridCol w:w="872"/>
        <w:gridCol w:w="648"/>
        <w:gridCol w:w="648"/>
        <w:gridCol w:w="648"/>
        <w:gridCol w:w="639"/>
        <w:gridCol w:w="639"/>
        <w:gridCol w:w="639"/>
      </w:tblGrid>
      <w:tr w:rsidR="00234FC8" w:rsidRPr="00784B2A" w:rsidTr="006A35CF">
        <w:trPr>
          <w:cantSplit/>
          <w:tblHeader/>
        </w:trPr>
        <w:tc>
          <w:tcPr>
            <w:tcW w:w="270" w:type="pct"/>
          </w:tcPr>
          <w:p w:rsidR="00234FC8" w:rsidRPr="00784B2A" w:rsidRDefault="00234FC8" w:rsidP="00E20F6B">
            <w:pPr>
              <w:spacing w:after="0"/>
              <w:rPr>
                <w:rFonts w:ascii="Gill Sans MT" w:hAnsi="Gill Sans MT" w:cs="Arial"/>
                <w:sz w:val="16"/>
                <w:szCs w:val="16"/>
                <w:lang w:eastAsia="en-IE"/>
              </w:rPr>
            </w:pPr>
          </w:p>
        </w:tc>
        <w:tc>
          <w:tcPr>
            <w:tcW w:w="201" w:type="pct"/>
            <w:shd w:val="clear" w:color="auto" w:fill="auto"/>
            <w:hideMark/>
          </w:tcPr>
          <w:p w:rsidR="00234FC8" w:rsidRPr="003C5476" w:rsidRDefault="00234FC8" w:rsidP="003C5476">
            <w:pPr>
              <w:pStyle w:val="TableHead"/>
              <w:spacing w:before="60"/>
              <w:rPr>
                <w:sz w:val="16"/>
                <w:szCs w:val="16"/>
                <w:lang w:eastAsia="en-IE"/>
              </w:rPr>
            </w:pPr>
            <w:r w:rsidRPr="003C5476">
              <w:rPr>
                <w:sz w:val="16"/>
                <w:szCs w:val="16"/>
                <w:lang w:eastAsia="en-IE"/>
              </w:rPr>
              <w:t>Pwd 2006</w:t>
            </w:r>
          </w:p>
        </w:tc>
        <w:tc>
          <w:tcPr>
            <w:tcW w:w="201" w:type="pct"/>
            <w:shd w:val="clear" w:color="auto" w:fill="auto"/>
            <w:hideMark/>
          </w:tcPr>
          <w:p w:rsidR="00234FC8" w:rsidRPr="003C5476" w:rsidRDefault="00234FC8" w:rsidP="003C5476">
            <w:pPr>
              <w:pStyle w:val="TableHead"/>
              <w:spacing w:before="60"/>
              <w:rPr>
                <w:sz w:val="16"/>
                <w:szCs w:val="16"/>
                <w:lang w:eastAsia="en-IE"/>
              </w:rPr>
            </w:pPr>
            <w:r w:rsidRPr="003C5476">
              <w:rPr>
                <w:sz w:val="16"/>
                <w:szCs w:val="16"/>
                <w:lang w:eastAsia="en-IE"/>
              </w:rPr>
              <w:t>Pwd 2011</w:t>
            </w:r>
          </w:p>
        </w:tc>
        <w:tc>
          <w:tcPr>
            <w:tcW w:w="212" w:type="pct"/>
            <w:shd w:val="clear" w:color="auto" w:fill="auto"/>
            <w:hideMark/>
          </w:tcPr>
          <w:p w:rsidR="00234FC8" w:rsidRPr="003C5476" w:rsidRDefault="00234FC8" w:rsidP="003C5476">
            <w:pPr>
              <w:pStyle w:val="TableHead"/>
              <w:spacing w:before="60"/>
              <w:rPr>
                <w:sz w:val="16"/>
                <w:szCs w:val="16"/>
                <w:lang w:eastAsia="en-IE"/>
              </w:rPr>
            </w:pPr>
            <w:r w:rsidRPr="003C5476">
              <w:rPr>
                <w:sz w:val="16"/>
                <w:szCs w:val="16"/>
                <w:lang w:eastAsia="en-IE"/>
              </w:rPr>
              <w:t>2011 less 2006</w:t>
            </w:r>
          </w:p>
        </w:tc>
        <w:tc>
          <w:tcPr>
            <w:tcW w:w="249" w:type="pct"/>
            <w:shd w:val="clear" w:color="auto" w:fill="auto"/>
            <w:hideMark/>
          </w:tcPr>
          <w:p w:rsidR="00234FC8" w:rsidRPr="003C5476" w:rsidRDefault="00234FC8" w:rsidP="003C5476">
            <w:pPr>
              <w:pStyle w:val="TableHead"/>
              <w:spacing w:before="60"/>
              <w:rPr>
                <w:sz w:val="16"/>
                <w:szCs w:val="16"/>
                <w:lang w:eastAsia="en-IE"/>
              </w:rPr>
            </w:pPr>
            <w:r w:rsidRPr="003C5476">
              <w:rPr>
                <w:sz w:val="16"/>
                <w:szCs w:val="16"/>
                <w:lang w:eastAsia="en-IE"/>
              </w:rPr>
              <w:t>Blind et c &amp; deaf etc 2006</w:t>
            </w:r>
          </w:p>
        </w:tc>
        <w:tc>
          <w:tcPr>
            <w:tcW w:w="214" w:type="pct"/>
            <w:shd w:val="clear" w:color="auto" w:fill="auto"/>
            <w:hideMark/>
          </w:tcPr>
          <w:p w:rsidR="00234FC8" w:rsidRPr="003C5476" w:rsidRDefault="00234FC8" w:rsidP="003C5476">
            <w:pPr>
              <w:pStyle w:val="TableHead"/>
              <w:spacing w:before="60"/>
              <w:rPr>
                <w:sz w:val="16"/>
                <w:szCs w:val="16"/>
                <w:lang w:eastAsia="en-IE"/>
              </w:rPr>
            </w:pPr>
            <w:r w:rsidRPr="003C5476">
              <w:rPr>
                <w:sz w:val="16"/>
                <w:szCs w:val="16"/>
                <w:lang w:eastAsia="en-IE"/>
              </w:rPr>
              <w:t>blind etc 2011</w:t>
            </w:r>
          </w:p>
        </w:tc>
        <w:tc>
          <w:tcPr>
            <w:tcW w:w="214" w:type="pct"/>
            <w:shd w:val="clear" w:color="auto" w:fill="auto"/>
            <w:hideMark/>
          </w:tcPr>
          <w:p w:rsidR="00234FC8" w:rsidRPr="003C5476" w:rsidRDefault="00234FC8" w:rsidP="003C5476">
            <w:pPr>
              <w:pStyle w:val="TableHead"/>
              <w:spacing w:before="60"/>
              <w:rPr>
                <w:sz w:val="16"/>
                <w:szCs w:val="16"/>
                <w:lang w:eastAsia="en-IE"/>
              </w:rPr>
            </w:pPr>
            <w:r w:rsidRPr="003C5476">
              <w:rPr>
                <w:sz w:val="16"/>
                <w:szCs w:val="16"/>
                <w:lang w:eastAsia="en-IE"/>
              </w:rPr>
              <w:t>Deaf etc 2011</w:t>
            </w:r>
          </w:p>
        </w:tc>
        <w:tc>
          <w:tcPr>
            <w:tcW w:w="267" w:type="pct"/>
            <w:shd w:val="clear" w:color="auto" w:fill="auto"/>
            <w:hideMark/>
          </w:tcPr>
          <w:p w:rsidR="00234FC8" w:rsidRPr="003C5476" w:rsidRDefault="00234FC8" w:rsidP="003C5476">
            <w:pPr>
              <w:pStyle w:val="TableHead"/>
              <w:spacing w:before="60"/>
              <w:rPr>
                <w:sz w:val="16"/>
                <w:szCs w:val="16"/>
                <w:lang w:eastAsia="en-IE"/>
              </w:rPr>
            </w:pPr>
            <w:r w:rsidRPr="003C5476">
              <w:rPr>
                <w:sz w:val="16"/>
                <w:szCs w:val="16"/>
                <w:lang w:eastAsia="en-IE"/>
              </w:rPr>
              <w:t>blind &amp; deaf rates 2011 less 2006</w:t>
            </w:r>
          </w:p>
        </w:tc>
        <w:tc>
          <w:tcPr>
            <w:tcW w:w="202" w:type="pct"/>
            <w:shd w:val="clear" w:color="auto" w:fill="auto"/>
            <w:hideMark/>
          </w:tcPr>
          <w:p w:rsidR="00234FC8" w:rsidRPr="003C5476" w:rsidRDefault="00234FC8" w:rsidP="003C5476">
            <w:pPr>
              <w:pStyle w:val="TableHead"/>
              <w:spacing w:before="60"/>
              <w:rPr>
                <w:sz w:val="16"/>
                <w:szCs w:val="16"/>
                <w:lang w:eastAsia="en-IE"/>
              </w:rPr>
            </w:pPr>
            <w:r w:rsidRPr="003C5476">
              <w:rPr>
                <w:sz w:val="16"/>
                <w:szCs w:val="16"/>
                <w:lang w:eastAsia="en-IE"/>
              </w:rPr>
              <w:t>phys 2006</w:t>
            </w:r>
          </w:p>
        </w:tc>
        <w:tc>
          <w:tcPr>
            <w:tcW w:w="202" w:type="pct"/>
            <w:shd w:val="clear" w:color="auto" w:fill="auto"/>
            <w:hideMark/>
          </w:tcPr>
          <w:p w:rsidR="00234FC8" w:rsidRPr="003C5476" w:rsidRDefault="00234FC8" w:rsidP="003C5476">
            <w:pPr>
              <w:pStyle w:val="TableHead"/>
              <w:spacing w:before="60"/>
              <w:rPr>
                <w:sz w:val="16"/>
                <w:szCs w:val="16"/>
                <w:lang w:eastAsia="en-IE"/>
              </w:rPr>
            </w:pPr>
            <w:r w:rsidRPr="003C5476">
              <w:rPr>
                <w:sz w:val="16"/>
                <w:szCs w:val="16"/>
                <w:lang w:eastAsia="en-IE"/>
              </w:rPr>
              <w:t>phys 2011</w:t>
            </w:r>
          </w:p>
        </w:tc>
        <w:tc>
          <w:tcPr>
            <w:tcW w:w="227" w:type="pct"/>
            <w:shd w:val="clear" w:color="auto" w:fill="auto"/>
            <w:hideMark/>
          </w:tcPr>
          <w:p w:rsidR="00234FC8" w:rsidRPr="003C5476" w:rsidRDefault="00234FC8" w:rsidP="003C5476">
            <w:pPr>
              <w:pStyle w:val="TableHead"/>
              <w:spacing w:before="60"/>
              <w:rPr>
                <w:sz w:val="16"/>
                <w:szCs w:val="16"/>
                <w:lang w:eastAsia="en-IE"/>
              </w:rPr>
            </w:pPr>
            <w:r w:rsidRPr="003C5476">
              <w:rPr>
                <w:sz w:val="16"/>
                <w:szCs w:val="16"/>
                <w:lang w:eastAsia="en-IE"/>
              </w:rPr>
              <w:t>phys 2011 less 2006</w:t>
            </w:r>
          </w:p>
        </w:tc>
        <w:tc>
          <w:tcPr>
            <w:tcW w:w="281" w:type="pct"/>
            <w:shd w:val="clear" w:color="auto" w:fill="auto"/>
            <w:hideMark/>
          </w:tcPr>
          <w:p w:rsidR="00234FC8" w:rsidRPr="003C5476" w:rsidRDefault="00234FC8" w:rsidP="003C5476">
            <w:pPr>
              <w:pStyle w:val="TableHead"/>
              <w:spacing w:before="60"/>
              <w:rPr>
                <w:sz w:val="16"/>
                <w:szCs w:val="16"/>
                <w:lang w:eastAsia="en-IE"/>
              </w:rPr>
            </w:pPr>
            <w:r w:rsidRPr="003C5476">
              <w:rPr>
                <w:sz w:val="16"/>
                <w:szCs w:val="16"/>
                <w:lang w:eastAsia="en-IE"/>
              </w:rPr>
              <w:t>learning or ID 2006</w:t>
            </w:r>
          </w:p>
        </w:tc>
        <w:tc>
          <w:tcPr>
            <w:tcW w:w="196" w:type="pct"/>
            <w:shd w:val="clear" w:color="auto" w:fill="auto"/>
            <w:hideMark/>
          </w:tcPr>
          <w:p w:rsidR="00234FC8" w:rsidRPr="003C5476" w:rsidRDefault="00234FC8" w:rsidP="003C5476">
            <w:pPr>
              <w:pStyle w:val="TableHead"/>
              <w:spacing w:before="60"/>
              <w:rPr>
                <w:sz w:val="16"/>
                <w:szCs w:val="16"/>
                <w:lang w:eastAsia="en-IE"/>
              </w:rPr>
            </w:pPr>
            <w:r w:rsidRPr="003C5476">
              <w:rPr>
                <w:sz w:val="16"/>
                <w:szCs w:val="16"/>
                <w:lang w:eastAsia="en-IE"/>
              </w:rPr>
              <w:t>ID 2011</w:t>
            </w:r>
          </w:p>
        </w:tc>
        <w:tc>
          <w:tcPr>
            <w:tcW w:w="277" w:type="pct"/>
            <w:shd w:val="clear" w:color="auto" w:fill="auto"/>
            <w:hideMark/>
          </w:tcPr>
          <w:p w:rsidR="00234FC8" w:rsidRPr="003C5476" w:rsidRDefault="00234FC8" w:rsidP="003C5476">
            <w:pPr>
              <w:pStyle w:val="TableHead"/>
              <w:spacing w:before="60"/>
              <w:rPr>
                <w:sz w:val="16"/>
                <w:szCs w:val="16"/>
                <w:lang w:eastAsia="en-IE"/>
              </w:rPr>
            </w:pPr>
            <w:r w:rsidRPr="003C5476">
              <w:rPr>
                <w:sz w:val="16"/>
                <w:szCs w:val="16"/>
                <w:lang w:eastAsia="en-IE"/>
              </w:rPr>
              <w:t>Learning 2011</w:t>
            </w:r>
          </w:p>
        </w:tc>
        <w:tc>
          <w:tcPr>
            <w:tcW w:w="331" w:type="pct"/>
            <w:shd w:val="clear" w:color="auto" w:fill="auto"/>
            <w:hideMark/>
          </w:tcPr>
          <w:p w:rsidR="00234FC8" w:rsidRPr="003C5476" w:rsidRDefault="00234FC8" w:rsidP="003C5476">
            <w:pPr>
              <w:pStyle w:val="TableHead"/>
              <w:spacing w:before="60"/>
              <w:rPr>
                <w:sz w:val="16"/>
                <w:szCs w:val="16"/>
                <w:lang w:eastAsia="en-IE"/>
              </w:rPr>
            </w:pPr>
            <w:r w:rsidRPr="003C5476">
              <w:rPr>
                <w:sz w:val="16"/>
                <w:szCs w:val="16"/>
                <w:lang w:eastAsia="en-IE"/>
              </w:rPr>
              <w:t xml:space="preserve">2011 less 2006 </w:t>
            </w:r>
            <w:proofErr w:type="spellStart"/>
            <w:r w:rsidRPr="003C5476">
              <w:rPr>
                <w:sz w:val="16"/>
                <w:szCs w:val="16"/>
                <w:lang w:eastAsia="en-IE"/>
              </w:rPr>
              <w:t>ID+Learn</w:t>
            </w:r>
            <w:proofErr w:type="spellEnd"/>
          </w:p>
        </w:tc>
        <w:tc>
          <w:tcPr>
            <w:tcW w:w="232" w:type="pct"/>
            <w:shd w:val="clear" w:color="auto" w:fill="auto"/>
            <w:hideMark/>
          </w:tcPr>
          <w:p w:rsidR="00234FC8" w:rsidRPr="003C5476" w:rsidRDefault="00234FC8" w:rsidP="003C5476">
            <w:pPr>
              <w:pStyle w:val="TableHead"/>
              <w:spacing w:before="60"/>
              <w:rPr>
                <w:sz w:val="16"/>
                <w:szCs w:val="16"/>
                <w:lang w:eastAsia="en-IE"/>
              </w:rPr>
            </w:pPr>
            <w:r w:rsidRPr="003C5476">
              <w:rPr>
                <w:sz w:val="16"/>
                <w:szCs w:val="16"/>
                <w:lang w:eastAsia="en-IE"/>
              </w:rPr>
              <w:t>m health 2006</w:t>
            </w:r>
          </w:p>
        </w:tc>
        <w:tc>
          <w:tcPr>
            <w:tcW w:w="232" w:type="pct"/>
            <w:shd w:val="clear" w:color="auto" w:fill="auto"/>
            <w:hideMark/>
          </w:tcPr>
          <w:p w:rsidR="00234FC8" w:rsidRPr="003C5476" w:rsidRDefault="00234FC8" w:rsidP="003C5476">
            <w:pPr>
              <w:pStyle w:val="TableHead"/>
              <w:spacing w:before="60"/>
              <w:rPr>
                <w:sz w:val="16"/>
                <w:szCs w:val="16"/>
                <w:lang w:eastAsia="en-IE"/>
              </w:rPr>
            </w:pPr>
            <w:r w:rsidRPr="003C5476">
              <w:rPr>
                <w:sz w:val="16"/>
                <w:szCs w:val="16"/>
                <w:lang w:eastAsia="en-IE"/>
              </w:rPr>
              <w:t>M health 2011</w:t>
            </w:r>
          </w:p>
        </w:tc>
        <w:tc>
          <w:tcPr>
            <w:tcW w:w="261" w:type="pct"/>
            <w:shd w:val="clear" w:color="auto" w:fill="auto"/>
            <w:hideMark/>
          </w:tcPr>
          <w:p w:rsidR="00234FC8" w:rsidRPr="003C5476" w:rsidRDefault="00234FC8" w:rsidP="003C5476">
            <w:pPr>
              <w:pStyle w:val="TableHead"/>
              <w:spacing w:before="60"/>
              <w:rPr>
                <w:sz w:val="16"/>
                <w:szCs w:val="16"/>
                <w:lang w:eastAsia="en-IE"/>
              </w:rPr>
            </w:pPr>
            <w:r w:rsidRPr="003C5476">
              <w:rPr>
                <w:sz w:val="16"/>
                <w:szCs w:val="16"/>
                <w:lang w:eastAsia="en-IE"/>
              </w:rPr>
              <w:t xml:space="preserve">m health 2011 less 2006 </w:t>
            </w:r>
          </w:p>
        </w:tc>
        <w:tc>
          <w:tcPr>
            <w:tcW w:w="228" w:type="pct"/>
            <w:shd w:val="clear" w:color="auto" w:fill="auto"/>
            <w:hideMark/>
          </w:tcPr>
          <w:p w:rsidR="00234FC8" w:rsidRPr="003C5476" w:rsidRDefault="00234FC8" w:rsidP="003C5476">
            <w:pPr>
              <w:pStyle w:val="TableHead"/>
              <w:spacing w:before="60"/>
              <w:rPr>
                <w:sz w:val="16"/>
                <w:szCs w:val="16"/>
                <w:lang w:eastAsia="en-IE"/>
              </w:rPr>
            </w:pPr>
            <w:r w:rsidRPr="003C5476">
              <w:rPr>
                <w:sz w:val="16"/>
                <w:szCs w:val="16"/>
                <w:lang w:eastAsia="en-IE"/>
              </w:rPr>
              <w:t>Other 2006</w:t>
            </w:r>
          </w:p>
        </w:tc>
        <w:tc>
          <w:tcPr>
            <w:tcW w:w="228" w:type="pct"/>
            <w:shd w:val="clear" w:color="auto" w:fill="auto"/>
            <w:hideMark/>
          </w:tcPr>
          <w:p w:rsidR="00234FC8" w:rsidRPr="003C5476" w:rsidRDefault="00234FC8" w:rsidP="003C5476">
            <w:pPr>
              <w:pStyle w:val="TableHead"/>
              <w:spacing w:before="60"/>
              <w:rPr>
                <w:sz w:val="16"/>
                <w:szCs w:val="16"/>
                <w:lang w:eastAsia="en-IE"/>
              </w:rPr>
            </w:pPr>
            <w:r w:rsidRPr="003C5476">
              <w:rPr>
                <w:sz w:val="16"/>
                <w:szCs w:val="16"/>
                <w:lang w:eastAsia="en-IE"/>
              </w:rPr>
              <w:t>Other 2011</w:t>
            </w:r>
          </w:p>
        </w:tc>
        <w:tc>
          <w:tcPr>
            <w:tcW w:w="276" w:type="pct"/>
            <w:shd w:val="clear" w:color="auto" w:fill="auto"/>
            <w:hideMark/>
          </w:tcPr>
          <w:p w:rsidR="00234FC8" w:rsidRPr="003C5476" w:rsidRDefault="00234FC8" w:rsidP="003C5476">
            <w:pPr>
              <w:pStyle w:val="TableHead"/>
              <w:spacing w:before="60"/>
              <w:rPr>
                <w:sz w:val="16"/>
                <w:szCs w:val="16"/>
                <w:lang w:eastAsia="en-IE"/>
              </w:rPr>
            </w:pPr>
            <w:r w:rsidRPr="003C5476">
              <w:rPr>
                <w:sz w:val="16"/>
                <w:szCs w:val="16"/>
                <w:lang w:eastAsia="en-IE"/>
              </w:rPr>
              <w:t>Other 2011 less other 2006</w:t>
            </w:r>
          </w:p>
        </w:tc>
      </w:tr>
      <w:tr w:rsidR="00234FC8" w:rsidRPr="00784B2A" w:rsidTr="006A35CF">
        <w:trPr>
          <w:trHeight w:val="285"/>
        </w:trPr>
        <w:tc>
          <w:tcPr>
            <w:tcW w:w="270" w:type="pct"/>
            <w:vAlign w:val="bottom"/>
          </w:tcPr>
          <w:p w:rsidR="00234FC8" w:rsidRPr="003B2D53" w:rsidRDefault="00234FC8" w:rsidP="00E20F6B">
            <w:pPr>
              <w:spacing w:after="0"/>
              <w:rPr>
                <w:rFonts w:ascii="Gill Sans MT" w:hAnsi="Gill Sans MT" w:cs="Arial"/>
                <w:sz w:val="16"/>
                <w:szCs w:val="16"/>
                <w:lang w:eastAsia="en-IE"/>
              </w:rPr>
            </w:pPr>
            <w:r w:rsidRPr="003B2D53">
              <w:rPr>
                <w:rFonts w:ascii="Gill Sans MT" w:hAnsi="Gill Sans MT" w:cs="Arial"/>
                <w:sz w:val="16"/>
                <w:szCs w:val="16"/>
                <w:lang w:eastAsia="en-IE"/>
              </w:rPr>
              <w:t xml:space="preserve">Under 1 </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1.0%</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1.6%</w:t>
            </w:r>
          </w:p>
        </w:tc>
        <w:tc>
          <w:tcPr>
            <w:tcW w:w="212" w:type="pct"/>
            <w:shd w:val="clear" w:color="000000" w:fill="FAC090"/>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49"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0.2%</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0.1%</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0.1%</w:t>
            </w:r>
          </w:p>
        </w:tc>
        <w:tc>
          <w:tcPr>
            <w:tcW w:w="26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0.0%</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0.2%</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2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0.2%</w:t>
            </w:r>
          </w:p>
        </w:tc>
        <w:tc>
          <w:tcPr>
            <w:tcW w:w="28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0.3%</w:t>
            </w:r>
          </w:p>
        </w:tc>
        <w:tc>
          <w:tcPr>
            <w:tcW w:w="196"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0.3%</w:t>
            </w:r>
          </w:p>
        </w:tc>
        <w:tc>
          <w:tcPr>
            <w:tcW w:w="277"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0.2%</w:t>
            </w:r>
          </w:p>
        </w:tc>
        <w:tc>
          <w:tcPr>
            <w:tcW w:w="33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0.2%</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0.1%</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0.1%</w:t>
            </w:r>
          </w:p>
        </w:tc>
        <w:tc>
          <w:tcPr>
            <w:tcW w:w="26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0.0%</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76"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0.2%</w:t>
            </w:r>
          </w:p>
        </w:tc>
      </w:tr>
      <w:tr w:rsidR="00234FC8" w:rsidRPr="00784B2A" w:rsidTr="006A35CF">
        <w:trPr>
          <w:trHeight w:val="285"/>
        </w:trPr>
        <w:tc>
          <w:tcPr>
            <w:tcW w:w="270" w:type="pct"/>
            <w:vAlign w:val="bottom"/>
          </w:tcPr>
          <w:p w:rsidR="00234FC8" w:rsidRPr="003B2D53" w:rsidRDefault="00234FC8" w:rsidP="00E20F6B">
            <w:pPr>
              <w:spacing w:after="0"/>
              <w:rPr>
                <w:rFonts w:ascii="Gill Sans MT" w:hAnsi="Gill Sans MT" w:cs="Arial"/>
                <w:sz w:val="16"/>
                <w:szCs w:val="16"/>
                <w:lang w:eastAsia="en-IE"/>
              </w:rPr>
            </w:pPr>
            <w:r w:rsidRPr="003B2D53">
              <w:rPr>
                <w:rFonts w:ascii="Gill Sans MT" w:hAnsi="Gill Sans MT" w:cs="Arial"/>
                <w:sz w:val="16"/>
                <w:szCs w:val="16"/>
                <w:lang w:eastAsia="en-IE"/>
              </w:rPr>
              <w:t>1 year</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1.3%</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2.1%</w:t>
            </w:r>
          </w:p>
        </w:tc>
        <w:tc>
          <w:tcPr>
            <w:tcW w:w="212" w:type="pct"/>
            <w:shd w:val="clear" w:color="000000" w:fill="FAC090"/>
            <w:noWrap/>
            <w:vAlign w:val="bottom"/>
            <w:hideMark/>
          </w:tcPr>
          <w:p w:rsidR="00234FC8" w:rsidRPr="00616517" w:rsidRDefault="00234FC8" w:rsidP="00616517">
            <w:pPr>
              <w:pStyle w:val="TableCell"/>
              <w:rPr>
                <w:sz w:val="16"/>
                <w:szCs w:val="16"/>
                <w:lang w:eastAsia="en-IE"/>
              </w:rPr>
            </w:pPr>
            <w:r w:rsidRPr="00616517">
              <w:rPr>
                <w:sz w:val="16"/>
                <w:szCs w:val="16"/>
                <w:lang w:eastAsia="en-IE"/>
              </w:rPr>
              <w:t>0.8%</w:t>
            </w:r>
          </w:p>
        </w:tc>
        <w:tc>
          <w:tcPr>
            <w:tcW w:w="249"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0.2%</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0.1%</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0.1%</w:t>
            </w:r>
          </w:p>
        </w:tc>
        <w:tc>
          <w:tcPr>
            <w:tcW w:w="26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0.0%</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2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0.2%</w:t>
            </w:r>
          </w:p>
        </w:tc>
        <w:tc>
          <w:tcPr>
            <w:tcW w:w="28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196"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77"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0.3%</w:t>
            </w:r>
          </w:p>
        </w:tc>
        <w:tc>
          <w:tcPr>
            <w:tcW w:w="33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0.1%</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0.1%</w:t>
            </w:r>
          </w:p>
        </w:tc>
        <w:tc>
          <w:tcPr>
            <w:tcW w:w="26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0.0%</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0.9%</w:t>
            </w:r>
          </w:p>
        </w:tc>
        <w:tc>
          <w:tcPr>
            <w:tcW w:w="276"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0.3%</w:t>
            </w:r>
          </w:p>
        </w:tc>
      </w:tr>
      <w:tr w:rsidR="00234FC8" w:rsidRPr="00784B2A" w:rsidTr="006A35CF">
        <w:trPr>
          <w:trHeight w:val="285"/>
        </w:trPr>
        <w:tc>
          <w:tcPr>
            <w:tcW w:w="270" w:type="pct"/>
            <w:vAlign w:val="bottom"/>
          </w:tcPr>
          <w:p w:rsidR="00234FC8" w:rsidRPr="003B2D53" w:rsidRDefault="00234FC8" w:rsidP="00E20F6B">
            <w:pPr>
              <w:spacing w:after="0"/>
              <w:rPr>
                <w:rFonts w:ascii="Gill Sans MT" w:hAnsi="Gill Sans MT" w:cs="Arial"/>
                <w:sz w:val="16"/>
                <w:szCs w:val="16"/>
                <w:lang w:eastAsia="en-IE"/>
              </w:rPr>
            </w:pPr>
            <w:r w:rsidRPr="003B2D53">
              <w:rPr>
                <w:rFonts w:ascii="Gill Sans MT" w:hAnsi="Gill Sans MT" w:cs="Arial"/>
                <w:sz w:val="16"/>
                <w:szCs w:val="16"/>
                <w:lang w:eastAsia="en-IE"/>
              </w:rPr>
              <w:t>2 years</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1.6%</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2.7%</w:t>
            </w:r>
          </w:p>
        </w:tc>
        <w:tc>
          <w:tcPr>
            <w:tcW w:w="212" w:type="pct"/>
            <w:shd w:val="clear" w:color="000000" w:fill="FAC090"/>
            <w:noWrap/>
            <w:vAlign w:val="bottom"/>
            <w:hideMark/>
          </w:tcPr>
          <w:p w:rsidR="00234FC8" w:rsidRPr="00616517" w:rsidRDefault="00234FC8" w:rsidP="00616517">
            <w:pPr>
              <w:pStyle w:val="TableCell"/>
              <w:rPr>
                <w:sz w:val="16"/>
                <w:szCs w:val="16"/>
                <w:lang w:eastAsia="en-IE"/>
              </w:rPr>
            </w:pPr>
            <w:r w:rsidRPr="00616517">
              <w:rPr>
                <w:sz w:val="16"/>
                <w:szCs w:val="16"/>
                <w:lang w:eastAsia="en-IE"/>
              </w:rPr>
              <w:t>1.1%</w:t>
            </w:r>
          </w:p>
        </w:tc>
        <w:tc>
          <w:tcPr>
            <w:tcW w:w="249"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0.3%</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0.2%</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0.2%</w:t>
            </w:r>
          </w:p>
        </w:tc>
        <w:tc>
          <w:tcPr>
            <w:tcW w:w="26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0.0%</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0.5%</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2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0.2%</w:t>
            </w:r>
          </w:p>
        </w:tc>
        <w:tc>
          <w:tcPr>
            <w:tcW w:w="28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196"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77"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33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0.1%</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0.2%</w:t>
            </w:r>
          </w:p>
        </w:tc>
        <w:tc>
          <w:tcPr>
            <w:tcW w:w="26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0.1%</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0.7%</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1.2%</w:t>
            </w:r>
          </w:p>
        </w:tc>
        <w:tc>
          <w:tcPr>
            <w:tcW w:w="276"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0.5%</w:t>
            </w:r>
          </w:p>
        </w:tc>
      </w:tr>
      <w:tr w:rsidR="00234FC8" w:rsidRPr="00784B2A" w:rsidTr="006A35CF">
        <w:trPr>
          <w:trHeight w:val="285"/>
        </w:trPr>
        <w:tc>
          <w:tcPr>
            <w:tcW w:w="270" w:type="pct"/>
            <w:vAlign w:val="bottom"/>
          </w:tcPr>
          <w:p w:rsidR="00234FC8" w:rsidRPr="003B2D53" w:rsidRDefault="00234FC8" w:rsidP="00E20F6B">
            <w:pPr>
              <w:spacing w:after="0"/>
              <w:rPr>
                <w:rFonts w:ascii="Gill Sans MT" w:hAnsi="Gill Sans MT" w:cs="Arial"/>
                <w:sz w:val="16"/>
                <w:szCs w:val="16"/>
                <w:lang w:eastAsia="en-IE"/>
              </w:rPr>
            </w:pPr>
            <w:r w:rsidRPr="003B2D53">
              <w:rPr>
                <w:rFonts w:ascii="Gill Sans MT" w:hAnsi="Gill Sans MT" w:cs="Arial"/>
                <w:sz w:val="16"/>
                <w:szCs w:val="16"/>
                <w:lang w:eastAsia="en-IE"/>
              </w:rPr>
              <w:t>3 years</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2.2%</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3.5%</w:t>
            </w:r>
          </w:p>
        </w:tc>
        <w:tc>
          <w:tcPr>
            <w:tcW w:w="212" w:type="pct"/>
            <w:shd w:val="clear" w:color="000000" w:fill="FAC090"/>
            <w:noWrap/>
            <w:vAlign w:val="bottom"/>
            <w:hideMark/>
          </w:tcPr>
          <w:p w:rsidR="00234FC8" w:rsidRPr="00616517" w:rsidRDefault="00234FC8" w:rsidP="00616517">
            <w:pPr>
              <w:pStyle w:val="TableCell"/>
              <w:rPr>
                <w:sz w:val="16"/>
                <w:szCs w:val="16"/>
                <w:lang w:eastAsia="en-IE"/>
              </w:rPr>
            </w:pPr>
            <w:r w:rsidRPr="00616517">
              <w:rPr>
                <w:sz w:val="16"/>
                <w:szCs w:val="16"/>
                <w:lang w:eastAsia="en-IE"/>
              </w:rPr>
              <w:t>1.3%</w:t>
            </w:r>
          </w:p>
        </w:tc>
        <w:tc>
          <w:tcPr>
            <w:tcW w:w="249"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0.2%</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0.2%</w:t>
            </w:r>
          </w:p>
        </w:tc>
        <w:tc>
          <w:tcPr>
            <w:tcW w:w="26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0.1%</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0.5%</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0.7%</w:t>
            </w:r>
          </w:p>
        </w:tc>
        <w:tc>
          <w:tcPr>
            <w:tcW w:w="22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0.2%</w:t>
            </w:r>
          </w:p>
        </w:tc>
        <w:tc>
          <w:tcPr>
            <w:tcW w:w="28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0.9%</w:t>
            </w:r>
          </w:p>
        </w:tc>
        <w:tc>
          <w:tcPr>
            <w:tcW w:w="196"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0.9%</w:t>
            </w:r>
          </w:p>
        </w:tc>
        <w:tc>
          <w:tcPr>
            <w:tcW w:w="277"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1.0%</w:t>
            </w:r>
          </w:p>
        </w:tc>
        <w:tc>
          <w:tcPr>
            <w:tcW w:w="33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1.0%</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0.2%</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6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0.2%</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0.8%</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1.6%</w:t>
            </w:r>
          </w:p>
        </w:tc>
        <w:tc>
          <w:tcPr>
            <w:tcW w:w="276"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0.8%</w:t>
            </w:r>
          </w:p>
        </w:tc>
      </w:tr>
      <w:tr w:rsidR="00234FC8" w:rsidRPr="00784B2A" w:rsidTr="006A35CF">
        <w:trPr>
          <w:trHeight w:val="285"/>
        </w:trPr>
        <w:tc>
          <w:tcPr>
            <w:tcW w:w="270" w:type="pct"/>
            <w:vAlign w:val="bottom"/>
          </w:tcPr>
          <w:p w:rsidR="00234FC8" w:rsidRPr="003B2D53" w:rsidRDefault="00234FC8" w:rsidP="00E20F6B">
            <w:pPr>
              <w:spacing w:after="0"/>
              <w:rPr>
                <w:rFonts w:ascii="Gill Sans MT" w:hAnsi="Gill Sans MT" w:cs="Arial"/>
                <w:sz w:val="16"/>
                <w:szCs w:val="16"/>
                <w:lang w:eastAsia="en-IE"/>
              </w:rPr>
            </w:pPr>
            <w:r w:rsidRPr="003B2D53">
              <w:rPr>
                <w:rFonts w:ascii="Gill Sans MT" w:hAnsi="Gill Sans MT" w:cs="Arial"/>
                <w:sz w:val="16"/>
                <w:szCs w:val="16"/>
                <w:lang w:eastAsia="en-IE"/>
              </w:rPr>
              <w:t>4 years</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2.7%</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4.4%</w:t>
            </w:r>
          </w:p>
        </w:tc>
        <w:tc>
          <w:tcPr>
            <w:tcW w:w="212" w:type="pct"/>
            <w:shd w:val="clear" w:color="000000" w:fill="FAC090"/>
            <w:noWrap/>
            <w:vAlign w:val="bottom"/>
            <w:hideMark/>
          </w:tcPr>
          <w:p w:rsidR="00234FC8" w:rsidRPr="00616517" w:rsidRDefault="00234FC8" w:rsidP="00616517">
            <w:pPr>
              <w:pStyle w:val="TableCell"/>
              <w:rPr>
                <w:sz w:val="16"/>
                <w:szCs w:val="16"/>
                <w:lang w:eastAsia="en-IE"/>
              </w:rPr>
            </w:pPr>
            <w:r w:rsidRPr="00616517">
              <w:rPr>
                <w:sz w:val="16"/>
                <w:szCs w:val="16"/>
                <w:lang w:eastAsia="en-IE"/>
              </w:rPr>
              <w:t>1.7%</w:t>
            </w:r>
          </w:p>
        </w:tc>
        <w:tc>
          <w:tcPr>
            <w:tcW w:w="249"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0.3%</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0.3%</w:t>
            </w:r>
          </w:p>
        </w:tc>
        <w:tc>
          <w:tcPr>
            <w:tcW w:w="26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0.1%</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0.5%</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0.8%</w:t>
            </w:r>
          </w:p>
        </w:tc>
        <w:tc>
          <w:tcPr>
            <w:tcW w:w="22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0.3%</w:t>
            </w:r>
          </w:p>
        </w:tc>
        <w:tc>
          <w:tcPr>
            <w:tcW w:w="28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1.3%</w:t>
            </w:r>
          </w:p>
        </w:tc>
        <w:tc>
          <w:tcPr>
            <w:tcW w:w="196"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1.1%</w:t>
            </w:r>
          </w:p>
        </w:tc>
        <w:tc>
          <w:tcPr>
            <w:tcW w:w="277"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1.5%</w:t>
            </w:r>
          </w:p>
        </w:tc>
        <w:tc>
          <w:tcPr>
            <w:tcW w:w="33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1.4%</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0.3%</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6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0.3%</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0.9%</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1.9%</w:t>
            </w:r>
          </w:p>
        </w:tc>
        <w:tc>
          <w:tcPr>
            <w:tcW w:w="276"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0.9%</w:t>
            </w:r>
          </w:p>
        </w:tc>
      </w:tr>
      <w:tr w:rsidR="00234FC8" w:rsidRPr="00784B2A" w:rsidTr="006A35CF">
        <w:trPr>
          <w:trHeight w:val="285"/>
        </w:trPr>
        <w:tc>
          <w:tcPr>
            <w:tcW w:w="270" w:type="pct"/>
            <w:vAlign w:val="bottom"/>
          </w:tcPr>
          <w:p w:rsidR="00234FC8" w:rsidRPr="003B2D53" w:rsidRDefault="00234FC8" w:rsidP="00E20F6B">
            <w:pPr>
              <w:spacing w:after="0"/>
              <w:rPr>
                <w:rFonts w:ascii="Gill Sans MT" w:hAnsi="Gill Sans MT" w:cs="Arial"/>
                <w:sz w:val="16"/>
                <w:szCs w:val="16"/>
                <w:lang w:eastAsia="en-IE"/>
              </w:rPr>
            </w:pPr>
            <w:r w:rsidRPr="003B2D53">
              <w:rPr>
                <w:rFonts w:ascii="Gill Sans MT" w:hAnsi="Gill Sans MT" w:cs="Arial"/>
                <w:sz w:val="16"/>
                <w:szCs w:val="16"/>
                <w:lang w:eastAsia="en-IE"/>
              </w:rPr>
              <w:t>5 years</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3.3%</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4.9%</w:t>
            </w:r>
          </w:p>
        </w:tc>
        <w:tc>
          <w:tcPr>
            <w:tcW w:w="212" w:type="pct"/>
            <w:shd w:val="clear" w:color="000000" w:fill="FAC090"/>
            <w:noWrap/>
            <w:vAlign w:val="bottom"/>
            <w:hideMark/>
          </w:tcPr>
          <w:p w:rsidR="00234FC8" w:rsidRPr="00616517" w:rsidRDefault="00234FC8" w:rsidP="00616517">
            <w:pPr>
              <w:pStyle w:val="TableCell"/>
              <w:rPr>
                <w:sz w:val="16"/>
                <w:szCs w:val="16"/>
                <w:lang w:eastAsia="en-IE"/>
              </w:rPr>
            </w:pPr>
            <w:r w:rsidRPr="00616517">
              <w:rPr>
                <w:sz w:val="16"/>
                <w:szCs w:val="16"/>
                <w:lang w:eastAsia="en-IE"/>
              </w:rPr>
              <w:t>1.7%</w:t>
            </w:r>
          </w:p>
        </w:tc>
        <w:tc>
          <w:tcPr>
            <w:tcW w:w="249"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0.5%</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0.3%</w:t>
            </w:r>
          </w:p>
        </w:tc>
        <w:tc>
          <w:tcPr>
            <w:tcW w:w="26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0.2%</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0.8%</w:t>
            </w:r>
          </w:p>
        </w:tc>
        <w:tc>
          <w:tcPr>
            <w:tcW w:w="22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0.2%</w:t>
            </w:r>
          </w:p>
        </w:tc>
        <w:tc>
          <w:tcPr>
            <w:tcW w:w="28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1.6%</w:t>
            </w:r>
          </w:p>
        </w:tc>
        <w:tc>
          <w:tcPr>
            <w:tcW w:w="196"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1.3%</w:t>
            </w:r>
          </w:p>
        </w:tc>
        <w:tc>
          <w:tcPr>
            <w:tcW w:w="277"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1.9%</w:t>
            </w:r>
          </w:p>
        </w:tc>
        <w:tc>
          <w:tcPr>
            <w:tcW w:w="33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1.6%</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0.8%</w:t>
            </w:r>
          </w:p>
        </w:tc>
        <w:tc>
          <w:tcPr>
            <w:tcW w:w="26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1.0%</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2.0%</w:t>
            </w:r>
          </w:p>
        </w:tc>
        <w:tc>
          <w:tcPr>
            <w:tcW w:w="276"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1.0%</w:t>
            </w:r>
          </w:p>
        </w:tc>
      </w:tr>
      <w:tr w:rsidR="00234FC8" w:rsidRPr="00784B2A" w:rsidTr="006A35CF">
        <w:trPr>
          <w:trHeight w:val="285"/>
        </w:trPr>
        <w:tc>
          <w:tcPr>
            <w:tcW w:w="270" w:type="pct"/>
            <w:vAlign w:val="bottom"/>
          </w:tcPr>
          <w:p w:rsidR="00234FC8" w:rsidRPr="003B2D53" w:rsidRDefault="00234FC8" w:rsidP="00E20F6B">
            <w:pPr>
              <w:spacing w:after="0"/>
              <w:rPr>
                <w:rFonts w:ascii="Gill Sans MT" w:hAnsi="Gill Sans MT" w:cs="Arial"/>
                <w:sz w:val="16"/>
                <w:szCs w:val="16"/>
                <w:lang w:eastAsia="en-IE"/>
              </w:rPr>
            </w:pPr>
            <w:r w:rsidRPr="003B2D53">
              <w:rPr>
                <w:rFonts w:ascii="Gill Sans MT" w:hAnsi="Gill Sans MT" w:cs="Arial"/>
                <w:sz w:val="16"/>
                <w:szCs w:val="16"/>
                <w:lang w:eastAsia="en-IE"/>
              </w:rPr>
              <w:t>6 years</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3.7%</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5.6%</w:t>
            </w:r>
          </w:p>
        </w:tc>
        <w:tc>
          <w:tcPr>
            <w:tcW w:w="212" w:type="pct"/>
            <w:shd w:val="clear" w:color="000000" w:fill="FAC090"/>
            <w:noWrap/>
            <w:vAlign w:val="bottom"/>
            <w:hideMark/>
          </w:tcPr>
          <w:p w:rsidR="00234FC8" w:rsidRPr="00616517" w:rsidRDefault="00234FC8" w:rsidP="00616517">
            <w:pPr>
              <w:pStyle w:val="TableCell"/>
              <w:rPr>
                <w:sz w:val="16"/>
                <w:szCs w:val="16"/>
                <w:lang w:eastAsia="en-IE"/>
              </w:rPr>
            </w:pPr>
            <w:r w:rsidRPr="00616517">
              <w:rPr>
                <w:sz w:val="16"/>
                <w:szCs w:val="16"/>
                <w:lang w:eastAsia="en-IE"/>
              </w:rPr>
              <w:t>1.9%</w:t>
            </w:r>
          </w:p>
        </w:tc>
        <w:tc>
          <w:tcPr>
            <w:tcW w:w="249"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6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0.3%</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0.8%</w:t>
            </w:r>
          </w:p>
        </w:tc>
        <w:tc>
          <w:tcPr>
            <w:tcW w:w="22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0.2%</w:t>
            </w:r>
          </w:p>
        </w:tc>
        <w:tc>
          <w:tcPr>
            <w:tcW w:w="28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2.0%</w:t>
            </w:r>
          </w:p>
        </w:tc>
        <w:tc>
          <w:tcPr>
            <w:tcW w:w="196"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1.4%</w:t>
            </w:r>
          </w:p>
        </w:tc>
        <w:tc>
          <w:tcPr>
            <w:tcW w:w="277"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2.4%</w:t>
            </w:r>
          </w:p>
        </w:tc>
        <w:tc>
          <w:tcPr>
            <w:tcW w:w="33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1.8%</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0.9%</w:t>
            </w:r>
          </w:p>
        </w:tc>
        <w:tc>
          <w:tcPr>
            <w:tcW w:w="26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0.5%</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1.1%</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2.1%</w:t>
            </w:r>
          </w:p>
        </w:tc>
        <w:tc>
          <w:tcPr>
            <w:tcW w:w="276"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1.0%</w:t>
            </w:r>
          </w:p>
        </w:tc>
      </w:tr>
      <w:tr w:rsidR="00234FC8" w:rsidRPr="00784B2A" w:rsidTr="006A35CF">
        <w:trPr>
          <w:trHeight w:val="285"/>
        </w:trPr>
        <w:tc>
          <w:tcPr>
            <w:tcW w:w="270" w:type="pct"/>
            <w:vAlign w:val="bottom"/>
          </w:tcPr>
          <w:p w:rsidR="00234FC8" w:rsidRPr="003B2D53" w:rsidRDefault="00234FC8" w:rsidP="00E20F6B">
            <w:pPr>
              <w:spacing w:after="0"/>
              <w:rPr>
                <w:rFonts w:ascii="Gill Sans MT" w:hAnsi="Gill Sans MT" w:cs="Arial"/>
                <w:sz w:val="16"/>
                <w:szCs w:val="16"/>
                <w:lang w:eastAsia="en-IE"/>
              </w:rPr>
            </w:pPr>
            <w:r w:rsidRPr="003B2D53">
              <w:rPr>
                <w:rFonts w:ascii="Gill Sans MT" w:hAnsi="Gill Sans MT" w:cs="Arial"/>
                <w:sz w:val="16"/>
                <w:szCs w:val="16"/>
                <w:lang w:eastAsia="en-IE"/>
              </w:rPr>
              <w:t>7 years</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4.0%</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6.1%</w:t>
            </w:r>
          </w:p>
        </w:tc>
        <w:tc>
          <w:tcPr>
            <w:tcW w:w="212" w:type="pct"/>
            <w:shd w:val="clear" w:color="000000" w:fill="FAC090"/>
            <w:noWrap/>
            <w:vAlign w:val="bottom"/>
            <w:hideMark/>
          </w:tcPr>
          <w:p w:rsidR="00234FC8" w:rsidRPr="00616517" w:rsidRDefault="00234FC8" w:rsidP="00616517">
            <w:pPr>
              <w:pStyle w:val="TableCell"/>
              <w:rPr>
                <w:sz w:val="16"/>
                <w:szCs w:val="16"/>
                <w:lang w:eastAsia="en-IE"/>
              </w:rPr>
            </w:pPr>
            <w:r w:rsidRPr="00616517">
              <w:rPr>
                <w:sz w:val="16"/>
                <w:szCs w:val="16"/>
                <w:lang w:eastAsia="en-IE"/>
              </w:rPr>
              <w:t>2.1%</w:t>
            </w:r>
          </w:p>
        </w:tc>
        <w:tc>
          <w:tcPr>
            <w:tcW w:w="249"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0.5%</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6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0.3%</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0.5%</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0.8%</w:t>
            </w:r>
          </w:p>
        </w:tc>
        <w:tc>
          <w:tcPr>
            <w:tcW w:w="22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0.3%</w:t>
            </w:r>
          </w:p>
        </w:tc>
        <w:tc>
          <w:tcPr>
            <w:tcW w:w="28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2.3%</w:t>
            </w:r>
          </w:p>
        </w:tc>
        <w:tc>
          <w:tcPr>
            <w:tcW w:w="196"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1.5%</w:t>
            </w:r>
          </w:p>
        </w:tc>
        <w:tc>
          <w:tcPr>
            <w:tcW w:w="277"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3.0%</w:t>
            </w:r>
          </w:p>
        </w:tc>
        <w:tc>
          <w:tcPr>
            <w:tcW w:w="33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2.2%</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0.5%</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1.0%</w:t>
            </w:r>
          </w:p>
        </w:tc>
        <w:tc>
          <w:tcPr>
            <w:tcW w:w="26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0.5%</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1.1%</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2.1%</w:t>
            </w:r>
          </w:p>
        </w:tc>
        <w:tc>
          <w:tcPr>
            <w:tcW w:w="276"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1.0%</w:t>
            </w:r>
          </w:p>
        </w:tc>
      </w:tr>
      <w:tr w:rsidR="00234FC8" w:rsidRPr="00784B2A" w:rsidTr="006A35CF">
        <w:trPr>
          <w:trHeight w:val="285"/>
        </w:trPr>
        <w:tc>
          <w:tcPr>
            <w:tcW w:w="270" w:type="pct"/>
            <w:vAlign w:val="bottom"/>
          </w:tcPr>
          <w:p w:rsidR="00234FC8" w:rsidRPr="003B2D53" w:rsidRDefault="00234FC8" w:rsidP="00E20F6B">
            <w:pPr>
              <w:spacing w:after="0"/>
              <w:rPr>
                <w:rFonts w:ascii="Gill Sans MT" w:hAnsi="Gill Sans MT" w:cs="Arial"/>
                <w:sz w:val="16"/>
                <w:szCs w:val="16"/>
                <w:lang w:eastAsia="en-IE"/>
              </w:rPr>
            </w:pPr>
            <w:r w:rsidRPr="003B2D53">
              <w:rPr>
                <w:rFonts w:ascii="Gill Sans MT" w:hAnsi="Gill Sans MT" w:cs="Arial"/>
                <w:sz w:val="16"/>
                <w:szCs w:val="16"/>
                <w:lang w:eastAsia="en-IE"/>
              </w:rPr>
              <w:t>8 years</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4.7%</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6.6%</w:t>
            </w:r>
          </w:p>
        </w:tc>
        <w:tc>
          <w:tcPr>
            <w:tcW w:w="212" w:type="pct"/>
            <w:shd w:val="clear" w:color="000000" w:fill="FAC090"/>
            <w:noWrap/>
            <w:vAlign w:val="bottom"/>
            <w:hideMark/>
          </w:tcPr>
          <w:p w:rsidR="00234FC8" w:rsidRPr="00616517" w:rsidRDefault="00234FC8" w:rsidP="00616517">
            <w:pPr>
              <w:pStyle w:val="TableCell"/>
              <w:rPr>
                <w:sz w:val="16"/>
                <w:szCs w:val="16"/>
                <w:lang w:eastAsia="en-IE"/>
              </w:rPr>
            </w:pPr>
            <w:r w:rsidRPr="00616517">
              <w:rPr>
                <w:sz w:val="16"/>
                <w:szCs w:val="16"/>
                <w:lang w:eastAsia="en-IE"/>
              </w:rPr>
              <w:t>2.0%</w:t>
            </w:r>
          </w:p>
        </w:tc>
        <w:tc>
          <w:tcPr>
            <w:tcW w:w="249"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0.5%</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6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0.2%</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0.7%</w:t>
            </w:r>
          </w:p>
        </w:tc>
        <w:tc>
          <w:tcPr>
            <w:tcW w:w="22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0.1%</w:t>
            </w:r>
          </w:p>
        </w:tc>
        <w:tc>
          <w:tcPr>
            <w:tcW w:w="28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2.9%</w:t>
            </w:r>
          </w:p>
        </w:tc>
        <w:tc>
          <w:tcPr>
            <w:tcW w:w="196"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1.7%</w:t>
            </w:r>
          </w:p>
        </w:tc>
        <w:tc>
          <w:tcPr>
            <w:tcW w:w="277"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3.5%</w:t>
            </w:r>
          </w:p>
        </w:tc>
        <w:tc>
          <w:tcPr>
            <w:tcW w:w="33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2.3%</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0.9%</w:t>
            </w:r>
          </w:p>
        </w:tc>
        <w:tc>
          <w:tcPr>
            <w:tcW w:w="26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0.3%</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1.1%</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2.0%</w:t>
            </w:r>
          </w:p>
        </w:tc>
        <w:tc>
          <w:tcPr>
            <w:tcW w:w="276"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0.9%</w:t>
            </w:r>
          </w:p>
        </w:tc>
      </w:tr>
      <w:tr w:rsidR="00234FC8" w:rsidRPr="00784B2A" w:rsidTr="006A35CF">
        <w:trPr>
          <w:trHeight w:val="285"/>
        </w:trPr>
        <w:tc>
          <w:tcPr>
            <w:tcW w:w="270" w:type="pct"/>
            <w:vAlign w:val="bottom"/>
          </w:tcPr>
          <w:p w:rsidR="00234FC8" w:rsidRPr="003B2D53" w:rsidRDefault="00234FC8" w:rsidP="00E20F6B">
            <w:pPr>
              <w:spacing w:after="0"/>
              <w:rPr>
                <w:rFonts w:ascii="Gill Sans MT" w:hAnsi="Gill Sans MT" w:cs="Arial"/>
                <w:sz w:val="16"/>
                <w:szCs w:val="16"/>
                <w:lang w:eastAsia="en-IE"/>
              </w:rPr>
            </w:pPr>
            <w:r w:rsidRPr="003B2D53">
              <w:rPr>
                <w:rFonts w:ascii="Gill Sans MT" w:hAnsi="Gill Sans MT" w:cs="Arial"/>
                <w:sz w:val="16"/>
                <w:szCs w:val="16"/>
                <w:lang w:eastAsia="en-IE"/>
              </w:rPr>
              <w:t>9 years</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5.2%</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7.3%</w:t>
            </w:r>
          </w:p>
        </w:tc>
        <w:tc>
          <w:tcPr>
            <w:tcW w:w="212" w:type="pct"/>
            <w:shd w:val="clear" w:color="000000" w:fill="FAC090"/>
            <w:noWrap/>
            <w:vAlign w:val="bottom"/>
            <w:hideMark/>
          </w:tcPr>
          <w:p w:rsidR="00234FC8" w:rsidRPr="00616517" w:rsidRDefault="00234FC8" w:rsidP="00616517">
            <w:pPr>
              <w:pStyle w:val="TableCell"/>
              <w:rPr>
                <w:sz w:val="16"/>
                <w:szCs w:val="16"/>
                <w:lang w:eastAsia="en-IE"/>
              </w:rPr>
            </w:pPr>
            <w:r w:rsidRPr="00616517">
              <w:rPr>
                <w:sz w:val="16"/>
                <w:szCs w:val="16"/>
                <w:lang w:eastAsia="en-IE"/>
              </w:rPr>
              <w:t>2.0%</w:t>
            </w:r>
          </w:p>
        </w:tc>
        <w:tc>
          <w:tcPr>
            <w:tcW w:w="249"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0.5%</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6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0.2%</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0.8%</w:t>
            </w:r>
          </w:p>
        </w:tc>
        <w:tc>
          <w:tcPr>
            <w:tcW w:w="22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0.1%</w:t>
            </w:r>
          </w:p>
        </w:tc>
        <w:tc>
          <w:tcPr>
            <w:tcW w:w="28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3.4%</w:t>
            </w:r>
          </w:p>
        </w:tc>
        <w:tc>
          <w:tcPr>
            <w:tcW w:w="196"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1.9%</w:t>
            </w:r>
          </w:p>
        </w:tc>
        <w:tc>
          <w:tcPr>
            <w:tcW w:w="277"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4.0%</w:t>
            </w:r>
          </w:p>
        </w:tc>
        <w:tc>
          <w:tcPr>
            <w:tcW w:w="33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2.5%</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0.5%</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1.1%</w:t>
            </w:r>
          </w:p>
        </w:tc>
        <w:tc>
          <w:tcPr>
            <w:tcW w:w="26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1.1%</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2.1%</w:t>
            </w:r>
          </w:p>
        </w:tc>
        <w:tc>
          <w:tcPr>
            <w:tcW w:w="276"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1.0%</w:t>
            </w:r>
          </w:p>
        </w:tc>
      </w:tr>
      <w:tr w:rsidR="00234FC8" w:rsidRPr="00784B2A" w:rsidTr="006A35CF">
        <w:trPr>
          <w:trHeight w:val="285"/>
        </w:trPr>
        <w:tc>
          <w:tcPr>
            <w:tcW w:w="270" w:type="pct"/>
            <w:vAlign w:val="bottom"/>
          </w:tcPr>
          <w:p w:rsidR="00234FC8" w:rsidRPr="003B2D53" w:rsidRDefault="00234FC8" w:rsidP="00E20F6B">
            <w:pPr>
              <w:spacing w:after="0"/>
              <w:rPr>
                <w:rFonts w:ascii="Gill Sans MT" w:hAnsi="Gill Sans MT" w:cs="Arial"/>
                <w:sz w:val="16"/>
                <w:szCs w:val="16"/>
                <w:lang w:eastAsia="en-IE"/>
              </w:rPr>
            </w:pPr>
            <w:r w:rsidRPr="003B2D53">
              <w:rPr>
                <w:rFonts w:ascii="Gill Sans MT" w:hAnsi="Gill Sans MT" w:cs="Arial"/>
                <w:sz w:val="16"/>
                <w:szCs w:val="16"/>
                <w:lang w:eastAsia="en-IE"/>
              </w:rPr>
              <w:t>10 years</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5.7%</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7.6%</w:t>
            </w:r>
          </w:p>
        </w:tc>
        <w:tc>
          <w:tcPr>
            <w:tcW w:w="212" w:type="pct"/>
            <w:shd w:val="clear" w:color="000000" w:fill="FAC090"/>
            <w:noWrap/>
            <w:vAlign w:val="bottom"/>
            <w:hideMark/>
          </w:tcPr>
          <w:p w:rsidR="00234FC8" w:rsidRPr="00616517" w:rsidRDefault="00234FC8" w:rsidP="00616517">
            <w:pPr>
              <w:pStyle w:val="TableCell"/>
              <w:rPr>
                <w:sz w:val="16"/>
                <w:szCs w:val="16"/>
                <w:lang w:eastAsia="en-IE"/>
              </w:rPr>
            </w:pPr>
            <w:r w:rsidRPr="00616517">
              <w:rPr>
                <w:sz w:val="16"/>
                <w:szCs w:val="16"/>
                <w:lang w:eastAsia="en-IE"/>
              </w:rPr>
              <w:t>1.9%</w:t>
            </w:r>
          </w:p>
        </w:tc>
        <w:tc>
          <w:tcPr>
            <w:tcW w:w="249"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0.5%</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6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0.3%</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0.8%</w:t>
            </w:r>
          </w:p>
        </w:tc>
        <w:tc>
          <w:tcPr>
            <w:tcW w:w="22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0.2%</w:t>
            </w:r>
          </w:p>
        </w:tc>
        <w:tc>
          <w:tcPr>
            <w:tcW w:w="28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3.9%</w:t>
            </w:r>
          </w:p>
        </w:tc>
        <w:tc>
          <w:tcPr>
            <w:tcW w:w="196"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2.0%</w:t>
            </w:r>
          </w:p>
        </w:tc>
        <w:tc>
          <w:tcPr>
            <w:tcW w:w="277"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4.3%</w:t>
            </w:r>
          </w:p>
        </w:tc>
        <w:tc>
          <w:tcPr>
            <w:tcW w:w="33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2.4%</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1.1%</w:t>
            </w:r>
          </w:p>
        </w:tc>
        <w:tc>
          <w:tcPr>
            <w:tcW w:w="26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0.5%</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1.2%</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2.2%</w:t>
            </w:r>
          </w:p>
        </w:tc>
        <w:tc>
          <w:tcPr>
            <w:tcW w:w="276"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0.9%</w:t>
            </w:r>
          </w:p>
        </w:tc>
      </w:tr>
      <w:tr w:rsidR="00234FC8" w:rsidRPr="00784B2A" w:rsidTr="006A35CF">
        <w:trPr>
          <w:trHeight w:val="285"/>
        </w:trPr>
        <w:tc>
          <w:tcPr>
            <w:tcW w:w="270" w:type="pct"/>
            <w:vAlign w:val="bottom"/>
          </w:tcPr>
          <w:p w:rsidR="00234FC8" w:rsidRPr="003B2D53" w:rsidRDefault="00234FC8" w:rsidP="00E20F6B">
            <w:pPr>
              <w:spacing w:after="0"/>
              <w:rPr>
                <w:rFonts w:ascii="Gill Sans MT" w:hAnsi="Gill Sans MT" w:cs="Arial"/>
                <w:sz w:val="16"/>
                <w:szCs w:val="16"/>
                <w:lang w:eastAsia="en-IE"/>
              </w:rPr>
            </w:pPr>
            <w:r w:rsidRPr="003B2D53">
              <w:rPr>
                <w:rFonts w:ascii="Gill Sans MT" w:hAnsi="Gill Sans MT" w:cs="Arial"/>
                <w:sz w:val="16"/>
                <w:szCs w:val="16"/>
                <w:lang w:eastAsia="en-IE"/>
              </w:rPr>
              <w:t>11 years</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5.9%</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7.7%</w:t>
            </w:r>
          </w:p>
        </w:tc>
        <w:tc>
          <w:tcPr>
            <w:tcW w:w="212" w:type="pct"/>
            <w:shd w:val="clear" w:color="000000" w:fill="FAC090"/>
            <w:noWrap/>
            <w:vAlign w:val="bottom"/>
            <w:hideMark/>
          </w:tcPr>
          <w:p w:rsidR="00234FC8" w:rsidRPr="00616517" w:rsidRDefault="00234FC8" w:rsidP="00616517">
            <w:pPr>
              <w:pStyle w:val="TableCell"/>
              <w:rPr>
                <w:sz w:val="16"/>
                <w:szCs w:val="16"/>
                <w:lang w:eastAsia="en-IE"/>
              </w:rPr>
            </w:pPr>
            <w:r w:rsidRPr="00616517">
              <w:rPr>
                <w:sz w:val="16"/>
                <w:szCs w:val="16"/>
                <w:lang w:eastAsia="en-IE"/>
              </w:rPr>
              <w:t>1.8%</w:t>
            </w:r>
          </w:p>
        </w:tc>
        <w:tc>
          <w:tcPr>
            <w:tcW w:w="249"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0.5%</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6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0.3%</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0.8%</w:t>
            </w:r>
          </w:p>
        </w:tc>
        <w:tc>
          <w:tcPr>
            <w:tcW w:w="22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0.2%</w:t>
            </w:r>
          </w:p>
        </w:tc>
        <w:tc>
          <w:tcPr>
            <w:tcW w:w="28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4.1%</w:t>
            </w:r>
          </w:p>
        </w:tc>
        <w:tc>
          <w:tcPr>
            <w:tcW w:w="196"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2.0%</w:t>
            </w:r>
          </w:p>
        </w:tc>
        <w:tc>
          <w:tcPr>
            <w:tcW w:w="277"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4.3%</w:t>
            </w:r>
          </w:p>
        </w:tc>
        <w:tc>
          <w:tcPr>
            <w:tcW w:w="33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2.2%</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1.1%</w:t>
            </w:r>
          </w:p>
        </w:tc>
        <w:tc>
          <w:tcPr>
            <w:tcW w:w="26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0.5%</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1.2%</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2.2%</w:t>
            </w:r>
          </w:p>
        </w:tc>
        <w:tc>
          <w:tcPr>
            <w:tcW w:w="276"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1.0%</w:t>
            </w:r>
          </w:p>
        </w:tc>
      </w:tr>
      <w:tr w:rsidR="00234FC8" w:rsidRPr="00784B2A" w:rsidTr="006A35CF">
        <w:trPr>
          <w:trHeight w:val="285"/>
        </w:trPr>
        <w:tc>
          <w:tcPr>
            <w:tcW w:w="270" w:type="pct"/>
            <w:vAlign w:val="bottom"/>
          </w:tcPr>
          <w:p w:rsidR="00234FC8" w:rsidRPr="003B2D53" w:rsidRDefault="00234FC8" w:rsidP="00E20F6B">
            <w:pPr>
              <w:spacing w:after="0"/>
              <w:rPr>
                <w:rFonts w:ascii="Gill Sans MT" w:hAnsi="Gill Sans MT" w:cs="Arial"/>
                <w:sz w:val="16"/>
                <w:szCs w:val="16"/>
                <w:lang w:eastAsia="en-IE"/>
              </w:rPr>
            </w:pPr>
            <w:r w:rsidRPr="003B2D53">
              <w:rPr>
                <w:rFonts w:ascii="Gill Sans MT" w:hAnsi="Gill Sans MT" w:cs="Arial"/>
                <w:sz w:val="16"/>
                <w:szCs w:val="16"/>
                <w:lang w:eastAsia="en-IE"/>
              </w:rPr>
              <w:t>12 years</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6.0%</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7.6%</w:t>
            </w:r>
          </w:p>
        </w:tc>
        <w:tc>
          <w:tcPr>
            <w:tcW w:w="212" w:type="pct"/>
            <w:shd w:val="clear" w:color="000000" w:fill="FAC090"/>
            <w:noWrap/>
            <w:vAlign w:val="bottom"/>
            <w:hideMark/>
          </w:tcPr>
          <w:p w:rsidR="00234FC8" w:rsidRPr="00616517" w:rsidRDefault="00234FC8" w:rsidP="00616517">
            <w:pPr>
              <w:pStyle w:val="TableCell"/>
              <w:rPr>
                <w:sz w:val="16"/>
                <w:szCs w:val="16"/>
                <w:lang w:eastAsia="en-IE"/>
              </w:rPr>
            </w:pPr>
            <w:r w:rsidRPr="00616517">
              <w:rPr>
                <w:sz w:val="16"/>
                <w:szCs w:val="16"/>
                <w:lang w:eastAsia="en-IE"/>
              </w:rPr>
              <w:t>1.6%</w:t>
            </w:r>
          </w:p>
        </w:tc>
        <w:tc>
          <w:tcPr>
            <w:tcW w:w="249"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0.3%</w:t>
            </w:r>
          </w:p>
        </w:tc>
        <w:tc>
          <w:tcPr>
            <w:tcW w:w="26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0.2%</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0.7%</w:t>
            </w:r>
          </w:p>
        </w:tc>
        <w:tc>
          <w:tcPr>
            <w:tcW w:w="22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0.1%</w:t>
            </w:r>
          </w:p>
        </w:tc>
        <w:tc>
          <w:tcPr>
            <w:tcW w:w="28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4.1%</w:t>
            </w:r>
          </w:p>
        </w:tc>
        <w:tc>
          <w:tcPr>
            <w:tcW w:w="196"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1.9%</w:t>
            </w:r>
          </w:p>
        </w:tc>
        <w:tc>
          <w:tcPr>
            <w:tcW w:w="277"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4.4%</w:t>
            </w:r>
          </w:p>
        </w:tc>
        <w:tc>
          <w:tcPr>
            <w:tcW w:w="33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2.2%</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1.0%</w:t>
            </w:r>
          </w:p>
        </w:tc>
        <w:tc>
          <w:tcPr>
            <w:tcW w:w="26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1.2%</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2.1%</w:t>
            </w:r>
          </w:p>
        </w:tc>
        <w:tc>
          <w:tcPr>
            <w:tcW w:w="276"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0.8%</w:t>
            </w:r>
          </w:p>
        </w:tc>
      </w:tr>
      <w:tr w:rsidR="00234FC8" w:rsidRPr="00784B2A" w:rsidTr="006A35CF">
        <w:trPr>
          <w:trHeight w:val="285"/>
        </w:trPr>
        <w:tc>
          <w:tcPr>
            <w:tcW w:w="270" w:type="pct"/>
            <w:vAlign w:val="bottom"/>
          </w:tcPr>
          <w:p w:rsidR="00234FC8" w:rsidRPr="003B2D53" w:rsidRDefault="00234FC8" w:rsidP="00E20F6B">
            <w:pPr>
              <w:spacing w:after="0"/>
              <w:rPr>
                <w:rFonts w:ascii="Gill Sans MT" w:hAnsi="Gill Sans MT" w:cs="Arial"/>
                <w:sz w:val="16"/>
                <w:szCs w:val="16"/>
                <w:lang w:eastAsia="en-IE"/>
              </w:rPr>
            </w:pPr>
            <w:r w:rsidRPr="003B2D53">
              <w:rPr>
                <w:rFonts w:ascii="Gill Sans MT" w:hAnsi="Gill Sans MT" w:cs="Arial"/>
                <w:sz w:val="16"/>
                <w:szCs w:val="16"/>
                <w:lang w:eastAsia="en-IE"/>
              </w:rPr>
              <w:t>13 years</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5.8%</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7.9%</w:t>
            </w:r>
          </w:p>
        </w:tc>
        <w:tc>
          <w:tcPr>
            <w:tcW w:w="212" w:type="pct"/>
            <w:shd w:val="clear" w:color="000000" w:fill="FAC090"/>
            <w:noWrap/>
            <w:vAlign w:val="bottom"/>
            <w:hideMark/>
          </w:tcPr>
          <w:p w:rsidR="00234FC8" w:rsidRPr="00616517" w:rsidRDefault="00234FC8" w:rsidP="00616517">
            <w:pPr>
              <w:pStyle w:val="TableCell"/>
              <w:rPr>
                <w:sz w:val="16"/>
                <w:szCs w:val="16"/>
                <w:lang w:eastAsia="en-IE"/>
              </w:rPr>
            </w:pPr>
            <w:r w:rsidRPr="00616517">
              <w:rPr>
                <w:sz w:val="16"/>
                <w:szCs w:val="16"/>
                <w:lang w:eastAsia="en-IE"/>
              </w:rPr>
              <w:t>2.1%</w:t>
            </w:r>
          </w:p>
        </w:tc>
        <w:tc>
          <w:tcPr>
            <w:tcW w:w="249"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0.5%</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6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0.3%</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0.7%</w:t>
            </w:r>
          </w:p>
        </w:tc>
        <w:tc>
          <w:tcPr>
            <w:tcW w:w="22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0.2%</w:t>
            </w:r>
          </w:p>
        </w:tc>
        <w:tc>
          <w:tcPr>
            <w:tcW w:w="28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4.0%</w:t>
            </w:r>
          </w:p>
        </w:tc>
        <w:tc>
          <w:tcPr>
            <w:tcW w:w="196"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1.9%</w:t>
            </w:r>
          </w:p>
        </w:tc>
        <w:tc>
          <w:tcPr>
            <w:tcW w:w="277"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4.5%</w:t>
            </w:r>
          </w:p>
        </w:tc>
        <w:tc>
          <w:tcPr>
            <w:tcW w:w="33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2.5%</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0.5%</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1.0%</w:t>
            </w:r>
          </w:p>
        </w:tc>
        <w:tc>
          <w:tcPr>
            <w:tcW w:w="26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0.5%</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1.2%</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2.1%</w:t>
            </w:r>
          </w:p>
        </w:tc>
        <w:tc>
          <w:tcPr>
            <w:tcW w:w="276"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1.0%</w:t>
            </w:r>
          </w:p>
        </w:tc>
      </w:tr>
      <w:tr w:rsidR="00234FC8" w:rsidRPr="00784B2A" w:rsidTr="006A35CF">
        <w:trPr>
          <w:trHeight w:val="285"/>
        </w:trPr>
        <w:tc>
          <w:tcPr>
            <w:tcW w:w="270" w:type="pct"/>
            <w:vAlign w:val="bottom"/>
          </w:tcPr>
          <w:p w:rsidR="00234FC8" w:rsidRPr="003B2D53" w:rsidRDefault="00234FC8" w:rsidP="00E20F6B">
            <w:pPr>
              <w:spacing w:after="0"/>
              <w:rPr>
                <w:rFonts w:ascii="Gill Sans MT" w:hAnsi="Gill Sans MT" w:cs="Arial"/>
                <w:sz w:val="16"/>
                <w:szCs w:val="16"/>
                <w:lang w:eastAsia="en-IE"/>
              </w:rPr>
            </w:pPr>
            <w:r w:rsidRPr="003B2D53">
              <w:rPr>
                <w:rFonts w:ascii="Gill Sans MT" w:hAnsi="Gill Sans MT" w:cs="Arial"/>
                <w:sz w:val="16"/>
                <w:szCs w:val="16"/>
                <w:lang w:eastAsia="en-IE"/>
              </w:rPr>
              <w:t>14 years</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5.7%</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7.9%</w:t>
            </w:r>
          </w:p>
        </w:tc>
        <w:tc>
          <w:tcPr>
            <w:tcW w:w="212" w:type="pct"/>
            <w:shd w:val="clear" w:color="000000" w:fill="FAC090"/>
            <w:noWrap/>
            <w:vAlign w:val="bottom"/>
            <w:hideMark/>
          </w:tcPr>
          <w:p w:rsidR="00234FC8" w:rsidRPr="00616517" w:rsidRDefault="00234FC8" w:rsidP="00616517">
            <w:pPr>
              <w:pStyle w:val="TableCell"/>
              <w:rPr>
                <w:sz w:val="16"/>
                <w:szCs w:val="16"/>
                <w:lang w:eastAsia="en-IE"/>
              </w:rPr>
            </w:pPr>
            <w:r w:rsidRPr="00616517">
              <w:rPr>
                <w:sz w:val="16"/>
                <w:szCs w:val="16"/>
                <w:lang w:eastAsia="en-IE"/>
              </w:rPr>
              <w:t>2.2%</w:t>
            </w:r>
          </w:p>
        </w:tc>
        <w:tc>
          <w:tcPr>
            <w:tcW w:w="249"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0.5%</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6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0.3%</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0.5%</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0.7%</w:t>
            </w:r>
          </w:p>
        </w:tc>
        <w:tc>
          <w:tcPr>
            <w:tcW w:w="22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0.2%</w:t>
            </w:r>
          </w:p>
        </w:tc>
        <w:tc>
          <w:tcPr>
            <w:tcW w:w="28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3.8%</w:t>
            </w:r>
          </w:p>
        </w:tc>
        <w:tc>
          <w:tcPr>
            <w:tcW w:w="196"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1.8%</w:t>
            </w:r>
          </w:p>
        </w:tc>
        <w:tc>
          <w:tcPr>
            <w:tcW w:w="277"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4.6%</w:t>
            </w:r>
          </w:p>
        </w:tc>
        <w:tc>
          <w:tcPr>
            <w:tcW w:w="33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2.6%</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1.1%</w:t>
            </w:r>
          </w:p>
        </w:tc>
        <w:tc>
          <w:tcPr>
            <w:tcW w:w="26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0.5%</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1.1%</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2.2%</w:t>
            </w:r>
          </w:p>
        </w:tc>
        <w:tc>
          <w:tcPr>
            <w:tcW w:w="276"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1.1%</w:t>
            </w:r>
          </w:p>
        </w:tc>
      </w:tr>
      <w:tr w:rsidR="00234FC8" w:rsidRPr="00784B2A" w:rsidTr="006A35CF">
        <w:trPr>
          <w:trHeight w:val="285"/>
        </w:trPr>
        <w:tc>
          <w:tcPr>
            <w:tcW w:w="270" w:type="pct"/>
            <w:vAlign w:val="bottom"/>
          </w:tcPr>
          <w:p w:rsidR="00234FC8" w:rsidRPr="003B2D53" w:rsidRDefault="00234FC8" w:rsidP="00E20F6B">
            <w:pPr>
              <w:spacing w:after="0"/>
              <w:rPr>
                <w:rFonts w:ascii="Gill Sans MT" w:hAnsi="Gill Sans MT" w:cs="Arial"/>
                <w:sz w:val="16"/>
                <w:szCs w:val="16"/>
                <w:lang w:eastAsia="en-IE"/>
              </w:rPr>
            </w:pPr>
            <w:r w:rsidRPr="003B2D53">
              <w:rPr>
                <w:rFonts w:ascii="Gill Sans MT" w:hAnsi="Gill Sans MT" w:cs="Arial"/>
                <w:sz w:val="16"/>
                <w:szCs w:val="16"/>
                <w:lang w:eastAsia="en-IE"/>
              </w:rPr>
              <w:t>15 years</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5.7%</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8.1%</w:t>
            </w:r>
          </w:p>
        </w:tc>
        <w:tc>
          <w:tcPr>
            <w:tcW w:w="212" w:type="pct"/>
            <w:shd w:val="clear" w:color="000000" w:fill="FAC090"/>
            <w:noWrap/>
            <w:vAlign w:val="bottom"/>
            <w:hideMark/>
          </w:tcPr>
          <w:p w:rsidR="00234FC8" w:rsidRPr="00616517" w:rsidRDefault="00234FC8" w:rsidP="00616517">
            <w:pPr>
              <w:pStyle w:val="TableCell"/>
              <w:rPr>
                <w:sz w:val="16"/>
                <w:szCs w:val="16"/>
                <w:lang w:eastAsia="en-IE"/>
              </w:rPr>
            </w:pPr>
            <w:r w:rsidRPr="00616517">
              <w:rPr>
                <w:sz w:val="16"/>
                <w:szCs w:val="16"/>
                <w:lang w:eastAsia="en-IE"/>
              </w:rPr>
              <w:t>2.4%</w:t>
            </w:r>
          </w:p>
        </w:tc>
        <w:tc>
          <w:tcPr>
            <w:tcW w:w="249"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0.5%</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6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0.3%</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0.8%</w:t>
            </w:r>
          </w:p>
        </w:tc>
        <w:tc>
          <w:tcPr>
            <w:tcW w:w="22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0.2%</w:t>
            </w:r>
          </w:p>
        </w:tc>
        <w:tc>
          <w:tcPr>
            <w:tcW w:w="28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3.7%</w:t>
            </w:r>
          </w:p>
        </w:tc>
        <w:tc>
          <w:tcPr>
            <w:tcW w:w="196"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2.0%</w:t>
            </w:r>
          </w:p>
        </w:tc>
        <w:tc>
          <w:tcPr>
            <w:tcW w:w="277"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4.6%</w:t>
            </w:r>
          </w:p>
        </w:tc>
        <w:tc>
          <w:tcPr>
            <w:tcW w:w="33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2.9%</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1.1%</w:t>
            </w:r>
          </w:p>
        </w:tc>
        <w:tc>
          <w:tcPr>
            <w:tcW w:w="26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0.5%</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1.1%</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2.1%</w:t>
            </w:r>
          </w:p>
        </w:tc>
        <w:tc>
          <w:tcPr>
            <w:tcW w:w="276"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1.0%</w:t>
            </w:r>
          </w:p>
        </w:tc>
      </w:tr>
      <w:tr w:rsidR="00234FC8" w:rsidRPr="00784B2A" w:rsidTr="006A35CF">
        <w:trPr>
          <w:trHeight w:val="285"/>
        </w:trPr>
        <w:tc>
          <w:tcPr>
            <w:tcW w:w="270" w:type="pct"/>
            <w:vAlign w:val="bottom"/>
          </w:tcPr>
          <w:p w:rsidR="00234FC8" w:rsidRPr="003B2D53" w:rsidRDefault="00234FC8" w:rsidP="00E20F6B">
            <w:pPr>
              <w:spacing w:after="0"/>
              <w:rPr>
                <w:rFonts w:ascii="Gill Sans MT" w:hAnsi="Gill Sans MT" w:cs="Arial"/>
                <w:sz w:val="16"/>
                <w:szCs w:val="16"/>
                <w:lang w:eastAsia="en-IE"/>
              </w:rPr>
            </w:pPr>
            <w:r w:rsidRPr="003B2D53">
              <w:rPr>
                <w:rFonts w:ascii="Gill Sans MT" w:hAnsi="Gill Sans MT" w:cs="Arial"/>
                <w:sz w:val="16"/>
                <w:szCs w:val="16"/>
                <w:lang w:eastAsia="en-IE"/>
              </w:rPr>
              <w:t>16 years</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5.0%</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7.7%</w:t>
            </w:r>
          </w:p>
        </w:tc>
        <w:tc>
          <w:tcPr>
            <w:tcW w:w="212" w:type="pct"/>
            <w:shd w:val="clear" w:color="000000" w:fill="FAC090"/>
            <w:noWrap/>
            <w:vAlign w:val="bottom"/>
            <w:hideMark/>
          </w:tcPr>
          <w:p w:rsidR="00234FC8" w:rsidRPr="00616517" w:rsidRDefault="00234FC8" w:rsidP="00616517">
            <w:pPr>
              <w:pStyle w:val="TableCell"/>
              <w:rPr>
                <w:sz w:val="16"/>
                <w:szCs w:val="16"/>
                <w:lang w:eastAsia="en-IE"/>
              </w:rPr>
            </w:pPr>
            <w:r w:rsidRPr="00616517">
              <w:rPr>
                <w:sz w:val="16"/>
                <w:szCs w:val="16"/>
                <w:lang w:eastAsia="en-IE"/>
              </w:rPr>
              <w:t>2.7%</w:t>
            </w:r>
          </w:p>
        </w:tc>
        <w:tc>
          <w:tcPr>
            <w:tcW w:w="249"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0.5%</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0.5%</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6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0.8%</w:t>
            </w:r>
          </w:p>
        </w:tc>
        <w:tc>
          <w:tcPr>
            <w:tcW w:w="22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0.2%</w:t>
            </w:r>
          </w:p>
        </w:tc>
        <w:tc>
          <w:tcPr>
            <w:tcW w:w="28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3.2%</w:t>
            </w:r>
          </w:p>
        </w:tc>
        <w:tc>
          <w:tcPr>
            <w:tcW w:w="196"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1.8%</w:t>
            </w:r>
          </w:p>
        </w:tc>
        <w:tc>
          <w:tcPr>
            <w:tcW w:w="277"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4.1%</w:t>
            </w:r>
          </w:p>
        </w:tc>
        <w:tc>
          <w:tcPr>
            <w:tcW w:w="33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2.8%</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1.1%</w:t>
            </w:r>
          </w:p>
        </w:tc>
        <w:tc>
          <w:tcPr>
            <w:tcW w:w="26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0.5%</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1.0%</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2.1%</w:t>
            </w:r>
          </w:p>
        </w:tc>
        <w:tc>
          <w:tcPr>
            <w:tcW w:w="276"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1.1%</w:t>
            </w:r>
          </w:p>
        </w:tc>
      </w:tr>
      <w:tr w:rsidR="00234FC8" w:rsidRPr="00784B2A" w:rsidTr="006A35CF">
        <w:trPr>
          <w:trHeight w:val="285"/>
        </w:trPr>
        <w:tc>
          <w:tcPr>
            <w:tcW w:w="270" w:type="pct"/>
            <w:vAlign w:val="bottom"/>
          </w:tcPr>
          <w:p w:rsidR="00234FC8" w:rsidRPr="003B2D53" w:rsidRDefault="00234FC8" w:rsidP="00E20F6B">
            <w:pPr>
              <w:spacing w:after="0"/>
              <w:rPr>
                <w:rFonts w:ascii="Gill Sans MT" w:hAnsi="Gill Sans MT" w:cs="Arial"/>
                <w:sz w:val="16"/>
                <w:szCs w:val="16"/>
                <w:lang w:eastAsia="en-IE"/>
              </w:rPr>
            </w:pPr>
            <w:r w:rsidRPr="003B2D53">
              <w:rPr>
                <w:rFonts w:ascii="Gill Sans MT" w:hAnsi="Gill Sans MT" w:cs="Arial"/>
                <w:sz w:val="16"/>
                <w:szCs w:val="16"/>
                <w:lang w:eastAsia="en-IE"/>
              </w:rPr>
              <w:t>17 years</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4.7%</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7.9%</w:t>
            </w:r>
          </w:p>
        </w:tc>
        <w:tc>
          <w:tcPr>
            <w:tcW w:w="212" w:type="pct"/>
            <w:shd w:val="clear" w:color="000000" w:fill="FAC090"/>
            <w:noWrap/>
            <w:vAlign w:val="bottom"/>
            <w:hideMark/>
          </w:tcPr>
          <w:p w:rsidR="00234FC8" w:rsidRPr="00616517" w:rsidRDefault="00234FC8" w:rsidP="00616517">
            <w:pPr>
              <w:pStyle w:val="TableCell"/>
              <w:rPr>
                <w:sz w:val="16"/>
                <w:szCs w:val="16"/>
                <w:lang w:eastAsia="en-IE"/>
              </w:rPr>
            </w:pPr>
            <w:r w:rsidRPr="00616517">
              <w:rPr>
                <w:sz w:val="16"/>
                <w:szCs w:val="16"/>
                <w:lang w:eastAsia="en-IE"/>
              </w:rPr>
              <w:t>3.3%</w:t>
            </w:r>
          </w:p>
        </w:tc>
        <w:tc>
          <w:tcPr>
            <w:tcW w:w="249"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0.5%</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6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0.8%</w:t>
            </w:r>
          </w:p>
        </w:tc>
        <w:tc>
          <w:tcPr>
            <w:tcW w:w="22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0.1%</w:t>
            </w:r>
          </w:p>
        </w:tc>
        <w:tc>
          <w:tcPr>
            <w:tcW w:w="28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2.8%</w:t>
            </w:r>
          </w:p>
        </w:tc>
        <w:tc>
          <w:tcPr>
            <w:tcW w:w="196"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1.9%</w:t>
            </w:r>
          </w:p>
        </w:tc>
        <w:tc>
          <w:tcPr>
            <w:tcW w:w="277"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4.2%</w:t>
            </w:r>
          </w:p>
        </w:tc>
        <w:tc>
          <w:tcPr>
            <w:tcW w:w="33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3.2%</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1.3%</w:t>
            </w:r>
          </w:p>
        </w:tc>
        <w:tc>
          <w:tcPr>
            <w:tcW w:w="26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0.7%</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1.0%</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2.1%</w:t>
            </w:r>
          </w:p>
        </w:tc>
        <w:tc>
          <w:tcPr>
            <w:tcW w:w="276"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1.1%</w:t>
            </w:r>
          </w:p>
        </w:tc>
      </w:tr>
      <w:tr w:rsidR="00234FC8" w:rsidRPr="00784B2A" w:rsidTr="006A35CF">
        <w:trPr>
          <w:trHeight w:val="285"/>
        </w:trPr>
        <w:tc>
          <w:tcPr>
            <w:tcW w:w="270" w:type="pct"/>
            <w:vAlign w:val="bottom"/>
          </w:tcPr>
          <w:p w:rsidR="00234FC8" w:rsidRPr="003B2D53" w:rsidRDefault="00234FC8" w:rsidP="00E20F6B">
            <w:pPr>
              <w:spacing w:after="0"/>
              <w:rPr>
                <w:rFonts w:ascii="Gill Sans MT" w:hAnsi="Gill Sans MT" w:cs="Arial"/>
                <w:sz w:val="16"/>
                <w:szCs w:val="16"/>
                <w:lang w:eastAsia="en-IE"/>
              </w:rPr>
            </w:pPr>
            <w:r w:rsidRPr="003B2D53">
              <w:rPr>
                <w:rFonts w:ascii="Gill Sans MT" w:hAnsi="Gill Sans MT" w:cs="Arial"/>
                <w:sz w:val="16"/>
                <w:szCs w:val="16"/>
                <w:lang w:eastAsia="en-IE"/>
              </w:rPr>
              <w:t>18 years</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4.8%</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8.2%</w:t>
            </w:r>
          </w:p>
        </w:tc>
        <w:tc>
          <w:tcPr>
            <w:tcW w:w="212" w:type="pct"/>
            <w:shd w:val="clear" w:color="000000" w:fill="FAC090"/>
            <w:noWrap/>
            <w:vAlign w:val="bottom"/>
            <w:hideMark/>
          </w:tcPr>
          <w:p w:rsidR="00234FC8" w:rsidRPr="00616517" w:rsidRDefault="00234FC8" w:rsidP="00616517">
            <w:pPr>
              <w:pStyle w:val="TableCell"/>
              <w:rPr>
                <w:sz w:val="16"/>
                <w:szCs w:val="16"/>
                <w:lang w:eastAsia="en-IE"/>
              </w:rPr>
            </w:pPr>
            <w:r w:rsidRPr="00616517">
              <w:rPr>
                <w:sz w:val="16"/>
                <w:szCs w:val="16"/>
                <w:lang w:eastAsia="en-IE"/>
              </w:rPr>
              <w:t>3.4%</w:t>
            </w:r>
          </w:p>
        </w:tc>
        <w:tc>
          <w:tcPr>
            <w:tcW w:w="249"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0.7%</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0.5%</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6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0.2%</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0.7%</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0.8%</w:t>
            </w:r>
          </w:p>
        </w:tc>
        <w:tc>
          <w:tcPr>
            <w:tcW w:w="22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0.1%</w:t>
            </w:r>
          </w:p>
        </w:tc>
        <w:tc>
          <w:tcPr>
            <w:tcW w:w="28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2.7%</w:t>
            </w:r>
          </w:p>
        </w:tc>
        <w:tc>
          <w:tcPr>
            <w:tcW w:w="196"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1.9%</w:t>
            </w:r>
          </w:p>
        </w:tc>
        <w:tc>
          <w:tcPr>
            <w:tcW w:w="277"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4.2%</w:t>
            </w:r>
          </w:p>
        </w:tc>
        <w:tc>
          <w:tcPr>
            <w:tcW w:w="33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3.4%</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1.2%</w:t>
            </w:r>
          </w:p>
        </w:tc>
        <w:tc>
          <w:tcPr>
            <w:tcW w:w="26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1.1%</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2.3%</w:t>
            </w:r>
          </w:p>
        </w:tc>
        <w:tc>
          <w:tcPr>
            <w:tcW w:w="276"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1.2%</w:t>
            </w:r>
          </w:p>
        </w:tc>
      </w:tr>
      <w:tr w:rsidR="00234FC8" w:rsidRPr="00784B2A" w:rsidTr="006A35CF">
        <w:trPr>
          <w:trHeight w:val="285"/>
        </w:trPr>
        <w:tc>
          <w:tcPr>
            <w:tcW w:w="270" w:type="pct"/>
            <w:vAlign w:val="bottom"/>
          </w:tcPr>
          <w:p w:rsidR="00234FC8" w:rsidRPr="00784B2A" w:rsidRDefault="00234FC8" w:rsidP="00E20F6B">
            <w:pPr>
              <w:spacing w:after="0"/>
              <w:rPr>
                <w:rFonts w:ascii="Gill Sans MT" w:hAnsi="Gill Sans MT" w:cs="Arial"/>
                <w:sz w:val="16"/>
                <w:szCs w:val="16"/>
                <w:lang w:eastAsia="en-IE"/>
              </w:rPr>
            </w:pPr>
            <w:r w:rsidRPr="00784B2A">
              <w:rPr>
                <w:rFonts w:ascii="Gill Sans MT" w:hAnsi="Gill Sans MT" w:cs="Arial"/>
                <w:sz w:val="16"/>
                <w:szCs w:val="16"/>
                <w:lang w:eastAsia="en-IE"/>
              </w:rPr>
              <w:t>19 years</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4.6%</w:t>
            </w:r>
          </w:p>
        </w:tc>
        <w:tc>
          <w:tcPr>
            <w:tcW w:w="20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8.1%</w:t>
            </w:r>
          </w:p>
        </w:tc>
        <w:tc>
          <w:tcPr>
            <w:tcW w:w="212" w:type="pct"/>
            <w:shd w:val="clear" w:color="000000" w:fill="FAC090"/>
            <w:noWrap/>
            <w:vAlign w:val="bottom"/>
            <w:hideMark/>
          </w:tcPr>
          <w:p w:rsidR="00234FC8" w:rsidRPr="00616517" w:rsidRDefault="00234FC8" w:rsidP="00616517">
            <w:pPr>
              <w:pStyle w:val="TableCell"/>
              <w:rPr>
                <w:sz w:val="16"/>
                <w:szCs w:val="16"/>
                <w:lang w:eastAsia="en-IE"/>
              </w:rPr>
            </w:pPr>
            <w:r w:rsidRPr="00616517">
              <w:rPr>
                <w:sz w:val="16"/>
                <w:szCs w:val="16"/>
                <w:lang w:eastAsia="en-IE"/>
              </w:rPr>
              <w:t>3.6%</w:t>
            </w:r>
          </w:p>
        </w:tc>
        <w:tc>
          <w:tcPr>
            <w:tcW w:w="249"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0.6%</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0.5%</w:t>
            </w:r>
          </w:p>
        </w:tc>
        <w:tc>
          <w:tcPr>
            <w:tcW w:w="214"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6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0.3%</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0.7%</w:t>
            </w:r>
          </w:p>
        </w:tc>
        <w:tc>
          <w:tcPr>
            <w:tcW w:w="20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0.8%</w:t>
            </w:r>
          </w:p>
        </w:tc>
        <w:tc>
          <w:tcPr>
            <w:tcW w:w="227"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0.2%</w:t>
            </w:r>
          </w:p>
        </w:tc>
        <w:tc>
          <w:tcPr>
            <w:tcW w:w="281"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2.2%</w:t>
            </w:r>
          </w:p>
        </w:tc>
        <w:tc>
          <w:tcPr>
            <w:tcW w:w="196"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1.8%</w:t>
            </w:r>
          </w:p>
        </w:tc>
        <w:tc>
          <w:tcPr>
            <w:tcW w:w="277"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3.7%</w:t>
            </w:r>
          </w:p>
        </w:tc>
        <w:tc>
          <w:tcPr>
            <w:tcW w:w="33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3.2%</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0.8%</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1.5%</w:t>
            </w:r>
          </w:p>
        </w:tc>
        <w:tc>
          <w:tcPr>
            <w:tcW w:w="261"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0.7%</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1.2%</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2.5%</w:t>
            </w:r>
          </w:p>
        </w:tc>
        <w:tc>
          <w:tcPr>
            <w:tcW w:w="276" w:type="pct"/>
            <w:shd w:val="clear" w:color="000000" w:fill="FCD5B4"/>
            <w:noWrap/>
            <w:vAlign w:val="bottom"/>
            <w:hideMark/>
          </w:tcPr>
          <w:p w:rsidR="00234FC8" w:rsidRPr="00616517" w:rsidRDefault="00234FC8" w:rsidP="00616517">
            <w:pPr>
              <w:pStyle w:val="TableCell"/>
              <w:rPr>
                <w:sz w:val="16"/>
                <w:szCs w:val="16"/>
                <w:lang w:eastAsia="en-IE"/>
              </w:rPr>
            </w:pPr>
            <w:r w:rsidRPr="00616517">
              <w:rPr>
                <w:sz w:val="16"/>
                <w:szCs w:val="16"/>
                <w:lang w:eastAsia="en-IE"/>
              </w:rPr>
              <w:t>1.3%</w:t>
            </w:r>
          </w:p>
        </w:tc>
      </w:tr>
      <w:tr w:rsidR="00234FC8" w:rsidRPr="00784B2A" w:rsidTr="006A35CF">
        <w:trPr>
          <w:trHeight w:val="300"/>
        </w:trPr>
        <w:tc>
          <w:tcPr>
            <w:tcW w:w="270" w:type="pct"/>
            <w:vAlign w:val="bottom"/>
          </w:tcPr>
          <w:p w:rsidR="00234FC8" w:rsidRPr="00784B2A" w:rsidRDefault="00234FC8" w:rsidP="00E20F6B">
            <w:pPr>
              <w:spacing w:after="0"/>
              <w:rPr>
                <w:rFonts w:ascii="Gill Sans MT" w:hAnsi="Gill Sans MT" w:cs="Arial"/>
                <w:b/>
                <w:bCs/>
                <w:sz w:val="16"/>
                <w:szCs w:val="16"/>
                <w:lang w:eastAsia="en-IE"/>
              </w:rPr>
            </w:pPr>
            <w:r w:rsidRPr="00784B2A">
              <w:rPr>
                <w:rFonts w:ascii="Gill Sans MT" w:hAnsi="Gill Sans MT" w:cs="Arial"/>
                <w:b/>
                <w:bCs/>
                <w:sz w:val="16"/>
                <w:szCs w:val="16"/>
                <w:lang w:eastAsia="en-IE"/>
              </w:rPr>
              <w:t>0-19</w:t>
            </w:r>
          </w:p>
        </w:tc>
        <w:tc>
          <w:tcPr>
            <w:tcW w:w="201" w:type="pct"/>
            <w:shd w:val="clear" w:color="auto" w:fill="auto"/>
            <w:noWrap/>
            <w:vAlign w:val="bottom"/>
            <w:hideMark/>
          </w:tcPr>
          <w:p w:rsidR="00234FC8" w:rsidRPr="00616517" w:rsidRDefault="00234FC8" w:rsidP="00616517">
            <w:pPr>
              <w:pStyle w:val="TableCell"/>
              <w:rPr>
                <w:b/>
                <w:bCs/>
                <w:sz w:val="16"/>
                <w:szCs w:val="16"/>
                <w:lang w:eastAsia="en-IE"/>
              </w:rPr>
            </w:pPr>
            <w:r w:rsidRPr="00616517">
              <w:rPr>
                <w:b/>
                <w:bCs/>
                <w:sz w:val="16"/>
                <w:szCs w:val="16"/>
                <w:lang w:eastAsia="en-IE"/>
              </w:rPr>
              <w:t>4.1%</w:t>
            </w:r>
          </w:p>
        </w:tc>
        <w:tc>
          <w:tcPr>
            <w:tcW w:w="201" w:type="pct"/>
            <w:shd w:val="clear" w:color="auto" w:fill="auto"/>
            <w:noWrap/>
            <w:vAlign w:val="bottom"/>
            <w:hideMark/>
          </w:tcPr>
          <w:p w:rsidR="00234FC8" w:rsidRPr="00616517" w:rsidRDefault="00234FC8" w:rsidP="00616517">
            <w:pPr>
              <w:pStyle w:val="TableCell"/>
              <w:rPr>
                <w:b/>
                <w:bCs/>
                <w:sz w:val="16"/>
                <w:szCs w:val="16"/>
                <w:lang w:eastAsia="en-IE"/>
              </w:rPr>
            </w:pPr>
            <w:r w:rsidRPr="00616517">
              <w:rPr>
                <w:b/>
                <w:bCs/>
                <w:sz w:val="16"/>
                <w:szCs w:val="16"/>
                <w:lang w:eastAsia="en-IE"/>
              </w:rPr>
              <w:t>6.0%</w:t>
            </w:r>
          </w:p>
        </w:tc>
        <w:tc>
          <w:tcPr>
            <w:tcW w:w="212" w:type="pct"/>
            <w:shd w:val="clear" w:color="000000" w:fill="FFFF00"/>
            <w:noWrap/>
            <w:vAlign w:val="bottom"/>
            <w:hideMark/>
          </w:tcPr>
          <w:p w:rsidR="00234FC8" w:rsidRPr="00616517" w:rsidRDefault="00234FC8" w:rsidP="00616517">
            <w:pPr>
              <w:pStyle w:val="TableCell"/>
              <w:rPr>
                <w:sz w:val="16"/>
                <w:szCs w:val="16"/>
                <w:lang w:eastAsia="en-IE"/>
              </w:rPr>
            </w:pPr>
            <w:r w:rsidRPr="00616517">
              <w:rPr>
                <w:sz w:val="16"/>
                <w:szCs w:val="16"/>
                <w:lang w:eastAsia="en-IE"/>
              </w:rPr>
              <w:t>1.9%</w:t>
            </w:r>
          </w:p>
        </w:tc>
        <w:tc>
          <w:tcPr>
            <w:tcW w:w="249" w:type="pct"/>
            <w:shd w:val="clear" w:color="auto" w:fill="auto"/>
            <w:noWrap/>
            <w:vAlign w:val="bottom"/>
            <w:hideMark/>
          </w:tcPr>
          <w:p w:rsidR="00234FC8" w:rsidRPr="00616517" w:rsidRDefault="00234FC8" w:rsidP="00616517">
            <w:pPr>
              <w:pStyle w:val="TableCell"/>
              <w:rPr>
                <w:b/>
                <w:bCs/>
                <w:sz w:val="16"/>
                <w:szCs w:val="16"/>
                <w:lang w:eastAsia="en-IE"/>
              </w:rPr>
            </w:pPr>
            <w:r w:rsidRPr="00616517">
              <w:rPr>
                <w:b/>
                <w:bCs/>
                <w:sz w:val="16"/>
                <w:szCs w:val="16"/>
                <w:lang w:eastAsia="en-IE"/>
              </w:rPr>
              <w:t>0.5%</w:t>
            </w:r>
          </w:p>
        </w:tc>
        <w:tc>
          <w:tcPr>
            <w:tcW w:w="214" w:type="pct"/>
            <w:shd w:val="clear" w:color="auto" w:fill="auto"/>
            <w:noWrap/>
            <w:vAlign w:val="bottom"/>
            <w:hideMark/>
          </w:tcPr>
          <w:p w:rsidR="00234FC8" w:rsidRPr="00616517" w:rsidRDefault="00234FC8" w:rsidP="00616517">
            <w:pPr>
              <w:pStyle w:val="TableCell"/>
              <w:rPr>
                <w:b/>
                <w:bCs/>
                <w:sz w:val="16"/>
                <w:szCs w:val="16"/>
                <w:lang w:eastAsia="en-IE"/>
              </w:rPr>
            </w:pPr>
            <w:r w:rsidRPr="00616517">
              <w:rPr>
                <w:b/>
                <w:bCs/>
                <w:sz w:val="16"/>
                <w:szCs w:val="16"/>
                <w:lang w:eastAsia="en-IE"/>
              </w:rPr>
              <w:t>0.4%</w:t>
            </w:r>
          </w:p>
        </w:tc>
        <w:tc>
          <w:tcPr>
            <w:tcW w:w="214" w:type="pct"/>
            <w:shd w:val="clear" w:color="auto" w:fill="auto"/>
            <w:noWrap/>
            <w:vAlign w:val="bottom"/>
            <w:hideMark/>
          </w:tcPr>
          <w:p w:rsidR="00234FC8" w:rsidRPr="00616517" w:rsidRDefault="00234FC8" w:rsidP="00616517">
            <w:pPr>
              <w:pStyle w:val="TableCell"/>
              <w:rPr>
                <w:b/>
                <w:bCs/>
                <w:sz w:val="16"/>
                <w:szCs w:val="16"/>
                <w:lang w:eastAsia="en-IE"/>
              </w:rPr>
            </w:pPr>
            <w:r w:rsidRPr="00616517">
              <w:rPr>
                <w:b/>
                <w:bCs/>
                <w:sz w:val="16"/>
                <w:szCs w:val="16"/>
                <w:lang w:eastAsia="en-IE"/>
              </w:rPr>
              <w:t>0.3%</w:t>
            </w:r>
          </w:p>
        </w:tc>
        <w:tc>
          <w:tcPr>
            <w:tcW w:w="267" w:type="pct"/>
            <w:shd w:val="clear" w:color="000000" w:fill="FFFF00"/>
            <w:noWrap/>
            <w:vAlign w:val="bottom"/>
            <w:hideMark/>
          </w:tcPr>
          <w:p w:rsidR="00234FC8" w:rsidRPr="00616517" w:rsidRDefault="00234FC8" w:rsidP="00616517">
            <w:pPr>
              <w:pStyle w:val="TableCell"/>
              <w:rPr>
                <w:sz w:val="16"/>
                <w:szCs w:val="16"/>
                <w:lang w:eastAsia="en-IE"/>
              </w:rPr>
            </w:pPr>
            <w:r w:rsidRPr="00616517">
              <w:rPr>
                <w:sz w:val="16"/>
                <w:szCs w:val="16"/>
                <w:lang w:eastAsia="en-IE"/>
              </w:rPr>
              <w:t>0.2%</w:t>
            </w:r>
          </w:p>
        </w:tc>
        <w:tc>
          <w:tcPr>
            <w:tcW w:w="202" w:type="pct"/>
            <w:shd w:val="clear" w:color="auto" w:fill="auto"/>
            <w:noWrap/>
            <w:vAlign w:val="bottom"/>
            <w:hideMark/>
          </w:tcPr>
          <w:p w:rsidR="00234FC8" w:rsidRPr="00616517" w:rsidRDefault="00234FC8" w:rsidP="00616517">
            <w:pPr>
              <w:pStyle w:val="TableCell"/>
              <w:rPr>
                <w:b/>
                <w:bCs/>
                <w:sz w:val="16"/>
                <w:szCs w:val="16"/>
                <w:lang w:eastAsia="en-IE"/>
              </w:rPr>
            </w:pPr>
            <w:r w:rsidRPr="00616517">
              <w:rPr>
                <w:b/>
                <w:bCs/>
                <w:sz w:val="16"/>
                <w:szCs w:val="16"/>
                <w:lang w:eastAsia="en-IE"/>
              </w:rPr>
              <w:t>0.5%</w:t>
            </w:r>
          </w:p>
        </w:tc>
        <w:tc>
          <w:tcPr>
            <w:tcW w:w="202" w:type="pct"/>
            <w:shd w:val="clear" w:color="auto" w:fill="auto"/>
            <w:noWrap/>
            <w:vAlign w:val="bottom"/>
            <w:hideMark/>
          </w:tcPr>
          <w:p w:rsidR="00234FC8" w:rsidRPr="00616517" w:rsidRDefault="00234FC8" w:rsidP="00616517">
            <w:pPr>
              <w:pStyle w:val="TableCell"/>
              <w:rPr>
                <w:b/>
                <w:bCs/>
                <w:sz w:val="16"/>
                <w:szCs w:val="16"/>
                <w:lang w:eastAsia="en-IE"/>
              </w:rPr>
            </w:pPr>
            <w:r w:rsidRPr="00616517">
              <w:rPr>
                <w:b/>
                <w:bCs/>
                <w:sz w:val="16"/>
                <w:szCs w:val="16"/>
                <w:lang w:eastAsia="en-IE"/>
              </w:rPr>
              <w:t>0.7%</w:t>
            </w:r>
          </w:p>
        </w:tc>
        <w:tc>
          <w:tcPr>
            <w:tcW w:w="227" w:type="pct"/>
            <w:shd w:val="clear" w:color="000000" w:fill="FFFF00"/>
            <w:noWrap/>
            <w:vAlign w:val="bottom"/>
            <w:hideMark/>
          </w:tcPr>
          <w:p w:rsidR="00234FC8" w:rsidRPr="00616517" w:rsidRDefault="00234FC8" w:rsidP="00616517">
            <w:pPr>
              <w:pStyle w:val="TableCell"/>
              <w:rPr>
                <w:sz w:val="16"/>
                <w:szCs w:val="16"/>
                <w:lang w:eastAsia="en-IE"/>
              </w:rPr>
            </w:pPr>
            <w:r w:rsidRPr="00616517">
              <w:rPr>
                <w:sz w:val="16"/>
                <w:szCs w:val="16"/>
                <w:lang w:eastAsia="en-IE"/>
              </w:rPr>
              <w:t>0.2%</w:t>
            </w:r>
          </w:p>
        </w:tc>
        <w:tc>
          <w:tcPr>
            <w:tcW w:w="281" w:type="pct"/>
            <w:shd w:val="clear" w:color="auto" w:fill="auto"/>
            <w:noWrap/>
            <w:vAlign w:val="bottom"/>
            <w:hideMark/>
          </w:tcPr>
          <w:p w:rsidR="00234FC8" w:rsidRPr="00616517" w:rsidRDefault="00234FC8" w:rsidP="00616517">
            <w:pPr>
              <w:pStyle w:val="TableCell"/>
              <w:rPr>
                <w:b/>
                <w:bCs/>
                <w:sz w:val="16"/>
                <w:szCs w:val="16"/>
                <w:lang w:eastAsia="en-IE"/>
              </w:rPr>
            </w:pPr>
            <w:r w:rsidRPr="00616517">
              <w:rPr>
                <w:b/>
                <w:bCs/>
                <w:sz w:val="16"/>
                <w:szCs w:val="16"/>
                <w:lang w:eastAsia="en-IE"/>
              </w:rPr>
              <w:t>2.5%</w:t>
            </w:r>
          </w:p>
        </w:tc>
        <w:tc>
          <w:tcPr>
            <w:tcW w:w="196" w:type="pct"/>
            <w:shd w:val="clear" w:color="auto" w:fill="auto"/>
            <w:noWrap/>
            <w:vAlign w:val="bottom"/>
            <w:hideMark/>
          </w:tcPr>
          <w:p w:rsidR="00234FC8" w:rsidRPr="00616517" w:rsidRDefault="00234FC8" w:rsidP="00616517">
            <w:pPr>
              <w:pStyle w:val="TableCell"/>
              <w:rPr>
                <w:b/>
                <w:bCs/>
                <w:sz w:val="16"/>
                <w:szCs w:val="16"/>
                <w:lang w:eastAsia="en-IE"/>
              </w:rPr>
            </w:pPr>
            <w:r w:rsidRPr="00616517">
              <w:rPr>
                <w:b/>
                <w:bCs/>
                <w:sz w:val="16"/>
                <w:szCs w:val="16"/>
                <w:lang w:eastAsia="en-IE"/>
              </w:rPr>
              <w:t>1.5%</w:t>
            </w:r>
          </w:p>
        </w:tc>
        <w:tc>
          <w:tcPr>
            <w:tcW w:w="277" w:type="pct"/>
            <w:shd w:val="clear" w:color="auto" w:fill="auto"/>
            <w:noWrap/>
            <w:vAlign w:val="bottom"/>
            <w:hideMark/>
          </w:tcPr>
          <w:p w:rsidR="00234FC8" w:rsidRPr="00616517" w:rsidRDefault="00234FC8" w:rsidP="00616517">
            <w:pPr>
              <w:pStyle w:val="TableCell"/>
              <w:rPr>
                <w:b/>
                <w:bCs/>
                <w:sz w:val="16"/>
                <w:szCs w:val="16"/>
                <w:lang w:eastAsia="en-IE"/>
              </w:rPr>
            </w:pPr>
            <w:r w:rsidRPr="00616517">
              <w:rPr>
                <w:b/>
                <w:bCs/>
                <w:sz w:val="16"/>
                <w:szCs w:val="16"/>
                <w:lang w:eastAsia="en-IE"/>
              </w:rPr>
              <w:t>2.9%</w:t>
            </w:r>
          </w:p>
        </w:tc>
        <w:tc>
          <w:tcPr>
            <w:tcW w:w="331" w:type="pct"/>
            <w:shd w:val="clear" w:color="000000" w:fill="FFFF00"/>
            <w:noWrap/>
            <w:vAlign w:val="bottom"/>
            <w:hideMark/>
          </w:tcPr>
          <w:p w:rsidR="00234FC8" w:rsidRPr="00616517" w:rsidRDefault="00234FC8" w:rsidP="00616517">
            <w:pPr>
              <w:pStyle w:val="TableCell"/>
              <w:rPr>
                <w:sz w:val="16"/>
                <w:szCs w:val="16"/>
                <w:lang w:eastAsia="en-IE"/>
              </w:rPr>
            </w:pPr>
            <w:r w:rsidRPr="00616517">
              <w:rPr>
                <w:sz w:val="16"/>
                <w:szCs w:val="16"/>
                <w:lang w:eastAsia="en-IE"/>
              </w:rPr>
              <w:t>1.9%</w:t>
            </w:r>
          </w:p>
        </w:tc>
        <w:tc>
          <w:tcPr>
            <w:tcW w:w="232" w:type="pct"/>
            <w:shd w:val="clear" w:color="auto" w:fill="auto"/>
            <w:noWrap/>
            <w:vAlign w:val="bottom"/>
            <w:hideMark/>
          </w:tcPr>
          <w:p w:rsidR="00234FC8" w:rsidRPr="00616517" w:rsidRDefault="00234FC8" w:rsidP="00616517">
            <w:pPr>
              <w:pStyle w:val="TableCell"/>
              <w:rPr>
                <w:b/>
                <w:bCs/>
                <w:sz w:val="16"/>
                <w:szCs w:val="16"/>
                <w:lang w:eastAsia="en-IE"/>
              </w:rPr>
            </w:pPr>
            <w:r w:rsidRPr="00616517">
              <w:rPr>
                <w:b/>
                <w:bCs/>
                <w:sz w:val="16"/>
                <w:szCs w:val="16"/>
                <w:lang w:eastAsia="en-IE"/>
              </w:rPr>
              <w:t>0.5%</w:t>
            </w:r>
          </w:p>
        </w:tc>
        <w:tc>
          <w:tcPr>
            <w:tcW w:w="232"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0.8%</w:t>
            </w:r>
          </w:p>
        </w:tc>
        <w:tc>
          <w:tcPr>
            <w:tcW w:w="261" w:type="pct"/>
            <w:shd w:val="clear" w:color="000000" w:fill="FFFF00"/>
            <w:noWrap/>
            <w:vAlign w:val="bottom"/>
            <w:hideMark/>
          </w:tcPr>
          <w:p w:rsidR="00234FC8" w:rsidRPr="00616517" w:rsidRDefault="00234FC8" w:rsidP="00616517">
            <w:pPr>
              <w:pStyle w:val="TableCell"/>
              <w:rPr>
                <w:sz w:val="16"/>
                <w:szCs w:val="16"/>
                <w:lang w:eastAsia="en-IE"/>
              </w:rPr>
            </w:pPr>
            <w:r w:rsidRPr="00616517">
              <w:rPr>
                <w:sz w:val="16"/>
                <w:szCs w:val="16"/>
                <w:lang w:eastAsia="en-IE"/>
              </w:rPr>
              <w:t>0.4%</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1.0%</w:t>
            </w:r>
          </w:p>
        </w:tc>
        <w:tc>
          <w:tcPr>
            <w:tcW w:w="228" w:type="pct"/>
            <w:shd w:val="clear" w:color="auto" w:fill="auto"/>
            <w:noWrap/>
            <w:vAlign w:val="bottom"/>
            <w:hideMark/>
          </w:tcPr>
          <w:p w:rsidR="00234FC8" w:rsidRPr="00616517" w:rsidRDefault="00234FC8" w:rsidP="00616517">
            <w:pPr>
              <w:pStyle w:val="TableCell"/>
              <w:rPr>
                <w:sz w:val="16"/>
                <w:szCs w:val="16"/>
                <w:lang w:eastAsia="en-IE"/>
              </w:rPr>
            </w:pPr>
            <w:r w:rsidRPr="00616517">
              <w:rPr>
                <w:sz w:val="16"/>
                <w:szCs w:val="16"/>
                <w:lang w:eastAsia="en-IE"/>
              </w:rPr>
              <w:t>1.9%</w:t>
            </w:r>
          </w:p>
        </w:tc>
        <w:tc>
          <w:tcPr>
            <w:tcW w:w="276" w:type="pct"/>
            <w:shd w:val="clear" w:color="000000" w:fill="FFFF00"/>
            <w:noWrap/>
            <w:vAlign w:val="bottom"/>
            <w:hideMark/>
          </w:tcPr>
          <w:p w:rsidR="00234FC8" w:rsidRPr="00616517" w:rsidRDefault="00234FC8" w:rsidP="00616517">
            <w:pPr>
              <w:pStyle w:val="TableCell"/>
              <w:rPr>
                <w:sz w:val="16"/>
                <w:szCs w:val="16"/>
                <w:lang w:eastAsia="en-IE"/>
              </w:rPr>
            </w:pPr>
            <w:r w:rsidRPr="00616517">
              <w:rPr>
                <w:sz w:val="16"/>
                <w:szCs w:val="16"/>
                <w:lang w:eastAsia="en-IE"/>
              </w:rPr>
              <w:t>0.9%</w:t>
            </w:r>
          </w:p>
        </w:tc>
      </w:tr>
    </w:tbl>
    <w:p w:rsidR="003B2D53" w:rsidRDefault="003B2D53" w:rsidP="007866C0">
      <w:pPr>
        <w:pStyle w:val="TableNote"/>
      </w:pPr>
    </w:p>
    <w:p w:rsidR="00453926" w:rsidRDefault="009F7B74" w:rsidP="002B74D2">
      <w:pPr>
        <w:pStyle w:val="TableTitle"/>
      </w:pPr>
      <w:bookmarkStart w:id="265" w:name="_Toc419879435"/>
      <w:r>
        <w:t>Table 32</w:t>
      </w:r>
      <w:r w:rsidR="00453926">
        <w:t>: Comparison between Census 2006 and Census 2011 prevalence of childhood disability by category</w:t>
      </w:r>
      <w:bookmarkEnd w:id="265"/>
    </w:p>
    <w:p w:rsidR="00787049" w:rsidRPr="00453926" w:rsidRDefault="00453926" w:rsidP="003C5476">
      <w:r w:rsidRPr="00E04809">
        <w:t>While changes in some wording took place in 2011, and some combined categories were split, the shaded areas show % differences in recorded prevalence for equivalent categories in 2006 and 2011</w:t>
      </w:r>
      <w:r>
        <w:t>. While small increases in prevalence are shown for 0-19 year olds in each category, learning disability seems to be the main driver, followed by the ‘other chronic disability or illness’ category</w:t>
      </w:r>
      <w:r w:rsidR="003C5476">
        <w:t>.</w:t>
      </w:r>
    </w:p>
    <w:tbl>
      <w:tblPr>
        <w:tblpPr w:leftFromText="181" w:rightFromText="181" w:vertAnchor="text" w:horzAnchor="margin" w:tblpX="-176" w:tblpY="-292"/>
        <w:tblOverlap w:val="never"/>
        <w:tblW w:w="52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570"/>
        <w:gridCol w:w="570"/>
        <w:gridCol w:w="570"/>
        <w:gridCol w:w="601"/>
        <w:gridCol w:w="583"/>
        <w:gridCol w:w="570"/>
        <w:gridCol w:w="595"/>
        <w:gridCol w:w="570"/>
        <w:gridCol w:w="570"/>
        <w:gridCol w:w="570"/>
        <w:gridCol w:w="821"/>
        <w:gridCol w:w="570"/>
        <w:gridCol w:w="876"/>
        <w:gridCol w:w="928"/>
        <w:gridCol w:w="685"/>
        <w:gridCol w:w="685"/>
        <w:gridCol w:w="685"/>
        <w:gridCol w:w="675"/>
        <w:gridCol w:w="675"/>
        <w:gridCol w:w="675"/>
      </w:tblGrid>
      <w:tr w:rsidR="003C5476" w:rsidRPr="00784B2A" w:rsidTr="002B74D2">
        <w:trPr>
          <w:cantSplit/>
          <w:tblHeader/>
        </w:trPr>
        <w:tc>
          <w:tcPr>
            <w:tcW w:w="291" w:type="pct"/>
          </w:tcPr>
          <w:p w:rsidR="00453926" w:rsidRPr="00784B2A" w:rsidRDefault="00453926" w:rsidP="002B74D2">
            <w:pPr>
              <w:spacing w:after="0"/>
              <w:rPr>
                <w:rFonts w:ascii="Gill Sans MT" w:hAnsi="Gill Sans MT" w:cs="Arial"/>
                <w:sz w:val="16"/>
                <w:szCs w:val="16"/>
                <w:lang w:eastAsia="en-IE"/>
              </w:rPr>
            </w:pPr>
          </w:p>
        </w:tc>
        <w:tc>
          <w:tcPr>
            <w:tcW w:w="206" w:type="pct"/>
            <w:shd w:val="clear" w:color="auto" w:fill="auto"/>
            <w:hideMark/>
          </w:tcPr>
          <w:p w:rsidR="00453926" w:rsidRPr="003C5476" w:rsidRDefault="00453926" w:rsidP="002B74D2">
            <w:pPr>
              <w:pStyle w:val="TableHead"/>
              <w:spacing w:before="60"/>
              <w:rPr>
                <w:sz w:val="16"/>
                <w:szCs w:val="16"/>
                <w:lang w:eastAsia="en-IE"/>
              </w:rPr>
            </w:pPr>
            <w:r w:rsidRPr="003C5476">
              <w:rPr>
                <w:sz w:val="16"/>
                <w:szCs w:val="16"/>
                <w:lang w:eastAsia="en-IE"/>
              </w:rPr>
              <w:t>Pwd 2006</w:t>
            </w:r>
          </w:p>
        </w:tc>
        <w:tc>
          <w:tcPr>
            <w:tcW w:w="206" w:type="pct"/>
            <w:shd w:val="clear" w:color="auto" w:fill="auto"/>
            <w:hideMark/>
          </w:tcPr>
          <w:p w:rsidR="00453926" w:rsidRPr="003C5476" w:rsidRDefault="00453926" w:rsidP="002B74D2">
            <w:pPr>
              <w:pStyle w:val="TableHead"/>
              <w:spacing w:before="60"/>
              <w:rPr>
                <w:sz w:val="16"/>
                <w:szCs w:val="16"/>
                <w:lang w:eastAsia="en-IE"/>
              </w:rPr>
            </w:pPr>
            <w:r w:rsidRPr="003C5476">
              <w:rPr>
                <w:sz w:val="16"/>
                <w:szCs w:val="16"/>
                <w:lang w:eastAsia="en-IE"/>
              </w:rPr>
              <w:t>Pwd 2011</w:t>
            </w:r>
          </w:p>
        </w:tc>
        <w:tc>
          <w:tcPr>
            <w:tcW w:w="206" w:type="pct"/>
            <w:shd w:val="clear" w:color="auto" w:fill="auto"/>
            <w:hideMark/>
          </w:tcPr>
          <w:p w:rsidR="00453926" w:rsidRPr="003C5476" w:rsidRDefault="00453926" w:rsidP="002B74D2">
            <w:pPr>
              <w:pStyle w:val="TableHead"/>
              <w:spacing w:before="60"/>
              <w:rPr>
                <w:sz w:val="16"/>
                <w:szCs w:val="16"/>
                <w:lang w:eastAsia="en-IE"/>
              </w:rPr>
            </w:pPr>
            <w:r w:rsidRPr="003C5476">
              <w:rPr>
                <w:sz w:val="16"/>
                <w:szCs w:val="16"/>
                <w:lang w:eastAsia="en-IE"/>
              </w:rPr>
              <w:t>2011 less 2006</w:t>
            </w:r>
          </w:p>
        </w:tc>
        <w:tc>
          <w:tcPr>
            <w:tcW w:w="217" w:type="pct"/>
            <w:shd w:val="clear" w:color="auto" w:fill="auto"/>
            <w:hideMark/>
          </w:tcPr>
          <w:p w:rsidR="00453926" w:rsidRPr="003C5476" w:rsidRDefault="00453926" w:rsidP="002B74D2">
            <w:pPr>
              <w:pStyle w:val="TableHead"/>
              <w:spacing w:before="60"/>
              <w:rPr>
                <w:sz w:val="16"/>
                <w:szCs w:val="16"/>
                <w:lang w:eastAsia="en-IE"/>
              </w:rPr>
            </w:pPr>
            <w:r w:rsidRPr="003C5476">
              <w:rPr>
                <w:sz w:val="16"/>
                <w:szCs w:val="16"/>
                <w:lang w:eastAsia="en-IE"/>
              </w:rPr>
              <w:t>Blind et c &amp; deaf etc 2006</w:t>
            </w:r>
          </w:p>
        </w:tc>
        <w:tc>
          <w:tcPr>
            <w:tcW w:w="210" w:type="pct"/>
            <w:shd w:val="clear" w:color="auto" w:fill="auto"/>
            <w:hideMark/>
          </w:tcPr>
          <w:p w:rsidR="00453926" w:rsidRPr="003C5476" w:rsidRDefault="00453926" w:rsidP="002B74D2">
            <w:pPr>
              <w:pStyle w:val="TableHead"/>
              <w:spacing w:before="60"/>
              <w:rPr>
                <w:sz w:val="16"/>
                <w:szCs w:val="16"/>
                <w:lang w:eastAsia="en-IE"/>
              </w:rPr>
            </w:pPr>
            <w:r w:rsidRPr="003C5476">
              <w:rPr>
                <w:sz w:val="16"/>
                <w:szCs w:val="16"/>
                <w:lang w:eastAsia="en-IE"/>
              </w:rPr>
              <w:t>blind etc 2011</w:t>
            </w:r>
          </w:p>
        </w:tc>
        <w:tc>
          <w:tcPr>
            <w:tcW w:w="206" w:type="pct"/>
            <w:shd w:val="clear" w:color="auto" w:fill="auto"/>
            <w:hideMark/>
          </w:tcPr>
          <w:p w:rsidR="00453926" w:rsidRPr="003C5476" w:rsidRDefault="00453926" w:rsidP="002B74D2">
            <w:pPr>
              <w:pStyle w:val="TableHead"/>
              <w:spacing w:before="60"/>
              <w:rPr>
                <w:sz w:val="16"/>
                <w:szCs w:val="16"/>
                <w:lang w:eastAsia="en-IE"/>
              </w:rPr>
            </w:pPr>
            <w:r w:rsidRPr="003C5476">
              <w:rPr>
                <w:sz w:val="16"/>
                <w:szCs w:val="16"/>
                <w:lang w:eastAsia="en-IE"/>
              </w:rPr>
              <w:t>Deaf etc 2011</w:t>
            </w:r>
          </w:p>
        </w:tc>
        <w:tc>
          <w:tcPr>
            <w:tcW w:w="215" w:type="pct"/>
            <w:shd w:val="clear" w:color="auto" w:fill="auto"/>
            <w:hideMark/>
          </w:tcPr>
          <w:p w:rsidR="00453926" w:rsidRPr="003C5476" w:rsidRDefault="00453926" w:rsidP="002B74D2">
            <w:pPr>
              <w:pStyle w:val="TableHead"/>
              <w:spacing w:before="60"/>
              <w:rPr>
                <w:sz w:val="16"/>
                <w:szCs w:val="16"/>
                <w:lang w:eastAsia="en-IE"/>
              </w:rPr>
            </w:pPr>
            <w:r w:rsidRPr="003C5476">
              <w:rPr>
                <w:sz w:val="16"/>
                <w:szCs w:val="16"/>
                <w:lang w:eastAsia="en-IE"/>
              </w:rPr>
              <w:t>blind &amp; deaf rates 2011 less 2006</w:t>
            </w:r>
          </w:p>
        </w:tc>
        <w:tc>
          <w:tcPr>
            <w:tcW w:w="206" w:type="pct"/>
            <w:shd w:val="clear" w:color="auto" w:fill="auto"/>
            <w:hideMark/>
          </w:tcPr>
          <w:p w:rsidR="00453926" w:rsidRPr="003C5476" w:rsidRDefault="00453926" w:rsidP="002B74D2">
            <w:pPr>
              <w:pStyle w:val="TableHead"/>
              <w:spacing w:before="60"/>
              <w:rPr>
                <w:sz w:val="16"/>
                <w:szCs w:val="16"/>
                <w:lang w:eastAsia="en-IE"/>
              </w:rPr>
            </w:pPr>
            <w:r w:rsidRPr="003C5476">
              <w:rPr>
                <w:sz w:val="16"/>
                <w:szCs w:val="16"/>
                <w:lang w:eastAsia="en-IE"/>
              </w:rPr>
              <w:t>phys 2006</w:t>
            </w:r>
          </w:p>
        </w:tc>
        <w:tc>
          <w:tcPr>
            <w:tcW w:w="206" w:type="pct"/>
            <w:shd w:val="clear" w:color="auto" w:fill="auto"/>
            <w:hideMark/>
          </w:tcPr>
          <w:p w:rsidR="00453926" w:rsidRPr="003C5476" w:rsidRDefault="00453926" w:rsidP="002B74D2">
            <w:pPr>
              <w:pStyle w:val="TableHead"/>
              <w:spacing w:before="60"/>
              <w:rPr>
                <w:sz w:val="16"/>
                <w:szCs w:val="16"/>
                <w:lang w:eastAsia="en-IE"/>
              </w:rPr>
            </w:pPr>
            <w:r w:rsidRPr="003C5476">
              <w:rPr>
                <w:sz w:val="16"/>
                <w:szCs w:val="16"/>
                <w:lang w:eastAsia="en-IE"/>
              </w:rPr>
              <w:t>phys 2011</w:t>
            </w:r>
          </w:p>
        </w:tc>
        <w:tc>
          <w:tcPr>
            <w:tcW w:w="206" w:type="pct"/>
            <w:shd w:val="clear" w:color="auto" w:fill="auto"/>
            <w:hideMark/>
          </w:tcPr>
          <w:p w:rsidR="00453926" w:rsidRPr="003C5476" w:rsidRDefault="00453926" w:rsidP="002B74D2">
            <w:pPr>
              <w:pStyle w:val="TableHead"/>
              <w:spacing w:before="60"/>
              <w:rPr>
                <w:sz w:val="16"/>
                <w:szCs w:val="16"/>
                <w:lang w:eastAsia="en-IE"/>
              </w:rPr>
            </w:pPr>
            <w:r w:rsidRPr="003C5476">
              <w:rPr>
                <w:sz w:val="16"/>
                <w:szCs w:val="16"/>
                <w:lang w:eastAsia="en-IE"/>
              </w:rPr>
              <w:t>phys 2011 less 2006</w:t>
            </w:r>
          </w:p>
        </w:tc>
        <w:tc>
          <w:tcPr>
            <w:tcW w:w="296" w:type="pct"/>
            <w:shd w:val="clear" w:color="auto" w:fill="auto"/>
            <w:hideMark/>
          </w:tcPr>
          <w:p w:rsidR="00453926" w:rsidRPr="003C5476" w:rsidRDefault="00453926" w:rsidP="002B74D2">
            <w:pPr>
              <w:pStyle w:val="TableHead"/>
              <w:spacing w:before="60"/>
              <w:rPr>
                <w:sz w:val="16"/>
                <w:szCs w:val="16"/>
                <w:lang w:eastAsia="en-IE"/>
              </w:rPr>
            </w:pPr>
            <w:r w:rsidRPr="003C5476">
              <w:rPr>
                <w:sz w:val="16"/>
                <w:szCs w:val="16"/>
                <w:lang w:eastAsia="en-IE"/>
              </w:rPr>
              <w:t>learning or ID 2006</w:t>
            </w:r>
          </w:p>
        </w:tc>
        <w:tc>
          <w:tcPr>
            <w:tcW w:w="206" w:type="pct"/>
            <w:shd w:val="clear" w:color="auto" w:fill="auto"/>
            <w:hideMark/>
          </w:tcPr>
          <w:p w:rsidR="00453926" w:rsidRPr="003C5476" w:rsidRDefault="00453926" w:rsidP="002B74D2">
            <w:pPr>
              <w:pStyle w:val="TableHead"/>
              <w:spacing w:before="60"/>
              <w:rPr>
                <w:sz w:val="16"/>
                <w:szCs w:val="16"/>
                <w:lang w:eastAsia="en-IE"/>
              </w:rPr>
            </w:pPr>
            <w:r w:rsidRPr="003C5476">
              <w:rPr>
                <w:sz w:val="16"/>
                <w:szCs w:val="16"/>
                <w:lang w:eastAsia="en-IE"/>
              </w:rPr>
              <w:t>ID 2011</w:t>
            </w:r>
          </w:p>
        </w:tc>
        <w:tc>
          <w:tcPr>
            <w:tcW w:w="316" w:type="pct"/>
            <w:shd w:val="clear" w:color="auto" w:fill="auto"/>
            <w:hideMark/>
          </w:tcPr>
          <w:p w:rsidR="00453926" w:rsidRPr="003C5476" w:rsidRDefault="00453926" w:rsidP="002B74D2">
            <w:pPr>
              <w:pStyle w:val="TableHead"/>
              <w:spacing w:before="60"/>
              <w:rPr>
                <w:sz w:val="16"/>
                <w:szCs w:val="16"/>
                <w:lang w:eastAsia="en-IE"/>
              </w:rPr>
            </w:pPr>
            <w:r w:rsidRPr="003C5476">
              <w:rPr>
                <w:sz w:val="16"/>
                <w:szCs w:val="16"/>
                <w:lang w:eastAsia="en-IE"/>
              </w:rPr>
              <w:t>Learning 2011</w:t>
            </w:r>
          </w:p>
        </w:tc>
        <w:tc>
          <w:tcPr>
            <w:tcW w:w="335" w:type="pct"/>
            <w:shd w:val="clear" w:color="auto" w:fill="auto"/>
            <w:hideMark/>
          </w:tcPr>
          <w:p w:rsidR="00453926" w:rsidRPr="003C5476" w:rsidRDefault="00453926" w:rsidP="002B74D2">
            <w:pPr>
              <w:pStyle w:val="TableHead"/>
              <w:spacing w:before="60"/>
              <w:rPr>
                <w:sz w:val="16"/>
                <w:szCs w:val="16"/>
                <w:lang w:eastAsia="en-IE"/>
              </w:rPr>
            </w:pPr>
            <w:r w:rsidRPr="003C5476">
              <w:rPr>
                <w:sz w:val="16"/>
                <w:szCs w:val="16"/>
                <w:lang w:eastAsia="en-IE"/>
              </w:rPr>
              <w:t xml:space="preserve">2011 less 2006 </w:t>
            </w:r>
            <w:proofErr w:type="spellStart"/>
            <w:r w:rsidRPr="003C5476">
              <w:rPr>
                <w:sz w:val="16"/>
                <w:szCs w:val="16"/>
                <w:lang w:eastAsia="en-IE"/>
              </w:rPr>
              <w:t>ID+Learn</w:t>
            </w:r>
            <w:proofErr w:type="spellEnd"/>
          </w:p>
        </w:tc>
        <w:tc>
          <w:tcPr>
            <w:tcW w:w="247" w:type="pct"/>
            <w:shd w:val="clear" w:color="auto" w:fill="auto"/>
            <w:hideMark/>
          </w:tcPr>
          <w:p w:rsidR="00453926" w:rsidRPr="003C5476" w:rsidRDefault="00453926" w:rsidP="002B74D2">
            <w:pPr>
              <w:pStyle w:val="TableHead"/>
              <w:spacing w:before="60"/>
              <w:rPr>
                <w:sz w:val="16"/>
                <w:szCs w:val="16"/>
                <w:lang w:eastAsia="en-IE"/>
              </w:rPr>
            </w:pPr>
            <w:r w:rsidRPr="003C5476">
              <w:rPr>
                <w:sz w:val="16"/>
                <w:szCs w:val="16"/>
                <w:lang w:eastAsia="en-IE"/>
              </w:rPr>
              <w:t>m health 2006</w:t>
            </w:r>
          </w:p>
        </w:tc>
        <w:tc>
          <w:tcPr>
            <w:tcW w:w="247" w:type="pct"/>
            <w:shd w:val="clear" w:color="auto" w:fill="auto"/>
            <w:hideMark/>
          </w:tcPr>
          <w:p w:rsidR="00453926" w:rsidRPr="003C5476" w:rsidRDefault="00453926" w:rsidP="002B74D2">
            <w:pPr>
              <w:pStyle w:val="TableHead"/>
              <w:spacing w:before="60"/>
              <w:rPr>
                <w:sz w:val="16"/>
                <w:szCs w:val="16"/>
                <w:lang w:eastAsia="en-IE"/>
              </w:rPr>
            </w:pPr>
            <w:r w:rsidRPr="003C5476">
              <w:rPr>
                <w:sz w:val="16"/>
                <w:szCs w:val="16"/>
                <w:lang w:eastAsia="en-IE"/>
              </w:rPr>
              <w:t>M health 2011</w:t>
            </w:r>
          </w:p>
        </w:tc>
        <w:tc>
          <w:tcPr>
            <w:tcW w:w="247" w:type="pct"/>
            <w:shd w:val="clear" w:color="auto" w:fill="auto"/>
            <w:hideMark/>
          </w:tcPr>
          <w:p w:rsidR="00453926" w:rsidRPr="003C5476" w:rsidRDefault="00453926" w:rsidP="002B74D2">
            <w:pPr>
              <w:pStyle w:val="TableHead"/>
              <w:spacing w:before="60"/>
              <w:rPr>
                <w:sz w:val="16"/>
                <w:szCs w:val="16"/>
                <w:lang w:eastAsia="en-IE"/>
              </w:rPr>
            </w:pPr>
            <w:r w:rsidRPr="003C5476">
              <w:rPr>
                <w:sz w:val="16"/>
                <w:szCs w:val="16"/>
                <w:lang w:eastAsia="en-IE"/>
              </w:rPr>
              <w:t xml:space="preserve">m health 2011 less 2006 </w:t>
            </w:r>
          </w:p>
        </w:tc>
        <w:tc>
          <w:tcPr>
            <w:tcW w:w="244" w:type="pct"/>
            <w:shd w:val="clear" w:color="auto" w:fill="auto"/>
            <w:hideMark/>
          </w:tcPr>
          <w:p w:rsidR="00453926" w:rsidRPr="003C5476" w:rsidRDefault="00453926" w:rsidP="002B74D2">
            <w:pPr>
              <w:pStyle w:val="TableHead"/>
              <w:spacing w:before="60"/>
              <w:rPr>
                <w:sz w:val="16"/>
                <w:szCs w:val="16"/>
                <w:lang w:eastAsia="en-IE"/>
              </w:rPr>
            </w:pPr>
            <w:r w:rsidRPr="003C5476">
              <w:rPr>
                <w:sz w:val="16"/>
                <w:szCs w:val="16"/>
                <w:lang w:eastAsia="en-IE"/>
              </w:rPr>
              <w:t>Other 2006</w:t>
            </w:r>
          </w:p>
        </w:tc>
        <w:tc>
          <w:tcPr>
            <w:tcW w:w="244" w:type="pct"/>
            <w:shd w:val="clear" w:color="auto" w:fill="auto"/>
            <w:hideMark/>
          </w:tcPr>
          <w:p w:rsidR="00453926" w:rsidRPr="003C5476" w:rsidRDefault="00453926" w:rsidP="002B74D2">
            <w:pPr>
              <w:pStyle w:val="TableHead"/>
              <w:spacing w:before="60"/>
              <w:rPr>
                <w:sz w:val="16"/>
                <w:szCs w:val="16"/>
                <w:lang w:eastAsia="en-IE"/>
              </w:rPr>
            </w:pPr>
            <w:r w:rsidRPr="003C5476">
              <w:rPr>
                <w:sz w:val="16"/>
                <w:szCs w:val="16"/>
                <w:lang w:eastAsia="en-IE"/>
              </w:rPr>
              <w:t>Other 2011</w:t>
            </w:r>
          </w:p>
        </w:tc>
        <w:tc>
          <w:tcPr>
            <w:tcW w:w="244" w:type="pct"/>
            <w:shd w:val="clear" w:color="auto" w:fill="auto"/>
            <w:hideMark/>
          </w:tcPr>
          <w:p w:rsidR="00453926" w:rsidRPr="003C5476" w:rsidRDefault="00453926" w:rsidP="002B74D2">
            <w:pPr>
              <w:pStyle w:val="TableHead"/>
              <w:spacing w:before="60"/>
              <w:rPr>
                <w:sz w:val="16"/>
                <w:szCs w:val="16"/>
                <w:lang w:eastAsia="en-IE"/>
              </w:rPr>
            </w:pPr>
            <w:r w:rsidRPr="003C5476">
              <w:rPr>
                <w:sz w:val="16"/>
                <w:szCs w:val="16"/>
                <w:lang w:eastAsia="en-IE"/>
              </w:rPr>
              <w:t>Other 2011 less other 2006</w:t>
            </w:r>
          </w:p>
        </w:tc>
      </w:tr>
      <w:tr w:rsidR="003C5476" w:rsidRPr="00784B2A" w:rsidTr="002B74D2">
        <w:trPr>
          <w:trHeight w:val="285"/>
        </w:trPr>
        <w:tc>
          <w:tcPr>
            <w:tcW w:w="291" w:type="pct"/>
            <w:vAlign w:val="bottom"/>
          </w:tcPr>
          <w:p w:rsidR="00453926" w:rsidRPr="00784B2A" w:rsidRDefault="00453926" w:rsidP="002B74D2">
            <w:pPr>
              <w:spacing w:after="0"/>
              <w:rPr>
                <w:rFonts w:ascii="Gill Sans MT" w:hAnsi="Gill Sans MT" w:cs="Arial"/>
                <w:sz w:val="16"/>
                <w:szCs w:val="16"/>
                <w:lang w:eastAsia="en-IE"/>
              </w:rPr>
            </w:pPr>
            <w:r w:rsidRPr="00784B2A">
              <w:rPr>
                <w:rFonts w:ascii="Gill Sans MT" w:hAnsi="Gill Sans MT" w:cs="Arial"/>
                <w:sz w:val="16"/>
                <w:szCs w:val="16"/>
                <w:lang w:eastAsia="en-IE"/>
              </w:rPr>
              <w:t xml:space="preserve">Under 1 </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1.0%</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1.6%</w:t>
            </w:r>
          </w:p>
        </w:tc>
        <w:tc>
          <w:tcPr>
            <w:tcW w:w="206" w:type="pct"/>
            <w:shd w:val="clear" w:color="000000" w:fill="FAC090"/>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1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0.2%</w:t>
            </w:r>
          </w:p>
        </w:tc>
        <w:tc>
          <w:tcPr>
            <w:tcW w:w="210"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0.1%</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0.1%</w:t>
            </w:r>
          </w:p>
        </w:tc>
        <w:tc>
          <w:tcPr>
            <w:tcW w:w="21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0.0%</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0.2%</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06"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0.2%</w:t>
            </w:r>
          </w:p>
        </w:tc>
        <w:tc>
          <w:tcPr>
            <w:tcW w:w="29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0.3%</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0.3%</w:t>
            </w:r>
          </w:p>
        </w:tc>
        <w:tc>
          <w:tcPr>
            <w:tcW w:w="31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0.2%</w:t>
            </w:r>
          </w:p>
        </w:tc>
        <w:tc>
          <w:tcPr>
            <w:tcW w:w="33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0.2%</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0.1%</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0.1%</w:t>
            </w:r>
          </w:p>
        </w:tc>
        <w:tc>
          <w:tcPr>
            <w:tcW w:w="247"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0.0%</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44"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0.2%</w:t>
            </w:r>
          </w:p>
        </w:tc>
      </w:tr>
      <w:tr w:rsidR="003C5476" w:rsidRPr="00784B2A" w:rsidTr="002B74D2">
        <w:trPr>
          <w:trHeight w:val="285"/>
        </w:trPr>
        <w:tc>
          <w:tcPr>
            <w:tcW w:w="291" w:type="pct"/>
            <w:vAlign w:val="bottom"/>
          </w:tcPr>
          <w:p w:rsidR="00453926" w:rsidRPr="00784B2A" w:rsidRDefault="00453926" w:rsidP="002B74D2">
            <w:pPr>
              <w:spacing w:after="0"/>
              <w:rPr>
                <w:rFonts w:ascii="Gill Sans MT" w:hAnsi="Gill Sans MT" w:cs="Arial"/>
                <w:sz w:val="16"/>
                <w:szCs w:val="16"/>
                <w:lang w:eastAsia="en-IE"/>
              </w:rPr>
            </w:pPr>
            <w:r w:rsidRPr="00784B2A">
              <w:rPr>
                <w:rFonts w:ascii="Gill Sans MT" w:hAnsi="Gill Sans MT" w:cs="Arial"/>
                <w:sz w:val="16"/>
                <w:szCs w:val="16"/>
                <w:lang w:eastAsia="en-IE"/>
              </w:rPr>
              <w:t>1 year</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1.3%</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2.1%</w:t>
            </w:r>
          </w:p>
        </w:tc>
        <w:tc>
          <w:tcPr>
            <w:tcW w:w="206" w:type="pct"/>
            <w:shd w:val="clear" w:color="000000" w:fill="FAC090"/>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0.8%</w:t>
            </w:r>
          </w:p>
        </w:tc>
        <w:tc>
          <w:tcPr>
            <w:tcW w:w="21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0.2%</w:t>
            </w:r>
          </w:p>
        </w:tc>
        <w:tc>
          <w:tcPr>
            <w:tcW w:w="210"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0.1%</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0.1%</w:t>
            </w:r>
          </w:p>
        </w:tc>
        <w:tc>
          <w:tcPr>
            <w:tcW w:w="21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0.0%</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06"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0.2%</w:t>
            </w:r>
          </w:p>
        </w:tc>
        <w:tc>
          <w:tcPr>
            <w:tcW w:w="29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31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0.3%</w:t>
            </w:r>
          </w:p>
        </w:tc>
        <w:tc>
          <w:tcPr>
            <w:tcW w:w="33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0.1%</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0.1%</w:t>
            </w:r>
          </w:p>
        </w:tc>
        <w:tc>
          <w:tcPr>
            <w:tcW w:w="247"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0.0%</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0.9%</w:t>
            </w:r>
          </w:p>
        </w:tc>
        <w:tc>
          <w:tcPr>
            <w:tcW w:w="244"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0.3%</w:t>
            </w:r>
          </w:p>
        </w:tc>
      </w:tr>
      <w:tr w:rsidR="003C5476" w:rsidRPr="00784B2A" w:rsidTr="002B74D2">
        <w:trPr>
          <w:trHeight w:val="285"/>
        </w:trPr>
        <w:tc>
          <w:tcPr>
            <w:tcW w:w="291" w:type="pct"/>
            <w:vAlign w:val="bottom"/>
          </w:tcPr>
          <w:p w:rsidR="00453926" w:rsidRPr="00784B2A" w:rsidRDefault="00453926" w:rsidP="002B74D2">
            <w:pPr>
              <w:spacing w:after="0"/>
              <w:rPr>
                <w:rFonts w:ascii="Gill Sans MT" w:hAnsi="Gill Sans MT" w:cs="Arial"/>
                <w:sz w:val="16"/>
                <w:szCs w:val="16"/>
                <w:lang w:eastAsia="en-IE"/>
              </w:rPr>
            </w:pPr>
            <w:r w:rsidRPr="00784B2A">
              <w:rPr>
                <w:rFonts w:ascii="Gill Sans MT" w:hAnsi="Gill Sans MT" w:cs="Arial"/>
                <w:sz w:val="16"/>
                <w:szCs w:val="16"/>
                <w:lang w:eastAsia="en-IE"/>
              </w:rPr>
              <w:t>2 years</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1.6%</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2.7%</w:t>
            </w:r>
          </w:p>
        </w:tc>
        <w:tc>
          <w:tcPr>
            <w:tcW w:w="206" w:type="pct"/>
            <w:shd w:val="clear" w:color="000000" w:fill="FAC090"/>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1.1%</w:t>
            </w:r>
          </w:p>
        </w:tc>
        <w:tc>
          <w:tcPr>
            <w:tcW w:w="21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0.3%</w:t>
            </w:r>
          </w:p>
        </w:tc>
        <w:tc>
          <w:tcPr>
            <w:tcW w:w="210"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0.2%</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0.2%</w:t>
            </w:r>
          </w:p>
        </w:tc>
        <w:tc>
          <w:tcPr>
            <w:tcW w:w="21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0.0%</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0.5%</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06"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0.2%</w:t>
            </w:r>
          </w:p>
        </w:tc>
        <w:tc>
          <w:tcPr>
            <w:tcW w:w="29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31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33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0.1%</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0.2%</w:t>
            </w:r>
          </w:p>
        </w:tc>
        <w:tc>
          <w:tcPr>
            <w:tcW w:w="247"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0.1%</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0.7%</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1.2%</w:t>
            </w:r>
          </w:p>
        </w:tc>
        <w:tc>
          <w:tcPr>
            <w:tcW w:w="244"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0.5%</w:t>
            </w:r>
          </w:p>
        </w:tc>
      </w:tr>
      <w:tr w:rsidR="003C5476" w:rsidRPr="00784B2A" w:rsidTr="002B74D2">
        <w:trPr>
          <w:trHeight w:val="285"/>
        </w:trPr>
        <w:tc>
          <w:tcPr>
            <w:tcW w:w="291" w:type="pct"/>
            <w:vAlign w:val="bottom"/>
          </w:tcPr>
          <w:p w:rsidR="00453926" w:rsidRPr="00784B2A" w:rsidRDefault="00453926" w:rsidP="002B74D2">
            <w:pPr>
              <w:spacing w:after="0"/>
              <w:rPr>
                <w:rFonts w:ascii="Gill Sans MT" w:hAnsi="Gill Sans MT" w:cs="Arial"/>
                <w:sz w:val="16"/>
                <w:szCs w:val="16"/>
                <w:lang w:eastAsia="en-IE"/>
              </w:rPr>
            </w:pPr>
            <w:r w:rsidRPr="00784B2A">
              <w:rPr>
                <w:rFonts w:ascii="Gill Sans MT" w:hAnsi="Gill Sans MT" w:cs="Arial"/>
                <w:sz w:val="16"/>
                <w:szCs w:val="16"/>
                <w:lang w:eastAsia="en-IE"/>
              </w:rPr>
              <w:t>3 years</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2.2%</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3.5%</w:t>
            </w:r>
          </w:p>
        </w:tc>
        <w:tc>
          <w:tcPr>
            <w:tcW w:w="206" w:type="pct"/>
            <w:shd w:val="clear" w:color="000000" w:fill="FAC090"/>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1.3%</w:t>
            </w:r>
          </w:p>
        </w:tc>
        <w:tc>
          <w:tcPr>
            <w:tcW w:w="21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10"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0.2%</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0.2%</w:t>
            </w:r>
          </w:p>
        </w:tc>
        <w:tc>
          <w:tcPr>
            <w:tcW w:w="21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0.1%</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0.5%</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0.7%</w:t>
            </w:r>
          </w:p>
        </w:tc>
        <w:tc>
          <w:tcPr>
            <w:tcW w:w="206"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0.2%</w:t>
            </w:r>
          </w:p>
        </w:tc>
        <w:tc>
          <w:tcPr>
            <w:tcW w:w="29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0.9%</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0.9%</w:t>
            </w:r>
          </w:p>
        </w:tc>
        <w:tc>
          <w:tcPr>
            <w:tcW w:w="31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1.0%</w:t>
            </w:r>
          </w:p>
        </w:tc>
        <w:tc>
          <w:tcPr>
            <w:tcW w:w="33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1.0%</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0.2%</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47"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0.2%</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0.8%</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1.6%</w:t>
            </w:r>
          </w:p>
        </w:tc>
        <w:tc>
          <w:tcPr>
            <w:tcW w:w="244"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0.8%</w:t>
            </w:r>
          </w:p>
        </w:tc>
      </w:tr>
      <w:tr w:rsidR="003C5476" w:rsidRPr="00784B2A" w:rsidTr="002B74D2">
        <w:trPr>
          <w:trHeight w:val="285"/>
        </w:trPr>
        <w:tc>
          <w:tcPr>
            <w:tcW w:w="291" w:type="pct"/>
            <w:vAlign w:val="bottom"/>
          </w:tcPr>
          <w:p w:rsidR="00453926" w:rsidRPr="00784B2A" w:rsidRDefault="00453926" w:rsidP="002B74D2">
            <w:pPr>
              <w:spacing w:after="0"/>
              <w:rPr>
                <w:rFonts w:ascii="Gill Sans MT" w:hAnsi="Gill Sans MT" w:cs="Arial"/>
                <w:sz w:val="16"/>
                <w:szCs w:val="16"/>
                <w:lang w:eastAsia="en-IE"/>
              </w:rPr>
            </w:pPr>
            <w:r w:rsidRPr="00784B2A">
              <w:rPr>
                <w:rFonts w:ascii="Gill Sans MT" w:hAnsi="Gill Sans MT" w:cs="Arial"/>
                <w:sz w:val="16"/>
                <w:szCs w:val="16"/>
                <w:lang w:eastAsia="en-IE"/>
              </w:rPr>
              <w:t>4 years</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2.7%</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4.4%</w:t>
            </w:r>
          </w:p>
        </w:tc>
        <w:tc>
          <w:tcPr>
            <w:tcW w:w="206" w:type="pct"/>
            <w:shd w:val="clear" w:color="000000" w:fill="FAC090"/>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1.7%</w:t>
            </w:r>
          </w:p>
        </w:tc>
        <w:tc>
          <w:tcPr>
            <w:tcW w:w="21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10"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0.3%</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0.3%</w:t>
            </w:r>
          </w:p>
        </w:tc>
        <w:tc>
          <w:tcPr>
            <w:tcW w:w="21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0.1%</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0.5%</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0.8%</w:t>
            </w:r>
          </w:p>
        </w:tc>
        <w:tc>
          <w:tcPr>
            <w:tcW w:w="206"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0.3%</w:t>
            </w:r>
          </w:p>
        </w:tc>
        <w:tc>
          <w:tcPr>
            <w:tcW w:w="29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1.3%</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1.1%</w:t>
            </w:r>
          </w:p>
        </w:tc>
        <w:tc>
          <w:tcPr>
            <w:tcW w:w="31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1.5%</w:t>
            </w:r>
          </w:p>
        </w:tc>
        <w:tc>
          <w:tcPr>
            <w:tcW w:w="33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1.4%</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0.3%</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47"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0.3%</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0.9%</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1.9%</w:t>
            </w:r>
          </w:p>
        </w:tc>
        <w:tc>
          <w:tcPr>
            <w:tcW w:w="244"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0.9%</w:t>
            </w:r>
          </w:p>
        </w:tc>
      </w:tr>
      <w:tr w:rsidR="003C5476" w:rsidRPr="00784B2A" w:rsidTr="002B74D2">
        <w:trPr>
          <w:trHeight w:val="285"/>
        </w:trPr>
        <w:tc>
          <w:tcPr>
            <w:tcW w:w="291" w:type="pct"/>
            <w:vAlign w:val="bottom"/>
          </w:tcPr>
          <w:p w:rsidR="00453926" w:rsidRPr="00784B2A" w:rsidRDefault="00453926" w:rsidP="002B74D2">
            <w:pPr>
              <w:spacing w:after="0"/>
              <w:rPr>
                <w:rFonts w:ascii="Gill Sans MT" w:hAnsi="Gill Sans MT" w:cs="Arial"/>
                <w:sz w:val="16"/>
                <w:szCs w:val="16"/>
                <w:lang w:eastAsia="en-IE"/>
              </w:rPr>
            </w:pPr>
            <w:r w:rsidRPr="00784B2A">
              <w:rPr>
                <w:rFonts w:ascii="Gill Sans MT" w:hAnsi="Gill Sans MT" w:cs="Arial"/>
                <w:sz w:val="16"/>
                <w:szCs w:val="16"/>
                <w:lang w:eastAsia="en-IE"/>
              </w:rPr>
              <w:t>5 years</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3.3%</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4.9%</w:t>
            </w:r>
          </w:p>
        </w:tc>
        <w:tc>
          <w:tcPr>
            <w:tcW w:w="206" w:type="pct"/>
            <w:shd w:val="clear" w:color="000000" w:fill="FAC090"/>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1.7%</w:t>
            </w:r>
          </w:p>
        </w:tc>
        <w:tc>
          <w:tcPr>
            <w:tcW w:w="21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0.5%</w:t>
            </w:r>
          </w:p>
        </w:tc>
        <w:tc>
          <w:tcPr>
            <w:tcW w:w="210"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0.3%</w:t>
            </w:r>
          </w:p>
        </w:tc>
        <w:tc>
          <w:tcPr>
            <w:tcW w:w="21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0.2%</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0.8%</w:t>
            </w:r>
          </w:p>
        </w:tc>
        <w:tc>
          <w:tcPr>
            <w:tcW w:w="206"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0.2%</w:t>
            </w:r>
          </w:p>
        </w:tc>
        <w:tc>
          <w:tcPr>
            <w:tcW w:w="29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1.6%</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1.3%</w:t>
            </w:r>
          </w:p>
        </w:tc>
        <w:tc>
          <w:tcPr>
            <w:tcW w:w="31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1.9%</w:t>
            </w:r>
          </w:p>
        </w:tc>
        <w:tc>
          <w:tcPr>
            <w:tcW w:w="33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1.6%</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0.8%</w:t>
            </w:r>
          </w:p>
        </w:tc>
        <w:tc>
          <w:tcPr>
            <w:tcW w:w="247"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1.0%</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2.0%</w:t>
            </w:r>
          </w:p>
        </w:tc>
        <w:tc>
          <w:tcPr>
            <w:tcW w:w="244"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1.0%</w:t>
            </w:r>
          </w:p>
        </w:tc>
      </w:tr>
      <w:tr w:rsidR="003C5476" w:rsidRPr="00784B2A" w:rsidTr="002B74D2">
        <w:trPr>
          <w:trHeight w:val="285"/>
        </w:trPr>
        <w:tc>
          <w:tcPr>
            <w:tcW w:w="291" w:type="pct"/>
            <w:vAlign w:val="bottom"/>
          </w:tcPr>
          <w:p w:rsidR="00453926" w:rsidRPr="00784B2A" w:rsidRDefault="00453926" w:rsidP="002B74D2">
            <w:pPr>
              <w:spacing w:after="0"/>
              <w:rPr>
                <w:rFonts w:ascii="Gill Sans MT" w:hAnsi="Gill Sans MT" w:cs="Arial"/>
                <w:sz w:val="16"/>
                <w:szCs w:val="16"/>
                <w:lang w:eastAsia="en-IE"/>
              </w:rPr>
            </w:pPr>
            <w:r w:rsidRPr="00784B2A">
              <w:rPr>
                <w:rFonts w:ascii="Gill Sans MT" w:hAnsi="Gill Sans MT" w:cs="Arial"/>
                <w:sz w:val="16"/>
                <w:szCs w:val="16"/>
                <w:lang w:eastAsia="en-IE"/>
              </w:rPr>
              <w:t>6 years</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3.7%</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5.6%</w:t>
            </w:r>
          </w:p>
        </w:tc>
        <w:tc>
          <w:tcPr>
            <w:tcW w:w="206" w:type="pct"/>
            <w:shd w:val="clear" w:color="000000" w:fill="FAC090"/>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1.9%</w:t>
            </w:r>
          </w:p>
        </w:tc>
        <w:tc>
          <w:tcPr>
            <w:tcW w:w="21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10"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1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0.3%</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0.8%</w:t>
            </w:r>
          </w:p>
        </w:tc>
        <w:tc>
          <w:tcPr>
            <w:tcW w:w="206"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0.2%</w:t>
            </w:r>
          </w:p>
        </w:tc>
        <w:tc>
          <w:tcPr>
            <w:tcW w:w="29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2.0%</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1.4%</w:t>
            </w:r>
          </w:p>
        </w:tc>
        <w:tc>
          <w:tcPr>
            <w:tcW w:w="31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2.4%</w:t>
            </w:r>
          </w:p>
        </w:tc>
        <w:tc>
          <w:tcPr>
            <w:tcW w:w="33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1.8%</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0.9%</w:t>
            </w:r>
          </w:p>
        </w:tc>
        <w:tc>
          <w:tcPr>
            <w:tcW w:w="247"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0.5%</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1.1%</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2.1%</w:t>
            </w:r>
          </w:p>
        </w:tc>
        <w:tc>
          <w:tcPr>
            <w:tcW w:w="244"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1.0%</w:t>
            </w:r>
          </w:p>
        </w:tc>
      </w:tr>
      <w:tr w:rsidR="003C5476" w:rsidRPr="00784B2A" w:rsidTr="002B74D2">
        <w:trPr>
          <w:trHeight w:val="285"/>
        </w:trPr>
        <w:tc>
          <w:tcPr>
            <w:tcW w:w="291" w:type="pct"/>
            <w:vAlign w:val="bottom"/>
          </w:tcPr>
          <w:p w:rsidR="00453926" w:rsidRPr="00784B2A" w:rsidRDefault="00453926" w:rsidP="002B74D2">
            <w:pPr>
              <w:spacing w:after="0"/>
              <w:rPr>
                <w:rFonts w:ascii="Gill Sans MT" w:hAnsi="Gill Sans MT" w:cs="Arial"/>
                <w:sz w:val="16"/>
                <w:szCs w:val="16"/>
                <w:lang w:eastAsia="en-IE"/>
              </w:rPr>
            </w:pPr>
            <w:r w:rsidRPr="00784B2A">
              <w:rPr>
                <w:rFonts w:ascii="Gill Sans MT" w:hAnsi="Gill Sans MT" w:cs="Arial"/>
                <w:sz w:val="16"/>
                <w:szCs w:val="16"/>
                <w:lang w:eastAsia="en-IE"/>
              </w:rPr>
              <w:t>7 years</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4.0%</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6.1%</w:t>
            </w:r>
          </w:p>
        </w:tc>
        <w:tc>
          <w:tcPr>
            <w:tcW w:w="206" w:type="pct"/>
            <w:shd w:val="clear" w:color="000000" w:fill="FAC090"/>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2.1%</w:t>
            </w:r>
          </w:p>
        </w:tc>
        <w:tc>
          <w:tcPr>
            <w:tcW w:w="21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0.5%</w:t>
            </w:r>
          </w:p>
        </w:tc>
        <w:tc>
          <w:tcPr>
            <w:tcW w:w="210"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1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0.3%</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0.5%</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0.8%</w:t>
            </w:r>
          </w:p>
        </w:tc>
        <w:tc>
          <w:tcPr>
            <w:tcW w:w="206"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0.3%</w:t>
            </w:r>
          </w:p>
        </w:tc>
        <w:tc>
          <w:tcPr>
            <w:tcW w:w="29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2.3%</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1.5%</w:t>
            </w:r>
          </w:p>
        </w:tc>
        <w:tc>
          <w:tcPr>
            <w:tcW w:w="31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3.0%</w:t>
            </w:r>
          </w:p>
        </w:tc>
        <w:tc>
          <w:tcPr>
            <w:tcW w:w="33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2.2%</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0.5%</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1.0%</w:t>
            </w:r>
          </w:p>
        </w:tc>
        <w:tc>
          <w:tcPr>
            <w:tcW w:w="247"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0.5%</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1.1%</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2.1%</w:t>
            </w:r>
          </w:p>
        </w:tc>
        <w:tc>
          <w:tcPr>
            <w:tcW w:w="244"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1.0%</w:t>
            </w:r>
          </w:p>
        </w:tc>
      </w:tr>
      <w:tr w:rsidR="003C5476" w:rsidRPr="00784B2A" w:rsidTr="002B74D2">
        <w:trPr>
          <w:trHeight w:val="285"/>
        </w:trPr>
        <w:tc>
          <w:tcPr>
            <w:tcW w:w="291" w:type="pct"/>
            <w:vAlign w:val="bottom"/>
          </w:tcPr>
          <w:p w:rsidR="00453926" w:rsidRPr="00784B2A" w:rsidRDefault="00453926" w:rsidP="002B74D2">
            <w:pPr>
              <w:spacing w:after="0"/>
              <w:rPr>
                <w:rFonts w:ascii="Gill Sans MT" w:hAnsi="Gill Sans MT" w:cs="Arial"/>
                <w:sz w:val="16"/>
                <w:szCs w:val="16"/>
                <w:lang w:eastAsia="en-IE"/>
              </w:rPr>
            </w:pPr>
            <w:r w:rsidRPr="00784B2A">
              <w:rPr>
                <w:rFonts w:ascii="Gill Sans MT" w:hAnsi="Gill Sans MT" w:cs="Arial"/>
                <w:sz w:val="16"/>
                <w:szCs w:val="16"/>
                <w:lang w:eastAsia="en-IE"/>
              </w:rPr>
              <w:t>8 years</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4.7%</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6.6%</w:t>
            </w:r>
          </w:p>
        </w:tc>
        <w:tc>
          <w:tcPr>
            <w:tcW w:w="206" w:type="pct"/>
            <w:shd w:val="clear" w:color="000000" w:fill="FAC090"/>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2.0%</w:t>
            </w:r>
          </w:p>
        </w:tc>
        <w:tc>
          <w:tcPr>
            <w:tcW w:w="21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10"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0.5%</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1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0.2%</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0.7%</w:t>
            </w:r>
          </w:p>
        </w:tc>
        <w:tc>
          <w:tcPr>
            <w:tcW w:w="206"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0.1%</w:t>
            </w:r>
          </w:p>
        </w:tc>
        <w:tc>
          <w:tcPr>
            <w:tcW w:w="29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2.9%</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1.7%</w:t>
            </w:r>
          </w:p>
        </w:tc>
        <w:tc>
          <w:tcPr>
            <w:tcW w:w="31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3.5%</w:t>
            </w:r>
          </w:p>
        </w:tc>
        <w:tc>
          <w:tcPr>
            <w:tcW w:w="33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2.3%</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0.9%</w:t>
            </w:r>
          </w:p>
        </w:tc>
        <w:tc>
          <w:tcPr>
            <w:tcW w:w="247"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0.3%</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1.1%</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2.0%</w:t>
            </w:r>
          </w:p>
        </w:tc>
        <w:tc>
          <w:tcPr>
            <w:tcW w:w="244"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0.9%</w:t>
            </w:r>
          </w:p>
        </w:tc>
      </w:tr>
      <w:tr w:rsidR="003C5476" w:rsidRPr="00784B2A" w:rsidTr="002B74D2">
        <w:trPr>
          <w:trHeight w:val="285"/>
        </w:trPr>
        <w:tc>
          <w:tcPr>
            <w:tcW w:w="291" w:type="pct"/>
            <w:vAlign w:val="bottom"/>
          </w:tcPr>
          <w:p w:rsidR="00453926" w:rsidRPr="00784B2A" w:rsidRDefault="00453926" w:rsidP="002B74D2">
            <w:pPr>
              <w:spacing w:after="0"/>
              <w:rPr>
                <w:rFonts w:ascii="Gill Sans MT" w:hAnsi="Gill Sans MT" w:cs="Arial"/>
                <w:sz w:val="16"/>
                <w:szCs w:val="16"/>
                <w:lang w:eastAsia="en-IE"/>
              </w:rPr>
            </w:pPr>
            <w:r w:rsidRPr="00784B2A">
              <w:rPr>
                <w:rFonts w:ascii="Gill Sans MT" w:hAnsi="Gill Sans MT" w:cs="Arial"/>
                <w:sz w:val="16"/>
                <w:szCs w:val="16"/>
                <w:lang w:eastAsia="en-IE"/>
              </w:rPr>
              <w:t>9 years</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5.2%</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7.3%</w:t>
            </w:r>
          </w:p>
        </w:tc>
        <w:tc>
          <w:tcPr>
            <w:tcW w:w="206" w:type="pct"/>
            <w:shd w:val="clear" w:color="000000" w:fill="FAC090"/>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2.0%</w:t>
            </w:r>
          </w:p>
        </w:tc>
        <w:tc>
          <w:tcPr>
            <w:tcW w:w="21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10"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0.5%</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1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0.2%</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0.8%</w:t>
            </w:r>
          </w:p>
        </w:tc>
        <w:tc>
          <w:tcPr>
            <w:tcW w:w="206"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0.1%</w:t>
            </w:r>
          </w:p>
        </w:tc>
        <w:tc>
          <w:tcPr>
            <w:tcW w:w="29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3.4%</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1.9%</w:t>
            </w:r>
          </w:p>
        </w:tc>
        <w:tc>
          <w:tcPr>
            <w:tcW w:w="31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4.0%</w:t>
            </w:r>
          </w:p>
        </w:tc>
        <w:tc>
          <w:tcPr>
            <w:tcW w:w="33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2.5%</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0.5%</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1.1%</w:t>
            </w:r>
          </w:p>
        </w:tc>
        <w:tc>
          <w:tcPr>
            <w:tcW w:w="247"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1.1%</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2.1%</w:t>
            </w:r>
          </w:p>
        </w:tc>
        <w:tc>
          <w:tcPr>
            <w:tcW w:w="244"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1.0%</w:t>
            </w:r>
          </w:p>
        </w:tc>
      </w:tr>
      <w:tr w:rsidR="003C5476" w:rsidRPr="00784B2A" w:rsidTr="002B74D2">
        <w:trPr>
          <w:trHeight w:val="285"/>
        </w:trPr>
        <w:tc>
          <w:tcPr>
            <w:tcW w:w="291" w:type="pct"/>
            <w:vAlign w:val="bottom"/>
          </w:tcPr>
          <w:p w:rsidR="00453926" w:rsidRPr="00784B2A" w:rsidRDefault="00453926" w:rsidP="002B74D2">
            <w:pPr>
              <w:spacing w:after="0"/>
              <w:rPr>
                <w:rFonts w:ascii="Gill Sans MT" w:hAnsi="Gill Sans MT" w:cs="Arial"/>
                <w:sz w:val="16"/>
                <w:szCs w:val="16"/>
                <w:lang w:eastAsia="en-IE"/>
              </w:rPr>
            </w:pPr>
            <w:r w:rsidRPr="00784B2A">
              <w:rPr>
                <w:rFonts w:ascii="Gill Sans MT" w:hAnsi="Gill Sans MT" w:cs="Arial"/>
                <w:sz w:val="16"/>
                <w:szCs w:val="16"/>
                <w:lang w:eastAsia="en-IE"/>
              </w:rPr>
              <w:t>10 years</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5.7%</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7.6%</w:t>
            </w:r>
          </w:p>
        </w:tc>
        <w:tc>
          <w:tcPr>
            <w:tcW w:w="206" w:type="pct"/>
            <w:shd w:val="clear" w:color="000000" w:fill="FAC090"/>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1.9%</w:t>
            </w:r>
          </w:p>
        </w:tc>
        <w:tc>
          <w:tcPr>
            <w:tcW w:w="21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10"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0.5%</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1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0.3%</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0.8%</w:t>
            </w:r>
          </w:p>
        </w:tc>
        <w:tc>
          <w:tcPr>
            <w:tcW w:w="206"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0.2%</w:t>
            </w:r>
          </w:p>
        </w:tc>
        <w:tc>
          <w:tcPr>
            <w:tcW w:w="29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3.9%</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2.0%</w:t>
            </w:r>
          </w:p>
        </w:tc>
        <w:tc>
          <w:tcPr>
            <w:tcW w:w="31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4.3%</w:t>
            </w:r>
          </w:p>
        </w:tc>
        <w:tc>
          <w:tcPr>
            <w:tcW w:w="33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2.4%</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1.1%</w:t>
            </w:r>
          </w:p>
        </w:tc>
        <w:tc>
          <w:tcPr>
            <w:tcW w:w="247"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0.5%</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1.2%</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2.2%</w:t>
            </w:r>
          </w:p>
        </w:tc>
        <w:tc>
          <w:tcPr>
            <w:tcW w:w="244"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0.9%</w:t>
            </w:r>
          </w:p>
        </w:tc>
      </w:tr>
      <w:tr w:rsidR="003C5476" w:rsidRPr="00784B2A" w:rsidTr="002B74D2">
        <w:trPr>
          <w:trHeight w:val="285"/>
        </w:trPr>
        <w:tc>
          <w:tcPr>
            <w:tcW w:w="291" w:type="pct"/>
            <w:vAlign w:val="bottom"/>
          </w:tcPr>
          <w:p w:rsidR="00453926" w:rsidRPr="00784B2A" w:rsidRDefault="00453926" w:rsidP="002B74D2">
            <w:pPr>
              <w:spacing w:after="0"/>
              <w:rPr>
                <w:rFonts w:ascii="Gill Sans MT" w:hAnsi="Gill Sans MT" w:cs="Arial"/>
                <w:sz w:val="16"/>
                <w:szCs w:val="16"/>
                <w:lang w:eastAsia="en-IE"/>
              </w:rPr>
            </w:pPr>
            <w:r w:rsidRPr="00784B2A">
              <w:rPr>
                <w:rFonts w:ascii="Gill Sans MT" w:hAnsi="Gill Sans MT" w:cs="Arial"/>
                <w:sz w:val="16"/>
                <w:szCs w:val="16"/>
                <w:lang w:eastAsia="en-IE"/>
              </w:rPr>
              <w:t>11 years</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5.9%</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7.7%</w:t>
            </w:r>
          </w:p>
        </w:tc>
        <w:tc>
          <w:tcPr>
            <w:tcW w:w="206" w:type="pct"/>
            <w:shd w:val="clear" w:color="000000" w:fill="FAC090"/>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1.8%</w:t>
            </w:r>
          </w:p>
        </w:tc>
        <w:tc>
          <w:tcPr>
            <w:tcW w:w="21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10"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0.5%</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1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0.3%</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0.8%</w:t>
            </w:r>
          </w:p>
        </w:tc>
        <w:tc>
          <w:tcPr>
            <w:tcW w:w="206"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0.2%</w:t>
            </w:r>
          </w:p>
        </w:tc>
        <w:tc>
          <w:tcPr>
            <w:tcW w:w="29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4.1%</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2.0%</w:t>
            </w:r>
          </w:p>
        </w:tc>
        <w:tc>
          <w:tcPr>
            <w:tcW w:w="31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4.3%</w:t>
            </w:r>
          </w:p>
        </w:tc>
        <w:tc>
          <w:tcPr>
            <w:tcW w:w="33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2.2%</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1.1%</w:t>
            </w:r>
          </w:p>
        </w:tc>
        <w:tc>
          <w:tcPr>
            <w:tcW w:w="247"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0.5%</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1.2%</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2.2%</w:t>
            </w:r>
          </w:p>
        </w:tc>
        <w:tc>
          <w:tcPr>
            <w:tcW w:w="244"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1.0%</w:t>
            </w:r>
          </w:p>
        </w:tc>
      </w:tr>
      <w:tr w:rsidR="003C5476" w:rsidRPr="00784B2A" w:rsidTr="002B74D2">
        <w:trPr>
          <w:trHeight w:val="285"/>
        </w:trPr>
        <w:tc>
          <w:tcPr>
            <w:tcW w:w="291" w:type="pct"/>
            <w:vAlign w:val="bottom"/>
          </w:tcPr>
          <w:p w:rsidR="00453926" w:rsidRPr="00784B2A" w:rsidRDefault="00453926" w:rsidP="002B74D2">
            <w:pPr>
              <w:spacing w:after="0"/>
              <w:rPr>
                <w:rFonts w:ascii="Gill Sans MT" w:hAnsi="Gill Sans MT" w:cs="Arial"/>
                <w:sz w:val="16"/>
                <w:szCs w:val="16"/>
                <w:lang w:eastAsia="en-IE"/>
              </w:rPr>
            </w:pPr>
            <w:r w:rsidRPr="00784B2A">
              <w:rPr>
                <w:rFonts w:ascii="Gill Sans MT" w:hAnsi="Gill Sans MT" w:cs="Arial"/>
                <w:sz w:val="16"/>
                <w:szCs w:val="16"/>
                <w:lang w:eastAsia="en-IE"/>
              </w:rPr>
              <w:t>12 years</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6.0%</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7.6%</w:t>
            </w:r>
          </w:p>
        </w:tc>
        <w:tc>
          <w:tcPr>
            <w:tcW w:w="206" w:type="pct"/>
            <w:shd w:val="clear" w:color="000000" w:fill="FAC090"/>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1.6%</w:t>
            </w:r>
          </w:p>
        </w:tc>
        <w:tc>
          <w:tcPr>
            <w:tcW w:w="21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10"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0.3%</w:t>
            </w:r>
          </w:p>
        </w:tc>
        <w:tc>
          <w:tcPr>
            <w:tcW w:w="21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0.2%</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0.7%</w:t>
            </w:r>
          </w:p>
        </w:tc>
        <w:tc>
          <w:tcPr>
            <w:tcW w:w="206"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0.1%</w:t>
            </w:r>
          </w:p>
        </w:tc>
        <w:tc>
          <w:tcPr>
            <w:tcW w:w="29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4.1%</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1.9%</w:t>
            </w:r>
          </w:p>
        </w:tc>
        <w:tc>
          <w:tcPr>
            <w:tcW w:w="31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4.4%</w:t>
            </w:r>
          </w:p>
        </w:tc>
        <w:tc>
          <w:tcPr>
            <w:tcW w:w="33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2.2%</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1.0%</w:t>
            </w:r>
          </w:p>
        </w:tc>
        <w:tc>
          <w:tcPr>
            <w:tcW w:w="247"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1.2%</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2.1%</w:t>
            </w:r>
          </w:p>
        </w:tc>
        <w:tc>
          <w:tcPr>
            <w:tcW w:w="244"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0.8%</w:t>
            </w:r>
          </w:p>
        </w:tc>
      </w:tr>
      <w:tr w:rsidR="003C5476" w:rsidRPr="00784B2A" w:rsidTr="002B74D2">
        <w:trPr>
          <w:trHeight w:val="285"/>
        </w:trPr>
        <w:tc>
          <w:tcPr>
            <w:tcW w:w="291" w:type="pct"/>
            <w:vAlign w:val="bottom"/>
          </w:tcPr>
          <w:p w:rsidR="00453926" w:rsidRPr="00784B2A" w:rsidRDefault="00453926" w:rsidP="002B74D2">
            <w:pPr>
              <w:spacing w:after="0"/>
              <w:rPr>
                <w:rFonts w:ascii="Gill Sans MT" w:hAnsi="Gill Sans MT" w:cs="Arial"/>
                <w:sz w:val="16"/>
                <w:szCs w:val="16"/>
                <w:lang w:eastAsia="en-IE"/>
              </w:rPr>
            </w:pPr>
            <w:r w:rsidRPr="00784B2A">
              <w:rPr>
                <w:rFonts w:ascii="Gill Sans MT" w:hAnsi="Gill Sans MT" w:cs="Arial"/>
                <w:sz w:val="16"/>
                <w:szCs w:val="16"/>
                <w:lang w:eastAsia="en-IE"/>
              </w:rPr>
              <w:t>13 years</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5.8%</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7.9%</w:t>
            </w:r>
          </w:p>
        </w:tc>
        <w:tc>
          <w:tcPr>
            <w:tcW w:w="206" w:type="pct"/>
            <w:shd w:val="clear" w:color="000000" w:fill="FAC090"/>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2.1%</w:t>
            </w:r>
          </w:p>
        </w:tc>
        <w:tc>
          <w:tcPr>
            <w:tcW w:w="21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10"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0.5%</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1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0.3%</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0.7%</w:t>
            </w:r>
          </w:p>
        </w:tc>
        <w:tc>
          <w:tcPr>
            <w:tcW w:w="206"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0.2%</w:t>
            </w:r>
          </w:p>
        </w:tc>
        <w:tc>
          <w:tcPr>
            <w:tcW w:w="29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4.0%</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1.9%</w:t>
            </w:r>
          </w:p>
        </w:tc>
        <w:tc>
          <w:tcPr>
            <w:tcW w:w="31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4.5%</w:t>
            </w:r>
          </w:p>
        </w:tc>
        <w:tc>
          <w:tcPr>
            <w:tcW w:w="33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2.5%</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0.5%</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1.0%</w:t>
            </w:r>
          </w:p>
        </w:tc>
        <w:tc>
          <w:tcPr>
            <w:tcW w:w="247"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0.5%</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1.2%</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2.1%</w:t>
            </w:r>
          </w:p>
        </w:tc>
        <w:tc>
          <w:tcPr>
            <w:tcW w:w="244"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1.0%</w:t>
            </w:r>
          </w:p>
        </w:tc>
      </w:tr>
      <w:tr w:rsidR="003C5476" w:rsidRPr="00784B2A" w:rsidTr="002B74D2">
        <w:trPr>
          <w:trHeight w:val="285"/>
        </w:trPr>
        <w:tc>
          <w:tcPr>
            <w:tcW w:w="291" w:type="pct"/>
            <w:vAlign w:val="bottom"/>
          </w:tcPr>
          <w:p w:rsidR="00453926" w:rsidRPr="00784B2A" w:rsidRDefault="00453926" w:rsidP="002B74D2">
            <w:pPr>
              <w:spacing w:after="0"/>
              <w:rPr>
                <w:rFonts w:ascii="Gill Sans MT" w:hAnsi="Gill Sans MT" w:cs="Arial"/>
                <w:sz w:val="16"/>
                <w:szCs w:val="16"/>
                <w:lang w:eastAsia="en-IE"/>
              </w:rPr>
            </w:pPr>
            <w:r w:rsidRPr="00784B2A">
              <w:rPr>
                <w:rFonts w:ascii="Gill Sans MT" w:hAnsi="Gill Sans MT" w:cs="Arial"/>
                <w:sz w:val="16"/>
                <w:szCs w:val="16"/>
                <w:lang w:eastAsia="en-IE"/>
              </w:rPr>
              <w:t>14 years</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5.7%</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7.9%</w:t>
            </w:r>
          </w:p>
        </w:tc>
        <w:tc>
          <w:tcPr>
            <w:tcW w:w="206" w:type="pct"/>
            <w:shd w:val="clear" w:color="000000" w:fill="FAC090"/>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2.2%</w:t>
            </w:r>
          </w:p>
        </w:tc>
        <w:tc>
          <w:tcPr>
            <w:tcW w:w="21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0.5%</w:t>
            </w:r>
          </w:p>
        </w:tc>
        <w:tc>
          <w:tcPr>
            <w:tcW w:w="210"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1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0.3%</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0.5%</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0.7%</w:t>
            </w:r>
          </w:p>
        </w:tc>
        <w:tc>
          <w:tcPr>
            <w:tcW w:w="206"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0.2%</w:t>
            </w:r>
          </w:p>
        </w:tc>
        <w:tc>
          <w:tcPr>
            <w:tcW w:w="29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3.8%</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1.8%</w:t>
            </w:r>
          </w:p>
        </w:tc>
        <w:tc>
          <w:tcPr>
            <w:tcW w:w="31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4.6%</w:t>
            </w:r>
          </w:p>
        </w:tc>
        <w:tc>
          <w:tcPr>
            <w:tcW w:w="33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2.6%</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1.1%</w:t>
            </w:r>
          </w:p>
        </w:tc>
        <w:tc>
          <w:tcPr>
            <w:tcW w:w="247"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0.5%</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1.1%</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2.2%</w:t>
            </w:r>
          </w:p>
        </w:tc>
        <w:tc>
          <w:tcPr>
            <w:tcW w:w="244"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1.1%</w:t>
            </w:r>
          </w:p>
        </w:tc>
      </w:tr>
      <w:tr w:rsidR="003C5476" w:rsidRPr="00784B2A" w:rsidTr="002B74D2">
        <w:trPr>
          <w:trHeight w:val="285"/>
        </w:trPr>
        <w:tc>
          <w:tcPr>
            <w:tcW w:w="291" w:type="pct"/>
            <w:vAlign w:val="bottom"/>
          </w:tcPr>
          <w:p w:rsidR="00453926" w:rsidRPr="00784B2A" w:rsidRDefault="00453926" w:rsidP="002B74D2">
            <w:pPr>
              <w:spacing w:after="0"/>
              <w:rPr>
                <w:rFonts w:ascii="Gill Sans MT" w:hAnsi="Gill Sans MT" w:cs="Arial"/>
                <w:sz w:val="16"/>
                <w:szCs w:val="16"/>
                <w:lang w:eastAsia="en-IE"/>
              </w:rPr>
            </w:pPr>
            <w:r w:rsidRPr="00784B2A">
              <w:rPr>
                <w:rFonts w:ascii="Gill Sans MT" w:hAnsi="Gill Sans MT" w:cs="Arial"/>
                <w:sz w:val="16"/>
                <w:szCs w:val="16"/>
                <w:lang w:eastAsia="en-IE"/>
              </w:rPr>
              <w:t>15 years</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5.7%</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8.1%</w:t>
            </w:r>
          </w:p>
        </w:tc>
        <w:tc>
          <w:tcPr>
            <w:tcW w:w="206" w:type="pct"/>
            <w:shd w:val="clear" w:color="000000" w:fill="FAC090"/>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2.4%</w:t>
            </w:r>
          </w:p>
        </w:tc>
        <w:tc>
          <w:tcPr>
            <w:tcW w:w="21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10"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0.5%</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1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0.3%</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0.8%</w:t>
            </w:r>
          </w:p>
        </w:tc>
        <w:tc>
          <w:tcPr>
            <w:tcW w:w="206"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0.2%</w:t>
            </w:r>
          </w:p>
        </w:tc>
        <w:tc>
          <w:tcPr>
            <w:tcW w:w="29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3.7%</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2.0%</w:t>
            </w:r>
          </w:p>
        </w:tc>
        <w:tc>
          <w:tcPr>
            <w:tcW w:w="31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4.6%</w:t>
            </w:r>
          </w:p>
        </w:tc>
        <w:tc>
          <w:tcPr>
            <w:tcW w:w="33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2.9%</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1.1%</w:t>
            </w:r>
          </w:p>
        </w:tc>
        <w:tc>
          <w:tcPr>
            <w:tcW w:w="247"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0.5%</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1.1%</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2.1%</w:t>
            </w:r>
          </w:p>
        </w:tc>
        <w:tc>
          <w:tcPr>
            <w:tcW w:w="244"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1.0%</w:t>
            </w:r>
          </w:p>
        </w:tc>
      </w:tr>
      <w:tr w:rsidR="003C5476" w:rsidRPr="00784B2A" w:rsidTr="002B74D2">
        <w:trPr>
          <w:trHeight w:val="285"/>
        </w:trPr>
        <w:tc>
          <w:tcPr>
            <w:tcW w:w="291" w:type="pct"/>
            <w:vAlign w:val="bottom"/>
          </w:tcPr>
          <w:p w:rsidR="00453926" w:rsidRPr="00784B2A" w:rsidRDefault="00453926" w:rsidP="002B74D2">
            <w:pPr>
              <w:spacing w:after="0"/>
              <w:rPr>
                <w:rFonts w:ascii="Gill Sans MT" w:hAnsi="Gill Sans MT" w:cs="Arial"/>
                <w:sz w:val="16"/>
                <w:szCs w:val="16"/>
                <w:lang w:eastAsia="en-IE"/>
              </w:rPr>
            </w:pPr>
            <w:r w:rsidRPr="00784B2A">
              <w:rPr>
                <w:rFonts w:ascii="Gill Sans MT" w:hAnsi="Gill Sans MT" w:cs="Arial"/>
                <w:sz w:val="16"/>
                <w:szCs w:val="16"/>
                <w:lang w:eastAsia="en-IE"/>
              </w:rPr>
              <w:t>16 years</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5.0%</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7.7%</w:t>
            </w:r>
          </w:p>
        </w:tc>
        <w:tc>
          <w:tcPr>
            <w:tcW w:w="206" w:type="pct"/>
            <w:shd w:val="clear" w:color="000000" w:fill="FAC090"/>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2.7%</w:t>
            </w:r>
          </w:p>
        </w:tc>
        <w:tc>
          <w:tcPr>
            <w:tcW w:w="21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0.5%</w:t>
            </w:r>
          </w:p>
        </w:tc>
        <w:tc>
          <w:tcPr>
            <w:tcW w:w="210"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0.5%</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1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0.8%</w:t>
            </w:r>
          </w:p>
        </w:tc>
        <w:tc>
          <w:tcPr>
            <w:tcW w:w="206"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0.2%</w:t>
            </w:r>
          </w:p>
        </w:tc>
        <w:tc>
          <w:tcPr>
            <w:tcW w:w="29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3.2%</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1.8%</w:t>
            </w:r>
          </w:p>
        </w:tc>
        <w:tc>
          <w:tcPr>
            <w:tcW w:w="31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4.1%</w:t>
            </w:r>
          </w:p>
        </w:tc>
        <w:tc>
          <w:tcPr>
            <w:tcW w:w="33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2.8%</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1.1%</w:t>
            </w:r>
          </w:p>
        </w:tc>
        <w:tc>
          <w:tcPr>
            <w:tcW w:w="247"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0.5%</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1.0%</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2.1%</w:t>
            </w:r>
          </w:p>
        </w:tc>
        <w:tc>
          <w:tcPr>
            <w:tcW w:w="244"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1.1%</w:t>
            </w:r>
          </w:p>
        </w:tc>
      </w:tr>
      <w:tr w:rsidR="003C5476" w:rsidRPr="00784B2A" w:rsidTr="002B74D2">
        <w:trPr>
          <w:trHeight w:val="285"/>
        </w:trPr>
        <w:tc>
          <w:tcPr>
            <w:tcW w:w="291" w:type="pct"/>
            <w:vAlign w:val="bottom"/>
          </w:tcPr>
          <w:p w:rsidR="00453926" w:rsidRPr="00784B2A" w:rsidRDefault="00453926" w:rsidP="002B74D2">
            <w:pPr>
              <w:spacing w:after="0"/>
              <w:rPr>
                <w:rFonts w:ascii="Gill Sans MT" w:hAnsi="Gill Sans MT" w:cs="Arial"/>
                <w:sz w:val="16"/>
                <w:szCs w:val="16"/>
                <w:lang w:eastAsia="en-IE"/>
              </w:rPr>
            </w:pPr>
            <w:r w:rsidRPr="00784B2A">
              <w:rPr>
                <w:rFonts w:ascii="Gill Sans MT" w:hAnsi="Gill Sans MT" w:cs="Arial"/>
                <w:sz w:val="16"/>
                <w:szCs w:val="16"/>
                <w:lang w:eastAsia="en-IE"/>
              </w:rPr>
              <w:t>17 years</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4.7%</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7.9%</w:t>
            </w:r>
          </w:p>
        </w:tc>
        <w:tc>
          <w:tcPr>
            <w:tcW w:w="206" w:type="pct"/>
            <w:shd w:val="clear" w:color="000000" w:fill="FAC090"/>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3.3%</w:t>
            </w:r>
          </w:p>
        </w:tc>
        <w:tc>
          <w:tcPr>
            <w:tcW w:w="21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0.5%</w:t>
            </w:r>
          </w:p>
        </w:tc>
        <w:tc>
          <w:tcPr>
            <w:tcW w:w="210"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1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0.8%</w:t>
            </w:r>
          </w:p>
        </w:tc>
        <w:tc>
          <w:tcPr>
            <w:tcW w:w="206"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0.1%</w:t>
            </w:r>
          </w:p>
        </w:tc>
        <w:tc>
          <w:tcPr>
            <w:tcW w:w="29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2.8%</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1.9%</w:t>
            </w:r>
          </w:p>
        </w:tc>
        <w:tc>
          <w:tcPr>
            <w:tcW w:w="31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4.2%</w:t>
            </w:r>
          </w:p>
        </w:tc>
        <w:tc>
          <w:tcPr>
            <w:tcW w:w="33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3.2%</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1.3%</w:t>
            </w:r>
          </w:p>
        </w:tc>
        <w:tc>
          <w:tcPr>
            <w:tcW w:w="247"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0.7%</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1.0%</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2.1%</w:t>
            </w:r>
          </w:p>
        </w:tc>
        <w:tc>
          <w:tcPr>
            <w:tcW w:w="244"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1.1%</w:t>
            </w:r>
          </w:p>
        </w:tc>
      </w:tr>
      <w:tr w:rsidR="003C5476" w:rsidRPr="00784B2A" w:rsidTr="002B74D2">
        <w:trPr>
          <w:trHeight w:val="285"/>
        </w:trPr>
        <w:tc>
          <w:tcPr>
            <w:tcW w:w="291" w:type="pct"/>
            <w:vAlign w:val="bottom"/>
          </w:tcPr>
          <w:p w:rsidR="00453926" w:rsidRPr="00784B2A" w:rsidRDefault="00453926" w:rsidP="002B74D2">
            <w:pPr>
              <w:spacing w:after="0"/>
              <w:rPr>
                <w:rFonts w:ascii="Gill Sans MT" w:hAnsi="Gill Sans MT" w:cs="Arial"/>
                <w:sz w:val="16"/>
                <w:szCs w:val="16"/>
                <w:lang w:eastAsia="en-IE"/>
              </w:rPr>
            </w:pPr>
            <w:r w:rsidRPr="00784B2A">
              <w:rPr>
                <w:rFonts w:ascii="Gill Sans MT" w:hAnsi="Gill Sans MT" w:cs="Arial"/>
                <w:sz w:val="16"/>
                <w:szCs w:val="16"/>
                <w:lang w:eastAsia="en-IE"/>
              </w:rPr>
              <w:t>18 years</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4.8%</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8.2%</w:t>
            </w:r>
          </w:p>
        </w:tc>
        <w:tc>
          <w:tcPr>
            <w:tcW w:w="206" w:type="pct"/>
            <w:shd w:val="clear" w:color="000000" w:fill="FAC090"/>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3.4%</w:t>
            </w:r>
          </w:p>
        </w:tc>
        <w:tc>
          <w:tcPr>
            <w:tcW w:w="21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0.7%</w:t>
            </w:r>
          </w:p>
        </w:tc>
        <w:tc>
          <w:tcPr>
            <w:tcW w:w="210"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0.5%</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1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0.2%</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0.7%</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0.8%</w:t>
            </w:r>
          </w:p>
        </w:tc>
        <w:tc>
          <w:tcPr>
            <w:tcW w:w="206"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0.1%</w:t>
            </w:r>
          </w:p>
        </w:tc>
        <w:tc>
          <w:tcPr>
            <w:tcW w:w="29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2.7%</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1.9%</w:t>
            </w:r>
          </w:p>
        </w:tc>
        <w:tc>
          <w:tcPr>
            <w:tcW w:w="31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4.2%</w:t>
            </w:r>
          </w:p>
        </w:tc>
        <w:tc>
          <w:tcPr>
            <w:tcW w:w="33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3.4%</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1.2%</w:t>
            </w:r>
          </w:p>
        </w:tc>
        <w:tc>
          <w:tcPr>
            <w:tcW w:w="247"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1.1%</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2.3%</w:t>
            </w:r>
          </w:p>
        </w:tc>
        <w:tc>
          <w:tcPr>
            <w:tcW w:w="244"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1.2%</w:t>
            </w:r>
          </w:p>
        </w:tc>
      </w:tr>
      <w:tr w:rsidR="003C5476" w:rsidRPr="00784B2A" w:rsidTr="002B74D2">
        <w:trPr>
          <w:trHeight w:val="285"/>
        </w:trPr>
        <w:tc>
          <w:tcPr>
            <w:tcW w:w="291" w:type="pct"/>
            <w:vAlign w:val="bottom"/>
          </w:tcPr>
          <w:p w:rsidR="00453926" w:rsidRPr="00784B2A" w:rsidRDefault="00453926" w:rsidP="002B74D2">
            <w:pPr>
              <w:spacing w:after="0"/>
              <w:rPr>
                <w:rFonts w:ascii="Gill Sans MT" w:hAnsi="Gill Sans MT" w:cs="Arial"/>
                <w:sz w:val="16"/>
                <w:szCs w:val="16"/>
                <w:lang w:eastAsia="en-IE"/>
              </w:rPr>
            </w:pPr>
            <w:r w:rsidRPr="00784B2A">
              <w:rPr>
                <w:rFonts w:ascii="Gill Sans MT" w:hAnsi="Gill Sans MT" w:cs="Arial"/>
                <w:sz w:val="16"/>
                <w:szCs w:val="16"/>
                <w:lang w:eastAsia="en-IE"/>
              </w:rPr>
              <w:t>19 years</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4.6%</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8.1%</w:t>
            </w:r>
          </w:p>
        </w:tc>
        <w:tc>
          <w:tcPr>
            <w:tcW w:w="206" w:type="pct"/>
            <w:shd w:val="clear" w:color="000000" w:fill="FAC090"/>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3.6%</w:t>
            </w:r>
          </w:p>
        </w:tc>
        <w:tc>
          <w:tcPr>
            <w:tcW w:w="21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0.6%</w:t>
            </w:r>
          </w:p>
        </w:tc>
        <w:tc>
          <w:tcPr>
            <w:tcW w:w="210"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0.5%</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1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0.3%</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0.7%</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0.8%</w:t>
            </w:r>
          </w:p>
        </w:tc>
        <w:tc>
          <w:tcPr>
            <w:tcW w:w="206"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0.2%</w:t>
            </w:r>
          </w:p>
        </w:tc>
        <w:tc>
          <w:tcPr>
            <w:tcW w:w="29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2.2%</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1.8%</w:t>
            </w:r>
          </w:p>
        </w:tc>
        <w:tc>
          <w:tcPr>
            <w:tcW w:w="316"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3.7%</w:t>
            </w:r>
          </w:p>
        </w:tc>
        <w:tc>
          <w:tcPr>
            <w:tcW w:w="335"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3.2%</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0.8%</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1.5%</w:t>
            </w:r>
          </w:p>
        </w:tc>
        <w:tc>
          <w:tcPr>
            <w:tcW w:w="247"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0.7%</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1.2%</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2.5%</w:t>
            </w:r>
          </w:p>
        </w:tc>
        <w:tc>
          <w:tcPr>
            <w:tcW w:w="244" w:type="pct"/>
            <w:shd w:val="clear" w:color="000000" w:fill="FCD5B4"/>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1.3%</w:t>
            </w:r>
          </w:p>
        </w:tc>
      </w:tr>
      <w:tr w:rsidR="003C5476" w:rsidRPr="00784B2A" w:rsidTr="002B74D2">
        <w:trPr>
          <w:trHeight w:val="300"/>
        </w:trPr>
        <w:tc>
          <w:tcPr>
            <w:tcW w:w="291" w:type="pct"/>
            <w:vAlign w:val="bottom"/>
          </w:tcPr>
          <w:p w:rsidR="00453926" w:rsidRPr="00784B2A" w:rsidRDefault="00453926" w:rsidP="002B74D2">
            <w:pPr>
              <w:spacing w:after="0"/>
              <w:rPr>
                <w:rFonts w:ascii="Gill Sans MT" w:hAnsi="Gill Sans MT" w:cs="Arial"/>
                <w:b/>
                <w:bCs/>
                <w:sz w:val="16"/>
                <w:szCs w:val="16"/>
                <w:lang w:eastAsia="en-IE"/>
              </w:rPr>
            </w:pPr>
            <w:r w:rsidRPr="00784B2A">
              <w:rPr>
                <w:rFonts w:ascii="Gill Sans MT" w:hAnsi="Gill Sans MT" w:cs="Arial"/>
                <w:b/>
                <w:bCs/>
                <w:sz w:val="16"/>
                <w:szCs w:val="16"/>
                <w:lang w:eastAsia="en-IE"/>
              </w:rPr>
              <w:t>0-19</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b/>
                <w:bCs/>
                <w:sz w:val="16"/>
                <w:szCs w:val="16"/>
                <w:lang w:eastAsia="en-IE"/>
              </w:rPr>
            </w:pPr>
            <w:r w:rsidRPr="00784B2A">
              <w:rPr>
                <w:rFonts w:ascii="Gill Sans MT" w:hAnsi="Gill Sans MT" w:cs="Arial"/>
                <w:b/>
                <w:bCs/>
                <w:sz w:val="16"/>
                <w:szCs w:val="16"/>
                <w:lang w:eastAsia="en-IE"/>
              </w:rPr>
              <w:t>4.1%</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b/>
                <w:bCs/>
                <w:sz w:val="16"/>
                <w:szCs w:val="16"/>
                <w:lang w:eastAsia="en-IE"/>
              </w:rPr>
            </w:pPr>
            <w:r w:rsidRPr="00784B2A">
              <w:rPr>
                <w:rFonts w:ascii="Gill Sans MT" w:hAnsi="Gill Sans MT" w:cs="Arial"/>
                <w:b/>
                <w:bCs/>
                <w:sz w:val="16"/>
                <w:szCs w:val="16"/>
                <w:lang w:eastAsia="en-IE"/>
              </w:rPr>
              <w:t>6.0%</w:t>
            </w:r>
          </w:p>
        </w:tc>
        <w:tc>
          <w:tcPr>
            <w:tcW w:w="206" w:type="pct"/>
            <w:shd w:val="clear" w:color="000000" w:fill="FFFF00"/>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1.9%</w:t>
            </w:r>
          </w:p>
        </w:tc>
        <w:tc>
          <w:tcPr>
            <w:tcW w:w="217" w:type="pct"/>
            <w:shd w:val="clear" w:color="auto" w:fill="auto"/>
            <w:noWrap/>
            <w:vAlign w:val="bottom"/>
            <w:hideMark/>
          </w:tcPr>
          <w:p w:rsidR="00453926" w:rsidRPr="00784B2A" w:rsidRDefault="00453926" w:rsidP="002B74D2">
            <w:pPr>
              <w:spacing w:after="0"/>
              <w:jc w:val="right"/>
              <w:rPr>
                <w:rFonts w:ascii="Gill Sans MT" w:hAnsi="Gill Sans MT" w:cs="Arial"/>
                <w:b/>
                <w:bCs/>
                <w:sz w:val="16"/>
                <w:szCs w:val="16"/>
                <w:lang w:eastAsia="en-IE"/>
              </w:rPr>
            </w:pPr>
            <w:r w:rsidRPr="00784B2A">
              <w:rPr>
                <w:rFonts w:ascii="Gill Sans MT" w:hAnsi="Gill Sans MT" w:cs="Arial"/>
                <w:b/>
                <w:bCs/>
                <w:sz w:val="16"/>
                <w:szCs w:val="16"/>
                <w:lang w:eastAsia="en-IE"/>
              </w:rPr>
              <w:t>0.5%</w:t>
            </w:r>
          </w:p>
        </w:tc>
        <w:tc>
          <w:tcPr>
            <w:tcW w:w="210" w:type="pct"/>
            <w:shd w:val="clear" w:color="auto" w:fill="auto"/>
            <w:noWrap/>
            <w:vAlign w:val="bottom"/>
            <w:hideMark/>
          </w:tcPr>
          <w:p w:rsidR="00453926" w:rsidRPr="00784B2A" w:rsidRDefault="00453926" w:rsidP="002B74D2">
            <w:pPr>
              <w:spacing w:after="0"/>
              <w:jc w:val="right"/>
              <w:rPr>
                <w:rFonts w:ascii="Gill Sans MT" w:hAnsi="Gill Sans MT" w:cs="Arial"/>
                <w:b/>
                <w:bCs/>
                <w:sz w:val="16"/>
                <w:szCs w:val="16"/>
                <w:lang w:eastAsia="en-IE"/>
              </w:rPr>
            </w:pPr>
            <w:r w:rsidRPr="00784B2A">
              <w:rPr>
                <w:rFonts w:ascii="Gill Sans MT" w:hAnsi="Gill Sans MT" w:cs="Arial"/>
                <w:b/>
                <w:bCs/>
                <w:sz w:val="16"/>
                <w:szCs w:val="16"/>
                <w:lang w:eastAsia="en-IE"/>
              </w:rPr>
              <w:t>0.4%</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b/>
                <w:bCs/>
                <w:sz w:val="16"/>
                <w:szCs w:val="16"/>
                <w:lang w:eastAsia="en-IE"/>
              </w:rPr>
            </w:pPr>
            <w:r w:rsidRPr="00784B2A">
              <w:rPr>
                <w:rFonts w:ascii="Gill Sans MT" w:hAnsi="Gill Sans MT" w:cs="Arial"/>
                <w:b/>
                <w:bCs/>
                <w:sz w:val="16"/>
                <w:szCs w:val="16"/>
                <w:lang w:eastAsia="en-IE"/>
              </w:rPr>
              <w:t>0.3%</w:t>
            </w:r>
          </w:p>
        </w:tc>
        <w:tc>
          <w:tcPr>
            <w:tcW w:w="215" w:type="pct"/>
            <w:shd w:val="clear" w:color="000000" w:fill="FFFF00"/>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0.2%</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b/>
                <w:bCs/>
                <w:sz w:val="16"/>
                <w:szCs w:val="16"/>
                <w:lang w:eastAsia="en-IE"/>
              </w:rPr>
            </w:pPr>
            <w:r w:rsidRPr="00784B2A">
              <w:rPr>
                <w:rFonts w:ascii="Gill Sans MT" w:hAnsi="Gill Sans MT" w:cs="Arial"/>
                <w:b/>
                <w:bCs/>
                <w:sz w:val="16"/>
                <w:szCs w:val="16"/>
                <w:lang w:eastAsia="en-IE"/>
              </w:rPr>
              <w:t>0.5%</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b/>
                <w:bCs/>
                <w:sz w:val="16"/>
                <w:szCs w:val="16"/>
                <w:lang w:eastAsia="en-IE"/>
              </w:rPr>
            </w:pPr>
            <w:r w:rsidRPr="00784B2A">
              <w:rPr>
                <w:rFonts w:ascii="Gill Sans MT" w:hAnsi="Gill Sans MT" w:cs="Arial"/>
                <w:b/>
                <w:bCs/>
                <w:sz w:val="16"/>
                <w:szCs w:val="16"/>
                <w:lang w:eastAsia="en-IE"/>
              </w:rPr>
              <w:t>0.7%</w:t>
            </w:r>
          </w:p>
        </w:tc>
        <w:tc>
          <w:tcPr>
            <w:tcW w:w="206" w:type="pct"/>
            <w:shd w:val="clear" w:color="000000" w:fill="FFFF00"/>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0.2%</w:t>
            </w:r>
          </w:p>
        </w:tc>
        <w:tc>
          <w:tcPr>
            <w:tcW w:w="296" w:type="pct"/>
            <w:shd w:val="clear" w:color="auto" w:fill="auto"/>
            <w:noWrap/>
            <w:vAlign w:val="bottom"/>
            <w:hideMark/>
          </w:tcPr>
          <w:p w:rsidR="00453926" w:rsidRPr="00784B2A" w:rsidRDefault="00453926" w:rsidP="002B74D2">
            <w:pPr>
              <w:spacing w:after="0"/>
              <w:jc w:val="right"/>
              <w:rPr>
                <w:rFonts w:ascii="Gill Sans MT" w:hAnsi="Gill Sans MT" w:cs="Arial"/>
                <w:b/>
                <w:bCs/>
                <w:sz w:val="16"/>
                <w:szCs w:val="16"/>
                <w:lang w:eastAsia="en-IE"/>
              </w:rPr>
            </w:pPr>
            <w:r w:rsidRPr="00784B2A">
              <w:rPr>
                <w:rFonts w:ascii="Gill Sans MT" w:hAnsi="Gill Sans MT" w:cs="Arial"/>
                <w:b/>
                <w:bCs/>
                <w:sz w:val="16"/>
                <w:szCs w:val="16"/>
                <w:lang w:eastAsia="en-IE"/>
              </w:rPr>
              <w:t>2.5%</w:t>
            </w:r>
          </w:p>
        </w:tc>
        <w:tc>
          <w:tcPr>
            <w:tcW w:w="206" w:type="pct"/>
            <w:shd w:val="clear" w:color="auto" w:fill="auto"/>
            <w:noWrap/>
            <w:vAlign w:val="bottom"/>
            <w:hideMark/>
          </w:tcPr>
          <w:p w:rsidR="00453926" w:rsidRPr="00784B2A" w:rsidRDefault="00453926" w:rsidP="002B74D2">
            <w:pPr>
              <w:spacing w:after="0"/>
              <w:jc w:val="right"/>
              <w:rPr>
                <w:rFonts w:ascii="Gill Sans MT" w:hAnsi="Gill Sans MT" w:cs="Arial"/>
                <w:b/>
                <w:bCs/>
                <w:sz w:val="16"/>
                <w:szCs w:val="16"/>
                <w:lang w:eastAsia="en-IE"/>
              </w:rPr>
            </w:pPr>
            <w:r w:rsidRPr="00784B2A">
              <w:rPr>
                <w:rFonts w:ascii="Gill Sans MT" w:hAnsi="Gill Sans MT" w:cs="Arial"/>
                <w:b/>
                <w:bCs/>
                <w:sz w:val="16"/>
                <w:szCs w:val="16"/>
                <w:lang w:eastAsia="en-IE"/>
              </w:rPr>
              <w:t>1.5%</w:t>
            </w:r>
          </w:p>
        </w:tc>
        <w:tc>
          <w:tcPr>
            <w:tcW w:w="316" w:type="pct"/>
            <w:shd w:val="clear" w:color="auto" w:fill="auto"/>
            <w:noWrap/>
            <w:vAlign w:val="bottom"/>
            <w:hideMark/>
          </w:tcPr>
          <w:p w:rsidR="00453926" w:rsidRPr="00784B2A" w:rsidRDefault="00453926" w:rsidP="002B74D2">
            <w:pPr>
              <w:spacing w:after="0"/>
              <w:jc w:val="right"/>
              <w:rPr>
                <w:rFonts w:ascii="Gill Sans MT" w:hAnsi="Gill Sans MT" w:cs="Arial"/>
                <w:b/>
                <w:bCs/>
                <w:sz w:val="16"/>
                <w:szCs w:val="16"/>
                <w:lang w:eastAsia="en-IE"/>
              </w:rPr>
            </w:pPr>
            <w:r w:rsidRPr="00784B2A">
              <w:rPr>
                <w:rFonts w:ascii="Gill Sans MT" w:hAnsi="Gill Sans MT" w:cs="Arial"/>
                <w:b/>
                <w:bCs/>
                <w:sz w:val="16"/>
                <w:szCs w:val="16"/>
                <w:lang w:eastAsia="en-IE"/>
              </w:rPr>
              <w:t>2.9%</w:t>
            </w:r>
          </w:p>
        </w:tc>
        <w:tc>
          <w:tcPr>
            <w:tcW w:w="335" w:type="pct"/>
            <w:shd w:val="clear" w:color="000000" w:fill="FFFF00"/>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1.9%</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b/>
                <w:bCs/>
                <w:sz w:val="16"/>
                <w:szCs w:val="16"/>
                <w:lang w:eastAsia="en-IE"/>
              </w:rPr>
            </w:pPr>
            <w:r w:rsidRPr="00784B2A">
              <w:rPr>
                <w:rFonts w:ascii="Gill Sans MT" w:hAnsi="Gill Sans MT" w:cs="Arial"/>
                <w:b/>
                <w:bCs/>
                <w:sz w:val="16"/>
                <w:szCs w:val="16"/>
                <w:lang w:eastAsia="en-IE"/>
              </w:rPr>
              <w:t>0.5%</w:t>
            </w:r>
          </w:p>
        </w:tc>
        <w:tc>
          <w:tcPr>
            <w:tcW w:w="247"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0.8%</w:t>
            </w:r>
          </w:p>
        </w:tc>
        <w:tc>
          <w:tcPr>
            <w:tcW w:w="247" w:type="pct"/>
            <w:shd w:val="clear" w:color="000000" w:fill="FFFF00"/>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0.4%</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1.0%</w:t>
            </w:r>
          </w:p>
        </w:tc>
        <w:tc>
          <w:tcPr>
            <w:tcW w:w="244" w:type="pct"/>
            <w:shd w:val="clear" w:color="auto" w:fill="auto"/>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1.9%</w:t>
            </w:r>
          </w:p>
        </w:tc>
        <w:tc>
          <w:tcPr>
            <w:tcW w:w="244" w:type="pct"/>
            <w:shd w:val="clear" w:color="000000" w:fill="FFFF00"/>
            <w:noWrap/>
            <w:vAlign w:val="bottom"/>
            <w:hideMark/>
          </w:tcPr>
          <w:p w:rsidR="00453926" w:rsidRPr="00784B2A" w:rsidRDefault="00453926" w:rsidP="002B74D2">
            <w:pPr>
              <w:spacing w:after="0"/>
              <w:jc w:val="right"/>
              <w:rPr>
                <w:rFonts w:ascii="Gill Sans MT" w:hAnsi="Gill Sans MT" w:cs="Arial"/>
                <w:sz w:val="16"/>
                <w:szCs w:val="16"/>
                <w:lang w:eastAsia="en-IE"/>
              </w:rPr>
            </w:pPr>
            <w:r w:rsidRPr="00784B2A">
              <w:rPr>
                <w:rFonts w:ascii="Gill Sans MT" w:hAnsi="Gill Sans MT" w:cs="Arial"/>
                <w:sz w:val="16"/>
                <w:szCs w:val="16"/>
                <w:lang w:eastAsia="en-IE"/>
              </w:rPr>
              <w:t>0.9%</w:t>
            </w:r>
          </w:p>
        </w:tc>
      </w:tr>
    </w:tbl>
    <w:p w:rsidR="002B74D2" w:rsidRDefault="002B74D2" w:rsidP="007866C0">
      <w:pPr>
        <w:sectPr w:rsidR="002B74D2" w:rsidSect="009275CD">
          <w:footerReference w:type="default" r:id="rId13"/>
          <w:pgSz w:w="15840" w:h="12240" w:orient="landscape"/>
          <w:pgMar w:top="1797" w:right="1440" w:bottom="1797" w:left="1440" w:header="709" w:footer="709" w:gutter="0"/>
          <w:cols w:space="708"/>
          <w:docGrid w:linePitch="360"/>
        </w:sectPr>
      </w:pPr>
    </w:p>
    <w:p w:rsidR="00F81329" w:rsidRDefault="00F81329" w:rsidP="00F81329">
      <w:pPr>
        <w:pStyle w:val="Heading1"/>
      </w:pPr>
      <w:bookmarkStart w:id="266" w:name="_Toc415733755"/>
      <w:r>
        <w:t>Appendix 4: Assessment of individual data sources</w:t>
      </w:r>
      <w:bookmarkEnd w:id="266"/>
    </w:p>
    <w:p w:rsidR="00F81329" w:rsidRDefault="00F81329" w:rsidP="00F81329">
      <w:r>
        <w:t xml:space="preserve">There are a number of different data sources that can be used. These can offer some guide as to what number or proportion of children may require the intervention of specialist disability teams. None of these data sources is </w:t>
      </w:r>
      <w:r w:rsidR="00434BCD">
        <w:t>perfect;</w:t>
      </w:r>
      <w:r>
        <w:t xml:space="preserve"> however by looking at a number of these data sets together, it may be possible to narrow the range of estimates in relation to therapy needs. </w:t>
      </w:r>
    </w:p>
    <w:p w:rsidR="00F81329" w:rsidRDefault="00F81329" w:rsidP="00F81329">
      <w:r>
        <w:t>In summary, these data sets are:</w:t>
      </w:r>
    </w:p>
    <w:p w:rsidR="00F81329" w:rsidRDefault="00F81329" w:rsidP="0040246E">
      <w:pPr>
        <w:pStyle w:val="Heading2"/>
      </w:pPr>
      <w:bookmarkStart w:id="267" w:name="_Toc415733756"/>
      <w:r>
        <w:t>Disability databases – Health Research Board</w:t>
      </w:r>
      <w:bookmarkEnd w:id="267"/>
      <w:r>
        <w:t xml:space="preserve"> </w:t>
      </w:r>
    </w:p>
    <w:p w:rsidR="00F81329" w:rsidRDefault="00F81329" w:rsidP="00F81329">
      <w:r>
        <w:t xml:space="preserve">These constitute the National Intellectual Disability Database (NIID) and the National Physical and Sensory Disability Database (NPSDD), and they collect data on those receiving specialist disability services or on a waiting list for same, broken down by type of service. For the purpose of the analysis in this paper, we used the data from the 2012 reports, which was what was available when the analysis was conducted. There would have been little difference had we done a similar analysis with the 2013 data. </w:t>
      </w:r>
    </w:p>
    <w:p w:rsidR="00F81329" w:rsidRDefault="00F81329" w:rsidP="007A31B0">
      <w:pPr>
        <w:pStyle w:val="Heading3"/>
      </w:pPr>
      <w:bookmarkStart w:id="268" w:name="_Toc415667064"/>
      <w:bookmarkStart w:id="269" w:name="_Toc415733757"/>
      <w:r>
        <w:t>Pluses</w:t>
      </w:r>
      <w:bookmarkEnd w:id="268"/>
      <w:bookmarkEnd w:id="269"/>
    </w:p>
    <w:p w:rsidR="00F81329" w:rsidRDefault="00F81329" w:rsidP="00F81329">
      <w:r>
        <w:t xml:space="preserve">These data are the only sets which measure specifically the use of, and demand for, specialist disability therapy services. These figures are broken down across the different therapy professions. The coverage of the intellectual disability population who are receiving or on a waiting list for services with disability service providers is high, with over 99% of data updated at least annually. </w:t>
      </w:r>
    </w:p>
    <w:p w:rsidR="00F81329" w:rsidRDefault="00F81329" w:rsidP="007A31B0">
      <w:pPr>
        <w:pStyle w:val="Heading3"/>
      </w:pPr>
      <w:bookmarkStart w:id="270" w:name="_Toc415667065"/>
      <w:bookmarkStart w:id="271" w:name="_Toc415733758"/>
      <w:r>
        <w:t>Minuses</w:t>
      </w:r>
      <w:bookmarkEnd w:id="270"/>
      <w:bookmarkEnd w:id="271"/>
    </w:p>
    <w:p w:rsidR="00F81329" w:rsidRDefault="00F81329" w:rsidP="00F81329">
      <w:r>
        <w:t xml:space="preserve">Coverage and updating of the NPSDD by HSE staff is patchy, and the Health Research Board which manages the databases estimates only one in five eligible persons is covered. Participation in the databases is voluntary. The figures are likely to particularly underestimate younger children. </w:t>
      </w:r>
    </w:p>
    <w:p w:rsidR="00F81329" w:rsidRDefault="00F81329" w:rsidP="0040246E">
      <w:pPr>
        <w:pStyle w:val="Heading2"/>
      </w:pPr>
      <w:bookmarkStart w:id="272" w:name="_Toc415733759"/>
      <w:r>
        <w:t>Census 2011</w:t>
      </w:r>
      <w:bookmarkEnd w:id="272"/>
    </w:p>
    <w:p w:rsidR="00F81329" w:rsidRDefault="00F81329" w:rsidP="00F81329">
      <w:r>
        <w:t>This gives data on children with disability as volunteered by their parents, broken down by type of disability and by single year of age.</w:t>
      </w:r>
    </w:p>
    <w:p w:rsidR="00F81329" w:rsidRDefault="00F81329" w:rsidP="007A31B0">
      <w:pPr>
        <w:pStyle w:val="Heading3"/>
      </w:pPr>
      <w:bookmarkStart w:id="273" w:name="_Toc415667067"/>
      <w:bookmarkStart w:id="274" w:name="_Toc415733760"/>
      <w:r>
        <w:t>Pluses</w:t>
      </w:r>
      <w:bookmarkEnd w:id="273"/>
      <w:bookmarkEnd w:id="274"/>
    </w:p>
    <w:p w:rsidR="00F81329" w:rsidRDefault="00F81329" w:rsidP="00F81329">
      <w:r>
        <w:t>The most comprehensive data set, covering all children.</w:t>
      </w:r>
    </w:p>
    <w:p w:rsidR="00F81329" w:rsidRDefault="00F81329" w:rsidP="007A31B0">
      <w:pPr>
        <w:pStyle w:val="Heading3"/>
      </w:pPr>
      <w:bookmarkStart w:id="275" w:name="_Toc415667068"/>
      <w:bookmarkStart w:id="276" w:name="_Toc415733761"/>
      <w:r>
        <w:t>Minuses</w:t>
      </w:r>
      <w:bookmarkEnd w:id="275"/>
      <w:bookmarkEnd w:id="276"/>
    </w:p>
    <w:p w:rsidR="00F81329" w:rsidRDefault="00F81329" w:rsidP="00F81329">
      <w:r>
        <w:t>The data does not indicate whether children have a level or complexity of need that would require specialist disability therapy inputs. The disability label is up to parents, and the evidence shows that reported age-specific disability rates for children changed substantially between 2006 and 2011. While this was affected to some extent by changes in definitions used between the two Censuses, there is also evidence that where the disability term remained the same between 2006 and 2011, a substantially higher proportion of children in a given age group were labelled as having a disability in 2011.</w:t>
      </w:r>
      <w:r>
        <w:rPr>
          <w:rStyle w:val="FootnoteReference"/>
        </w:rPr>
        <w:footnoteReference w:id="252"/>
      </w:r>
    </w:p>
    <w:p w:rsidR="00F81329" w:rsidRDefault="00F81329" w:rsidP="0040246E">
      <w:pPr>
        <w:pStyle w:val="Heading2"/>
      </w:pPr>
      <w:bookmarkStart w:id="277" w:name="_Toc415733762"/>
      <w:r>
        <w:t>National Disability Survey 2006</w:t>
      </w:r>
      <w:bookmarkEnd w:id="277"/>
    </w:p>
    <w:p w:rsidR="00F81329" w:rsidRDefault="00F81329" w:rsidP="00F81329">
      <w:r>
        <w:t>This survey was conducted by interviewing a sample of those reporting a disability in 2006 (or their parents as appropriate). About 2,400 people were interviewed for the subsample of those aged 17 or under. Data was collected across 9 different areas of functional difficulty, and by degree of severity of impact.</w:t>
      </w:r>
    </w:p>
    <w:p w:rsidR="00F81329" w:rsidRDefault="00F81329" w:rsidP="007A31B0">
      <w:pPr>
        <w:pStyle w:val="Heading3"/>
      </w:pPr>
      <w:bookmarkStart w:id="278" w:name="_Toc415667070"/>
      <w:bookmarkStart w:id="279" w:name="_Toc415733763"/>
      <w:r>
        <w:t>Pluses</w:t>
      </w:r>
      <w:bookmarkEnd w:id="278"/>
      <w:bookmarkEnd w:id="279"/>
    </w:p>
    <w:p w:rsidR="00F81329" w:rsidRDefault="00F81329" w:rsidP="00F81329">
      <w:r>
        <w:t>This was a large-scale random sample of children with disabilities, with some of the questions asking about use and requirements for some specific therapies</w:t>
      </w:r>
      <w:r w:rsidR="00434BCD">
        <w:t>.</w:t>
      </w:r>
    </w:p>
    <w:p w:rsidR="00F81329" w:rsidRDefault="00F81329" w:rsidP="007A31B0">
      <w:pPr>
        <w:pStyle w:val="Heading3"/>
      </w:pPr>
      <w:bookmarkStart w:id="280" w:name="_Toc415667071"/>
      <w:bookmarkStart w:id="281" w:name="_Toc415733764"/>
      <w:r>
        <w:t>Minuses</w:t>
      </w:r>
      <w:bookmarkEnd w:id="280"/>
      <w:bookmarkEnd w:id="281"/>
    </w:p>
    <w:p w:rsidR="00F81329" w:rsidRDefault="00F81329" w:rsidP="00F81329">
      <w:r>
        <w:t>As the sample frame was drawn from Census 2006, there may be similar issues of variability in the rate of self-declared disability. The therapy questions were not comprehensive, covering just some individual therapies and for some of the impairment groups.</w:t>
      </w:r>
    </w:p>
    <w:p w:rsidR="00F81329" w:rsidRDefault="00F81329" w:rsidP="0040246E">
      <w:pPr>
        <w:pStyle w:val="Heading2"/>
      </w:pPr>
      <w:bookmarkStart w:id="282" w:name="_Toc415733765"/>
      <w:r>
        <w:t>Growing up in Ireland Survey – 9-year old cohort (2007) and 13 year old cohort (2011)</w:t>
      </w:r>
      <w:bookmarkEnd w:id="282"/>
    </w:p>
    <w:p w:rsidR="00F81329" w:rsidRDefault="00F81329" w:rsidP="00F81329">
      <w:r>
        <w:t>The Growing Up in Ireland Survey surveyed some 8,500 children, of whom about 2,400 (28%) were considered to have some form of disability or special education need. The same children were then re-surveyed four years later.</w:t>
      </w:r>
    </w:p>
    <w:p w:rsidR="00F81329" w:rsidRDefault="00F81329" w:rsidP="007A31B0">
      <w:pPr>
        <w:pStyle w:val="Heading3"/>
      </w:pPr>
      <w:bookmarkStart w:id="283" w:name="_Toc415667073"/>
      <w:bookmarkStart w:id="284" w:name="_Toc415733766"/>
      <w:r>
        <w:t>Pluses</w:t>
      </w:r>
      <w:bookmarkEnd w:id="283"/>
      <w:bookmarkEnd w:id="284"/>
    </w:p>
    <w:p w:rsidR="00F81329" w:rsidRDefault="00F81329" w:rsidP="00F81329">
      <w:r>
        <w:t xml:space="preserve">This is a reasonably large sample, providing detail on the nature of the child’s condition or special education need, and the number of such conditions, which can offer some guide as to therapy needs and the need for multidisciplinary support. Wave 2 (13 year olds) had specific questions covering therapies. As a longitudinal study, there is information on changes over time. The data from Wave 2 can also be related back to corresponding figures in the census for children of the same age with a disability. Access was provided to the </w:t>
      </w:r>
      <w:proofErr w:type="spellStart"/>
      <w:r>
        <w:t>microdate</w:t>
      </w:r>
      <w:proofErr w:type="spellEnd"/>
      <w:r>
        <w:t xml:space="preserve"> to enable NDA do its own detailed analysis.</w:t>
      </w:r>
    </w:p>
    <w:p w:rsidR="00F81329" w:rsidRDefault="00F81329" w:rsidP="007A31B0">
      <w:pPr>
        <w:pStyle w:val="Heading3"/>
      </w:pPr>
      <w:bookmarkStart w:id="285" w:name="_Toc415667074"/>
      <w:bookmarkStart w:id="286" w:name="_Toc415733767"/>
      <w:r>
        <w:t>Minuses</w:t>
      </w:r>
      <w:bookmarkEnd w:id="285"/>
      <w:bookmarkEnd w:id="286"/>
    </w:p>
    <w:p w:rsidR="00F81329" w:rsidRDefault="00F81329" w:rsidP="00F81329">
      <w:r>
        <w:t>While data in Wave 2 on 13-year olds provides evidence on therapy use in and out of school but there is little to indicate the adequacy of therapy nor the level of unmet need.</w:t>
      </w:r>
      <w:r>
        <w:rPr>
          <w:rStyle w:val="FootnoteReference"/>
        </w:rPr>
        <w:footnoteReference w:id="253"/>
      </w:r>
    </w:p>
    <w:p w:rsidR="00F81329" w:rsidRDefault="00F81329" w:rsidP="0040246E">
      <w:pPr>
        <w:pStyle w:val="Heading2"/>
      </w:pPr>
      <w:bookmarkStart w:id="287" w:name="_Toc415733768"/>
      <w:r>
        <w:t>NCSE data on children with special education needs - 2012</w:t>
      </w:r>
      <w:bookmarkEnd w:id="287"/>
    </w:p>
    <w:p w:rsidR="00F81329" w:rsidRDefault="00F81329" w:rsidP="00F81329">
      <w:r>
        <w:t xml:space="preserve">The National Council for Special Education has published data on children being supported with respect to special education need. Where the support levels are linked to a particular diagnosis, there is information on that specific diagnosis. </w:t>
      </w:r>
    </w:p>
    <w:p w:rsidR="00F81329" w:rsidRDefault="00F81329" w:rsidP="007A31B0">
      <w:pPr>
        <w:pStyle w:val="Heading3"/>
      </w:pPr>
      <w:bookmarkStart w:id="288" w:name="_Toc415667076"/>
      <w:bookmarkStart w:id="289" w:name="_Toc415733769"/>
      <w:r>
        <w:t>Pluses</w:t>
      </w:r>
      <w:bookmarkEnd w:id="288"/>
      <w:bookmarkEnd w:id="289"/>
    </w:p>
    <w:p w:rsidR="00F81329" w:rsidRDefault="00F81329" w:rsidP="00F81329">
      <w:r>
        <w:t>Comprehensive data for school-age population.</w:t>
      </w:r>
    </w:p>
    <w:p w:rsidR="00F81329" w:rsidRDefault="00F81329" w:rsidP="007A31B0">
      <w:pPr>
        <w:pStyle w:val="Heading3"/>
      </w:pPr>
      <w:bookmarkStart w:id="290" w:name="_Toc415667077"/>
      <w:bookmarkStart w:id="291" w:name="_Toc415733770"/>
      <w:r>
        <w:t>Minuses</w:t>
      </w:r>
      <w:bookmarkEnd w:id="290"/>
      <w:bookmarkEnd w:id="291"/>
    </w:p>
    <w:p w:rsidR="009275CD" w:rsidRDefault="00F81329" w:rsidP="009275CD">
      <w:r>
        <w:t>No direct link between nature of special education need and requirement for therapy. Data for school-age group only. The linking of resources to specific diagnoses provides an incentive to acquire a particular disability label (e.g. autism), while no data is available on the severity of a particular need.</w:t>
      </w:r>
    </w:p>
    <w:p w:rsidR="00D569A5" w:rsidRDefault="009275CD" w:rsidP="009275CD">
      <w:pPr>
        <w:pStyle w:val="Heading1"/>
      </w:pPr>
      <w:r>
        <w:br w:type="page"/>
      </w:r>
      <w:bookmarkStart w:id="292" w:name="_Toc415733771"/>
      <w:r w:rsidR="000E5D8C">
        <w:t>Appendix 5</w:t>
      </w:r>
      <w:r w:rsidR="00AD675E">
        <w:t>: F</w:t>
      </w:r>
      <w:r w:rsidR="00D569A5">
        <w:t>orecast change in child population</w:t>
      </w:r>
      <w:bookmarkEnd w:id="292"/>
    </w:p>
    <w:p w:rsidR="00D569A5" w:rsidRDefault="00D569A5" w:rsidP="00D569A5">
      <w:pPr>
        <w:rPr>
          <w:lang w:val="en-GB"/>
        </w:rPr>
      </w:pPr>
      <w:r>
        <w:rPr>
          <w:lang w:val="en-GB"/>
        </w:rPr>
        <w:t xml:space="preserve">The following tables present </w:t>
      </w:r>
      <w:r w:rsidRPr="00853F36">
        <w:rPr>
          <w:lang w:val="en-GB"/>
        </w:rPr>
        <w:t xml:space="preserve">CSO </w:t>
      </w:r>
      <w:r>
        <w:rPr>
          <w:lang w:val="en-GB"/>
        </w:rPr>
        <w:t xml:space="preserve">population projections between 2011 to 2021, in the age groups 0-4 and 5-19, roughly corresponding to the age groups covered by early intervention and by school age teams. </w:t>
      </w:r>
    </w:p>
    <w:p w:rsidR="00D569A5" w:rsidRDefault="009F7B74" w:rsidP="00D569A5">
      <w:pPr>
        <w:pStyle w:val="TableTitle"/>
        <w:rPr>
          <w:lang w:val="en-GB"/>
        </w:rPr>
      </w:pPr>
      <w:bookmarkStart w:id="293" w:name="_Toc419879436"/>
      <w:r>
        <w:rPr>
          <w:lang w:val="en-GB"/>
        </w:rPr>
        <w:t>Table 33:</w:t>
      </w:r>
      <w:r w:rsidR="00D569A5">
        <w:rPr>
          <w:lang w:val="en-GB"/>
        </w:rPr>
        <w:t xml:space="preserve"> Projected % change in no. of children aged </w:t>
      </w:r>
      <w:r w:rsidR="00D569A5" w:rsidRPr="00853F36">
        <w:rPr>
          <w:lang w:val="en-GB"/>
        </w:rPr>
        <w:t>0-4</w:t>
      </w:r>
      <w:r w:rsidR="00D569A5">
        <w:rPr>
          <w:lang w:val="en-GB"/>
        </w:rPr>
        <w:t>,</w:t>
      </w:r>
      <w:r w:rsidR="00D569A5" w:rsidRPr="00853F36">
        <w:rPr>
          <w:lang w:val="en-GB"/>
        </w:rPr>
        <w:t xml:space="preserve"> </w:t>
      </w:r>
      <w:r w:rsidR="00D569A5">
        <w:rPr>
          <w:lang w:val="en-GB"/>
        </w:rPr>
        <w:t>2011-2021</w:t>
      </w:r>
      <w:bookmarkEnd w:id="293"/>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3F" w:firstRow="1" w:lastRow="0" w:firstColumn="0" w:lastColumn="0" w:noHBand="0" w:noVBand="0"/>
      </w:tblPr>
      <w:tblGrid>
        <w:gridCol w:w="2214"/>
        <w:gridCol w:w="2214"/>
      </w:tblGrid>
      <w:tr w:rsidR="00D569A5" w:rsidRPr="00853F36" w:rsidTr="00D569A5">
        <w:trPr>
          <w:tblHeader/>
          <w:jc w:val="center"/>
        </w:trPr>
        <w:tc>
          <w:tcPr>
            <w:tcW w:w="2214" w:type="dxa"/>
            <w:tcBorders>
              <w:bottom w:val="single" w:sz="12" w:space="0" w:color="000000"/>
            </w:tcBorders>
            <w:shd w:val="clear" w:color="auto" w:fill="auto"/>
          </w:tcPr>
          <w:p w:rsidR="00D569A5" w:rsidRPr="00853F36" w:rsidRDefault="00D569A5" w:rsidP="00D569A5">
            <w:pPr>
              <w:pStyle w:val="TableHead"/>
              <w:keepNext/>
              <w:jc w:val="right"/>
              <w:rPr>
                <w:lang w:val="en-GB"/>
              </w:rPr>
            </w:pPr>
          </w:p>
        </w:tc>
        <w:tc>
          <w:tcPr>
            <w:tcW w:w="2214" w:type="dxa"/>
            <w:tcBorders>
              <w:bottom w:val="single" w:sz="12" w:space="0" w:color="000000"/>
            </w:tcBorders>
            <w:shd w:val="clear" w:color="auto" w:fill="auto"/>
            <w:vAlign w:val="bottom"/>
          </w:tcPr>
          <w:p w:rsidR="00D569A5" w:rsidRPr="00853F36" w:rsidRDefault="00D569A5" w:rsidP="00D569A5">
            <w:pPr>
              <w:pStyle w:val="TableHead"/>
              <w:keepNext/>
              <w:jc w:val="right"/>
              <w:rPr>
                <w:lang w:val="en-GB" w:eastAsia="en-GB"/>
              </w:rPr>
            </w:pPr>
            <w:r>
              <w:rPr>
                <w:lang w:val="en-GB" w:eastAsia="en-GB"/>
              </w:rPr>
              <w:t xml:space="preserve">2011 to </w:t>
            </w:r>
            <w:r w:rsidRPr="00853F36">
              <w:rPr>
                <w:lang w:val="en-GB" w:eastAsia="en-GB"/>
              </w:rPr>
              <w:t>2021</w:t>
            </w:r>
          </w:p>
        </w:tc>
      </w:tr>
      <w:tr w:rsidR="00D569A5" w:rsidRPr="00853F36" w:rsidTr="00D569A5">
        <w:trPr>
          <w:jc w:val="center"/>
        </w:trPr>
        <w:tc>
          <w:tcPr>
            <w:tcW w:w="2214" w:type="dxa"/>
            <w:tcBorders>
              <w:top w:val="single" w:sz="12" w:space="0" w:color="000000"/>
            </w:tcBorders>
            <w:shd w:val="clear" w:color="auto" w:fill="auto"/>
            <w:vAlign w:val="bottom"/>
          </w:tcPr>
          <w:p w:rsidR="00D569A5" w:rsidRPr="00E04809" w:rsidRDefault="00D569A5" w:rsidP="00D569A5">
            <w:pPr>
              <w:pStyle w:val="TableRowHead"/>
              <w:rPr>
                <w:rFonts w:ascii="Gill Sans" w:hAnsi="Gill Sans"/>
                <w:b w:val="0"/>
                <w:lang w:val="en-GB" w:eastAsia="en-GB"/>
              </w:rPr>
            </w:pPr>
            <w:r w:rsidRPr="00E04809">
              <w:rPr>
                <w:rFonts w:ascii="Gill Sans" w:hAnsi="Gill Sans"/>
                <w:b w:val="0"/>
                <w:lang w:val="en-GB" w:eastAsia="en-GB"/>
              </w:rPr>
              <w:t>M1F1</w:t>
            </w:r>
          </w:p>
        </w:tc>
        <w:tc>
          <w:tcPr>
            <w:tcW w:w="2214" w:type="dxa"/>
            <w:tcBorders>
              <w:top w:val="single" w:sz="12" w:space="0" w:color="000000"/>
            </w:tcBorders>
            <w:shd w:val="clear" w:color="auto" w:fill="auto"/>
            <w:vAlign w:val="bottom"/>
          </w:tcPr>
          <w:p w:rsidR="00D569A5" w:rsidRPr="00853F36" w:rsidRDefault="00D569A5" w:rsidP="00D569A5">
            <w:pPr>
              <w:pStyle w:val="TableCell"/>
              <w:rPr>
                <w:lang w:val="en-GB" w:eastAsia="en-GB"/>
              </w:rPr>
            </w:pPr>
            <w:r w:rsidRPr="00853F36">
              <w:rPr>
                <w:lang w:val="en-GB" w:eastAsia="en-GB"/>
              </w:rPr>
              <w:t>-3.1</w:t>
            </w:r>
          </w:p>
        </w:tc>
      </w:tr>
      <w:tr w:rsidR="00D569A5" w:rsidRPr="00853F36" w:rsidTr="00D569A5">
        <w:trPr>
          <w:jc w:val="center"/>
        </w:trPr>
        <w:tc>
          <w:tcPr>
            <w:tcW w:w="2214" w:type="dxa"/>
            <w:shd w:val="clear" w:color="auto" w:fill="auto"/>
            <w:vAlign w:val="bottom"/>
          </w:tcPr>
          <w:p w:rsidR="00D569A5" w:rsidRPr="00E04809" w:rsidRDefault="00D569A5" w:rsidP="00D569A5">
            <w:pPr>
              <w:pStyle w:val="TableRowHead"/>
              <w:rPr>
                <w:rFonts w:ascii="Gill Sans" w:hAnsi="Gill Sans"/>
                <w:b w:val="0"/>
                <w:lang w:val="en-GB" w:eastAsia="en-GB"/>
              </w:rPr>
            </w:pPr>
            <w:r w:rsidRPr="00E04809">
              <w:rPr>
                <w:rFonts w:ascii="Gill Sans" w:hAnsi="Gill Sans"/>
                <w:b w:val="0"/>
                <w:lang w:val="en-GB" w:eastAsia="en-GB"/>
              </w:rPr>
              <w:t>M1F2</w:t>
            </w:r>
          </w:p>
        </w:tc>
        <w:tc>
          <w:tcPr>
            <w:tcW w:w="2214" w:type="dxa"/>
            <w:shd w:val="clear" w:color="auto" w:fill="auto"/>
            <w:vAlign w:val="bottom"/>
          </w:tcPr>
          <w:p w:rsidR="00D569A5" w:rsidRPr="00853F36" w:rsidRDefault="00D569A5" w:rsidP="00D569A5">
            <w:pPr>
              <w:pStyle w:val="TableCell"/>
              <w:rPr>
                <w:lang w:val="en-GB" w:eastAsia="en-GB"/>
              </w:rPr>
            </w:pPr>
            <w:r w:rsidRPr="00853F36">
              <w:rPr>
                <w:lang w:val="en-GB" w:eastAsia="en-GB"/>
              </w:rPr>
              <w:t>-9.2</w:t>
            </w:r>
          </w:p>
        </w:tc>
      </w:tr>
      <w:tr w:rsidR="00D569A5" w:rsidRPr="00853F36" w:rsidTr="00D569A5">
        <w:trPr>
          <w:jc w:val="center"/>
        </w:trPr>
        <w:tc>
          <w:tcPr>
            <w:tcW w:w="2214" w:type="dxa"/>
            <w:shd w:val="clear" w:color="auto" w:fill="auto"/>
            <w:vAlign w:val="bottom"/>
          </w:tcPr>
          <w:p w:rsidR="00D569A5" w:rsidRPr="00E04809" w:rsidRDefault="00D569A5" w:rsidP="00D569A5">
            <w:pPr>
              <w:pStyle w:val="TableRowHead"/>
              <w:rPr>
                <w:rFonts w:ascii="Gill Sans" w:hAnsi="Gill Sans"/>
                <w:b w:val="0"/>
                <w:lang w:val="en-GB" w:eastAsia="en-GB"/>
              </w:rPr>
            </w:pPr>
            <w:r w:rsidRPr="00E04809">
              <w:rPr>
                <w:rFonts w:ascii="Gill Sans" w:hAnsi="Gill Sans"/>
                <w:b w:val="0"/>
                <w:lang w:val="en-GB" w:eastAsia="en-GB"/>
              </w:rPr>
              <w:t>M2F1</w:t>
            </w:r>
          </w:p>
        </w:tc>
        <w:tc>
          <w:tcPr>
            <w:tcW w:w="2214" w:type="dxa"/>
            <w:shd w:val="clear" w:color="auto" w:fill="auto"/>
            <w:vAlign w:val="bottom"/>
          </w:tcPr>
          <w:p w:rsidR="00D569A5" w:rsidRPr="00853F36" w:rsidRDefault="00D569A5" w:rsidP="00D569A5">
            <w:pPr>
              <w:pStyle w:val="TableCell"/>
              <w:rPr>
                <w:lang w:val="en-GB" w:eastAsia="en-GB"/>
              </w:rPr>
            </w:pPr>
            <w:r w:rsidRPr="00853F36">
              <w:rPr>
                <w:lang w:val="en-GB" w:eastAsia="en-GB"/>
              </w:rPr>
              <w:t>-5.0</w:t>
            </w:r>
          </w:p>
        </w:tc>
      </w:tr>
      <w:tr w:rsidR="00D569A5" w:rsidRPr="00853F36" w:rsidTr="00D569A5">
        <w:trPr>
          <w:jc w:val="center"/>
        </w:trPr>
        <w:tc>
          <w:tcPr>
            <w:tcW w:w="2214" w:type="dxa"/>
            <w:shd w:val="clear" w:color="auto" w:fill="auto"/>
            <w:vAlign w:val="bottom"/>
          </w:tcPr>
          <w:p w:rsidR="00D569A5" w:rsidRPr="00E04809" w:rsidRDefault="00D569A5" w:rsidP="00D569A5">
            <w:pPr>
              <w:pStyle w:val="TableRowHead"/>
              <w:rPr>
                <w:rFonts w:ascii="Gill Sans" w:hAnsi="Gill Sans"/>
                <w:b w:val="0"/>
                <w:lang w:val="en-GB" w:eastAsia="en-GB"/>
              </w:rPr>
            </w:pPr>
            <w:r w:rsidRPr="00E04809">
              <w:rPr>
                <w:rFonts w:ascii="Gill Sans" w:hAnsi="Gill Sans"/>
                <w:b w:val="0"/>
                <w:lang w:val="en-GB" w:eastAsia="en-GB"/>
              </w:rPr>
              <w:t>M2F2</w:t>
            </w:r>
          </w:p>
        </w:tc>
        <w:tc>
          <w:tcPr>
            <w:tcW w:w="2214" w:type="dxa"/>
            <w:shd w:val="clear" w:color="auto" w:fill="auto"/>
            <w:vAlign w:val="bottom"/>
          </w:tcPr>
          <w:p w:rsidR="00D569A5" w:rsidRPr="00853F36" w:rsidRDefault="00D569A5" w:rsidP="00D569A5">
            <w:pPr>
              <w:pStyle w:val="TableCell"/>
              <w:rPr>
                <w:lang w:val="en-GB" w:eastAsia="en-GB"/>
              </w:rPr>
            </w:pPr>
            <w:r w:rsidRPr="00853F36">
              <w:rPr>
                <w:lang w:val="en-GB" w:eastAsia="en-GB"/>
              </w:rPr>
              <w:t>-11.0</w:t>
            </w:r>
          </w:p>
        </w:tc>
      </w:tr>
      <w:tr w:rsidR="00D569A5" w:rsidRPr="00853F36" w:rsidTr="00D569A5">
        <w:trPr>
          <w:jc w:val="center"/>
        </w:trPr>
        <w:tc>
          <w:tcPr>
            <w:tcW w:w="2214" w:type="dxa"/>
            <w:shd w:val="clear" w:color="auto" w:fill="auto"/>
            <w:vAlign w:val="bottom"/>
          </w:tcPr>
          <w:p w:rsidR="00D569A5" w:rsidRPr="00E04809" w:rsidRDefault="00D569A5" w:rsidP="00D569A5">
            <w:pPr>
              <w:pStyle w:val="TableRowHead"/>
              <w:rPr>
                <w:rFonts w:ascii="Gill Sans" w:hAnsi="Gill Sans"/>
                <w:b w:val="0"/>
                <w:lang w:val="en-GB" w:eastAsia="en-GB"/>
              </w:rPr>
            </w:pPr>
            <w:r w:rsidRPr="00E04809">
              <w:rPr>
                <w:rFonts w:ascii="Gill Sans" w:hAnsi="Gill Sans"/>
                <w:b w:val="0"/>
                <w:lang w:val="en-GB" w:eastAsia="en-GB"/>
              </w:rPr>
              <w:t>M3F1</w:t>
            </w:r>
          </w:p>
        </w:tc>
        <w:tc>
          <w:tcPr>
            <w:tcW w:w="2214" w:type="dxa"/>
            <w:shd w:val="clear" w:color="auto" w:fill="auto"/>
            <w:vAlign w:val="bottom"/>
          </w:tcPr>
          <w:p w:rsidR="00D569A5" w:rsidRPr="00853F36" w:rsidRDefault="00D569A5" w:rsidP="00D569A5">
            <w:pPr>
              <w:pStyle w:val="TableCell"/>
              <w:rPr>
                <w:lang w:val="en-GB" w:eastAsia="en-GB"/>
              </w:rPr>
            </w:pPr>
            <w:r w:rsidRPr="00853F36">
              <w:rPr>
                <w:lang w:val="en-GB" w:eastAsia="en-GB"/>
              </w:rPr>
              <w:t>-7.4</w:t>
            </w:r>
          </w:p>
        </w:tc>
      </w:tr>
      <w:tr w:rsidR="00D569A5" w:rsidRPr="00853F36" w:rsidTr="00D569A5">
        <w:trPr>
          <w:jc w:val="center"/>
        </w:trPr>
        <w:tc>
          <w:tcPr>
            <w:tcW w:w="2214" w:type="dxa"/>
            <w:shd w:val="clear" w:color="auto" w:fill="auto"/>
            <w:vAlign w:val="bottom"/>
          </w:tcPr>
          <w:p w:rsidR="00D569A5" w:rsidRPr="00E04809" w:rsidRDefault="00D569A5" w:rsidP="00D569A5">
            <w:pPr>
              <w:pStyle w:val="TableRowHead"/>
              <w:rPr>
                <w:rFonts w:ascii="Gill Sans" w:hAnsi="Gill Sans"/>
                <w:b w:val="0"/>
                <w:lang w:val="en-GB" w:eastAsia="en-GB"/>
              </w:rPr>
            </w:pPr>
            <w:r w:rsidRPr="00E04809">
              <w:rPr>
                <w:rFonts w:ascii="Gill Sans" w:hAnsi="Gill Sans"/>
                <w:b w:val="0"/>
                <w:lang w:val="en-GB" w:eastAsia="en-GB"/>
              </w:rPr>
              <w:t>M3F2</w:t>
            </w:r>
          </w:p>
        </w:tc>
        <w:tc>
          <w:tcPr>
            <w:tcW w:w="2214" w:type="dxa"/>
            <w:shd w:val="clear" w:color="auto" w:fill="auto"/>
            <w:vAlign w:val="bottom"/>
          </w:tcPr>
          <w:p w:rsidR="00D569A5" w:rsidRPr="00853F36" w:rsidRDefault="00D569A5" w:rsidP="00D569A5">
            <w:pPr>
              <w:pStyle w:val="TableCell"/>
              <w:rPr>
                <w:lang w:val="en-GB" w:eastAsia="en-GB"/>
              </w:rPr>
            </w:pPr>
            <w:r w:rsidRPr="00853F36">
              <w:rPr>
                <w:lang w:val="en-GB" w:eastAsia="en-GB"/>
              </w:rPr>
              <w:t>-13.2</w:t>
            </w:r>
          </w:p>
        </w:tc>
      </w:tr>
    </w:tbl>
    <w:p w:rsidR="00D569A5" w:rsidRPr="00853F36" w:rsidRDefault="00D569A5" w:rsidP="00D569A5">
      <w:pPr>
        <w:pStyle w:val="TableNote"/>
        <w:rPr>
          <w:lang w:val="en-GB"/>
        </w:rPr>
      </w:pPr>
      <w:r w:rsidRPr="00853F36">
        <w:rPr>
          <w:lang w:val="en-GB"/>
        </w:rPr>
        <w:t xml:space="preserve">Note: F1: fertility to stay at 2.1, F2 fertility to fall to 1.8. M1 net inward migration to recover by 2016, M2 net inward migration to recover by 2018, and M3 migration is outwards for whole time. </w:t>
      </w:r>
      <w:hyperlink r:id="rId14" w:history="1">
        <w:r w:rsidRPr="00853F36">
          <w:rPr>
            <w:rStyle w:val="Hyperlink"/>
            <w:lang w:val="en-GB"/>
          </w:rPr>
          <w:t>www.cso.ie/en/media/csoie/releasespublications/documents/population/2013/poplabfor2016_2046.pdf</w:t>
        </w:r>
      </w:hyperlink>
      <w:r w:rsidRPr="00853F36">
        <w:rPr>
          <w:lang w:val="en-GB"/>
        </w:rPr>
        <w:t>)</w:t>
      </w:r>
    </w:p>
    <w:p w:rsidR="00D569A5" w:rsidRDefault="00D569A5" w:rsidP="00D569A5">
      <w:pPr>
        <w:pStyle w:val="TableTitle"/>
        <w:rPr>
          <w:lang w:val="en-GB"/>
        </w:rPr>
      </w:pPr>
      <w:bookmarkStart w:id="294" w:name="_Toc419879437"/>
      <w:r w:rsidRPr="00853F36">
        <w:rPr>
          <w:lang w:val="en-GB"/>
        </w:rPr>
        <w:t xml:space="preserve">Table </w:t>
      </w:r>
      <w:r w:rsidR="009F7B74">
        <w:rPr>
          <w:lang w:val="en-GB"/>
        </w:rPr>
        <w:t>34:</w:t>
      </w:r>
      <w:r w:rsidRPr="00853F36">
        <w:rPr>
          <w:lang w:val="en-GB"/>
        </w:rPr>
        <w:t xml:space="preserve"> </w:t>
      </w:r>
      <w:r>
        <w:rPr>
          <w:lang w:val="en-GB"/>
        </w:rPr>
        <w:t>Projected % change in no. of children aged 5-19,</w:t>
      </w:r>
      <w:r w:rsidRPr="00853F36">
        <w:rPr>
          <w:lang w:val="en-GB"/>
        </w:rPr>
        <w:t xml:space="preserve"> </w:t>
      </w:r>
      <w:r>
        <w:rPr>
          <w:lang w:val="en-GB"/>
        </w:rPr>
        <w:t>2011-2021</w:t>
      </w:r>
      <w:bookmarkEnd w:id="294"/>
      <w:r w:rsidRPr="00853F36">
        <w:rPr>
          <w:lang w:val="en-GB"/>
        </w:rPr>
        <w:t xml:space="preserve"> </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3F" w:firstRow="1" w:lastRow="0" w:firstColumn="0" w:lastColumn="0" w:noHBand="0" w:noVBand="0"/>
      </w:tblPr>
      <w:tblGrid>
        <w:gridCol w:w="2214"/>
        <w:gridCol w:w="2214"/>
      </w:tblGrid>
      <w:tr w:rsidR="00D569A5" w:rsidRPr="00853F36" w:rsidTr="00D569A5">
        <w:trPr>
          <w:tblHeader/>
          <w:jc w:val="center"/>
        </w:trPr>
        <w:tc>
          <w:tcPr>
            <w:tcW w:w="2214" w:type="dxa"/>
            <w:tcBorders>
              <w:bottom w:val="single" w:sz="12" w:space="0" w:color="000000"/>
            </w:tcBorders>
            <w:shd w:val="clear" w:color="auto" w:fill="auto"/>
          </w:tcPr>
          <w:p w:rsidR="00D569A5" w:rsidRPr="00853F36" w:rsidRDefault="00D569A5" w:rsidP="00D569A5">
            <w:pPr>
              <w:pStyle w:val="TableHead"/>
              <w:keepNext/>
              <w:jc w:val="right"/>
              <w:rPr>
                <w:szCs w:val="26"/>
                <w:lang w:val="en-GB"/>
              </w:rPr>
            </w:pPr>
          </w:p>
        </w:tc>
        <w:tc>
          <w:tcPr>
            <w:tcW w:w="2214" w:type="dxa"/>
            <w:tcBorders>
              <w:bottom w:val="single" w:sz="12" w:space="0" w:color="000000"/>
            </w:tcBorders>
            <w:shd w:val="clear" w:color="auto" w:fill="auto"/>
            <w:vAlign w:val="bottom"/>
          </w:tcPr>
          <w:p w:rsidR="00D569A5" w:rsidRPr="00853F36" w:rsidRDefault="00D569A5" w:rsidP="00D569A5">
            <w:pPr>
              <w:pStyle w:val="TableHead"/>
              <w:keepNext/>
              <w:jc w:val="right"/>
              <w:rPr>
                <w:szCs w:val="26"/>
                <w:lang w:val="en-GB" w:eastAsia="en-GB"/>
              </w:rPr>
            </w:pPr>
            <w:r>
              <w:rPr>
                <w:szCs w:val="26"/>
                <w:lang w:val="en-GB" w:eastAsia="en-GB"/>
              </w:rPr>
              <w:t xml:space="preserve"> 2011 to </w:t>
            </w:r>
            <w:r w:rsidRPr="00853F36">
              <w:rPr>
                <w:szCs w:val="26"/>
                <w:lang w:val="en-GB" w:eastAsia="en-GB"/>
              </w:rPr>
              <w:t>2021</w:t>
            </w:r>
          </w:p>
        </w:tc>
      </w:tr>
      <w:tr w:rsidR="00D569A5" w:rsidRPr="00853F36" w:rsidTr="00D569A5">
        <w:trPr>
          <w:jc w:val="center"/>
        </w:trPr>
        <w:tc>
          <w:tcPr>
            <w:tcW w:w="2214" w:type="dxa"/>
            <w:tcBorders>
              <w:top w:val="single" w:sz="12" w:space="0" w:color="000000"/>
            </w:tcBorders>
            <w:shd w:val="clear" w:color="auto" w:fill="auto"/>
            <w:vAlign w:val="bottom"/>
          </w:tcPr>
          <w:p w:rsidR="00D569A5" w:rsidRPr="00E04809" w:rsidRDefault="00D569A5" w:rsidP="00D569A5">
            <w:pPr>
              <w:pStyle w:val="TableRowHead"/>
              <w:rPr>
                <w:rFonts w:ascii="Gill Sans" w:hAnsi="Gill Sans"/>
                <w:b w:val="0"/>
                <w:szCs w:val="26"/>
                <w:lang w:val="en-GB" w:eastAsia="en-GB"/>
              </w:rPr>
            </w:pPr>
            <w:r w:rsidRPr="00E04809">
              <w:rPr>
                <w:rFonts w:ascii="Gill Sans" w:hAnsi="Gill Sans"/>
                <w:b w:val="0"/>
                <w:szCs w:val="26"/>
                <w:lang w:val="en-GB" w:eastAsia="en-GB"/>
              </w:rPr>
              <w:t>M1F1</w:t>
            </w:r>
          </w:p>
        </w:tc>
        <w:tc>
          <w:tcPr>
            <w:tcW w:w="2214" w:type="dxa"/>
            <w:tcBorders>
              <w:top w:val="single" w:sz="12" w:space="0" w:color="000000"/>
            </w:tcBorders>
            <w:shd w:val="clear" w:color="auto" w:fill="auto"/>
            <w:vAlign w:val="bottom"/>
          </w:tcPr>
          <w:p w:rsidR="00D569A5" w:rsidRPr="00853F36" w:rsidRDefault="00D569A5" w:rsidP="00D569A5">
            <w:pPr>
              <w:pStyle w:val="TableCell"/>
              <w:keepNext/>
              <w:rPr>
                <w:szCs w:val="26"/>
                <w:lang w:val="en-GB" w:eastAsia="en-GB"/>
              </w:rPr>
            </w:pPr>
            <w:r w:rsidRPr="00853F36">
              <w:rPr>
                <w:szCs w:val="26"/>
                <w:lang w:val="en-GB" w:eastAsia="en-GB"/>
              </w:rPr>
              <w:t>18.7</w:t>
            </w:r>
          </w:p>
        </w:tc>
      </w:tr>
      <w:tr w:rsidR="00D569A5" w:rsidRPr="00853F36" w:rsidTr="00D569A5">
        <w:trPr>
          <w:jc w:val="center"/>
        </w:trPr>
        <w:tc>
          <w:tcPr>
            <w:tcW w:w="2214" w:type="dxa"/>
            <w:shd w:val="clear" w:color="auto" w:fill="auto"/>
            <w:vAlign w:val="bottom"/>
          </w:tcPr>
          <w:p w:rsidR="00D569A5" w:rsidRPr="00E04809" w:rsidRDefault="00D569A5" w:rsidP="00D569A5">
            <w:pPr>
              <w:pStyle w:val="TableRowHead"/>
              <w:rPr>
                <w:rFonts w:ascii="Gill Sans" w:hAnsi="Gill Sans"/>
                <w:b w:val="0"/>
                <w:szCs w:val="26"/>
                <w:lang w:val="en-GB" w:eastAsia="en-GB"/>
              </w:rPr>
            </w:pPr>
            <w:r w:rsidRPr="00E04809">
              <w:rPr>
                <w:rFonts w:ascii="Gill Sans" w:hAnsi="Gill Sans"/>
                <w:b w:val="0"/>
                <w:szCs w:val="26"/>
                <w:lang w:val="en-GB" w:eastAsia="en-GB"/>
              </w:rPr>
              <w:t>M1F2</w:t>
            </w:r>
          </w:p>
        </w:tc>
        <w:tc>
          <w:tcPr>
            <w:tcW w:w="2214" w:type="dxa"/>
            <w:shd w:val="clear" w:color="auto" w:fill="auto"/>
            <w:vAlign w:val="bottom"/>
          </w:tcPr>
          <w:p w:rsidR="00D569A5" w:rsidRPr="00853F36" w:rsidRDefault="00D569A5" w:rsidP="00D569A5">
            <w:pPr>
              <w:pStyle w:val="TableCell"/>
              <w:rPr>
                <w:szCs w:val="26"/>
                <w:lang w:val="en-GB" w:eastAsia="en-GB"/>
              </w:rPr>
            </w:pPr>
            <w:r w:rsidRPr="00853F36">
              <w:rPr>
                <w:szCs w:val="26"/>
                <w:lang w:val="en-GB" w:eastAsia="en-GB"/>
              </w:rPr>
              <w:t>18.1</w:t>
            </w:r>
          </w:p>
        </w:tc>
      </w:tr>
      <w:tr w:rsidR="00D569A5" w:rsidRPr="00853F36" w:rsidTr="00D569A5">
        <w:trPr>
          <w:jc w:val="center"/>
        </w:trPr>
        <w:tc>
          <w:tcPr>
            <w:tcW w:w="2214" w:type="dxa"/>
            <w:shd w:val="clear" w:color="auto" w:fill="auto"/>
            <w:vAlign w:val="bottom"/>
          </w:tcPr>
          <w:p w:rsidR="00D569A5" w:rsidRPr="00E04809" w:rsidRDefault="00D569A5" w:rsidP="00D569A5">
            <w:pPr>
              <w:pStyle w:val="TableRowHead"/>
              <w:rPr>
                <w:rFonts w:ascii="Gill Sans" w:hAnsi="Gill Sans"/>
                <w:b w:val="0"/>
                <w:szCs w:val="26"/>
                <w:lang w:val="en-GB" w:eastAsia="en-GB"/>
              </w:rPr>
            </w:pPr>
            <w:r w:rsidRPr="00E04809">
              <w:rPr>
                <w:rFonts w:ascii="Gill Sans" w:hAnsi="Gill Sans"/>
                <w:b w:val="0"/>
                <w:szCs w:val="26"/>
                <w:lang w:val="en-GB" w:eastAsia="en-GB"/>
              </w:rPr>
              <w:t>M2F1</w:t>
            </w:r>
          </w:p>
        </w:tc>
        <w:tc>
          <w:tcPr>
            <w:tcW w:w="2214" w:type="dxa"/>
            <w:shd w:val="clear" w:color="auto" w:fill="auto"/>
            <w:vAlign w:val="bottom"/>
          </w:tcPr>
          <w:p w:rsidR="00D569A5" w:rsidRPr="00853F36" w:rsidRDefault="00D569A5" w:rsidP="00D569A5">
            <w:pPr>
              <w:pStyle w:val="TableCell"/>
              <w:rPr>
                <w:szCs w:val="26"/>
                <w:lang w:val="en-GB" w:eastAsia="en-GB"/>
              </w:rPr>
            </w:pPr>
            <w:r w:rsidRPr="00853F36">
              <w:rPr>
                <w:szCs w:val="26"/>
                <w:lang w:val="en-GB" w:eastAsia="en-GB"/>
              </w:rPr>
              <w:t>17.8</w:t>
            </w:r>
          </w:p>
        </w:tc>
      </w:tr>
      <w:tr w:rsidR="00D569A5" w:rsidRPr="00853F36" w:rsidTr="00D569A5">
        <w:trPr>
          <w:jc w:val="center"/>
        </w:trPr>
        <w:tc>
          <w:tcPr>
            <w:tcW w:w="2214" w:type="dxa"/>
            <w:shd w:val="clear" w:color="auto" w:fill="auto"/>
            <w:vAlign w:val="bottom"/>
          </w:tcPr>
          <w:p w:rsidR="00D569A5" w:rsidRPr="00E04809" w:rsidRDefault="00D569A5" w:rsidP="00D569A5">
            <w:pPr>
              <w:pStyle w:val="TableRowHead"/>
              <w:rPr>
                <w:rFonts w:ascii="Gill Sans" w:hAnsi="Gill Sans"/>
                <w:b w:val="0"/>
                <w:szCs w:val="26"/>
                <w:lang w:val="en-GB" w:eastAsia="en-GB"/>
              </w:rPr>
            </w:pPr>
            <w:r w:rsidRPr="00E04809">
              <w:rPr>
                <w:rFonts w:ascii="Gill Sans" w:hAnsi="Gill Sans"/>
                <w:b w:val="0"/>
                <w:szCs w:val="26"/>
                <w:lang w:val="en-GB" w:eastAsia="en-GB"/>
              </w:rPr>
              <w:t>M2F2</w:t>
            </w:r>
          </w:p>
        </w:tc>
        <w:tc>
          <w:tcPr>
            <w:tcW w:w="2214" w:type="dxa"/>
            <w:shd w:val="clear" w:color="auto" w:fill="auto"/>
            <w:vAlign w:val="bottom"/>
          </w:tcPr>
          <w:p w:rsidR="00D569A5" w:rsidRPr="00853F36" w:rsidRDefault="00D569A5" w:rsidP="00D569A5">
            <w:pPr>
              <w:pStyle w:val="TableCell"/>
              <w:rPr>
                <w:szCs w:val="26"/>
                <w:lang w:val="en-GB" w:eastAsia="en-GB"/>
              </w:rPr>
            </w:pPr>
            <w:r w:rsidRPr="00853F36">
              <w:rPr>
                <w:szCs w:val="26"/>
                <w:lang w:val="en-GB" w:eastAsia="en-GB"/>
              </w:rPr>
              <w:t>17.3</w:t>
            </w:r>
          </w:p>
        </w:tc>
      </w:tr>
      <w:tr w:rsidR="00D569A5" w:rsidRPr="00853F36" w:rsidTr="00D569A5">
        <w:trPr>
          <w:jc w:val="center"/>
        </w:trPr>
        <w:tc>
          <w:tcPr>
            <w:tcW w:w="2214" w:type="dxa"/>
            <w:shd w:val="clear" w:color="auto" w:fill="auto"/>
            <w:vAlign w:val="bottom"/>
          </w:tcPr>
          <w:p w:rsidR="00D569A5" w:rsidRPr="00E04809" w:rsidRDefault="00D569A5" w:rsidP="00D569A5">
            <w:pPr>
              <w:pStyle w:val="TableRowHead"/>
              <w:rPr>
                <w:rFonts w:ascii="Gill Sans" w:hAnsi="Gill Sans"/>
                <w:b w:val="0"/>
                <w:szCs w:val="26"/>
                <w:lang w:val="en-GB" w:eastAsia="en-GB"/>
              </w:rPr>
            </w:pPr>
            <w:r w:rsidRPr="00E04809">
              <w:rPr>
                <w:rFonts w:ascii="Gill Sans" w:hAnsi="Gill Sans"/>
                <w:b w:val="0"/>
                <w:szCs w:val="26"/>
                <w:lang w:val="en-GB" w:eastAsia="en-GB"/>
              </w:rPr>
              <w:t>M3F1</w:t>
            </w:r>
          </w:p>
        </w:tc>
        <w:tc>
          <w:tcPr>
            <w:tcW w:w="2214" w:type="dxa"/>
            <w:shd w:val="clear" w:color="auto" w:fill="auto"/>
            <w:vAlign w:val="bottom"/>
          </w:tcPr>
          <w:p w:rsidR="00D569A5" w:rsidRPr="00853F36" w:rsidRDefault="00D569A5" w:rsidP="00D569A5">
            <w:pPr>
              <w:pStyle w:val="TableCell"/>
              <w:rPr>
                <w:szCs w:val="26"/>
                <w:lang w:val="en-GB" w:eastAsia="en-GB"/>
              </w:rPr>
            </w:pPr>
            <w:r w:rsidRPr="00853F36">
              <w:rPr>
                <w:szCs w:val="26"/>
                <w:lang w:val="en-GB" w:eastAsia="en-GB"/>
              </w:rPr>
              <w:t>16.8</w:t>
            </w:r>
          </w:p>
        </w:tc>
      </w:tr>
      <w:tr w:rsidR="00D569A5" w:rsidRPr="00853F36" w:rsidTr="00D569A5">
        <w:trPr>
          <w:jc w:val="center"/>
        </w:trPr>
        <w:tc>
          <w:tcPr>
            <w:tcW w:w="2214" w:type="dxa"/>
            <w:shd w:val="clear" w:color="auto" w:fill="auto"/>
            <w:vAlign w:val="bottom"/>
          </w:tcPr>
          <w:p w:rsidR="00D569A5" w:rsidRPr="00E04809" w:rsidRDefault="00D569A5" w:rsidP="00D569A5">
            <w:pPr>
              <w:pStyle w:val="TableRowHead"/>
              <w:rPr>
                <w:rFonts w:ascii="Gill Sans" w:hAnsi="Gill Sans"/>
                <w:b w:val="0"/>
                <w:szCs w:val="26"/>
                <w:lang w:val="en-GB" w:eastAsia="en-GB"/>
              </w:rPr>
            </w:pPr>
            <w:r w:rsidRPr="00E04809">
              <w:rPr>
                <w:rFonts w:ascii="Gill Sans" w:hAnsi="Gill Sans"/>
                <w:b w:val="0"/>
                <w:szCs w:val="26"/>
                <w:lang w:val="en-GB" w:eastAsia="en-GB"/>
              </w:rPr>
              <w:t>M3F2</w:t>
            </w:r>
          </w:p>
        </w:tc>
        <w:tc>
          <w:tcPr>
            <w:tcW w:w="2214" w:type="dxa"/>
            <w:shd w:val="clear" w:color="auto" w:fill="auto"/>
            <w:vAlign w:val="bottom"/>
          </w:tcPr>
          <w:p w:rsidR="00D569A5" w:rsidRPr="00853F36" w:rsidRDefault="00D569A5" w:rsidP="00D569A5">
            <w:pPr>
              <w:pStyle w:val="TableCell"/>
              <w:rPr>
                <w:szCs w:val="26"/>
                <w:lang w:val="en-GB" w:eastAsia="en-GB"/>
              </w:rPr>
            </w:pPr>
            <w:r w:rsidRPr="00853F36">
              <w:rPr>
                <w:szCs w:val="26"/>
                <w:lang w:val="en-GB" w:eastAsia="en-GB"/>
              </w:rPr>
              <w:t>16.3</w:t>
            </w:r>
          </w:p>
        </w:tc>
      </w:tr>
    </w:tbl>
    <w:p w:rsidR="000D159D" w:rsidRPr="00584D89" w:rsidRDefault="00D569A5" w:rsidP="00584D89">
      <w:pPr>
        <w:pStyle w:val="TableNote"/>
        <w:rPr>
          <w:lang w:val="en-GB"/>
        </w:rPr>
      </w:pPr>
      <w:r w:rsidRPr="00853F36">
        <w:rPr>
          <w:lang w:val="en-GB"/>
        </w:rPr>
        <w:t xml:space="preserve">Note: 19 year olds are included as this is how the CSO data is broken down. . </w:t>
      </w:r>
      <w:hyperlink r:id="rId15" w:history="1">
        <w:r w:rsidRPr="00853F36">
          <w:rPr>
            <w:rStyle w:val="Hyperlink"/>
            <w:lang w:val="en-GB"/>
          </w:rPr>
          <w:t>www.cso.ie/en/media/csoie/releasespublications/documents/population/2013/poplabfor2016_2046.pdf</w:t>
        </w:r>
      </w:hyperlink>
      <w:r w:rsidRPr="00853F36">
        <w:rPr>
          <w:lang w:val="en-GB"/>
        </w:rPr>
        <w:t>)</w:t>
      </w:r>
    </w:p>
    <w:p w:rsidR="000D159D" w:rsidRPr="00853F36" w:rsidRDefault="00584D89" w:rsidP="000D159D">
      <w:pPr>
        <w:pStyle w:val="Heading1"/>
      </w:pPr>
      <w:bookmarkStart w:id="295" w:name="_Toc386464586"/>
      <w:bookmarkStart w:id="296" w:name="_Toc386470082"/>
      <w:r>
        <w:br w:type="page"/>
      </w:r>
      <w:bookmarkStart w:id="297" w:name="_Toc415733772"/>
      <w:r w:rsidR="004F22FF">
        <w:t>Appendix 6</w:t>
      </w:r>
      <w:r w:rsidR="000D159D">
        <w:t xml:space="preserve">: </w:t>
      </w:r>
      <w:r w:rsidR="000D159D" w:rsidRPr="00853F36">
        <w:t xml:space="preserve">Submission from Faculty of Paediatrics </w:t>
      </w:r>
      <w:r w:rsidR="000D159D">
        <w:t>on</w:t>
      </w:r>
      <w:r w:rsidR="000D159D" w:rsidRPr="00853F36">
        <w:t xml:space="preserve"> Disability Team Composition</w:t>
      </w:r>
      <w:bookmarkEnd w:id="295"/>
      <w:bookmarkEnd w:id="296"/>
      <w:r w:rsidR="00BB494D">
        <w:t xml:space="preserve"> by a consultant paediatrics</w:t>
      </w:r>
      <w:bookmarkEnd w:id="297"/>
    </w:p>
    <w:p w:rsidR="000D159D" w:rsidRPr="00853F36" w:rsidRDefault="000D159D" w:rsidP="000D159D">
      <w:r w:rsidRPr="00853F36">
        <w:t>Background – Faculty of Paediatrics:</w:t>
      </w:r>
    </w:p>
    <w:p w:rsidR="000D159D" w:rsidRPr="00853F36" w:rsidRDefault="000D159D" w:rsidP="000D159D">
      <w:r w:rsidRPr="002B74D2">
        <w:t>Th</w:t>
      </w:r>
      <w:r w:rsidR="002B74D2">
        <w:rPr>
          <w:rStyle w:val="ms-rtecustom-articleheadline1"/>
          <w:rFonts w:ascii="Gill Sans" w:hAnsi="Gill Sans"/>
          <w:b w:val="0"/>
          <w:color w:val="auto"/>
          <w:szCs w:val="26"/>
        </w:rPr>
        <w:t>e</w:t>
      </w:r>
      <w:r w:rsidRPr="002B74D2">
        <w:rPr>
          <w:rStyle w:val="ms-rtecustom-articleheadline1"/>
          <w:rFonts w:ascii="Gill Sans" w:hAnsi="Gill Sans"/>
          <w:i w:val="0"/>
          <w:color w:val="auto"/>
          <w:szCs w:val="26"/>
        </w:rPr>
        <w:t xml:space="preserve"> Faculty</w:t>
      </w:r>
      <w:r w:rsidRPr="007A31B0">
        <w:rPr>
          <w:rStyle w:val="ms-rtecustom-articleheadline1"/>
          <w:rFonts w:ascii="Gill Sans" w:hAnsi="Gill Sans"/>
          <w:i w:val="0"/>
          <w:color w:val="auto"/>
          <w:szCs w:val="26"/>
        </w:rPr>
        <w:t xml:space="preserve"> of Paediatrics of the Royal College of Physicians of Ireland is responsible for </w:t>
      </w:r>
      <w:r w:rsidRPr="00853F36">
        <w:t>promoting excellence in the areas of patient care, professional standards, education and training in paediatrics. The Faculty is the training body for paediatrics in Ireland and represents the specialty of paediatrics on international, national and regional councils and committees concerned with paedia</w:t>
      </w:r>
      <w:r w:rsidR="00BB494D">
        <w:t>trics and paediatric education and</w:t>
      </w:r>
      <w:r w:rsidRPr="00853F36">
        <w:t xml:space="preserve"> training. Each consultant paediatrician is a fellow of the Faculty. Fellows form the nucleus of the Faculty and help the Faculty fulfil a wide range of functions including:</w:t>
      </w:r>
    </w:p>
    <w:p w:rsidR="000D159D" w:rsidRPr="00853F36" w:rsidRDefault="000D159D" w:rsidP="000D159D">
      <w:pPr>
        <w:pStyle w:val="ListParagraph"/>
        <w:numPr>
          <w:ilvl w:val="0"/>
          <w:numId w:val="9"/>
        </w:numPr>
        <w:ind w:left="714" w:hanging="357"/>
        <w:rPr>
          <w:rFonts w:ascii="Gill Sans" w:hAnsi="Gill Sans" w:cs="Arial"/>
          <w:sz w:val="26"/>
          <w:szCs w:val="26"/>
          <w:lang w:eastAsia="en-IE"/>
        </w:rPr>
      </w:pPr>
      <w:r w:rsidRPr="00853F36">
        <w:rPr>
          <w:rFonts w:ascii="Gill Sans" w:hAnsi="Gill Sans" w:cs="Arial"/>
          <w:sz w:val="26"/>
          <w:szCs w:val="26"/>
          <w:lang w:eastAsia="en-IE"/>
        </w:rPr>
        <w:t>Acting in an advisory capacity to governmental &amp; statutory bodies in all matters pertaining to paediatrics</w:t>
      </w:r>
    </w:p>
    <w:p w:rsidR="000D159D" w:rsidRPr="00853F36" w:rsidRDefault="000D159D" w:rsidP="000D159D">
      <w:pPr>
        <w:pStyle w:val="ListParagraph"/>
        <w:numPr>
          <w:ilvl w:val="0"/>
          <w:numId w:val="9"/>
        </w:numPr>
        <w:ind w:left="714" w:hanging="357"/>
        <w:rPr>
          <w:rFonts w:ascii="Gill Sans" w:hAnsi="Gill Sans" w:cs="Arial"/>
          <w:sz w:val="26"/>
          <w:szCs w:val="26"/>
          <w:lang w:eastAsia="en-IE"/>
        </w:rPr>
      </w:pPr>
      <w:r w:rsidRPr="00853F36">
        <w:rPr>
          <w:rFonts w:ascii="Gill Sans" w:hAnsi="Gill Sans" w:cs="Arial"/>
          <w:sz w:val="26"/>
          <w:szCs w:val="26"/>
          <w:lang w:eastAsia="en-IE"/>
        </w:rPr>
        <w:t>Developing and administering all postgraduate training programmes for paediatrics</w:t>
      </w:r>
    </w:p>
    <w:p w:rsidR="000D159D" w:rsidRPr="00853F36" w:rsidRDefault="000D159D" w:rsidP="000D159D">
      <w:pPr>
        <w:pStyle w:val="ListParagraph"/>
        <w:numPr>
          <w:ilvl w:val="0"/>
          <w:numId w:val="9"/>
        </w:numPr>
        <w:ind w:left="714" w:hanging="357"/>
        <w:rPr>
          <w:rFonts w:ascii="Gill Sans" w:hAnsi="Gill Sans" w:cs="Arial"/>
          <w:sz w:val="26"/>
          <w:szCs w:val="26"/>
          <w:lang w:eastAsia="en-IE"/>
        </w:rPr>
      </w:pPr>
      <w:r w:rsidRPr="00853F36">
        <w:rPr>
          <w:rFonts w:ascii="Gill Sans" w:hAnsi="Gill Sans" w:cs="Arial"/>
          <w:sz w:val="26"/>
          <w:szCs w:val="26"/>
          <w:lang w:eastAsia="en-IE"/>
        </w:rPr>
        <w:t>Responsibility for setting and maintaining standards in the MRCPI (Medicine of Childhood)</w:t>
      </w:r>
    </w:p>
    <w:p w:rsidR="000D159D" w:rsidRPr="00853F36" w:rsidRDefault="000D159D" w:rsidP="000D159D">
      <w:pPr>
        <w:pStyle w:val="ListParagraph"/>
        <w:numPr>
          <w:ilvl w:val="0"/>
          <w:numId w:val="9"/>
        </w:numPr>
        <w:ind w:left="714" w:hanging="357"/>
        <w:rPr>
          <w:rFonts w:ascii="Gill Sans" w:hAnsi="Gill Sans" w:cs="Arial"/>
          <w:sz w:val="26"/>
          <w:szCs w:val="26"/>
          <w:lang w:eastAsia="en-IE"/>
        </w:rPr>
      </w:pPr>
      <w:r w:rsidRPr="00853F36">
        <w:rPr>
          <w:rFonts w:ascii="Gill Sans" w:hAnsi="Gill Sans" w:cs="Arial"/>
          <w:sz w:val="26"/>
          <w:szCs w:val="26"/>
          <w:lang w:eastAsia="en-IE"/>
        </w:rPr>
        <w:t>Developing and administering the Professional Competence Scheme for Paediatrics</w:t>
      </w:r>
    </w:p>
    <w:p w:rsidR="000D159D" w:rsidRPr="00853F36" w:rsidRDefault="000D159D" w:rsidP="000D159D">
      <w:pPr>
        <w:pStyle w:val="ListParagraph"/>
        <w:numPr>
          <w:ilvl w:val="0"/>
          <w:numId w:val="9"/>
        </w:numPr>
        <w:ind w:left="714" w:hanging="357"/>
        <w:rPr>
          <w:rFonts w:ascii="Gill Sans" w:hAnsi="Gill Sans" w:cs="Arial"/>
          <w:sz w:val="26"/>
          <w:szCs w:val="26"/>
          <w:lang w:eastAsia="en-IE"/>
        </w:rPr>
      </w:pPr>
      <w:r w:rsidRPr="00853F36">
        <w:rPr>
          <w:rFonts w:ascii="Gill Sans" w:hAnsi="Gill Sans" w:cs="Arial"/>
          <w:sz w:val="26"/>
          <w:szCs w:val="26"/>
          <w:lang w:eastAsia="en-IE"/>
        </w:rPr>
        <w:t>Acting as a vital source of information for individuals practicing in paediatrics</w:t>
      </w:r>
      <w:r w:rsidR="00BB494D">
        <w:rPr>
          <w:rFonts w:ascii="Gill Sans" w:hAnsi="Gill Sans" w:cs="Arial"/>
          <w:sz w:val="26"/>
          <w:szCs w:val="26"/>
          <w:lang w:eastAsia="en-IE"/>
        </w:rPr>
        <w:t>.</w:t>
      </w:r>
    </w:p>
    <w:p w:rsidR="000D159D" w:rsidRPr="00853F36" w:rsidRDefault="000D159D" w:rsidP="00584D89">
      <w:pPr>
        <w:pStyle w:val="Heading2"/>
      </w:pPr>
      <w:bookmarkStart w:id="298" w:name="_Toc415733773"/>
      <w:r w:rsidRPr="00853F36">
        <w:t>Background – The task:</w:t>
      </w:r>
      <w:bookmarkEnd w:id="298"/>
    </w:p>
    <w:p w:rsidR="000D159D" w:rsidRPr="00853F36" w:rsidRDefault="000D159D" w:rsidP="000D159D">
      <w:pPr>
        <w:rPr>
          <w:szCs w:val="26"/>
        </w:rPr>
      </w:pPr>
      <w:r w:rsidRPr="00853F36">
        <w:rPr>
          <w:szCs w:val="26"/>
        </w:rPr>
        <w:t>Determining the quantity of time and therefore the number of medical doctors required to provide this necessary service to a disability team is complex. The exercise demands more in-depth research that covers a full needs analysis to be accurate and standardised across the country. For the purposes of this report I will outline the information that can be deducted from the current service as they exist and available research. To form an opinion, all consultant paediatricians in Community Child Health have been contacted for information regarding their current practise and posts. Current work practises and research allows us to best guess the whole-time-equivalent (WTE) consultant paediatricians in Community Child Health (CCH) required to provide a medical service to the entire disability group per entire population (and therefore health region). It is a lot more complex to estimate the WTE of consultant paediatrician in CCH required to provide the service for 100 children enlisted in a disability team as team work is only a component of the disability work of a consultant. It would depend on the age, complexity, severity, and co-morbidities of the children’s diagnoses as well as the criteria for enlisting to the team. For example, criteria for enlisting to EIT are not standardised across the country leading to a different mix of children in the teams. In addition the mix of children in the teams often depends on the services available in the region i.e. specialist public health nursing for Child Health, CAMHS, community psychology, the availability of direct access parenting supports, NEPS, school supports, tertiary care such as CRC and primary care teams.</w:t>
      </w:r>
    </w:p>
    <w:p w:rsidR="000D159D" w:rsidRPr="00853F36" w:rsidRDefault="000D159D" w:rsidP="000D159D">
      <w:pPr>
        <w:rPr>
          <w:b/>
          <w:szCs w:val="26"/>
        </w:rPr>
      </w:pPr>
      <w:r w:rsidRPr="00853F36">
        <w:rPr>
          <w:b/>
          <w:szCs w:val="26"/>
        </w:rPr>
        <w:t>The true proportion WTE consultant paediatrician CCH time required to provide a service to a disability team of 100 clients would also have to take in the following variables:</w:t>
      </w:r>
    </w:p>
    <w:p w:rsidR="000D159D" w:rsidRPr="00853F36" w:rsidRDefault="000D159D" w:rsidP="000D159D">
      <w:pPr>
        <w:pStyle w:val="ListBullet"/>
        <w:numPr>
          <w:ilvl w:val="0"/>
          <w:numId w:val="1"/>
        </w:numPr>
      </w:pPr>
      <w:r w:rsidRPr="00853F36">
        <w:t>The severity and complexity of disability among the children</w:t>
      </w:r>
    </w:p>
    <w:p w:rsidR="000D159D" w:rsidRPr="00853F36" w:rsidRDefault="000D159D" w:rsidP="000D159D">
      <w:pPr>
        <w:pStyle w:val="ListBullet"/>
        <w:numPr>
          <w:ilvl w:val="0"/>
          <w:numId w:val="1"/>
        </w:numPr>
      </w:pPr>
      <w:r w:rsidRPr="00853F36">
        <w:t>The age range, i.e. EIT or school-age team (SAT)</w:t>
      </w:r>
    </w:p>
    <w:p w:rsidR="000D159D" w:rsidRPr="00853F36" w:rsidRDefault="000D159D" w:rsidP="000D159D">
      <w:pPr>
        <w:pStyle w:val="ListBullet"/>
        <w:numPr>
          <w:ilvl w:val="0"/>
          <w:numId w:val="1"/>
        </w:numPr>
      </w:pPr>
      <w:r w:rsidRPr="00853F36">
        <w:t>The organisation of the disability team including team manager, administration support, key worker and social work</w:t>
      </w:r>
    </w:p>
    <w:p w:rsidR="000D159D" w:rsidRPr="00853F36" w:rsidRDefault="000D159D" w:rsidP="000D159D">
      <w:pPr>
        <w:pStyle w:val="ListBullet"/>
        <w:numPr>
          <w:ilvl w:val="0"/>
          <w:numId w:val="1"/>
        </w:numPr>
      </w:pPr>
      <w:r w:rsidRPr="00853F36">
        <w:t>Professionals on the team including specialist public health nursing, public health doctors (primary and/or senior medical officers)</w:t>
      </w:r>
    </w:p>
    <w:p w:rsidR="000D159D" w:rsidRPr="00853F36" w:rsidRDefault="000D159D" w:rsidP="000D159D">
      <w:pPr>
        <w:pStyle w:val="ListBullet"/>
        <w:numPr>
          <w:ilvl w:val="0"/>
          <w:numId w:val="1"/>
        </w:numPr>
      </w:pPr>
      <w:r w:rsidRPr="00853F36">
        <w:t>Prevalence of disadvantaged population groups within the region, taking into account poverty and ethnic minorities, particularly when English is not the first l</w:t>
      </w:r>
      <w:r w:rsidR="00BB494D">
        <w:t>anguage</w:t>
      </w:r>
    </w:p>
    <w:p w:rsidR="000D159D" w:rsidRPr="00853F36" w:rsidRDefault="000D159D" w:rsidP="000D159D">
      <w:pPr>
        <w:pStyle w:val="ListBullet"/>
        <w:numPr>
          <w:ilvl w:val="0"/>
          <w:numId w:val="1"/>
        </w:numPr>
      </w:pPr>
      <w:r w:rsidRPr="00853F36">
        <w:t>Whether the service required is secondary or tertiary e.g. in a specialised centr</w:t>
      </w:r>
      <w:r w:rsidR="00BB494D">
        <w:t>e such as Enable Ireland or CRC</w:t>
      </w:r>
    </w:p>
    <w:p w:rsidR="000D159D" w:rsidRPr="00853F36" w:rsidRDefault="000D159D" w:rsidP="000D159D">
      <w:pPr>
        <w:pStyle w:val="ListBullet"/>
        <w:numPr>
          <w:ilvl w:val="0"/>
          <w:numId w:val="1"/>
        </w:numPr>
      </w:pPr>
      <w:r w:rsidRPr="00853F36">
        <w:t>Central based or peripheral based clinics with</w:t>
      </w:r>
      <w:r w:rsidR="00BB494D">
        <w:t xml:space="preserve"> travel time taken into account</w:t>
      </w:r>
    </w:p>
    <w:p w:rsidR="000D159D" w:rsidRPr="00853F36" w:rsidRDefault="000D159D" w:rsidP="000D159D">
      <w:pPr>
        <w:pStyle w:val="ListBullet"/>
        <w:numPr>
          <w:ilvl w:val="0"/>
          <w:numId w:val="1"/>
        </w:numPr>
      </w:pPr>
      <w:r w:rsidRPr="00853F36">
        <w:t>The impact of team working versus the consultant seeing the child independently</w:t>
      </w:r>
    </w:p>
    <w:p w:rsidR="000D159D" w:rsidRPr="00853F36" w:rsidRDefault="000D159D" w:rsidP="000D159D">
      <w:pPr>
        <w:pStyle w:val="ListBullet"/>
        <w:numPr>
          <w:ilvl w:val="0"/>
          <w:numId w:val="1"/>
        </w:numPr>
      </w:pPr>
      <w:r w:rsidRPr="00853F36">
        <w:t>The need for palliative care in addition to the expected medical needs</w:t>
      </w:r>
    </w:p>
    <w:p w:rsidR="000D159D" w:rsidRPr="00853F36" w:rsidRDefault="000D159D" w:rsidP="000D159D">
      <w:pPr>
        <w:pStyle w:val="ListBullet"/>
        <w:numPr>
          <w:ilvl w:val="0"/>
          <w:numId w:val="1"/>
        </w:numPr>
      </w:pPr>
      <w:r w:rsidRPr="00853F36">
        <w:t>Whether the doctor’s responsibilities are covered during long or short-term leave</w:t>
      </w:r>
      <w:r w:rsidR="00BB494D">
        <w:t>.</w:t>
      </w:r>
    </w:p>
    <w:p w:rsidR="000D159D" w:rsidRPr="00853F36" w:rsidRDefault="000D159D" w:rsidP="000D159D">
      <w:pPr>
        <w:rPr>
          <w:b/>
          <w:bCs/>
          <w:szCs w:val="26"/>
        </w:rPr>
      </w:pPr>
      <w:r w:rsidRPr="00853F36">
        <w:rPr>
          <w:b/>
          <w:bCs/>
          <w:szCs w:val="26"/>
        </w:rPr>
        <w:t>The Report</w:t>
      </w:r>
      <w:r w:rsidRPr="00853F36">
        <w:rPr>
          <w:b/>
          <w:kern w:val="24"/>
          <w:szCs w:val="26"/>
          <w:lang w:eastAsia="en-IE"/>
        </w:rPr>
        <w:t xml:space="preserve"> </w:t>
      </w:r>
      <w:r w:rsidRPr="00853F36">
        <w:rPr>
          <w:b/>
          <w:bCs/>
          <w:szCs w:val="26"/>
        </w:rPr>
        <w:t>of the National Reference Group on Multidisciplinary Disability Services for Children aged 5-18, December 2009, summarises the role of consultant paediatrician in the care of children with disability.</w:t>
      </w:r>
    </w:p>
    <w:p w:rsidR="000D159D" w:rsidRPr="00853F36" w:rsidRDefault="000D159D" w:rsidP="000D159D">
      <w:pPr>
        <w:rPr>
          <w:szCs w:val="26"/>
        </w:rPr>
      </w:pPr>
      <w:r w:rsidRPr="00853F36">
        <w:rPr>
          <w:szCs w:val="26"/>
        </w:rPr>
        <w:t>“The consultant paediatrician will attend Network services on a regular sessional basis to see children individually and to provide consultation for the other team members</w:t>
      </w:r>
    </w:p>
    <w:p w:rsidR="000D159D" w:rsidRPr="00853F36" w:rsidRDefault="000D159D" w:rsidP="000D159D">
      <w:pPr>
        <w:rPr>
          <w:szCs w:val="26"/>
        </w:rPr>
      </w:pPr>
      <w:r w:rsidRPr="00853F36">
        <w:rPr>
          <w:szCs w:val="26"/>
        </w:rPr>
        <w:t>• Investigation, assessment, and diagnosis of children presenting with significant disorders of development</w:t>
      </w:r>
    </w:p>
    <w:p w:rsidR="000D159D" w:rsidRPr="00853F36" w:rsidRDefault="000D159D" w:rsidP="000D159D">
      <w:pPr>
        <w:rPr>
          <w:szCs w:val="26"/>
        </w:rPr>
      </w:pPr>
      <w:r w:rsidRPr="00853F36">
        <w:rPr>
          <w:szCs w:val="26"/>
        </w:rPr>
        <w:t>• Surveillance and management of children with identified disability in partnership with other team members and the primary care team</w:t>
      </w:r>
    </w:p>
    <w:p w:rsidR="000D159D" w:rsidRPr="00853F36" w:rsidRDefault="000D159D" w:rsidP="000D159D">
      <w:pPr>
        <w:rPr>
          <w:szCs w:val="26"/>
        </w:rPr>
      </w:pPr>
      <w:r w:rsidRPr="00853F36">
        <w:rPr>
          <w:szCs w:val="26"/>
        </w:rPr>
        <w:t xml:space="preserve">• Liaison with multidisciplinary teams at all levels to provide medical expertise, information and training to families, team members and </w:t>
      </w:r>
      <w:r w:rsidR="00BB494D">
        <w:rPr>
          <w:szCs w:val="26"/>
        </w:rPr>
        <w:t>frontline staff where necessary</w:t>
      </w:r>
    </w:p>
    <w:p w:rsidR="000D159D" w:rsidRPr="00853F36" w:rsidRDefault="000D159D" w:rsidP="000D159D">
      <w:pPr>
        <w:rPr>
          <w:szCs w:val="26"/>
        </w:rPr>
      </w:pPr>
      <w:r w:rsidRPr="00853F36">
        <w:rPr>
          <w:szCs w:val="26"/>
        </w:rPr>
        <w:t>• Ensure regular monitoring of children and adaptation of progra</w:t>
      </w:r>
      <w:r w:rsidR="00BB494D">
        <w:rPr>
          <w:szCs w:val="26"/>
        </w:rPr>
        <w:t>mmes in line with changing need</w:t>
      </w:r>
    </w:p>
    <w:p w:rsidR="000D159D" w:rsidRPr="00853F36" w:rsidRDefault="000D159D" w:rsidP="000D159D">
      <w:pPr>
        <w:rPr>
          <w:szCs w:val="26"/>
        </w:rPr>
      </w:pPr>
      <w:r w:rsidRPr="00853F36">
        <w:rPr>
          <w:szCs w:val="26"/>
        </w:rPr>
        <w:t>• Provide secondary and specialist medical expertise to educational and community</w:t>
      </w:r>
      <w:r w:rsidR="00BB494D">
        <w:rPr>
          <w:szCs w:val="26"/>
        </w:rPr>
        <w:t xml:space="preserve"> services in the catchment area</w:t>
      </w:r>
    </w:p>
    <w:p w:rsidR="000D159D" w:rsidRPr="00853F36" w:rsidRDefault="000D159D" w:rsidP="000D159D">
      <w:pPr>
        <w:rPr>
          <w:szCs w:val="26"/>
        </w:rPr>
      </w:pPr>
      <w:r w:rsidRPr="00853F36">
        <w:rPr>
          <w:szCs w:val="26"/>
        </w:rPr>
        <w:t>• Provide consultant secondary/tertiary level care to children with chronic medical conditions especially those with epilepsy, cerebral palsy, Down Syndrome and other phy</w:t>
      </w:r>
      <w:r w:rsidR="00BB494D">
        <w:rPr>
          <w:szCs w:val="26"/>
        </w:rPr>
        <w:t>sical and learning disabilities</w:t>
      </w:r>
    </w:p>
    <w:p w:rsidR="000D159D" w:rsidRPr="00853F36" w:rsidRDefault="000D159D" w:rsidP="000D159D">
      <w:pPr>
        <w:rPr>
          <w:szCs w:val="26"/>
        </w:rPr>
      </w:pPr>
      <w:r w:rsidRPr="00853F36">
        <w:rPr>
          <w:szCs w:val="26"/>
        </w:rPr>
        <w:t>• Child protection consultation for colleagues and CSA medical and liaison work</w:t>
      </w:r>
    </w:p>
    <w:p w:rsidR="000D159D" w:rsidRPr="00853F36" w:rsidRDefault="000D159D" w:rsidP="000D159D">
      <w:pPr>
        <w:rPr>
          <w:szCs w:val="26"/>
        </w:rPr>
      </w:pPr>
      <w:r w:rsidRPr="00853F36">
        <w:rPr>
          <w:szCs w:val="26"/>
        </w:rPr>
        <w:t>• Liaison with other services such as acute hospital services, mental health services, specialist medical services (neurology, cardiology, endocrinology)</w:t>
      </w:r>
      <w:r w:rsidR="00BB494D">
        <w:rPr>
          <w:szCs w:val="26"/>
        </w:rPr>
        <w:t>.</w:t>
      </w:r>
      <w:r w:rsidRPr="00853F36">
        <w:rPr>
          <w:szCs w:val="26"/>
        </w:rPr>
        <w:t>”</w:t>
      </w:r>
    </w:p>
    <w:p w:rsidR="000D159D" w:rsidRPr="00853F36" w:rsidRDefault="000D159D" w:rsidP="00584D89">
      <w:pPr>
        <w:pStyle w:val="Heading2"/>
      </w:pPr>
      <w:bookmarkStart w:id="299" w:name="_Toc415733774"/>
      <w:r w:rsidRPr="00853F36">
        <w:t>Core principles:</w:t>
      </w:r>
      <w:bookmarkEnd w:id="299"/>
    </w:p>
    <w:p w:rsidR="000D159D" w:rsidRPr="00853F36" w:rsidRDefault="000D159D" w:rsidP="000D159D">
      <w:pPr>
        <w:pStyle w:val="ListBullet"/>
        <w:numPr>
          <w:ilvl w:val="0"/>
          <w:numId w:val="1"/>
        </w:numPr>
      </w:pPr>
      <w:r w:rsidRPr="00853F36">
        <w:t>Each child with a significant developmental delay should have a medical assessment to determine the diagnosis, identify co-morbidities and institute t</w:t>
      </w:r>
      <w:r w:rsidR="00BB494D">
        <w:t>reatment</w:t>
      </w:r>
    </w:p>
    <w:p w:rsidR="000D159D" w:rsidRPr="00853F36" w:rsidRDefault="000D159D" w:rsidP="000D159D">
      <w:pPr>
        <w:pStyle w:val="ListBullet"/>
        <w:numPr>
          <w:ilvl w:val="0"/>
          <w:numId w:val="1"/>
        </w:numPr>
      </w:pPr>
      <w:r w:rsidRPr="00853F36">
        <w:t>This assessment should only be carried o</w:t>
      </w:r>
      <w:r w:rsidR="00BB494D">
        <w:t>ut by a doctor trained to do so</w:t>
      </w:r>
    </w:p>
    <w:p w:rsidR="000D159D" w:rsidRPr="00853F36" w:rsidRDefault="000D159D" w:rsidP="000D159D">
      <w:pPr>
        <w:pStyle w:val="ListBullet"/>
        <w:numPr>
          <w:ilvl w:val="0"/>
          <w:numId w:val="1"/>
        </w:numPr>
        <w:spacing w:after="240"/>
      </w:pPr>
      <w:r w:rsidRPr="00853F36">
        <w:t>Children with disability or significant developmental delay require on-going management of the condition by a doctor qualified to do so.</w:t>
      </w:r>
    </w:p>
    <w:p w:rsidR="000D159D" w:rsidRPr="00853F36" w:rsidRDefault="000D159D" w:rsidP="00584D89">
      <w:pPr>
        <w:pStyle w:val="Heading2"/>
      </w:pPr>
      <w:bookmarkStart w:id="300" w:name="_Toc415733775"/>
      <w:r w:rsidRPr="00853F36">
        <w:t>Current Pr</w:t>
      </w:r>
      <w:r>
        <w:t>actise and Consultant Workforce</w:t>
      </w:r>
      <w:bookmarkEnd w:id="300"/>
    </w:p>
    <w:p w:rsidR="000D159D" w:rsidRPr="00853F36" w:rsidRDefault="000D159D" w:rsidP="000D159D">
      <w:pPr>
        <w:rPr>
          <w:szCs w:val="26"/>
        </w:rPr>
      </w:pPr>
      <w:r w:rsidRPr="00853F36">
        <w:rPr>
          <w:szCs w:val="26"/>
        </w:rPr>
        <w:t xml:space="preserve">This service is currently led and provided for by consultant paediatricians with a special interest in community child health in many geographical regions. Each of these consultants has a 0.5 commitment to hospital services and 0.5 to community (predominantly disability) service. The care of children with disability by the consultant paediatrician is continued, usually, until the child completes secondary or special school at 18-19 years. In some areas, community and public health doctors provide part of the service, either under supervision of consultant colleagues or on their own. There are still areas of the country where the disability teams have no medical liaison or service which is very worrying. In many other areas there are insufficient consultant paediatricians appointed to cover all aspects of the service required. So there are many gaps in the service and this is particularly true of </w:t>
      </w:r>
      <w:smartTag w:uri="urn:schemas-microsoft-com:office:smarttags" w:element="place">
        <w:smartTag w:uri="urn:schemas-microsoft-com:office:smarttags" w:element="City">
          <w:r w:rsidRPr="00853F36">
            <w:rPr>
              <w:szCs w:val="26"/>
            </w:rPr>
            <w:t>Dublin-Mid-Leinster</w:t>
          </w:r>
        </w:smartTag>
      </w:smartTag>
      <w:r w:rsidRPr="00853F36">
        <w:rPr>
          <w:szCs w:val="26"/>
        </w:rPr>
        <w:t xml:space="preserve"> and Dublin-North-East regions. In some areas</w:t>
      </w:r>
      <w:r w:rsidR="00BB494D">
        <w:rPr>
          <w:szCs w:val="26"/>
        </w:rPr>
        <w:t>,</w:t>
      </w:r>
      <w:r w:rsidRPr="00853F36">
        <w:rPr>
          <w:szCs w:val="26"/>
        </w:rPr>
        <w:t xml:space="preserve"> the early intervention team has a designated paediatrician but the school-aged children do not and vice versa. In Dublin</w:t>
      </w:r>
      <w:r w:rsidR="00BB494D">
        <w:rPr>
          <w:szCs w:val="26"/>
        </w:rPr>
        <w:t>,</w:t>
      </w:r>
      <w:r w:rsidRPr="00853F36">
        <w:rPr>
          <w:szCs w:val="26"/>
        </w:rPr>
        <w:t xml:space="preserve"> the consultant paediatrician is based in the hospitals or within the voluntary agencies service. Generic teams are not covered by a consultant.</w:t>
      </w:r>
    </w:p>
    <w:p w:rsidR="000D159D" w:rsidRPr="00853F36" w:rsidRDefault="000D159D" w:rsidP="00584D89">
      <w:pPr>
        <w:pStyle w:val="Heading2"/>
      </w:pPr>
      <w:bookmarkStart w:id="301" w:name="_Toc415733776"/>
      <w:r w:rsidRPr="00853F36">
        <w:t>Available Workforce Recommendations</w:t>
      </w:r>
      <w:bookmarkEnd w:id="301"/>
    </w:p>
    <w:p w:rsidR="000D159D" w:rsidRPr="00853F36" w:rsidRDefault="000D159D" w:rsidP="000D159D">
      <w:pPr>
        <w:rPr>
          <w:szCs w:val="26"/>
        </w:rPr>
      </w:pPr>
      <w:r w:rsidRPr="00853F36">
        <w:rPr>
          <w:bCs/>
          <w:szCs w:val="26"/>
        </w:rPr>
        <w:t>The Report</w:t>
      </w:r>
      <w:r w:rsidRPr="00853F36">
        <w:rPr>
          <w:kern w:val="24"/>
          <w:szCs w:val="26"/>
          <w:lang w:eastAsia="en-IE"/>
        </w:rPr>
        <w:t xml:space="preserve"> </w:t>
      </w:r>
      <w:r w:rsidRPr="00853F36">
        <w:rPr>
          <w:bCs/>
          <w:szCs w:val="26"/>
        </w:rPr>
        <w:t xml:space="preserve">of the National Reference Group on Multidisciplinary Disability Services for Children aged 5-18 recommended that there should be a whole time equivalent community paediatrician post in each Local Health Office (150,000 pop) area whose role would include providing sessional input to all Network teams. This equates to 28 WTE consultants to provide the disability component of the CCH </w:t>
      </w:r>
      <w:r w:rsidR="00434BCD" w:rsidRPr="00853F36">
        <w:rPr>
          <w:bCs/>
          <w:szCs w:val="26"/>
        </w:rPr>
        <w:t>consultants’</w:t>
      </w:r>
      <w:r w:rsidRPr="00853F36">
        <w:rPr>
          <w:bCs/>
          <w:szCs w:val="26"/>
        </w:rPr>
        <w:t xml:space="preserve"> role (56 consultants with 0.5 hospital </w:t>
      </w:r>
      <w:r w:rsidR="00434BCD" w:rsidRPr="00853F36">
        <w:rPr>
          <w:bCs/>
          <w:szCs w:val="26"/>
        </w:rPr>
        <w:t>commitment)</w:t>
      </w:r>
      <w:r w:rsidRPr="00853F36">
        <w:rPr>
          <w:bCs/>
          <w:szCs w:val="26"/>
        </w:rPr>
        <w:t>. There are currently only 12.75 WTE consultants in CCH in the country. This estimation pertains to the disability (secondary level) component of the work of a consultant community paediatrician and does not take into account the other duties of this role</w:t>
      </w:r>
      <w:r w:rsidR="00BB494D">
        <w:rPr>
          <w:bCs/>
          <w:szCs w:val="26"/>
        </w:rPr>
        <w:t>,</w:t>
      </w:r>
      <w:r w:rsidRPr="00853F36">
        <w:rPr>
          <w:bCs/>
          <w:szCs w:val="26"/>
        </w:rPr>
        <w:t xml:space="preserve"> which are tertiary level disability (e.g. spasticity management), consultative role in Child Protection, teaching,</w:t>
      </w:r>
      <w:r w:rsidRPr="00853F36">
        <w:rPr>
          <w:szCs w:val="26"/>
        </w:rPr>
        <w:t xml:space="preserve"> and public health.</w:t>
      </w:r>
    </w:p>
    <w:p w:rsidR="000D159D" w:rsidRPr="00853F36" w:rsidRDefault="000D159D" w:rsidP="000D159D">
      <w:pPr>
        <w:rPr>
          <w:bCs/>
          <w:szCs w:val="26"/>
        </w:rPr>
      </w:pPr>
      <w:r w:rsidRPr="00853F36">
        <w:rPr>
          <w:bCs/>
          <w:szCs w:val="26"/>
        </w:rPr>
        <w:t>The British Association for Community Child Health (BACCH) analysed the community paediatrician workforce requirements to meet the needs of children in the 21</w:t>
      </w:r>
      <w:r w:rsidRPr="00853F36">
        <w:rPr>
          <w:bCs/>
          <w:szCs w:val="26"/>
          <w:vertAlign w:val="superscript"/>
        </w:rPr>
        <w:t>st</w:t>
      </w:r>
      <w:r w:rsidRPr="00853F36">
        <w:rPr>
          <w:bCs/>
          <w:szCs w:val="26"/>
        </w:rPr>
        <w:t xml:space="preserve"> century in 1999 and 2002. (Paediatric Workforce Requirements to Meet the Needs of Children in the 21</w:t>
      </w:r>
      <w:r w:rsidRPr="00853F36">
        <w:rPr>
          <w:bCs/>
          <w:szCs w:val="26"/>
          <w:vertAlign w:val="superscript"/>
        </w:rPr>
        <w:t>st</w:t>
      </w:r>
      <w:r w:rsidRPr="00853F36">
        <w:rPr>
          <w:bCs/>
          <w:szCs w:val="26"/>
        </w:rPr>
        <w:t xml:space="preserve"> Century). The report concluded that a geographical area of 100,000 population with average health needs requires 4.5 WTE community paediatricians to provide “good enough care”. The community paediatrician in the </w:t>
      </w:r>
      <w:smartTag w:uri="urn:schemas-microsoft-com:office:smarttags" w:element="place">
        <w:smartTag w:uri="urn:schemas-microsoft-com:office:smarttags" w:element="country-region">
          <w:r w:rsidRPr="00853F36">
            <w:rPr>
              <w:bCs/>
              <w:szCs w:val="26"/>
            </w:rPr>
            <w:t>UK</w:t>
          </w:r>
        </w:smartTag>
      </w:smartTag>
      <w:r w:rsidRPr="00853F36">
        <w:rPr>
          <w:bCs/>
          <w:szCs w:val="26"/>
        </w:rPr>
        <w:t xml:space="preserve"> includes the consultant, associate- grade and staff-grade paediatrician. There are no associate-grade or staff-grade paediatricians in </w:t>
      </w:r>
      <w:smartTag w:uri="urn:schemas-microsoft-com:office:smarttags" w:element="place">
        <w:smartTag w:uri="urn:schemas-microsoft-com:office:smarttags" w:element="country-region">
          <w:r w:rsidRPr="00853F36">
            <w:rPr>
              <w:bCs/>
              <w:szCs w:val="26"/>
            </w:rPr>
            <w:t>Ireland</w:t>
          </w:r>
        </w:smartTag>
      </w:smartTag>
      <w:r w:rsidRPr="00853F36">
        <w:rPr>
          <w:bCs/>
          <w:szCs w:val="26"/>
        </w:rPr>
        <w:t xml:space="preserve">. An equivalent role to this in </w:t>
      </w:r>
      <w:smartTag w:uri="urn:schemas-microsoft-com:office:smarttags" w:element="place">
        <w:smartTag w:uri="urn:schemas-microsoft-com:office:smarttags" w:element="country-region">
          <w:r w:rsidRPr="00853F36">
            <w:rPr>
              <w:bCs/>
              <w:szCs w:val="26"/>
            </w:rPr>
            <w:t>Ireland</w:t>
          </w:r>
        </w:smartTag>
      </w:smartTag>
      <w:r w:rsidRPr="00853F36">
        <w:rPr>
          <w:bCs/>
          <w:szCs w:val="26"/>
        </w:rPr>
        <w:t xml:space="preserve"> would be the Child Health component of the work of community or public health doctors. There is a large variation in the existence of community doctors (senior and area medical officers) in the country. In some areas there are no S/AMO’s and in many areas the Child Health component of their post is small. In other areas, however (e.g. Longford/Westmeath) the S/AMO is an integral part of the EIT team and works under supervision of the consultant paediatrician in CCH. Given the Irish population in 2011 the BACCH guideline would recommend 189 WTE doctors working in community child health, 63 WTE of whom to be consultants.</w:t>
      </w:r>
    </w:p>
    <w:p w:rsidR="000D159D" w:rsidRPr="00853F36" w:rsidRDefault="000D159D" w:rsidP="000D159D">
      <w:pPr>
        <w:rPr>
          <w:szCs w:val="26"/>
        </w:rPr>
      </w:pPr>
      <w:r w:rsidRPr="00853F36">
        <w:rPr>
          <w:szCs w:val="26"/>
        </w:rPr>
        <w:t>The contribution of the consultant paediatrician to the disability teams is best provided where disability teams are well resourced and managed and there are good examples of this in the country. In a minority of regions there is one WTE consultant in CCH providing a service to a typical region with 150,000 general population. Consultants there feel that the current organisation of the disability teams and the nature of the liaison between the consultant and the teams works well and is manageable.</w:t>
      </w:r>
    </w:p>
    <w:p w:rsidR="000D159D" w:rsidRPr="00853F36" w:rsidRDefault="000D159D" w:rsidP="00584D89">
      <w:pPr>
        <w:pStyle w:val="Heading2"/>
      </w:pPr>
      <w:bookmarkStart w:id="302" w:name="_Toc415733777"/>
      <w:r w:rsidRPr="00853F36">
        <w:t>Summary</w:t>
      </w:r>
      <w:bookmarkEnd w:id="302"/>
    </w:p>
    <w:p w:rsidR="000D159D" w:rsidRPr="00853F36" w:rsidRDefault="000D159D" w:rsidP="000D159D">
      <w:pPr>
        <w:rPr>
          <w:szCs w:val="26"/>
        </w:rPr>
      </w:pPr>
      <w:r w:rsidRPr="00853F36">
        <w:rPr>
          <w:szCs w:val="26"/>
        </w:rPr>
        <w:t>Each child with a disability or developmental delay requires assessment and management by a suitably trained doctor, either by or under the supervision of a consultant paediatrician in CCH.</w:t>
      </w:r>
    </w:p>
    <w:p w:rsidR="000D159D" w:rsidRPr="00853F36" w:rsidRDefault="000D159D" w:rsidP="000D159D">
      <w:pPr>
        <w:rPr>
          <w:szCs w:val="26"/>
        </w:rPr>
      </w:pPr>
      <w:r w:rsidRPr="00853F36">
        <w:rPr>
          <w:szCs w:val="26"/>
        </w:rPr>
        <w:t>There is a lack of doctors throughout the country to provide this service.</w:t>
      </w:r>
    </w:p>
    <w:p w:rsidR="000D159D" w:rsidRPr="00853F36" w:rsidRDefault="000D159D" w:rsidP="000D159D">
      <w:pPr>
        <w:rPr>
          <w:szCs w:val="26"/>
        </w:rPr>
      </w:pPr>
      <w:r w:rsidRPr="00853F36">
        <w:rPr>
          <w:szCs w:val="26"/>
        </w:rPr>
        <w:t>Children with disability or developmental delay may or may not require multidisciplinary care and therapy. Those requiring multidisciplinary input are best cared for within a multidisciplinary team.</w:t>
      </w:r>
    </w:p>
    <w:p w:rsidR="000D159D" w:rsidRPr="00853F36" w:rsidRDefault="000D159D" w:rsidP="000D159D">
      <w:pPr>
        <w:rPr>
          <w:szCs w:val="26"/>
        </w:rPr>
      </w:pPr>
      <w:r w:rsidRPr="00853F36">
        <w:rPr>
          <w:szCs w:val="26"/>
        </w:rPr>
        <w:t>To best provide a medical service to children with disability in a “joined up” way, the consultant paediatrician in CCH liaises closely with the MDT team.</w:t>
      </w:r>
    </w:p>
    <w:p w:rsidR="000D159D" w:rsidRPr="00853F36" w:rsidRDefault="000D159D" w:rsidP="000D159D">
      <w:pPr>
        <w:rPr>
          <w:szCs w:val="26"/>
        </w:rPr>
      </w:pPr>
      <w:r w:rsidRPr="00853F36">
        <w:rPr>
          <w:szCs w:val="26"/>
        </w:rPr>
        <w:t>The medical service to a disability team is most efficient and effective when the team is well resourced and managed.</w:t>
      </w:r>
    </w:p>
    <w:p w:rsidR="000D159D" w:rsidRPr="00853F36" w:rsidRDefault="000D159D" w:rsidP="000D159D">
      <w:pPr>
        <w:rPr>
          <w:szCs w:val="26"/>
        </w:rPr>
      </w:pPr>
      <w:r w:rsidRPr="00853F36">
        <w:rPr>
          <w:szCs w:val="26"/>
        </w:rPr>
        <w:t>There are children with disability requiring medical management who are not receiving MDT care (e.g. child with physical disability without intellectual disability or with specific language disorder) and the consultant paediatrician in CCH continues to see these children independently of a team.</w:t>
      </w:r>
    </w:p>
    <w:p w:rsidR="000D159D" w:rsidRPr="00853F36" w:rsidRDefault="000D159D" w:rsidP="000D159D">
      <w:pPr>
        <w:rPr>
          <w:szCs w:val="26"/>
        </w:rPr>
      </w:pPr>
      <w:r w:rsidRPr="00853F36">
        <w:rPr>
          <w:szCs w:val="26"/>
        </w:rPr>
        <w:t>The estimate of 1 WTE consultant paediatrician in CCH per 150,000 of the general population to provide the disability component of the consultants post is a current working guide. This equates to 28WTE consultants throughout the country.</w:t>
      </w:r>
    </w:p>
    <w:p w:rsidR="000D159D" w:rsidRPr="00853F36" w:rsidRDefault="000D159D" w:rsidP="000D159D">
      <w:pPr>
        <w:rPr>
          <w:szCs w:val="26"/>
        </w:rPr>
      </w:pPr>
      <w:r w:rsidRPr="00853F36">
        <w:rPr>
          <w:szCs w:val="26"/>
        </w:rPr>
        <w:t>To provide the full range of consultant services to community child health, including child protection, more than this number of consultants is necessary.</w:t>
      </w:r>
    </w:p>
    <w:p w:rsidR="000D159D" w:rsidRPr="00853F36" w:rsidRDefault="000D159D" w:rsidP="000D159D">
      <w:pPr>
        <w:rPr>
          <w:szCs w:val="26"/>
        </w:rPr>
      </w:pPr>
      <w:r w:rsidRPr="00853F36">
        <w:rPr>
          <w:szCs w:val="26"/>
        </w:rPr>
        <w:t xml:space="preserve">To accurately determine the WTE requirement to provide the medical service to a team serving a population of children requires more research. There are good examples of service provision in the country on which to base research. </w:t>
      </w:r>
    </w:p>
    <w:p w:rsidR="00F81329" w:rsidRPr="00853F36" w:rsidRDefault="004F22FF" w:rsidP="00F81329">
      <w:pPr>
        <w:pStyle w:val="Heading1"/>
      </w:pPr>
      <w:bookmarkStart w:id="303" w:name="_Toc386464578"/>
      <w:bookmarkStart w:id="304" w:name="_Toc386470073"/>
      <w:bookmarkStart w:id="305" w:name="_Toc386464565"/>
      <w:bookmarkStart w:id="306" w:name="_Toc386470060"/>
      <w:bookmarkStart w:id="307" w:name="_Toc415733778"/>
      <w:r>
        <w:t>Appendix 7</w:t>
      </w:r>
      <w:r w:rsidR="00F81329">
        <w:t xml:space="preserve">: Reconfiguring </w:t>
      </w:r>
      <w:r w:rsidR="00F81329" w:rsidRPr="00853F36">
        <w:t xml:space="preserve">Disability </w:t>
      </w:r>
      <w:r w:rsidR="00F81329" w:rsidRPr="00D16030">
        <w:t>Services in</w:t>
      </w:r>
      <w:r w:rsidR="00F81329">
        <w:t xml:space="preserve"> Ireland</w:t>
      </w:r>
      <w:bookmarkEnd w:id="307"/>
      <w:r w:rsidR="00F81329" w:rsidRPr="00D16030">
        <w:t xml:space="preserve"> </w:t>
      </w:r>
      <w:bookmarkEnd w:id="305"/>
      <w:bookmarkEnd w:id="306"/>
    </w:p>
    <w:p w:rsidR="00F81329" w:rsidRPr="00853F36" w:rsidRDefault="00F81329" w:rsidP="0040246E">
      <w:pPr>
        <w:pStyle w:val="Heading2"/>
      </w:pPr>
      <w:bookmarkStart w:id="308" w:name="_Toc386464566"/>
      <w:bookmarkStart w:id="309" w:name="_Toc386470061"/>
      <w:bookmarkStart w:id="310" w:name="_Toc415733779"/>
      <w:r w:rsidRPr="00853F36">
        <w:t>Reconfiguring health services</w:t>
      </w:r>
      <w:bookmarkEnd w:id="308"/>
      <w:bookmarkEnd w:id="309"/>
      <w:bookmarkEnd w:id="310"/>
    </w:p>
    <w:p w:rsidR="00F81329" w:rsidRPr="00853F36" w:rsidRDefault="00F81329" w:rsidP="00F81329">
      <w:pPr>
        <w:pStyle w:val="ListNumber"/>
        <w:numPr>
          <w:ilvl w:val="0"/>
          <w:numId w:val="0"/>
        </w:numPr>
        <w:rPr>
          <w:lang w:val="en"/>
        </w:rPr>
      </w:pPr>
      <w:r w:rsidRPr="00853F36">
        <w:rPr>
          <w:lang w:val="en"/>
        </w:rPr>
        <w:t xml:space="preserve">The creation of a governance system in </w:t>
      </w:r>
      <w:smartTag w:uri="urn:schemas-microsoft-com:office:smarttags" w:element="place">
        <w:smartTag w:uri="urn:schemas-microsoft-com:office:smarttags" w:element="country-region">
          <w:r w:rsidRPr="00853F36">
            <w:rPr>
              <w:lang w:val="en"/>
            </w:rPr>
            <w:t>Ireland</w:t>
          </w:r>
        </w:smartTag>
      </w:smartTag>
      <w:r w:rsidRPr="00853F36">
        <w:rPr>
          <w:lang w:val="en"/>
        </w:rPr>
        <w:t xml:space="preserve"> that will deliver individualized services and supports requires the reconfiguration</w:t>
      </w:r>
      <w:r>
        <w:rPr>
          <w:lang w:val="en"/>
        </w:rPr>
        <w:t xml:space="preserve"> of existing processes. Table 2</w:t>
      </w:r>
      <w:r w:rsidRPr="00853F36">
        <w:rPr>
          <w:lang w:val="en"/>
        </w:rPr>
        <w:t xml:space="preserve"> outl</w:t>
      </w:r>
      <w:r>
        <w:rPr>
          <w:lang w:val="en"/>
        </w:rPr>
        <w:t>ines the system changes planned by the Department of Health</w:t>
      </w:r>
    </w:p>
    <w:p w:rsidR="00F81329" w:rsidRPr="00575C12" w:rsidRDefault="00F81329" w:rsidP="00F81329">
      <w:pPr>
        <w:rPr>
          <w:b/>
          <w:lang w:val="en"/>
        </w:rPr>
      </w:pPr>
      <w:r w:rsidRPr="00575C12">
        <w:rPr>
          <w:b/>
          <w:lang w:val="en"/>
        </w:rPr>
        <w:t>Figure 1: Characteristics of current system and its reshaping</w:t>
      </w:r>
      <w:r w:rsidRPr="00575C12">
        <w:rPr>
          <w:rStyle w:val="FootnoteReference"/>
          <w:b/>
          <w:sz w:val="24"/>
          <w:lang w:val="en"/>
        </w:rPr>
        <w:footnoteReference w:id="254"/>
      </w:r>
      <w:r w:rsidRPr="00575C12">
        <w:rPr>
          <w:b/>
          <w:lang w:val="e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5287"/>
      </w:tblGrid>
      <w:tr w:rsidR="00F81329" w:rsidRPr="00177DBD" w:rsidTr="00E20F6B">
        <w:tc>
          <w:tcPr>
            <w:tcW w:w="0" w:type="auto"/>
          </w:tcPr>
          <w:p w:rsidR="00F81329" w:rsidRPr="00177DBD" w:rsidRDefault="00F81329" w:rsidP="00584D89">
            <w:pPr>
              <w:pStyle w:val="TableHead"/>
            </w:pPr>
            <w:r w:rsidRPr="00177DBD">
              <w:t>Current System</w:t>
            </w:r>
          </w:p>
        </w:tc>
        <w:tc>
          <w:tcPr>
            <w:tcW w:w="0" w:type="auto"/>
          </w:tcPr>
          <w:p w:rsidR="00F81329" w:rsidRPr="00177DBD" w:rsidRDefault="00F81329" w:rsidP="00584D89">
            <w:pPr>
              <w:pStyle w:val="TableHead"/>
            </w:pPr>
            <w:r w:rsidRPr="00177DBD">
              <w:t>How it is being reshaped</w:t>
            </w:r>
          </w:p>
        </w:tc>
      </w:tr>
      <w:tr w:rsidR="00F81329" w:rsidRPr="00177DBD" w:rsidTr="00E20F6B">
        <w:tc>
          <w:tcPr>
            <w:tcW w:w="0" w:type="auto"/>
          </w:tcPr>
          <w:p w:rsidR="00F81329" w:rsidRPr="00177DBD" w:rsidRDefault="00F81329" w:rsidP="00E20F6B">
            <w:pPr>
              <w:rPr>
                <w:szCs w:val="26"/>
                <w:lang w:val="en"/>
              </w:rPr>
            </w:pPr>
            <w:r w:rsidRPr="00177DBD">
              <w:rPr>
                <w:szCs w:val="26"/>
              </w:rPr>
              <w:t>Current disability provision</w:t>
            </w:r>
          </w:p>
        </w:tc>
        <w:tc>
          <w:tcPr>
            <w:tcW w:w="0" w:type="auto"/>
          </w:tcPr>
          <w:p w:rsidR="00F81329" w:rsidRPr="00177DBD" w:rsidRDefault="00F81329" w:rsidP="00E20F6B">
            <w:pPr>
              <w:rPr>
                <w:szCs w:val="26"/>
                <w:lang w:val="en"/>
              </w:rPr>
            </w:pPr>
            <w:r w:rsidRPr="00177DBD">
              <w:rPr>
                <w:szCs w:val="26"/>
              </w:rPr>
              <w:t>To …individualised supports and mainstream services</w:t>
            </w:r>
          </w:p>
        </w:tc>
      </w:tr>
      <w:tr w:rsidR="00F81329" w:rsidRPr="00177DBD" w:rsidTr="00E20F6B">
        <w:tc>
          <w:tcPr>
            <w:tcW w:w="0" w:type="auto"/>
          </w:tcPr>
          <w:p w:rsidR="00F81329" w:rsidRPr="00177DBD" w:rsidRDefault="00F81329" w:rsidP="00E20F6B">
            <w:pPr>
              <w:rPr>
                <w:szCs w:val="26"/>
                <w:lang w:val="en"/>
              </w:rPr>
            </w:pPr>
            <w:r w:rsidRPr="00177DBD">
              <w:rPr>
                <w:szCs w:val="26"/>
              </w:rPr>
              <w:t>From ...service defined by agency</w:t>
            </w:r>
          </w:p>
        </w:tc>
        <w:tc>
          <w:tcPr>
            <w:tcW w:w="0" w:type="auto"/>
          </w:tcPr>
          <w:p w:rsidR="00F81329" w:rsidRPr="00177DBD" w:rsidRDefault="00F81329" w:rsidP="00E20F6B">
            <w:pPr>
              <w:rPr>
                <w:szCs w:val="26"/>
                <w:lang w:val="en"/>
              </w:rPr>
            </w:pPr>
            <w:r w:rsidRPr="00177DBD">
              <w:rPr>
                <w:szCs w:val="26"/>
              </w:rPr>
              <w:t>To ...service jointly defined by service user and family, commissioning authority (e.g. HSE) and Government</w:t>
            </w:r>
          </w:p>
        </w:tc>
      </w:tr>
      <w:tr w:rsidR="00F81329" w:rsidRPr="00177DBD" w:rsidTr="00E20F6B">
        <w:tc>
          <w:tcPr>
            <w:tcW w:w="0" w:type="auto"/>
          </w:tcPr>
          <w:p w:rsidR="00F81329" w:rsidRPr="00177DBD" w:rsidRDefault="00F81329" w:rsidP="00E20F6B">
            <w:pPr>
              <w:rPr>
                <w:szCs w:val="26"/>
                <w:lang w:val="en"/>
              </w:rPr>
            </w:pPr>
            <w:r w:rsidRPr="00177DBD">
              <w:rPr>
                <w:szCs w:val="26"/>
              </w:rPr>
              <w:t>From ...service deliverer accountable for inputs and compliance</w:t>
            </w:r>
          </w:p>
        </w:tc>
        <w:tc>
          <w:tcPr>
            <w:tcW w:w="0" w:type="auto"/>
          </w:tcPr>
          <w:p w:rsidR="00F81329" w:rsidRPr="00177DBD" w:rsidRDefault="00F81329" w:rsidP="00E20F6B">
            <w:pPr>
              <w:rPr>
                <w:szCs w:val="26"/>
                <w:lang w:val="en"/>
              </w:rPr>
            </w:pPr>
            <w:r w:rsidRPr="00177DBD">
              <w:rPr>
                <w:szCs w:val="26"/>
              </w:rPr>
              <w:t>To ...service deliverer accountable for outputs and quality</w:t>
            </w:r>
          </w:p>
        </w:tc>
      </w:tr>
      <w:tr w:rsidR="00F81329" w:rsidRPr="00177DBD" w:rsidTr="00E20F6B">
        <w:tc>
          <w:tcPr>
            <w:tcW w:w="0" w:type="auto"/>
          </w:tcPr>
          <w:p w:rsidR="00F81329" w:rsidRPr="00177DBD" w:rsidRDefault="00F81329" w:rsidP="00E20F6B">
            <w:pPr>
              <w:rPr>
                <w:szCs w:val="26"/>
                <w:lang w:val="en"/>
              </w:rPr>
            </w:pPr>
            <w:r w:rsidRPr="00177DBD">
              <w:rPr>
                <w:szCs w:val="26"/>
              </w:rPr>
              <w:t>From ...compliance with rules</w:t>
            </w:r>
          </w:p>
        </w:tc>
        <w:tc>
          <w:tcPr>
            <w:tcW w:w="0" w:type="auto"/>
          </w:tcPr>
          <w:p w:rsidR="00F81329" w:rsidRPr="00177DBD" w:rsidRDefault="00F81329" w:rsidP="00E20F6B">
            <w:pPr>
              <w:rPr>
                <w:szCs w:val="26"/>
                <w:lang w:val="en"/>
              </w:rPr>
            </w:pPr>
            <w:r w:rsidRPr="00177DBD">
              <w:rPr>
                <w:szCs w:val="26"/>
              </w:rPr>
              <w:t>To ...attainment of outcome-based standards and demonstrated commitment to continuous quality improvement</w:t>
            </w:r>
          </w:p>
        </w:tc>
      </w:tr>
      <w:tr w:rsidR="00F81329" w:rsidRPr="00177DBD" w:rsidTr="00E20F6B">
        <w:tc>
          <w:tcPr>
            <w:tcW w:w="0" w:type="auto"/>
          </w:tcPr>
          <w:p w:rsidR="00F81329" w:rsidRPr="00177DBD" w:rsidRDefault="00F81329" w:rsidP="00E20F6B">
            <w:pPr>
              <w:rPr>
                <w:szCs w:val="26"/>
                <w:lang w:val="en"/>
              </w:rPr>
            </w:pPr>
            <w:r w:rsidRPr="00177DBD">
              <w:rPr>
                <w:szCs w:val="26"/>
              </w:rPr>
              <w:t>From ...provides categorical services</w:t>
            </w:r>
          </w:p>
        </w:tc>
        <w:tc>
          <w:tcPr>
            <w:tcW w:w="0" w:type="auto"/>
          </w:tcPr>
          <w:p w:rsidR="00F81329" w:rsidRPr="00177DBD" w:rsidRDefault="00F81329" w:rsidP="00E20F6B">
            <w:pPr>
              <w:rPr>
                <w:szCs w:val="26"/>
                <w:lang w:val="en"/>
              </w:rPr>
            </w:pPr>
            <w:r w:rsidRPr="00177DBD">
              <w:rPr>
                <w:szCs w:val="26"/>
              </w:rPr>
              <w:t>To ...provides integrated services</w:t>
            </w:r>
          </w:p>
        </w:tc>
      </w:tr>
      <w:tr w:rsidR="00F81329" w:rsidRPr="00177DBD" w:rsidTr="00E20F6B">
        <w:tc>
          <w:tcPr>
            <w:tcW w:w="0" w:type="auto"/>
          </w:tcPr>
          <w:p w:rsidR="00F81329" w:rsidRPr="00177DBD" w:rsidRDefault="00F81329" w:rsidP="00E20F6B">
            <w:pPr>
              <w:rPr>
                <w:szCs w:val="26"/>
                <w:lang w:val="en"/>
              </w:rPr>
            </w:pPr>
            <w:r w:rsidRPr="00177DBD">
              <w:rPr>
                <w:szCs w:val="26"/>
              </w:rPr>
              <w:t>From ...service delivered through credentialed professionals</w:t>
            </w:r>
          </w:p>
        </w:tc>
        <w:tc>
          <w:tcPr>
            <w:tcW w:w="0" w:type="auto"/>
          </w:tcPr>
          <w:p w:rsidR="00F81329" w:rsidRPr="00177DBD" w:rsidRDefault="00F81329" w:rsidP="00E20F6B">
            <w:pPr>
              <w:rPr>
                <w:szCs w:val="26"/>
                <w:lang w:val="en"/>
              </w:rPr>
            </w:pPr>
            <w:r w:rsidRPr="00177DBD">
              <w:rPr>
                <w:szCs w:val="26"/>
              </w:rPr>
              <w:t>To ...services and supports delivered through professionals, non-professionals and service user representatives</w:t>
            </w:r>
          </w:p>
        </w:tc>
      </w:tr>
      <w:tr w:rsidR="00F81329" w:rsidRPr="00177DBD" w:rsidTr="00E20F6B">
        <w:tc>
          <w:tcPr>
            <w:tcW w:w="0" w:type="auto"/>
          </w:tcPr>
          <w:p w:rsidR="00F81329" w:rsidRPr="00177DBD" w:rsidRDefault="00F81329" w:rsidP="00E20F6B">
            <w:pPr>
              <w:rPr>
                <w:szCs w:val="26"/>
                <w:lang w:val="en"/>
              </w:rPr>
            </w:pPr>
            <w:r w:rsidRPr="00177DBD">
              <w:rPr>
                <w:szCs w:val="26"/>
              </w:rPr>
              <w:t>From ...funds isolated projects</w:t>
            </w:r>
          </w:p>
        </w:tc>
        <w:tc>
          <w:tcPr>
            <w:tcW w:w="0" w:type="auto"/>
          </w:tcPr>
          <w:p w:rsidR="00F81329" w:rsidRPr="00177DBD" w:rsidRDefault="00F81329" w:rsidP="00E20F6B">
            <w:pPr>
              <w:rPr>
                <w:szCs w:val="26"/>
                <w:lang w:val="en"/>
              </w:rPr>
            </w:pPr>
            <w:r w:rsidRPr="00177DBD">
              <w:rPr>
                <w:szCs w:val="26"/>
              </w:rPr>
              <w:t>To ...levers local innovations into improvements in mainstream services</w:t>
            </w:r>
          </w:p>
        </w:tc>
      </w:tr>
      <w:tr w:rsidR="00F81329" w:rsidRPr="00177DBD" w:rsidTr="00E20F6B">
        <w:tc>
          <w:tcPr>
            <w:tcW w:w="0" w:type="auto"/>
          </w:tcPr>
          <w:p w:rsidR="00F81329" w:rsidRPr="00177DBD" w:rsidRDefault="00F81329" w:rsidP="00E20F6B">
            <w:pPr>
              <w:rPr>
                <w:szCs w:val="26"/>
                <w:lang w:val="en"/>
              </w:rPr>
            </w:pPr>
            <w:r w:rsidRPr="00177DBD">
              <w:rPr>
                <w:szCs w:val="26"/>
              </w:rPr>
              <w:t>From ...one size fits all</w:t>
            </w:r>
          </w:p>
        </w:tc>
        <w:tc>
          <w:tcPr>
            <w:tcW w:w="0" w:type="auto"/>
          </w:tcPr>
          <w:p w:rsidR="00F81329" w:rsidRPr="00177DBD" w:rsidRDefault="00F81329" w:rsidP="00E20F6B">
            <w:pPr>
              <w:rPr>
                <w:szCs w:val="26"/>
                <w:lang w:val="en"/>
              </w:rPr>
            </w:pPr>
            <w:r w:rsidRPr="00177DBD">
              <w:rPr>
                <w:szCs w:val="26"/>
              </w:rPr>
              <w:t>To ...assumption of need for diversity</w:t>
            </w:r>
          </w:p>
        </w:tc>
      </w:tr>
    </w:tbl>
    <w:p w:rsidR="00F81329" w:rsidRPr="00853F36" w:rsidRDefault="00F81329" w:rsidP="00584D89">
      <w:pPr>
        <w:pStyle w:val="TableNote"/>
      </w:pPr>
      <w:r w:rsidRPr="00853F36">
        <w:rPr>
          <w:lang w:val="en"/>
        </w:rPr>
        <w:t>Source: adapted from National Economic and Social Council (2005) The Developmental Welfare State Accessible at http://files.nesc.ie/nesc_reports/en/NESC_113.pdf</w:t>
      </w:r>
    </w:p>
    <w:p w:rsidR="00F81329" w:rsidRPr="00853F36" w:rsidRDefault="00F81329" w:rsidP="0040246E">
      <w:pPr>
        <w:pStyle w:val="Heading2"/>
      </w:pPr>
      <w:bookmarkStart w:id="311" w:name="_Toc386464567"/>
      <w:bookmarkStart w:id="312" w:name="_Toc386470062"/>
      <w:bookmarkStart w:id="313" w:name="_Toc386464569"/>
      <w:bookmarkStart w:id="314" w:name="_Toc386470064"/>
      <w:bookmarkStart w:id="315" w:name="_Toc415733780"/>
      <w:r>
        <w:t>R</w:t>
      </w:r>
      <w:r w:rsidRPr="00853F36">
        <w:t>econfiguring children’s disability services</w:t>
      </w:r>
      <w:bookmarkEnd w:id="313"/>
      <w:bookmarkEnd w:id="314"/>
      <w:bookmarkEnd w:id="315"/>
    </w:p>
    <w:bookmarkEnd w:id="311"/>
    <w:bookmarkEnd w:id="312"/>
    <w:p w:rsidR="00F81329" w:rsidRDefault="00F81329" w:rsidP="00F81329">
      <w:pPr>
        <w:pStyle w:val="ListBullet"/>
        <w:numPr>
          <w:ilvl w:val="0"/>
          <w:numId w:val="0"/>
        </w:numPr>
      </w:pPr>
      <w:r>
        <w:t xml:space="preserve">To address the development of nationally consistent children’s disability services, the HSE has undertaken a programme of progressing services for children with disabilities.  </w:t>
      </w:r>
      <w:r w:rsidRPr="00853F36">
        <w:t>In 2008</w:t>
      </w:r>
      <w:r>
        <w:t>,</w:t>
      </w:r>
      <w:r w:rsidRPr="00853F36">
        <w:t xml:space="preserve"> a National Reference Group (NRG) was set up to develop </w:t>
      </w:r>
      <w:r>
        <w:t>inter</w:t>
      </w:r>
      <w:r w:rsidRPr="00853F36">
        <w:t>disciplinary disability services for children aged 5 to 18 years.</w:t>
      </w:r>
      <w:r w:rsidRPr="00853F36">
        <w:rPr>
          <w:rStyle w:val="FootnoteReference"/>
        </w:rPr>
        <w:footnoteReference w:id="255"/>
      </w:r>
      <w:r w:rsidRPr="00853F36">
        <w:t xml:space="preserve"> The NRG assumed population figures of 8,000 -10,000 per primary care team, 30,000-40,000 per network, 150,000 per </w:t>
      </w:r>
      <w:r w:rsidR="00130E9E">
        <w:t>Local Health Office (</w:t>
      </w:r>
      <w:r w:rsidRPr="00853F36">
        <w:t>LHO</w:t>
      </w:r>
      <w:r w:rsidR="00130E9E">
        <w:t>)</w:t>
      </w:r>
      <w:r w:rsidRPr="00853F36">
        <w:t xml:space="preserve"> and sub-regions of 450,000, comprised of 3 LHOs. The NRG met between March 2008 and June 2009 and published a report in Dec 2009. </w:t>
      </w:r>
      <w:r>
        <w:t xml:space="preserve">The HSE approved the report in 2010. </w:t>
      </w:r>
    </w:p>
    <w:p w:rsidR="00F81329" w:rsidRDefault="00F81329" w:rsidP="00F81329">
      <w:r>
        <w:t>The HSE established a</w:t>
      </w:r>
      <w:r w:rsidRPr="00853F36">
        <w:t xml:space="preserve"> National Coordinating Group </w:t>
      </w:r>
      <w:r>
        <w:t xml:space="preserve">(NCG) </w:t>
      </w:r>
      <w:r w:rsidRPr="00853F36">
        <w:t>to implement the recommendations of the 2009 NRG report and to plan the reconfiguration of children’s services.</w:t>
      </w:r>
      <w:r w:rsidRPr="007B78BD">
        <w:t xml:space="preserve"> </w:t>
      </w:r>
      <w:r>
        <w:t>This national program is called “Progressing Disability Services for Children and Young People,” and involves a partnership between the HSE, nongovernmental agencies, the Department of Health and the Department of Education and Skills.</w:t>
      </w:r>
      <w:r w:rsidRPr="00CC159B">
        <w:t xml:space="preserve"> </w:t>
      </w:r>
      <w:r w:rsidRPr="00853F36">
        <w:t>The NCG oversees and monitors the programme. This group has representatives of the HSE, disability organisations, pa</w:t>
      </w:r>
      <w:r>
        <w:t xml:space="preserve">rents, the Department of Health, the Department of Children and Youth Affairs </w:t>
      </w:r>
      <w:r w:rsidRPr="00853F36">
        <w:t xml:space="preserve">and the Department of Education and Skills. </w:t>
      </w:r>
      <w:r>
        <w:t xml:space="preserve"> </w:t>
      </w:r>
    </w:p>
    <w:p w:rsidR="00F81329" w:rsidRDefault="00F81329" w:rsidP="00F81329">
      <w:pPr>
        <w:rPr>
          <w:bCs/>
          <w:iCs/>
        </w:rPr>
      </w:pPr>
      <w:r w:rsidRPr="00853F36">
        <w:t xml:space="preserve">The </w:t>
      </w:r>
      <w:r>
        <w:t xml:space="preserve">NCG </w:t>
      </w:r>
      <w:r w:rsidRPr="00853F36">
        <w:t xml:space="preserve">formed a project plan, so that in each local area, representatives from services and parents, together with local leads for the programme, study how current services </w:t>
      </w:r>
      <w:r>
        <w:t xml:space="preserve">can </w:t>
      </w:r>
      <w:r w:rsidRPr="00853F36">
        <w:t>be reorganised within the framework laid out in the National Reference Groups 2009 Report.</w:t>
      </w:r>
      <w:r w:rsidRPr="00C369E0">
        <w:t xml:space="preserve"> </w:t>
      </w:r>
      <w:r>
        <w:t xml:space="preserve">There are </w:t>
      </w:r>
      <w:r w:rsidRPr="00853F36">
        <w:t>Regional Co</w:t>
      </w:r>
      <w:r>
        <w:t>-</w:t>
      </w:r>
      <w:r w:rsidRPr="00853F36">
        <w:t>ordinating Groups in each of the HSE R</w:t>
      </w:r>
      <w:r>
        <w:t xml:space="preserve">egions. Regional leads head the local implementation groups and </w:t>
      </w:r>
      <w:r w:rsidRPr="00853F36">
        <w:t>have a co</w:t>
      </w:r>
      <w:r>
        <w:t xml:space="preserve">-ordinating and </w:t>
      </w:r>
      <w:r w:rsidRPr="00853F36">
        <w:t>monitoring role for the groups.</w:t>
      </w:r>
      <w:r w:rsidRPr="00C62BAA">
        <w:t xml:space="preserve"> </w:t>
      </w:r>
      <w:r w:rsidRPr="00853F36">
        <w:t>Local Implementation Groups include representatives of service providers, parents and education services. Their task includes agreeing the principles</w:t>
      </w:r>
      <w:r>
        <w:t>,</w:t>
      </w:r>
      <w:r w:rsidRPr="00853F36">
        <w:t xml:space="preserve"> which should underpin </w:t>
      </w:r>
      <w:r>
        <w:t xml:space="preserve">local </w:t>
      </w:r>
      <w:r w:rsidRPr="00853F36">
        <w:t xml:space="preserve">disability services, mapping services and gaps, consideration of </w:t>
      </w:r>
      <w:r>
        <w:t xml:space="preserve">the </w:t>
      </w:r>
      <w:r w:rsidRPr="00853F36">
        <w:t>changes needed and a detailed plan of how to advance. G</w:t>
      </w:r>
      <w:r>
        <w:t>uidance from the national group</w:t>
      </w:r>
      <w:r w:rsidRPr="00853F36">
        <w:t xml:space="preserve"> is available</w:t>
      </w:r>
      <w:r w:rsidR="00130E9E">
        <w:t>,</w:t>
      </w:r>
      <w:r w:rsidRPr="00853F36">
        <w:t xml:space="preserve"> </w:t>
      </w:r>
      <w:r>
        <w:t xml:space="preserve">as are the </w:t>
      </w:r>
      <w:r w:rsidRPr="00853F36">
        <w:rPr>
          <w:bCs/>
          <w:iCs/>
        </w:rPr>
        <w:t>objectives under the HSE National Service Plan</w:t>
      </w:r>
      <w:r>
        <w:rPr>
          <w:bCs/>
          <w:iCs/>
        </w:rPr>
        <w:t>s.</w:t>
      </w:r>
      <w:r w:rsidRPr="00853F36">
        <w:rPr>
          <w:bCs/>
          <w:iCs/>
        </w:rPr>
        <w:t xml:space="preserve"> </w:t>
      </w:r>
    </w:p>
    <w:p w:rsidR="00CB08EF" w:rsidRPr="00853F36" w:rsidRDefault="00CB08EF" w:rsidP="00CB08EF">
      <w:r>
        <w:t xml:space="preserve">The aim of the national Progressing Disability Services programme, is to provide high quality, local, </w:t>
      </w:r>
      <w:r w:rsidRPr="00853F36">
        <w:t xml:space="preserve">inter-disciplinary, child and family centred disability services integrated with </w:t>
      </w:r>
      <w:r>
        <w:t>P</w:t>
      </w:r>
      <w:r w:rsidRPr="00853F36">
        <w:t>ri</w:t>
      </w:r>
      <w:r>
        <w:t>mary C</w:t>
      </w:r>
      <w:r w:rsidRPr="00853F36">
        <w:t>are, Child and Ad</w:t>
      </w:r>
      <w:r>
        <w:t>olescent Mental Health Services (</w:t>
      </w:r>
      <w:r w:rsidRPr="00853F36">
        <w:t>CAMH</w:t>
      </w:r>
      <w:r>
        <w:t>S) and other children’s services. The programme includes</w:t>
      </w:r>
      <w:r w:rsidRPr="00853F36">
        <w:t>:</w:t>
      </w:r>
    </w:p>
    <w:p w:rsidR="00CB08EF" w:rsidRPr="00853F36" w:rsidRDefault="00CB08EF" w:rsidP="00CB08EF">
      <w:pPr>
        <w:pStyle w:val="ListBullet"/>
      </w:pPr>
      <w:r w:rsidRPr="00853F36">
        <w:t>Formation of partnerships between statutory and non statutory health and social services</w:t>
      </w:r>
      <w:r>
        <w:t>,</w:t>
      </w:r>
      <w:r w:rsidRPr="00853F36">
        <w:t xml:space="preserve"> to guide the development of community based early intervention and school based disability services</w:t>
      </w:r>
    </w:p>
    <w:p w:rsidR="00CB08EF" w:rsidRDefault="00CB08EF" w:rsidP="00CB08EF">
      <w:pPr>
        <w:pStyle w:val="ListBullet"/>
      </w:pPr>
      <w:r>
        <w:t>Development of geographically based network (</w:t>
      </w:r>
      <w:r w:rsidRPr="00853F36">
        <w:t>Health and S</w:t>
      </w:r>
      <w:r>
        <w:t xml:space="preserve">ocial Care Network Level) </w:t>
      </w:r>
      <w:r w:rsidRPr="00853F36">
        <w:t xml:space="preserve">early intervention and school age </w:t>
      </w:r>
      <w:r>
        <w:t xml:space="preserve">disability services across Ireland, that eliminate inconsistencies in service provision </w:t>
      </w:r>
    </w:p>
    <w:p w:rsidR="00CB08EF" w:rsidRDefault="00CB08EF" w:rsidP="00CB08EF">
      <w:pPr>
        <w:pStyle w:val="ListBullet"/>
      </w:pPr>
      <w:r>
        <w:t>I</w:t>
      </w:r>
      <w:r w:rsidRPr="00853F36">
        <w:t>ntegration and coordination between early intervention a</w:t>
      </w:r>
      <w:r>
        <w:t>nd school age development teams</w:t>
      </w:r>
    </w:p>
    <w:p w:rsidR="00CB08EF" w:rsidRPr="00853F36" w:rsidRDefault="00CB08EF" w:rsidP="00CB08EF">
      <w:pPr>
        <w:pStyle w:val="ListBullet"/>
      </w:pPr>
      <w:r w:rsidRPr="00853F36">
        <w:t xml:space="preserve">Development of team work between the various therapy and other disciplines working within the new </w:t>
      </w:r>
      <w:r>
        <w:t>inter</w:t>
      </w:r>
      <w:r w:rsidRPr="00853F36">
        <w:t>disciplinary disability services</w:t>
      </w:r>
    </w:p>
    <w:p w:rsidR="00CB08EF" w:rsidRPr="00853F36" w:rsidRDefault="00CB08EF" w:rsidP="00CB08EF">
      <w:pPr>
        <w:pStyle w:val="ListBullet"/>
      </w:pPr>
      <w:r w:rsidRPr="00853F36">
        <w:t xml:space="preserve">Promotion of collaboration and cooperation between Disability Services, Primary Care Services, Community and Hospital Paediatric Services, Child Protection and Welfare Services and </w:t>
      </w:r>
      <w:r>
        <w:t xml:space="preserve">CAMHS </w:t>
      </w:r>
    </w:p>
    <w:p w:rsidR="00CB08EF" w:rsidRPr="00853F36" w:rsidRDefault="00CB08EF" w:rsidP="00CB08EF">
      <w:pPr>
        <w:pStyle w:val="ListBullet"/>
      </w:pPr>
      <w:r w:rsidRPr="00853F36">
        <w:t xml:space="preserve">Joint working with the HSE officers </w:t>
      </w:r>
      <w:r>
        <w:t>who administer</w:t>
      </w:r>
      <w:r w:rsidRPr="00853F36">
        <w:t xml:space="preserve"> the Assessment of Need process under Part 2 of the Disabil</w:t>
      </w:r>
      <w:r>
        <w:t>i</w:t>
      </w:r>
      <w:r w:rsidRPr="00853F36">
        <w:t>ty Act</w:t>
      </w:r>
      <w:r>
        <w:t>,</w:t>
      </w:r>
      <w:r w:rsidRPr="00853F36">
        <w:t xml:space="preserve"> 2005</w:t>
      </w:r>
      <w:r>
        <w:t>.</w:t>
      </w:r>
    </w:p>
    <w:p w:rsidR="00787049" w:rsidRPr="00787049" w:rsidRDefault="00CB08EF" w:rsidP="00584D89">
      <w:r>
        <w:t>T</w:t>
      </w:r>
      <w:r w:rsidRPr="00853F36">
        <w:t xml:space="preserve">he Mid West </w:t>
      </w:r>
      <w:r>
        <w:t>Region, for example, has developed</w:t>
      </w:r>
      <w:r w:rsidRPr="00853F36">
        <w:t xml:space="preserve"> joint working protocols between Children’s Disability Services and CAMHS, CAMHS Intellectual Disability and Child and Family Psychology Services. The Children’s Disability Services have developed Clinical Consensus Guidelines for improved integration of Primary Care and Disability Services School Age Child Development Teams. </w:t>
      </w:r>
      <w:r>
        <w:t xml:space="preserve">These structures are essential to </w:t>
      </w:r>
      <w:r w:rsidRPr="00853F36">
        <w:t xml:space="preserve">ensure collaboration and cooperation between therapists within disability services and </w:t>
      </w:r>
      <w:r>
        <w:t>Primary Care Teams (</w:t>
      </w:r>
      <w:r w:rsidRPr="00853F36">
        <w:t>PCT</w:t>
      </w:r>
      <w:r>
        <w:t xml:space="preserve">) </w:t>
      </w:r>
      <w:r w:rsidRPr="00853F36">
        <w:t>under new access criteria for children with disabilities, Primary Care has responsibility for all children with disabilities who have non-complex needs.</w:t>
      </w:r>
      <w:r w:rsidRPr="00853F36">
        <w:rPr>
          <w:rStyle w:val="FootnoteReference"/>
        </w:rPr>
        <w:footnoteReference w:id="256"/>
      </w:r>
      <w:r w:rsidRPr="00853F36">
        <w:t xml:space="preserve"> </w:t>
      </w:r>
    </w:p>
    <w:p w:rsidR="00787049" w:rsidRDefault="00E93ACF" w:rsidP="00CB08EF">
      <w:pPr>
        <w:sectPr w:rsidR="00787049" w:rsidSect="00CB08EF">
          <w:pgSz w:w="12240" w:h="15840"/>
          <w:pgMar w:top="1440" w:right="1797" w:bottom="1440" w:left="1797" w:header="709" w:footer="709" w:gutter="0"/>
          <w:cols w:space="708"/>
          <w:docGrid w:linePitch="360"/>
        </w:sectPr>
      </w:pPr>
      <w:r>
        <w:t>Figure 2</w:t>
      </w:r>
      <w:r w:rsidR="00F81329" w:rsidRPr="00853F36">
        <w:t xml:space="preserve"> outlines the Framework </w:t>
      </w:r>
      <w:r w:rsidR="00CB08EF">
        <w:t>on Access to service for children and young people to meet their needs</w:t>
      </w:r>
      <w:bookmarkEnd w:id="303"/>
      <w:bookmarkEnd w:id="304"/>
      <w:r w:rsidR="008D045A">
        <w:t>.</w:t>
      </w:r>
    </w:p>
    <w:p w:rsidR="00787049" w:rsidRDefault="00676405" w:rsidP="00676405">
      <w:pPr>
        <w:jc w:val="center"/>
        <w:rPr>
          <w:rFonts w:ascii="Verdana" w:hAnsi="Verdana" w:cs="Arial"/>
          <w:b/>
        </w:rPr>
      </w:pPr>
      <w:r>
        <w:rPr>
          <w:rFonts w:ascii="Verdana" w:hAnsi="Verdana" w:cs="Arial"/>
          <w:b/>
        </w:rPr>
        <w:t xml:space="preserve">Figure 2: Access </w:t>
      </w:r>
      <w:r w:rsidRPr="00000B27">
        <w:rPr>
          <w:rFonts w:ascii="Verdana" w:hAnsi="Verdana" w:cs="Arial"/>
          <w:b/>
        </w:rPr>
        <w:t xml:space="preserve">to services </w:t>
      </w:r>
      <w:r>
        <w:rPr>
          <w:rFonts w:ascii="Verdana" w:hAnsi="Verdana" w:cs="Arial"/>
          <w:b/>
        </w:rPr>
        <w:t>for children &amp; young people to meet their needs</w:t>
      </w:r>
    </w:p>
    <w:p w:rsidR="00173B0A" w:rsidRDefault="00173B0A" w:rsidP="00676405">
      <w:pPr>
        <w:jc w:val="center"/>
        <w:rPr>
          <w:rFonts w:ascii="Verdana" w:hAnsi="Verdana" w:cs="Arial"/>
          <w:b/>
        </w:rPr>
      </w:pPr>
    </w:p>
    <w:p w:rsidR="00173B0A" w:rsidRDefault="00461CEE" w:rsidP="00676405">
      <w:pPr>
        <w:jc w:val="center"/>
        <w:rPr>
          <w:rFonts w:ascii="Verdana" w:hAnsi="Verdana" w:cs="Arial"/>
          <w:b/>
        </w:rPr>
      </w:pPr>
      <w:r>
        <w:rPr>
          <w:rFonts w:ascii="Verdana" w:hAnsi="Verdana" w:cs="Arial"/>
          <w:b/>
          <w:noProof/>
          <w:lang w:eastAsia="en-IE"/>
        </w:rPr>
        <mc:AlternateContent>
          <mc:Choice Requires="wpg">
            <w:drawing>
              <wp:inline distT="0" distB="0" distL="0" distR="0">
                <wp:extent cx="7198995" cy="4256405"/>
                <wp:effectExtent l="0" t="0" r="20955" b="10795"/>
                <wp:docPr id="2" name="Group 246" descr="Diagram representing 'Access to services for children and young people, to meet their need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8995" cy="4256405"/>
                          <a:chOff x="2522" y="2612"/>
                          <a:chExt cx="11337" cy="6703"/>
                        </a:xfrm>
                      </wpg:grpSpPr>
                      <wps:wsp>
                        <wps:cNvPr id="3" name="Rectangle 247"/>
                        <wps:cNvSpPr>
                          <a:spLocks noChangeArrowheads="1"/>
                        </wps:cNvSpPr>
                        <wps:spPr bwMode="auto">
                          <a:xfrm>
                            <a:off x="2522" y="6039"/>
                            <a:ext cx="2608" cy="1412"/>
                          </a:xfrm>
                          <a:prstGeom prst="rect">
                            <a:avLst/>
                          </a:prstGeom>
                          <a:solidFill>
                            <a:srgbClr val="FFFFFF"/>
                          </a:solidFill>
                          <a:ln w="9525">
                            <a:solidFill>
                              <a:srgbClr val="000000"/>
                            </a:solidFill>
                            <a:miter lim="800000"/>
                            <a:headEnd/>
                            <a:tailEnd/>
                          </a:ln>
                        </wps:spPr>
                        <wps:txbx>
                          <w:txbxContent>
                            <w:p w:rsidR="00BD6FC4" w:rsidRPr="006F7D8C" w:rsidRDefault="00BD6FC4" w:rsidP="00676405">
                              <w:pPr>
                                <w:spacing w:before="120" w:after="120"/>
                                <w:jc w:val="center"/>
                                <w:rPr>
                                  <w:rFonts w:ascii="Verdana" w:hAnsi="Verdana"/>
                                  <w:b/>
                                  <w:bCs/>
                                  <w:sz w:val="18"/>
                                  <w:szCs w:val="18"/>
                                </w:rPr>
                              </w:pPr>
                            </w:p>
                            <w:p w:rsidR="00BD6FC4" w:rsidRPr="005857BB" w:rsidRDefault="00BD6FC4" w:rsidP="00676405">
                              <w:pPr>
                                <w:spacing w:before="120" w:after="120"/>
                                <w:jc w:val="center"/>
                                <w:rPr>
                                  <w:rFonts w:ascii="Verdana" w:hAnsi="Verdana"/>
                                  <w:b/>
                                  <w:bCs/>
                                  <w:szCs w:val="26"/>
                                </w:rPr>
                              </w:pPr>
                              <w:r w:rsidRPr="005857BB">
                                <w:rPr>
                                  <w:rFonts w:ascii="Verdana" w:hAnsi="Verdana"/>
                                  <w:b/>
                                  <w:bCs/>
                                  <w:szCs w:val="26"/>
                                </w:rPr>
                                <w:t>Primary Care Teams</w:t>
                              </w:r>
                            </w:p>
                          </w:txbxContent>
                        </wps:txbx>
                        <wps:bodyPr rot="0" vert="horz" wrap="square" lIns="91440" tIns="45720" rIns="91440" bIns="45720" anchor="t" anchorCtr="0" upright="1">
                          <a:noAutofit/>
                        </wps:bodyPr>
                      </wps:wsp>
                      <wps:wsp>
                        <wps:cNvPr id="4" name="Text Box 248"/>
                        <wps:cNvSpPr txBox="1">
                          <a:spLocks noChangeArrowheads="1"/>
                        </wps:cNvSpPr>
                        <wps:spPr bwMode="auto">
                          <a:xfrm>
                            <a:off x="2522" y="4196"/>
                            <a:ext cx="3200" cy="900"/>
                          </a:xfrm>
                          <a:prstGeom prst="rect">
                            <a:avLst/>
                          </a:prstGeom>
                          <a:solidFill>
                            <a:srgbClr val="FFFFFF"/>
                          </a:solidFill>
                          <a:ln w="9525">
                            <a:solidFill>
                              <a:srgbClr val="000000"/>
                            </a:solidFill>
                            <a:miter lim="800000"/>
                            <a:headEnd/>
                            <a:tailEnd/>
                          </a:ln>
                        </wps:spPr>
                        <wps:txbx>
                          <w:txbxContent>
                            <w:p w:rsidR="00BD6FC4" w:rsidRPr="005857BB" w:rsidRDefault="00BD6FC4" w:rsidP="00676405">
                              <w:pPr>
                                <w:jc w:val="center"/>
                                <w:rPr>
                                  <w:rFonts w:ascii="Gill Sans MT" w:hAnsi="Gill Sans MT"/>
                                </w:rPr>
                              </w:pPr>
                              <w:r w:rsidRPr="005857BB">
                                <w:rPr>
                                  <w:rFonts w:ascii="Gill Sans MT" w:hAnsi="Gill Sans MT"/>
                                </w:rPr>
                                <w:t>Child with non-complex needs</w:t>
                              </w:r>
                            </w:p>
                          </w:txbxContent>
                        </wps:txbx>
                        <wps:bodyPr rot="0" vert="horz" wrap="square" lIns="91440" tIns="45720" rIns="91440" bIns="45720" anchor="t" anchorCtr="0" upright="1">
                          <a:noAutofit/>
                        </wps:bodyPr>
                      </wps:wsp>
                      <wps:wsp>
                        <wps:cNvPr id="5" name="Text Box 249"/>
                        <wps:cNvSpPr txBox="1">
                          <a:spLocks noChangeArrowheads="1"/>
                        </wps:cNvSpPr>
                        <wps:spPr bwMode="auto">
                          <a:xfrm>
                            <a:off x="2698" y="8670"/>
                            <a:ext cx="10849" cy="645"/>
                          </a:xfrm>
                          <a:prstGeom prst="rect">
                            <a:avLst/>
                          </a:prstGeom>
                          <a:solidFill>
                            <a:srgbClr val="FFFFFF"/>
                          </a:solidFill>
                          <a:ln w="9525">
                            <a:solidFill>
                              <a:srgbClr val="000000"/>
                            </a:solidFill>
                            <a:miter lim="800000"/>
                            <a:headEnd/>
                            <a:tailEnd/>
                          </a:ln>
                        </wps:spPr>
                        <wps:txbx>
                          <w:txbxContent>
                            <w:p w:rsidR="00BD6FC4" w:rsidRPr="006F7D8C" w:rsidRDefault="00BD6FC4" w:rsidP="00676405">
                              <w:pPr>
                                <w:spacing w:before="120" w:after="120"/>
                                <w:jc w:val="center"/>
                                <w:rPr>
                                  <w:rFonts w:ascii="Gill Sans MT" w:hAnsi="Gill Sans MT"/>
                                  <w:sz w:val="28"/>
                                  <w:szCs w:val="28"/>
                                </w:rPr>
                              </w:pPr>
                              <w:r w:rsidRPr="006F7D8C">
                                <w:rPr>
                                  <w:rFonts w:ascii="Gill Sans MT" w:hAnsi="Gill Sans MT"/>
                                  <w:sz w:val="28"/>
                                  <w:szCs w:val="28"/>
                                </w:rPr>
                                <w:t>Specialist support as needed by Primary Care and Children’s Disability Network Teams</w:t>
                              </w:r>
                            </w:p>
                            <w:p w:rsidR="00BD6FC4" w:rsidRPr="00000B27" w:rsidRDefault="00BD6FC4" w:rsidP="00676405">
                              <w:pPr>
                                <w:rPr>
                                  <w:rFonts w:ascii="Verdana" w:hAnsi="Verdana"/>
                                  <w:sz w:val="22"/>
                                  <w:szCs w:val="22"/>
                                </w:rPr>
                              </w:pPr>
                            </w:p>
                            <w:p w:rsidR="00BD6FC4" w:rsidRPr="00E25199" w:rsidRDefault="00BD6FC4" w:rsidP="00676405">
                              <w:pPr>
                                <w:rPr>
                                  <w:rFonts w:ascii="Century Gothic" w:hAnsi="Century Gothic"/>
                                  <w:sz w:val="16"/>
                                  <w:szCs w:val="16"/>
                                </w:rPr>
                              </w:pPr>
                            </w:p>
                          </w:txbxContent>
                        </wps:txbx>
                        <wps:bodyPr rot="0" vert="horz" wrap="square" lIns="91440" tIns="45720" rIns="91440" bIns="45720" anchor="t" anchorCtr="0" upright="1">
                          <a:noAutofit/>
                        </wps:bodyPr>
                      </wps:wsp>
                      <wps:wsp>
                        <wps:cNvPr id="6" name="Freeform 250"/>
                        <wps:cNvSpPr>
                          <a:spLocks/>
                        </wps:cNvSpPr>
                        <wps:spPr bwMode="auto">
                          <a:xfrm>
                            <a:off x="3765" y="7570"/>
                            <a:ext cx="5" cy="1100"/>
                          </a:xfrm>
                          <a:custGeom>
                            <a:avLst/>
                            <a:gdLst>
                              <a:gd name="T0" fmla="*/ 0 w 5"/>
                              <a:gd name="T1" fmla="*/ 0 h 1229"/>
                              <a:gd name="T2" fmla="*/ 5 w 5"/>
                              <a:gd name="T3" fmla="*/ 1229 h 1229"/>
                            </a:gdLst>
                            <a:ahLst/>
                            <a:cxnLst>
                              <a:cxn ang="0">
                                <a:pos x="T0" y="T1"/>
                              </a:cxn>
                              <a:cxn ang="0">
                                <a:pos x="T2" y="T3"/>
                              </a:cxn>
                            </a:cxnLst>
                            <a:rect l="0" t="0" r="r" b="b"/>
                            <a:pathLst>
                              <a:path w="5" h="1229">
                                <a:moveTo>
                                  <a:pt x="0" y="0"/>
                                </a:moveTo>
                                <a:lnTo>
                                  <a:pt x="5" y="1229"/>
                                </a:lnTo>
                              </a:path>
                            </a:pathLst>
                          </a:custGeom>
                          <a:noFill/>
                          <a:ln w="19050">
                            <a:solidFill>
                              <a:srgbClr val="339966"/>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251"/>
                        <wps:cNvSpPr txBox="1">
                          <a:spLocks noChangeArrowheads="1"/>
                        </wps:cNvSpPr>
                        <wps:spPr bwMode="auto">
                          <a:xfrm>
                            <a:off x="6643" y="5984"/>
                            <a:ext cx="3557" cy="1673"/>
                          </a:xfrm>
                          <a:prstGeom prst="rect">
                            <a:avLst/>
                          </a:prstGeom>
                          <a:solidFill>
                            <a:srgbClr val="FFFFFF"/>
                          </a:solidFill>
                          <a:ln w="9525">
                            <a:solidFill>
                              <a:srgbClr val="000000"/>
                            </a:solidFill>
                            <a:miter lim="800000"/>
                            <a:headEnd/>
                            <a:tailEnd/>
                          </a:ln>
                        </wps:spPr>
                        <wps:txbx>
                          <w:txbxContent>
                            <w:p w:rsidR="00BD6FC4" w:rsidRPr="00525163" w:rsidRDefault="00BD6FC4" w:rsidP="00676405">
                              <w:pPr>
                                <w:spacing w:before="120" w:after="120"/>
                                <w:jc w:val="center"/>
                                <w:rPr>
                                  <w:rFonts w:ascii="Gill Sans MT" w:hAnsi="Gill Sans MT"/>
                                  <w:sz w:val="28"/>
                                  <w:szCs w:val="28"/>
                                </w:rPr>
                              </w:pPr>
                              <w:r w:rsidRPr="00525163">
                                <w:rPr>
                                  <w:rFonts w:ascii="Gill Sans MT" w:hAnsi="Gill Sans MT"/>
                                  <w:sz w:val="28"/>
                                  <w:szCs w:val="28"/>
                                </w:rPr>
                                <w:t>Support and consultation</w:t>
                              </w:r>
                            </w:p>
                            <w:p w:rsidR="00BD6FC4" w:rsidRPr="00525163" w:rsidRDefault="00BD6FC4" w:rsidP="00676405">
                              <w:pPr>
                                <w:spacing w:before="120" w:after="120"/>
                                <w:jc w:val="center"/>
                                <w:rPr>
                                  <w:rFonts w:ascii="Gill Sans MT" w:hAnsi="Gill Sans MT"/>
                                  <w:sz w:val="28"/>
                                  <w:szCs w:val="28"/>
                                </w:rPr>
                              </w:pPr>
                              <w:r w:rsidRPr="00525163">
                                <w:rPr>
                                  <w:rFonts w:ascii="Gill Sans MT" w:hAnsi="Gill Sans MT"/>
                                  <w:sz w:val="28"/>
                                  <w:szCs w:val="28"/>
                                </w:rPr>
                                <w:t>Transfer between services if and when child’s needs change</w:t>
                              </w:r>
                            </w:p>
                          </w:txbxContent>
                        </wps:txbx>
                        <wps:bodyPr rot="0" vert="horz" wrap="square" lIns="91440" tIns="45720" rIns="91440" bIns="45720" anchor="t" anchorCtr="0" upright="1">
                          <a:noAutofit/>
                        </wps:bodyPr>
                      </wps:wsp>
                      <wps:wsp>
                        <wps:cNvPr id="9" name="AutoShape 252" descr="Diagram describing 'Access to services for children &amp; young people to meet their needs'."/>
                        <wps:cNvSpPr>
                          <a:spLocks noChangeArrowheads="1"/>
                        </wps:cNvSpPr>
                        <wps:spPr bwMode="auto">
                          <a:xfrm>
                            <a:off x="2875" y="2612"/>
                            <a:ext cx="10849" cy="700"/>
                          </a:xfrm>
                          <a:prstGeom prst="roundRect">
                            <a:avLst>
                              <a:gd name="adj" fmla="val 16667"/>
                            </a:avLst>
                          </a:prstGeom>
                          <a:solidFill>
                            <a:srgbClr val="FFFFFF"/>
                          </a:solidFill>
                          <a:ln w="9525">
                            <a:solidFill>
                              <a:srgbClr val="000000"/>
                            </a:solidFill>
                            <a:round/>
                            <a:headEnd/>
                            <a:tailEnd/>
                          </a:ln>
                        </wps:spPr>
                        <wps:txbx>
                          <w:txbxContent>
                            <w:p w:rsidR="00BD6FC4" w:rsidRPr="005857BB" w:rsidRDefault="00BD6FC4" w:rsidP="00676405">
                              <w:pPr>
                                <w:jc w:val="center"/>
                                <w:rPr>
                                  <w:rFonts w:ascii="Gill Sans MT" w:hAnsi="Gill Sans MT"/>
                                  <w:b/>
                                  <w:bCs/>
                                </w:rPr>
                              </w:pPr>
                              <w:r w:rsidRPr="005857BB">
                                <w:rPr>
                                  <w:rFonts w:ascii="Gill Sans MT" w:hAnsi="Gill Sans MT"/>
                                  <w:b/>
                                  <w:bCs/>
                                </w:rPr>
                                <w:t>Children with disability or developmental delay and their families</w:t>
                              </w:r>
                            </w:p>
                          </w:txbxContent>
                        </wps:txbx>
                        <wps:bodyPr rot="0" vert="horz" wrap="square" lIns="91440" tIns="45720" rIns="91440" bIns="45720" anchor="t" anchorCtr="0" upright="1">
                          <a:noAutofit/>
                        </wps:bodyPr>
                      </wps:wsp>
                      <wps:wsp>
                        <wps:cNvPr id="10" name="Freeform 253"/>
                        <wps:cNvSpPr>
                          <a:spLocks/>
                        </wps:cNvSpPr>
                        <wps:spPr bwMode="auto">
                          <a:xfrm rot="184373">
                            <a:off x="10200" y="3316"/>
                            <a:ext cx="2441" cy="883"/>
                          </a:xfrm>
                          <a:custGeom>
                            <a:avLst/>
                            <a:gdLst>
                              <a:gd name="T0" fmla="*/ 0 w 3091"/>
                              <a:gd name="T1" fmla="*/ 0 h 1006"/>
                              <a:gd name="T2" fmla="*/ 3091 w 3091"/>
                              <a:gd name="T3" fmla="*/ 1006 h 1006"/>
                            </a:gdLst>
                            <a:ahLst/>
                            <a:cxnLst>
                              <a:cxn ang="0">
                                <a:pos x="T0" y="T1"/>
                              </a:cxn>
                              <a:cxn ang="0">
                                <a:pos x="T2" y="T3"/>
                              </a:cxn>
                            </a:cxnLst>
                            <a:rect l="0" t="0" r="r" b="b"/>
                            <a:pathLst>
                              <a:path w="3091" h="1006">
                                <a:moveTo>
                                  <a:pt x="0" y="0"/>
                                </a:moveTo>
                                <a:lnTo>
                                  <a:pt x="3091" y="1006"/>
                                </a:lnTo>
                              </a:path>
                            </a:pathLst>
                          </a:custGeom>
                          <a:noFill/>
                          <a:ln w="63500">
                            <a:solidFill>
                              <a:srgbClr val="0000FF"/>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254"/>
                        <wps:cNvSpPr>
                          <a:spLocks/>
                        </wps:cNvSpPr>
                        <wps:spPr bwMode="auto">
                          <a:xfrm>
                            <a:off x="12641" y="7570"/>
                            <a:ext cx="5" cy="1100"/>
                          </a:xfrm>
                          <a:custGeom>
                            <a:avLst/>
                            <a:gdLst>
                              <a:gd name="T0" fmla="*/ 0 w 5"/>
                              <a:gd name="T1" fmla="*/ 0 h 1229"/>
                              <a:gd name="T2" fmla="*/ 5 w 5"/>
                              <a:gd name="T3" fmla="*/ 1229 h 1229"/>
                            </a:gdLst>
                            <a:ahLst/>
                            <a:cxnLst>
                              <a:cxn ang="0">
                                <a:pos x="T0" y="T1"/>
                              </a:cxn>
                              <a:cxn ang="0">
                                <a:pos x="T2" y="T3"/>
                              </a:cxn>
                            </a:cxnLst>
                            <a:rect l="0" t="0" r="r" b="b"/>
                            <a:pathLst>
                              <a:path w="5" h="1229">
                                <a:moveTo>
                                  <a:pt x="0" y="0"/>
                                </a:moveTo>
                                <a:lnTo>
                                  <a:pt x="5" y="1229"/>
                                </a:lnTo>
                              </a:path>
                            </a:pathLst>
                          </a:custGeom>
                          <a:noFill/>
                          <a:ln w="19050">
                            <a:solidFill>
                              <a:srgbClr val="339966"/>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255"/>
                        <wps:cNvSpPr>
                          <a:spLocks noChangeArrowheads="1"/>
                        </wps:cNvSpPr>
                        <wps:spPr bwMode="auto">
                          <a:xfrm>
                            <a:off x="10200" y="6654"/>
                            <a:ext cx="1051" cy="364"/>
                          </a:xfrm>
                          <a:prstGeom prst="rightArrow">
                            <a:avLst>
                              <a:gd name="adj1" fmla="val 50000"/>
                              <a:gd name="adj2" fmla="val 72184"/>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13" name="Text Box 256"/>
                        <wps:cNvSpPr txBox="1">
                          <a:spLocks noChangeArrowheads="1"/>
                        </wps:cNvSpPr>
                        <wps:spPr bwMode="auto">
                          <a:xfrm>
                            <a:off x="10659" y="4264"/>
                            <a:ext cx="3200" cy="900"/>
                          </a:xfrm>
                          <a:prstGeom prst="rect">
                            <a:avLst/>
                          </a:prstGeom>
                          <a:solidFill>
                            <a:srgbClr val="FFFFFF"/>
                          </a:solidFill>
                          <a:ln w="9525">
                            <a:solidFill>
                              <a:srgbClr val="000000"/>
                            </a:solidFill>
                            <a:miter lim="800000"/>
                            <a:headEnd/>
                            <a:tailEnd/>
                          </a:ln>
                        </wps:spPr>
                        <wps:txbx>
                          <w:txbxContent>
                            <w:p w:rsidR="00BD6FC4" w:rsidRPr="005857BB" w:rsidRDefault="00BD6FC4" w:rsidP="00676405">
                              <w:pPr>
                                <w:jc w:val="center"/>
                                <w:rPr>
                                  <w:rFonts w:ascii="Gill Sans MT" w:hAnsi="Gill Sans MT"/>
                                </w:rPr>
                              </w:pPr>
                              <w:r>
                                <w:rPr>
                                  <w:rFonts w:ascii="Gill Sans MT" w:hAnsi="Gill Sans MT"/>
                                </w:rPr>
                                <w:t xml:space="preserve">Child with </w:t>
                              </w:r>
                              <w:r w:rsidRPr="005857BB">
                                <w:rPr>
                                  <w:rFonts w:ascii="Gill Sans MT" w:hAnsi="Gill Sans MT"/>
                                </w:rPr>
                                <w:t>complex needs</w:t>
                              </w:r>
                            </w:p>
                          </w:txbxContent>
                        </wps:txbx>
                        <wps:bodyPr rot="0" vert="horz" wrap="square" lIns="91440" tIns="45720" rIns="91440" bIns="45720" anchor="t" anchorCtr="0" upright="1">
                          <a:noAutofit/>
                        </wps:bodyPr>
                      </wps:wsp>
                      <wps:wsp>
                        <wps:cNvPr id="14" name="Freeform 257"/>
                        <wps:cNvSpPr>
                          <a:spLocks/>
                        </wps:cNvSpPr>
                        <wps:spPr bwMode="auto">
                          <a:xfrm rot="8116571">
                            <a:off x="3892" y="3309"/>
                            <a:ext cx="2441" cy="898"/>
                          </a:xfrm>
                          <a:custGeom>
                            <a:avLst/>
                            <a:gdLst>
                              <a:gd name="T0" fmla="*/ 0 w 3091"/>
                              <a:gd name="T1" fmla="*/ 0 h 1006"/>
                              <a:gd name="T2" fmla="*/ 3091 w 3091"/>
                              <a:gd name="T3" fmla="*/ 1006 h 1006"/>
                            </a:gdLst>
                            <a:ahLst/>
                            <a:cxnLst>
                              <a:cxn ang="0">
                                <a:pos x="T0" y="T1"/>
                              </a:cxn>
                              <a:cxn ang="0">
                                <a:pos x="T2" y="T3"/>
                              </a:cxn>
                            </a:cxnLst>
                            <a:rect l="0" t="0" r="r" b="b"/>
                            <a:pathLst>
                              <a:path w="3091" h="1006">
                                <a:moveTo>
                                  <a:pt x="0" y="0"/>
                                </a:moveTo>
                                <a:lnTo>
                                  <a:pt x="3091" y="1006"/>
                                </a:lnTo>
                              </a:path>
                            </a:pathLst>
                          </a:custGeom>
                          <a:noFill/>
                          <a:ln w="63500">
                            <a:solidFill>
                              <a:srgbClr val="0000FF"/>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258"/>
                        <wps:cNvSpPr>
                          <a:spLocks noChangeArrowheads="1"/>
                        </wps:cNvSpPr>
                        <wps:spPr bwMode="auto">
                          <a:xfrm>
                            <a:off x="11251" y="6092"/>
                            <a:ext cx="2608" cy="1412"/>
                          </a:xfrm>
                          <a:prstGeom prst="rect">
                            <a:avLst/>
                          </a:prstGeom>
                          <a:solidFill>
                            <a:srgbClr val="FFFFFF"/>
                          </a:solidFill>
                          <a:ln w="9525">
                            <a:solidFill>
                              <a:srgbClr val="000000"/>
                            </a:solidFill>
                            <a:miter lim="800000"/>
                            <a:headEnd/>
                            <a:tailEnd/>
                          </a:ln>
                        </wps:spPr>
                        <wps:txbx>
                          <w:txbxContent>
                            <w:p w:rsidR="00BD6FC4" w:rsidRDefault="00BD6FC4" w:rsidP="00676405">
                              <w:pPr>
                                <w:spacing w:before="120" w:after="120"/>
                                <w:jc w:val="center"/>
                                <w:rPr>
                                  <w:rFonts w:ascii="Verdana" w:hAnsi="Verdana"/>
                                  <w:b/>
                                  <w:bCs/>
                                  <w:szCs w:val="26"/>
                                </w:rPr>
                              </w:pPr>
                              <w:r>
                                <w:rPr>
                                  <w:rFonts w:ascii="Verdana" w:hAnsi="Verdana"/>
                                  <w:b/>
                                  <w:bCs/>
                                  <w:szCs w:val="26"/>
                                </w:rPr>
                                <w:t>Children’s Disability Network Teams</w:t>
                              </w:r>
                            </w:p>
                            <w:p w:rsidR="00BD6FC4" w:rsidRPr="005857BB" w:rsidRDefault="00BD6FC4" w:rsidP="00676405">
                              <w:pPr>
                                <w:spacing w:before="120" w:after="120"/>
                                <w:jc w:val="center"/>
                                <w:rPr>
                                  <w:rFonts w:ascii="Verdana" w:hAnsi="Verdana"/>
                                  <w:b/>
                                  <w:bCs/>
                                  <w:szCs w:val="26"/>
                                </w:rPr>
                              </w:pPr>
                            </w:p>
                          </w:txbxContent>
                        </wps:txbx>
                        <wps:bodyPr rot="0" vert="horz" wrap="square" lIns="91440" tIns="45720" rIns="91440" bIns="45720" anchor="t" anchorCtr="0" upright="1">
                          <a:noAutofit/>
                        </wps:bodyPr>
                      </wps:wsp>
                      <wps:wsp>
                        <wps:cNvPr id="16" name="AutoShape 259"/>
                        <wps:cNvSpPr>
                          <a:spLocks noChangeArrowheads="1"/>
                        </wps:cNvSpPr>
                        <wps:spPr bwMode="auto">
                          <a:xfrm rot="10800000">
                            <a:off x="5130" y="6654"/>
                            <a:ext cx="1513" cy="364"/>
                          </a:xfrm>
                          <a:prstGeom prst="rightArrow">
                            <a:avLst>
                              <a:gd name="adj1" fmla="val 50000"/>
                              <a:gd name="adj2" fmla="val 103915"/>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17" name="AutoShape 260"/>
                        <wps:cNvSpPr>
                          <a:spLocks noChangeArrowheads="1"/>
                        </wps:cNvSpPr>
                        <wps:spPr bwMode="auto">
                          <a:xfrm rot="5400000">
                            <a:off x="11969" y="5439"/>
                            <a:ext cx="952" cy="402"/>
                          </a:xfrm>
                          <a:prstGeom prst="rightArrow">
                            <a:avLst>
                              <a:gd name="adj1" fmla="val 50000"/>
                              <a:gd name="adj2" fmla="val 59204"/>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s:wsp>
                        <wps:cNvPr id="18" name="AutoShape 261"/>
                        <wps:cNvSpPr>
                          <a:spLocks noChangeArrowheads="1"/>
                        </wps:cNvSpPr>
                        <wps:spPr bwMode="auto">
                          <a:xfrm rot="5400000">
                            <a:off x="3371" y="5361"/>
                            <a:ext cx="953" cy="403"/>
                          </a:xfrm>
                          <a:prstGeom prst="rightArrow">
                            <a:avLst>
                              <a:gd name="adj1" fmla="val 50000"/>
                              <a:gd name="adj2" fmla="val 59119"/>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wpg:wgp>
                  </a:graphicData>
                </a:graphic>
              </wp:inline>
            </w:drawing>
          </mc:Choice>
          <mc:Fallback>
            <w:pict>
              <v:group id="Group 246" o:spid="_x0000_s1026" alt="Diagram representing 'Access to services for children and young people, to meet their needs'." style="width:566.85pt;height:335.15pt;mso-position-horizontal-relative:char;mso-position-vertical-relative:line" coordorigin="2522,2612" coordsize="11337,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">
                <v:rect id="Rectangle 247" o:spid="_x0000_s1027" style="position:absolute;left:2522;top:6039;width:2608;height: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BD6FC4" w:rsidRPr="006F7D8C" w:rsidRDefault="00BD6FC4" w:rsidP="00676405">
                        <w:pPr>
                          <w:spacing w:before="120" w:after="120"/>
                          <w:jc w:val="center"/>
                          <w:rPr>
                            <w:rFonts w:ascii="Verdana" w:hAnsi="Verdana"/>
                            <w:b/>
                            <w:bCs/>
                            <w:sz w:val="18"/>
                            <w:szCs w:val="18"/>
                          </w:rPr>
                        </w:pPr>
                      </w:p>
                      <w:p w:rsidR="00BD6FC4" w:rsidRPr="005857BB" w:rsidRDefault="00BD6FC4" w:rsidP="00676405">
                        <w:pPr>
                          <w:spacing w:before="120" w:after="120"/>
                          <w:jc w:val="center"/>
                          <w:rPr>
                            <w:rFonts w:ascii="Verdana" w:hAnsi="Verdana"/>
                            <w:b/>
                            <w:bCs/>
                            <w:szCs w:val="26"/>
                          </w:rPr>
                        </w:pPr>
                        <w:r w:rsidRPr="005857BB">
                          <w:rPr>
                            <w:rFonts w:ascii="Verdana" w:hAnsi="Verdana"/>
                            <w:b/>
                            <w:bCs/>
                            <w:szCs w:val="26"/>
                          </w:rPr>
                          <w:t>Primary Care Teams</w:t>
                        </w:r>
                      </w:p>
                    </w:txbxContent>
                  </v:textbox>
                </v:rect>
                <v:shapetype id="_x0000_t202" coordsize="21600,21600" o:spt="202" path="m,l,21600r21600,l21600,xe">
                  <v:stroke joinstyle="miter"/>
                  <v:path gradientshapeok="t" o:connecttype="rect"/>
                </v:shapetype>
                <v:shape id="Text Box 248" o:spid="_x0000_s1028" type="#_x0000_t202" style="position:absolute;left:2522;top:4196;width:32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BD6FC4" w:rsidRPr="005857BB" w:rsidRDefault="00BD6FC4" w:rsidP="00676405">
                        <w:pPr>
                          <w:jc w:val="center"/>
                          <w:rPr>
                            <w:rFonts w:ascii="Gill Sans MT" w:hAnsi="Gill Sans MT"/>
                          </w:rPr>
                        </w:pPr>
                        <w:r w:rsidRPr="005857BB">
                          <w:rPr>
                            <w:rFonts w:ascii="Gill Sans MT" w:hAnsi="Gill Sans MT"/>
                          </w:rPr>
                          <w:t>Child with non-complex needs</w:t>
                        </w:r>
                      </w:p>
                    </w:txbxContent>
                  </v:textbox>
                </v:shape>
                <v:shape id="Text Box 249" o:spid="_x0000_s1029" type="#_x0000_t202" style="position:absolute;left:2698;top:8670;width:10849;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BD6FC4" w:rsidRPr="006F7D8C" w:rsidRDefault="00BD6FC4" w:rsidP="00676405">
                        <w:pPr>
                          <w:spacing w:before="120" w:after="120"/>
                          <w:jc w:val="center"/>
                          <w:rPr>
                            <w:rFonts w:ascii="Gill Sans MT" w:hAnsi="Gill Sans MT"/>
                            <w:sz w:val="28"/>
                            <w:szCs w:val="28"/>
                          </w:rPr>
                        </w:pPr>
                        <w:r w:rsidRPr="006F7D8C">
                          <w:rPr>
                            <w:rFonts w:ascii="Gill Sans MT" w:hAnsi="Gill Sans MT"/>
                            <w:sz w:val="28"/>
                            <w:szCs w:val="28"/>
                          </w:rPr>
                          <w:t>Specialist support as needed by Primary Care and Children’s Disability Network Teams</w:t>
                        </w:r>
                      </w:p>
                      <w:p w:rsidR="00BD6FC4" w:rsidRPr="00000B27" w:rsidRDefault="00BD6FC4" w:rsidP="00676405">
                        <w:pPr>
                          <w:rPr>
                            <w:rFonts w:ascii="Verdana" w:hAnsi="Verdana"/>
                            <w:sz w:val="22"/>
                            <w:szCs w:val="22"/>
                          </w:rPr>
                        </w:pPr>
                      </w:p>
                      <w:p w:rsidR="00BD6FC4" w:rsidRPr="00E25199" w:rsidRDefault="00BD6FC4" w:rsidP="00676405">
                        <w:pPr>
                          <w:rPr>
                            <w:rFonts w:ascii="Century Gothic" w:hAnsi="Century Gothic"/>
                            <w:sz w:val="16"/>
                            <w:szCs w:val="16"/>
                          </w:rPr>
                        </w:pPr>
                      </w:p>
                    </w:txbxContent>
                  </v:textbox>
                </v:shape>
                <v:shape id="Freeform 250" o:spid="_x0000_s1030" style="position:absolute;left:3765;top:7570;width:5;height:1100;visibility:visible;mso-wrap-style:square;v-text-anchor:top" coordsize="5,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" path="m,l5,1229e" filled="f" strokecolor="#396" strokeweight="1.5pt">
                  <v:stroke startarrow="block"/>
                  <v:path arrowok="t" o:connecttype="custom" o:connectlocs="0,0;5,1100" o:connectangles="0,0"/>
                </v:shape>
                <v:shape id="Text Box 251" o:spid="_x0000_s1031" type="#_x0000_t202" style="position:absolute;left:6643;top:5984;width:3557;height:1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BD6FC4" w:rsidRPr="00525163" w:rsidRDefault="00BD6FC4" w:rsidP="00676405">
                        <w:pPr>
                          <w:spacing w:before="120" w:after="120"/>
                          <w:jc w:val="center"/>
                          <w:rPr>
                            <w:rFonts w:ascii="Gill Sans MT" w:hAnsi="Gill Sans MT"/>
                            <w:sz w:val="28"/>
                            <w:szCs w:val="28"/>
                          </w:rPr>
                        </w:pPr>
                        <w:r w:rsidRPr="00525163">
                          <w:rPr>
                            <w:rFonts w:ascii="Gill Sans MT" w:hAnsi="Gill Sans MT"/>
                            <w:sz w:val="28"/>
                            <w:szCs w:val="28"/>
                          </w:rPr>
                          <w:t>Support and consultation</w:t>
                        </w:r>
                      </w:p>
                      <w:p w:rsidR="00BD6FC4" w:rsidRPr="00525163" w:rsidRDefault="00BD6FC4" w:rsidP="00676405">
                        <w:pPr>
                          <w:spacing w:before="120" w:after="120"/>
                          <w:jc w:val="center"/>
                          <w:rPr>
                            <w:rFonts w:ascii="Gill Sans MT" w:hAnsi="Gill Sans MT"/>
                            <w:sz w:val="28"/>
                            <w:szCs w:val="28"/>
                          </w:rPr>
                        </w:pPr>
                        <w:r w:rsidRPr="00525163">
                          <w:rPr>
                            <w:rFonts w:ascii="Gill Sans MT" w:hAnsi="Gill Sans MT"/>
                            <w:sz w:val="28"/>
                            <w:szCs w:val="28"/>
                          </w:rPr>
                          <w:t>Transfer between services if and when child’s needs change</w:t>
                        </w:r>
                      </w:p>
                    </w:txbxContent>
                  </v:textbox>
                </v:shape>
                <v:roundrect id="AutoShape 252" o:spid="_x0000_s1032" alt="Diagram describing 'Access to services for children &amp; young people to meet their needs'." style="position:absolute;left:2875;top:2612;width:10849;height:7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">
                  <v:textbox>
                    <w:txbxContent>
                      <w:p w:rsidR="00BD6FC4" w:rsidRPr="005857BB" w:rsidRDefault="00BD6FC4" w:rsidP="00676405">
                        <w:pPr>
                          <w:jc w:val="center"/>
                          <w:rPr>
                            <w:rFonts w:ascii="Gill Sans MT" w:hAnsi="Gill Sans MT"/>
                            <w:b/>
                            <w:bCs/>
                          </w:rPr>
                        </w:pPr>
                        <w:r w:rsidRPr="005857BB">
                          <w:rPr>
                            <w:rFonts w:ascii="Gill Sans MT" w:hAnsi="Gill Sans MT"/>
                            <w:b/>
                            <w:bCs/>
                          </w:rPr>
                          <w:t>Children with disability or developmental delay and their families</w:t>
                        </w:r>
                      </w:p>
                    </w:txbxContent>
                  </v:textbox>
                </v:roundrect>
                <v:shape id="Freeform 253" o:spid="_x0000_s1033" style="position:absolute;left:10200;top:3316;width:2441;height:883;rotation:201384fd;visibility:visible;mso-wrap-style:square;v-text-anchor:top" coordsize="3091,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" path="m,l3091,1006e" filled="f" strokecolor="blue" strokeweight="5pt">
                  <v:stroke startarrow="block" endarrow="block"/>
                  <v:path arrowok="t" o:connecttype="custom" o:connectlocs="0,0;2441,883" o:connectangles="0,0"/>
                </v:shape>
                <v:shape id="Freeform 254" o:spid="_x0000_s1034" style="position:absolute;left:12641;top:7570;width:5;height:1100;visibility:visible;mso-wrap-style:square;v-text-anchor:top" coordsize="5,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" path="m,l5,1229e" filled="f" strokecolor="#396" strokeweight="1.5pt">
                  <v:stroke startarrow="block"/>
                  <v:path arrowok="t" o:connecttype="custom" o:connectlocs="0,0;5,1100" o:connectangles="0,0"/>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55" o:spid="_x0000_s1035" type="#_x0000_t13" style="position:absolute;left:10200;top:6654;width:1051;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" fillcolor="blue" strokecolor="blue"/>
                <v:shape id="Text Box 256" o:spid="_x0000_s1036" type="#_x0000_t202" style="position:absolute;left:10659;top:4264;width:32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BD6FC4" w:rsidRPr="005857BB" w:rsidRDefault="00BD6FC4" w:rsidP="00676405">
                        <w:pPr>
                          <w:jc w:val="center"/>
                          <w:rPr>
                            <w:rFonts w:ascii="Gill Sans MT" w:hAnsi="Gill Sans MT"/>
                          </w:rPr>
                        </w:pPr>
                        <w:r>
                          <w:rPr>
                            <w:rFonts w:ascii="Gill Sans MT" w:hAnsi="Gill Sans MT"/>
                          </w:rPr>
                          <w:t xml:space="preserve">Child with </w:t>
                        </w:r>
                        <w:r w:rsidRPr="005857BB">
                          <w:rPr>
                            <w:rFonts w:ascii="Gill Sans MT" w:hAnsi="Gill Sans MT"/>
                          </w:rPr>
                          <w:t>complex needs</w:t>
                        </w:r>
                      </w:p>
                    </w:txbxContent>
                  </v:textbox>
                </v:shape>
                <v:shape id="Freeform 257" o:spid="_x0000_s1037" style="position:absolute;left:3892;top:3309;width:2441;height:898;rotation:8865460fd;visibility:visible;mso-wrap-style:square;v-text-anchor:top" coordsize="3091,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" path="m,l3091,1006e" filled="f" strokecolor="blue" strokeweight="5pt">
                  <v:stroke startarrow="block" endarrow="block"/>
                  <v:path arrowok="t" o:connecttype="custom" o:connectlocs="0,0;2441,898" o:connectangles="0,0"/>
                </v:shape>
                <v:rect id="Rectangle 258" o:spid="_x0000_s1038" style="position:absolute;left:11251;top:6092;width:2608;height: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BD6FC4" w:rsidRDefault="00BD6FC4" w:rsidP="00676405">
                        <w:pPr>
                          <w:spacing w:before="120" w:after="120"/>
                          <w:jc w:val="center"/>
                          <w:rPr>
                            <w:rFonts w:ascii="Verdana" w:hAnsi="Verdana"/>
                            <w:b/>
                            <w:bCs/>
                            <w:szCs w:val="26"/>
                          </w:rPr>
                        </w:pPr>
                        <w:r>
                          <w:rPr>
                            <w:rFonts w:ascii="Verdana" w:hAnsi="Verdana"/>
                            <w:b/>
                            <w:bCs/>
                            <w:szCs w:val="26"/>
                          </w:rPr>
                          <w:t>Children’s Disability Network Teams</w:t>
                        </w:r>
                      </w:p>
                      <w:p w:rsidR="00BD6FC4" w:rsidRPr="005857BB" w:rsidRDefault="00BD6FC4" w:rsidP="00676405">
                        <w:pPr>
                          <w:spacing w:before="120" w:after="120"/>
                          <w:jc w:val="center"/>
                          <w:rPr>
                            <w:rFonts w:ascii="Verdana" w:hAnsi="Verdana"/>
                            <w:b/>
                            <w:bCs/>
                            <w:szCs w:val="26"/>
                          </w:rPr>
                        </w:pPr>
                      </w:p>
                    </w:txbxContent>
                  </v:textbox>
                </v:rect>
                <v:shape id="AutoShape 259" o:spid="_x0000_s1039" type="#_x0000_t13" style="position:absolute;left:5130;top:6654;width:1513;height:36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" fillcolor="blue" strokecolor="blue"/>
                <v:shape id="AutoShape 260" o:spid="_x0000_s1040" type="#_x0000_t13" style="position:absolute;left:11969;top:5439;width:952;height:40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" fillcolor="blue" strokecolor="blue"/>
                <v:shape id="AutoShape 261" o:spid="_x0000_s1041" type="#_x0000_t13" style="position:absolute;left:3371;top:5361;width:953;height:40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" fillcolor="blue" strokecolor="blue"/>
                <w10:anchorlock/>
              </v:group>
            </w:pict>
          </mc:Fallback>
        </mc:AlternateContent>
      </w:r>
    </w:p>
    <w:p w:rsidR="00173B0A" w:rsidRDefault="00173B0A" w:rsidP="00676405">
      <w:pPr>
        <w:jc w:val="center"/>
        <w:rPr>
          <w:rFonts w:ascii="Verdana" w:hAnsi="Verdana" w:cs="Arial"/>
          <w:b/>
        </w:rPr>
        <w:sectPr w:rsidR="00173B0A" w:rsidSect="00676405">
          <w:pgSz w:w="16838" w:h="11906" w:orient="landscape"/>
          <w:pgMar w:top="1797" w:right="1440" w:bottom="1560" w:left="1440" w:header="709" w:footer="709" w:gutter="0"/>
          <w:cols w:space="708"/>
          <w:docGrid w:linePitch="360"/>
        </w:sectPr>
      </w:pPr>
    </w:p>
    <w:p w:rsidR="00676405" w:rsidRDefault="00173B0A" w:rsidP="00173B0A">
      <w:pPr>
        <w:pStyle w:val="Heading1"/>
      </w:pPr>
      <w:bookmarkStart w:id="316" w:name="_Toc415733781"/>
      <w:r>
        <w:t>Bibliography</w:t>
      </w:r>
      <w:bookmarkEnd w:id="316"/>
    </w:p>
    <w:p w:rsidR="00173B0A" w:rsidRDefault="00173B0A" w:rsidP="00173B0A">
      <w:r>
        <w:t>Annett, MM. (2003) Beyond School Caseloads: Looking at Total Workload, The ASHA Leader www.asha.org/Publications/leader/2003/030415/030415.htm</w:t>
      </w:r>
    </w:p>
    <w:p w:rsidR="00173B0A" w:rsidRDefault="00173B0A" w:rsidP="00173B0A">
      <w:r>
        <w:t xml:space="preserve">Allen, RI. Petr, CG. (1996) Towards developing standards and measurements for family-centred practice in family-support programs In G.H.S. Singer, L.E. Powers and A.L. Olson (Eds.) Redefining Family Support: Innovations in Public-Private Partnerships Baltimore, Maryland: Paul H. Brookes </w:t>
      </w:r>
    </w:p>
    <w:p w:rsidR="00173B0A" w:rsidRDefault="00173B0A" w:rsidP="00173B0A">
      <w:r w:rsidRPr="00B4422D">
        <w:t xml:space="preserve">American Speech-Language-Hearing Association </w:t>
      </w:r>
      <w:r>
        <w:t>(</w:t>
      </w:r>
      <w:r w:rsidRPr="00D20700">
        <w:t>ASHA</w:t>
      </w:r>
      <w:r>
        <w:t>)</w:t>
      </w:r>
      <w:r w:rsidRPr="00D20700">
        <w:t xml:space="preserve"> (2014) Schools Survey: SLP caseload characteristics asha.org/uploadedFiles/2014-SLP-Schools-Survey-Caseload-Report.pdf</w:t>
      </w:r>
    </w:p>
    <w:p w:rsidR="00173B0A" w:rsidRDefault="00173B0A" w:rsidP="00173B0A">
      <w:r>
        <w:t xml:space="preserve">American Speech-Language-Hearing Association (ASHA) (2006) 2006 schools survey: Special report, caseload trends, Rockville, MD: Author </w:t>
      </w:r>
    </w:p>
    <w:p w:rsidR="00173B0A" w:rsidRDefault="00173B0A" w:rsidP="00173B0A">
      <w:r>
        <w:t xml:space="preserve">American Speech-Language-Hearing Association (ASHA) (2006) Guidelines for speech-language pathologists in diagnosis, assessment, and treatment of autism spectrum disorders across the lifespan, Rockville, MD: Author </w:t>
      </w:r>
    </w:p>
    <w:p w:rsidR="00173B0A" w:rsidRPr="009F549B" w:rsidRDefault="00173B0A" w:rsidP="00173B0A">
      <w:r>
        <w:t>A</w:t>
      </w:r>
      <w:r w:rsidRPr="00B24988">
        <w:t>merican Spee</w:t>
      </w:r>
      <w:r>
        <w:t>ch-Language-Hearing Association (ASHA) (2004) S</w:t>
      </w:r>
      <w:r w:rsidRPr="00B24988">
        <w:t>chools survey report: Survey methodology, respond</w:t>
      </w:r>
      <w:r>
        <w:t xml:space="preserve">ent demographics, and glossary </w:t>
      </w:r>
      <w:r w:rsidRPr="00B24988">
        <w:t>www.asha.org/NR/rdonlyres/</w:t>
      </w:r>
      <w:r w:rsidRPr="009F549B">
        <w:t>A700FE99-C454-44EF-959884B195E8D87F/0/SchoolsSurveyWorkforce.pdf</w:t>
      </w:r>
    </w:p>
    <w:p w:rsidR="00173B0A" w:rsidRPr="009F549B" w:rsidRDefault="00173B0A" w:rsidP="00173B0A">
      <w:r w:rsidRPr="009F549B">
        <w:t xml:space="preserve">American Speech-Language-Hearing Association (ASHA) (2002) "A workload analysis approach for establishing speech-language caseload standards in the schools: Guidelines." www.asha.org/policy. </w:t>
      </w:r>
      <w:hyperlink r:id="rId16" w:history="1">
        <w:r w:rsidRPr="009F549B">
          <w:rPr>
            <w:rStyle w:val="Hyperlink"/>
            <w:color w:val="auto"/>
          </w:rPr>
          <w:t>www.asha.org/docs/html/GL2002-00066.html</w:t>
        </w:r>
      </w:hyperlink>
    </w:p>
    <w:p w:rsidR="00173B0A" w:rsidRPr="009F549B" w:rsidRDefault="00173B0A" w:rsidP="00173B0A">
      <w:r w:rsidRPr="009F549B">
        <w:t>American Speech-Language-Hearing Association (ASHA) (2002) Scope of practice in speech-language pathology, ASHA Leader (Suppl. 22), 29–36</w:t>
      </w:r>
    </w:p>
    <w:p w:rsidR="00173B0A" w:rsidRPr="009F549B" w:rsidRDefault="00173B0A" w:rsidP="00173B0A">
      <w:r w:rsidRPr="009F549B">
        <w:t>Bacon, Peter and Associates (2001) Final Report: Current and Future Supply and Demand Conditions in the Labour Market for Certain Professional Therapists www.lenus.ie/hse/bitstream/10147/42517/1/1885.pdf</w:t>
      </w:r>
    </w:p>
    <w:p w:rsidR="00173B0A" w:rsidRDefault="00173B0A" w:rsidP="00173B0A">
      <w:r>
        <w:t>Bailey, DB., McWilliam, PJ., Winton, PJ., Simeonsson, RJ. (1992). Implementing Family-Centred Services in Early Intervention: A Team-Based Model for Change Cambridge, Massachusetts: Brookline Books</w:t>
      </w:r>
    </w:p>
    <w:p w:rsidR="00173B0A" w:rsidRDefault="00173B0A" w:rsidP="00173B0A">
      <w:r>
        <w:t xml:space="preserve">Baird, S., Peterson, J. (1997) Seeking a comfortable fit between family-centred philosophy and infant parent interaction in early intervention: Time for a paradigm shift, Topics in Early Childhood Special Education 17(2), 139-164 </w:t>
      </w:r>
    </w:p>
    <w:p w:rsidR="00173B0A" w:rsidRPr="009F549B" w:rsidRDefault="00173B0A" w:rsidP="00173B0A">
      <w:r w:rsidRPr="009F549B">
        <w:t>Barnardos (2011) Reorganising Child and Family Support Services Discussion Paper www.barnardos.ie/.../Reorganising%20Child%20and%20Family%20Support%20Services%20Ba...</w:t>
      </w:r>
    </w:p>
    <w:p w:rsidR="00173B0A" w:rsidRDefault="00173B0A" w:rsidP="00173B0A">
      <w:r>
        <w:t xml:space="preserve">BC’s Paediatric Therapists (2006) Helping kids reach their potential, Final Report www.therapybc.ca/pdf/PMWFPT_FinalReport.pdf </w:t>
      </w:r>
    </w:p>
    <w:p w:rsidR="00173B0A" w:rsidRDefault="00173B0A" w:rsidP="00173B0A">
      <w:r>
        <w:t>BC Paediatric Therapists (2008) Helping Kids Reach their Potential Promoting Manageable Workloads Project Phase 2 - Preferred Practice Guidelines for BC Paediatric Therapists www.therapybc.ca/pdf/PreferredPracticeGuidelines.pdf</w:t>
      </w:r>
    </w:p>
    <w:p w:rsidR="00173B0A" w:rsidRDefault="00173B0A" w:rsidP="00173B0A">
      <w:r>
        <w:t xml:space="preserve">Beckman, PJ. (2002) Providing family-centered services. In M.L. Batshaw (Ed.). Children with Disabilities (5th Ed.). Baltimore, Maryland: Paul H. Brookes </w:t>
      </w:r>
    </w:p>
    <w:p w:rsidR="00173B0A" w:rsidRDefault="00173B0A" w:rsidP="00173B0A">
      <w:r>
        <w:t>Beckman, PJ., Robinson, CC., Rosenberg, S., Filer, J. (1994) Family involvement in early intervention: The evolution of family-centered service. In L.J. Johnson, R.J. Gallagher, M.J. LaMontagne, J.B. Jordan, J.J. Gallagher P.L. Hutinger and M.B. Karnes (Eds.). Meeting Early Intervention Challenges: Issues from Birth to Three (2nd. Ed.). Baltimore, Maryland</w:t>
      </w:r>
    </w:p>
    <w:p w:rsidR="00173B0A" w:rsidRDefault="00173B0A" w:rsidP="00173B0A">
      <w:r>
        <w:t>Bell, A., Corfield, M., Richardson, N. (2009) Collaborative transdisciplinary intervention in early years-putting theory in practice, Child: care, health and development, 36 (1), 142-148</w:t>
      </w:r>
    </w:p>
    <w:p w:rsidR="00173B0A" w:rsidRDefault="00173B0A" w:rsidP="00173B0A">
      <w:r>
        <w:t xml:space="preserve">Blacher, J., Baker, BL., (2002) The Best of AAMR: Families and Mental Retardation: A Collection of Notable AAMR Journal Articles across the 20th Century (383pp), Washington, DC: American Association on Mental Retardation </w:t>
      </w:r>
    </w:p>
    <w:p w:rsidR="00173B0A" w:rsidRDefault="00173B0A" w:rsidP="00173B0A">
      <w:r>
        <w:t>Blauw-Hospers CH, Hadders-Algra, M (2005) A systematic review of the effects of early intervention on motor development in Developmental Medicine and Child Neurology, 47(6), 421-432</w:t>
      </w:r>
    </w:p>
    <w:p w:rsidR="00173B0A" w:rsidRDefault="00173B0A" w:rsidP="00173B0A">
      <w:r>
        <w:t>Blood, G., Ridenour, J., Thomas, E., Qualls, C., Hammer, C. (2002). Predicting job satisfaction among speech-language pathologists in public schools, Language, Speech, and Hearing Services in Schools, 33, 282-290</w:t>
      </w:r>
    </w:p>
    <w:p w:rsidR="00173B0A" w:rsidRDefault="00173B0A" w:rsidP="00173B0A">
      <w:r>
        <w:t>Bober, P. Corbett, S. (2011) Occupational Therapy and Physical Therapy: A Resource and Planning Guide Second Edition Wisconsin Department of Public Instruction Madison, Wisconsin sped.dpi.wi.gov/files/sped/pdf/ot-pt-guide-2nd-edition.pdf</w:t>
      </w:r>
    </w:p>
    <w:p w:rsidR="00173B0A" w:rsidRDefault="00173B0A" w:rsidP="00173B0A">
      <w:r>
        <w:t>Borrill, CS., Carletta, J., Carter, AJ., Dawson, JF., Garrod, S., Rees, A., Richards, A., Shapiro, D., West, MA (1999) The Effectiveness of Health Care Teams in the National Health Service. homepages.inf.ed.ac.uk/jeanc/DOH-final-report.pdf</w:t>
      </w:r>
    </w:p>
    <w:p w:rsidR="00173B0A" w:rsidRDefault="00173B0A" w:rsidP="00173B0A">
      <w:r>
        <w:t>Boshoff, K., Stewart, H. (2012) Key principles for confronting the challenges of collaboration in educational settings. Australian Occupational Therapy Journal, doi: 10.1111/1440-1630.12003</w:t>
      </w:r>
    </w:p>
    <w:p w:rsidR="00173B0A" w:rsidRDefault="00173B0A" w:rsidP="00173B0A">
      <w:r w:rsidRPr="009F549B">
        <w:t xml:space="preserve">Boswell S, (2000) Crushed by growing caseloads The ASJA Leader 5, 18 p 1 and 6 See also </w:t>
      </w:r>
      <w:hyperlink r:id="rId17" w:history="1">
        <w:r w:rsidRPr="009F549B">
          <w:rPr>
            <w:rStyle w:val="Hyperlink"/>
            <w:color w:val="auto"/>
          </w:rPr>
          <w:t>www.asha.org/nctecd/treatment_outcomes.htm</w:t>
        </w:r>
      </w:hyperlink>
      <w:r w:rsidRPr="009F549B">
        <w:t xml:space="preserve"> (cited in DFEE (2000) Provision for Children with Speech and Language</w:t>
      </w:r>
      <w:r>
        <w:t xml:space="preserve"> Needs In England and Wales </w:t>
      </w:r>
      <w:r w:rsidRPr="00B24988">
        <w:t>http://dera.ioe.ac.uk/4475/1/RR239.pdf</w:t>
      </w:r>
      <w:r>
        <w:t>)</w:t>
      </w:r>
    </w:p>
    <w:p w:rsidR="00173B0A" w:rsidRDefault="00173B0A" w:rsidP="00173B0A">
      <w:r>
        <w:t xml:space="preserve">Braithwaite J., Hindle D., Phelan PD., Hanson R. (1998) Casemix funding in Australia, Medical Journal of Australia, 168(11), 558-562 </w:t>
      </w:r>
    </w:p>
    <w:p w:rsidR="00173B0A" w:rsidRDefault="00173B0A" w:rsidP="00173B0A">
      <w:r>
        <w:t>Bronfenbrenner, U. (1979) The Ecology of Human Development. USA: Harvard University Press</w:t>
      </w:r>
    </w:p>
    <w:p w:rsidR="00173B0A" w:rsidRDefault="00173B0A" w:rsidP="00173B0A">
      <w:r>
        <w:t>Bundy, A., Brentnall, B., Hemsley, B., Marshall, E. (2008) Therapy Services in the Disability Sector: Literature Review NSW Department of Ageing, Disability and Home Care</w:t>
      </w:r>
      <w:r w:rsidRPr="00AD36CB">
        <w:t xml:space="preserve"> www.adhc.nsw.gov.au/__data/assets/file/0007/228139/10_Therapy_Services_Disability_Sector.pdf</w:t>
      </w:r>
    </w:p>
    <w:p w:rsidR="00173B0A" w:rsidRDefault="00173B0A" w:rsidP="00173B0A">
      <w:r>
        <w:t>Burnett, D., Klaiman, D (2009) on behalf of the CAOT, CPA and CASLPA Steering Committee of the Inter-professional Caseload Management Planning Tool: The Development of an Inter-professional Caseload Management Planning Tool in Occupational Therapy, Physiotherapy and Speech-Language Pathology in Canada: Background Document. www.caot.ca/pdfs/CMPT%20Background%20Paper%20Feb%202010.pdf</w:t>
      </w:r>
    </w:p>
    <w:p w:rsidR="00173B0A" w:rsidRDefault="00173B0A" w:rsidP="00173B0A">
      <w:r>
        <w:t>Canadian Association of Occupational Therapists (2005) Toward Best Practices for Caseload Assignment and Management for Occupational Therapy i</w:t>
      </w:r>
      <w:r w:rsidRPr="00252494">
        <w:t>n Canada www.caot.ca/pdfs/CAOT_CASELOAD_MANAGEMENT_REPORT.pdf</w:t>
      </w:r>
    </w:p>
    <w:p w:rsidR="00173B0A" w:rsidRDefault="00173B0A" w:rsidP="00173B0A">
      <w:r>
        <w:t>Canadian Interprofessional Health Collaborative (CIHC) (2009) A National Inter-professional Competency Framework: Draft for Discussion. Unpublished as cited in Chan, A., BPharm, Wood, V. (2012) Preparing Tomorrow’s Healthcare Providers for Interprofessional Collaborative Patient-­Centred Practice Today UBCMJ | MARCH 2010 1(2) ubcmj.com</w:t>
      </w:r>
    </w:p>
    <w:p w:rsidR="00173B0A" w:rsidRDefault="00173B0A" w:rsidP="00173B0A">
      <w:r w:rsidRPr="006D4635">
        <w:t>Carroll, C., Murphy, G., Sixsmith, J. (2013) The Progression of Early Intervention Disability Services in Ireland, Infants &amp; Young Children, 26 (1), 17–27</w:t>
      </w:r>
    </w:p>
    <w:p w:rsidR="00173B0A" w:rsidRDefault="00173B0A" w:rsidP="00173B0A">
      <w:r>
        <w:t>Cartmill, L., Comans, TA., Clark, MJ., Ash, S. Sheppard, L (2012) Using staffing ratios for workforce planning: evidence on nine allied health professions www.ncbi.nlm.nih.gov/pmc/articles/PMC3398270/</w:t>
      </w:r>
    </w:p>
    <w:p w:rsidR="00173B0A" w:rsidRDefault="00173B0A" w:rsidP="00173B0A">
      <w:r>
        <w:t>Cavouras, C. (2003). Foundations for safe nursing Journal of Clinical Systems Management, 5, 13-15 as cited in Toward Best Practices for Caseload Assignment and Management for Occupational Therapy in Canada. Prepared for the Canadian Association of Occupational Therapists by Management Dimensions, in collaboration with D. Parker-Taillon and Associates, June 2005 www.caot.ca</w:t>
      </w:r>
    </w:p>
    <w:p w:rsidR="00173B0A" w:rsidRDefault="00173B0A" w:rsidP="00173B0A">
      <w:r>
        <w:t>Chan, AK., Wood, V. (2010) Preparing Tomorrow’s Healthcare Providers for Interprofessional collaborative Patient-Centred Practice Today. UBCMJ,1(2), 22-24</w:t>
      </w:r>
    </w:p>
    <w:p w:rsidR="00173B0A" w:rsidRDefault="00173B0A" w:rsidP="00173B0A">
      <w:r w:rsidRPr="00F14F1A">
        <w:t>Charvat, JL (2005) NASP Study:</w:t>
      </w:r>
      <w:r>
        <w:t xml:space="preserve"> How Many School Psychologists are t</w:t>
      </w:r>
      <w:r w:rsidRPr="00F14F1A">
        <w:t>here? NASP Communiqué, http://www.nasponline.org/publications/cq/cq336numsp.aspx</w:t>
      </w:r>
    </w:p>
    <w:p w:rsidR="00173B0A" w:rsidRDefault="00173B0A" w:rsidP="00173B0A">
      <w:r w:rsidRPr="00C26B98">
        <w:t>Chiang, B., Rylance, B. (2000).Wisconsin speech-language pathologists’ caseloads: Reality and repercussions. (Wisconsin Educators’ Case</w:t>
      </w:r>
      <w:r>
        <w:t xml:space="preserve">load load Efficacy Project, Research Report 4). </w:t>
      </w:r>
      <w:r w:rsidRPr="00C26B98">
        <w:t>Oshkosh, WI: University of Wisconsin–Oshkosh</w:t>
      </w:r>
    </w:p>
    <w:p w:rsidR="00173B0A" w:rsidRDefault="00173B0A" w:rsidP="00173B0A">
      <w:r>
        <w:t>Chief Social Worker (2014) Workload and Casework review: Qualitative Review of Social Worker Caseload, Casework and Workload Management  www.msd.govt.nz/documents/about-msd-and-our-work/newsroom/media-releases/2014/workload-and-casework-review.pdf</w:t>
      </w:r>
    </w:p>
    <w:p w:rsidR="00173B0A" w:rsidRDefault="00173B0A" w:rsidP="00173B0A">
      <w:r w:rsidRPr="000E3366">
        <w:t>Children’s Trust, Tadworth (2011) Disabled Children and Health Reform: Questions,</w:t>
      </w:r>
      <w:r>
        <w:t xml:space="preserve"> Challenges and Opportunities,</w:t>
      </w:r>
      <w:r w:rsidRPr="000E3366">
        <w:t xml:space="preserve"> www.thechildrenstrust.org.uk</w:t>
      </w:r>
    </w:p>
    <w:p w:rsidR="00173B0A" w:rsidRDefault="00173B0A" w:rsidP="00173B0A">
      <w:r>
        <w:t xml:space="preserve">Cirrin, F., Biehl., Estomin, E., and Schraeder, T. (2003) Speech-language caseloads in the schools: a workload analysis approach to setting caseload standards, Semin Speech Lang., 24,155-80 </w:t>
      </w:r>
    </w:p>
    <w:p w:rsidR="00173B0A" w:rsidRDefault="00173B0A" w:rsidP="00173B0A">
      <w:r>
        <w:t xml:space="preserve">Cook, A., </w:t>
      </w:r>
      <w:r w:rsidRPr="00A9445B">
        <w:t>Miller, E. (2012) Personal Outcomes Approach: Talking Points. Edinburgh: Joint Improvement Team as cited by The Scottish Government (2013) Developing an Outcomes Model for Disabled Children and Young People in Scotland www.scotland.gov.uk/Resource/0043/00434117.pdf</w:t>
      </w:r>
    </w:p>
    <w:p w:rsidR="00173B0A" w:rsidRDefault="00173B0A" w:rsidP="00173B0A">
      <w:r>
        <w:t>Dale, N. (1996) Working with Families of Children with Special Needs, London: Routledge</w:t>
      </w:r>
    </w:p>
    <w:p w:rsidR="00173B0A" w:rsidRDefault="00173B0A" w:rsidP="00173B0A">
      <w:r>
        <w:t xml:space="preserve">Dalton L, Spencer J, Dunn M, Albert E, Walker J, Farrell G. (2003) Re-thinking approaches to undergraduate health professional education: Interdisciplinary rural placement program. Collegian, 10(1), 17-21 </w:t>
      </w:r>
    </w:p>
    <w:p w:rsidR="00173B0A" w:rsidRDefault="00173B0A" w:rsidP="00173B0A">
      <w:r>
        <w:t>Dubois, CA., Singh, D. (2009) From staff-mix to skill-mix and beyond: towards a systemic approach to health workforce management ncbi.nlm.nih.gov/pmc/articles/PMC2813845</w:t>
      </w:r>
    </w:p>
    <w:p w:rsidR="00173B0A" w:rsidRDefault="00173B0A" w:rsidP="00173B0A">
      <w:r>
        <w:t>Dunst, C., Trivette, C. and Johanson C. (1994). Parent Professional Collaboration and Partnerships. (in) Dunst, C. Trivette, C. and Deal, A. (Eds.). Supporting and Strengthening Families: Vol. 1. Methods Strategies and Practices, Cambridge, MA: Brookline Books. pp. 197-211</w:t>
      </w:r>
    </w:p>
    <w:p w:rsidR="00173B0A" w:rsidRDefault="00173B0A" w:rsidP="00173B0A">
      <w:r>
        <w:t>Davidson, KF., Bressler, SI. (2010) Piloting a points-based caseload measure for community based paediatric occupational and physiotherapists. Canadian Journal of Occupational Therapy, 77, 174-180. doi: 10.2182/cjot.2010.01.00</w:t>
      </w:r>
    </w:p>
    <w:p w:rsidR="00173B0A" w:rsidRDefault="00173B0A" w:rsidP="00173B0A">
      <w:r>
        <w:t>De Moor, JM., Van Waesberghe, BT., Hosman, JB., Jaekan, D., Miedama, S. (1993) Early intervention for children with disabilities: manifesto of the Eurlyaid working party. International Journal of Rehabilitation Research, 16, 23-31</w:t>
      </w:r>
    </w:p>
    <w:p w:rsidR="00173B0A" w:rsidRDefault="00173B0A" w:rsidP="00173B0A">
      <w:r>
        <w:t>Doyle C, Lennox L, Bell D. (2013) A systematic review of evidence on the links between patient experience and clinical safety and effectiveness, BMJ Open, 3(1), e001570</w:t>
      </w:r>
    </w:p>
    <w:p w:rsidR="00173B0A" w:rsidRDefault="00173B0A" w:rsidP="00173B0A">
      <w:r>
        <w:t xml:space="preserve">Duckett, S., Gray, L., Howe, A. (1995) Designing a finding system for rehabilitation services: Part 1: Rationale and recent developments, Australian Health Review, 18(3), 30-44 </w:t>
      </w:r>
    </w:p>
    <w:p w:rsidR="00173B0A" w:rsidRPr="002B69BA" w:rsidRDefault="00173B0A" w:rsidP="00173B0A">
      <w:r w:rsidRPr="002B69BA">
        <w:t>Dunst, CJ., Trivette, C.M., Deal, AG. (1988) Enabling and Empowering Families Cambridge, Massachusetts: Brookline Books</w:t>
      </w:r>
    </w:p>
    <w:p w:rsidR="00173B0A" w:rsidRPr="002B69BA" w:rsidRDefault="00173B0A" w:rsidP="00173B0A">
      <w:r w:rsidRPr="002B69BA">
        <w:t>Dunst, CJ. (1995) Key characteristics and features of community-based family support programs. Chicago, Michigan: Family Resource Coalition</w:t>
      </w:r>
    </w:p>
    <w:p w:rsidR="00173B0A" w:rsidRDefault="00173B0A" w:rsidP="00173B0A">
      <w:r>
        <w:t xml:space="preserve">Dunst, CJ., Trivette, CM., Jodry, W. (1997) Influences of social support on children with disabilities and their families, In Guralnick, M. (ed.) "The effectiveness of early intervention", Brookes, Baltimore, </w:t>
      </w:r>
    </w:p>
    <w:p w:rsidR="00173B0A" w:rsidRPr="002B69BA" w:rsidRDefault="00173B0A" w:rsidP="00173B0A">
      <w:r w:rsidRPr="002B69BA">
        <w:t xml:space="preserve">Dunst, CJ (1999) Placing parent education in conceptual and empirical concept Topics in Early Childhood Special Education, 19, 141-147 </w:t>
      </w:r>
    </w:p>
    <w:p w:rsidR="00173B0A" w:rsidRPr="002B69BA" w:rsidRDefault="00173B0A" w:rsidP="00173B0A">
      <w:r w:rsidRPr="002B69BA">
        <w:t>Dunst, C.J. (2000) Revisiting ‘Rethinking Early Intervention’ Topics in Early Childhood Special Education, 20(2), 95-104</w:t>
      </w:r>
    </w:p>
    <w:p w:rsidR="00173B0A" w:rsidRPr="002B69BA" w:rsidRDefault="00173B0A" w:rsidP="00173B0A">
      <w:r w:rsidRPr="002B69BA">
        <w:t xml:space="preserve">Dunst, CJ., Trivette, CM. (2005) Characteristics and consequences of family-centred help-giving practices. Casemakers, 1(6), 1-4 </w:t>
      </w:r>
      <w:hyperlink r:id="rId18" w:history="1">
        <w:r w:rsidRPr="002B69BA">
          <w:rPr>
            <w:rStyle w:val="Hyperlink"/>
            <w:color w:val="auto"/>
          </w:rPr>
          <w:t>www.fippcase.org/casemakers/casemakers_vol1_no6.pdf</w:t>
        </w:r>
      </w:hyperlink>
    </w:p>
    <w:p w:rsidR="00173B0A" w:rsidRPr="002B69BA" w:rsidRDefault="00173B0A" w:rsidP="00173B0A">
      <w:r w:rsidRPr="002B69BA">
        <w:t>Dunst, CJ., Trivette, CM., Hamby, DW. (2006) Family Support Program Quality and Parent, Family and Child Benefits, Asheville, NC: Winterberry Press as cited by Espe-Sherwindt, M. (2008)</w:t>
      </w:r>
    </w:p>
    <w:p w:rsidR="00173B0A" w:rsidRPr="002B69BA" w:rsidRDefault="00173B0A" w:rsidP="00173B0A">
      <w:r w:rsidRPr="002B69BA">
        <w:t>Dunst, CJ., Trivette, CM., Hamby, DW. (2007) Meta analysis of family-centered help giving practices research. Mental Retardation and Developmental Disabilities Research Reviews, 13, 370–378</w:t>
      </w:r>
    </w:p>
    <w:p w:rsidR="00173B0A" w:rsidRDefault="00173B0A" w:rsidP="00173B0A">
      <w:r>
        <w:t xml:space="preserve">Dyson, M., Duckett, SJ., Allen, FCL. (2000) A therapy-relevant casemix classification system for school-age children with disabilities, Archives of Physical Medicine and Rehabilitation, 81, 634-643 </w:t>
      </w:r>
    </w:p>
    <w:p w:rsidR="00173B0A" w:rsidRDefault="00173B0A" w:rsidP="00173B0A">
      <w:r>
        <w:t>Economist Intelligence Unit (2012) Starting well: Benchmarking early education across the world. www.lienfoundation.org/pdf/news/sw_report.pdf</w:t>
      </w:r>
    </w:p>
    <w:p w:rsidR="00173B0A" w:rsidRDefault="00173B0A" w:rsidP="00173B0A">
      <w:r>
        <w:t>Edgar, D., Rosa-Lugo, L. (2007)</w:t>
      </w:r>
      <w:r w:rsidRPr="00300003">
        <w:t xml:space="preserve"> The critical shortage of speech-language pathologists in the public school setting: Features of the work environment that affect recruitment and retention. Language, Speech, and Hearing Services in Schools, 38, 31-46</w:t>
      </w:r>
    </w:p>
    <w:p w:rsidR="00173B0A" w:rsidRDefault="00173B0A" w:rsidP="00173B0A">
      <w:r>
        <w:t>Ehren, B. (2001, January). Reducing caseloads, Special Interest Division 16, ASHA Leader (as cited in 2002 Workload Analysis Approach for Establishing Speech-Language Caseload Standards in the Schools: Guidelines</w:t>
      </w:r>
      <w:r w:rsidRPr="00300003">
        <w:t xml:space="preserve"> http://slprti.wikispaces.com/file/view/ASHA+Workload+Guidelines.pdf</w:t>
      </w:r>
      <w:r>
        <w:t>)</w:t>
      </w:r>
    </w:p>
    <w:p w:rsidR="00173B0A" w:rsidRDefault="00173B0A" w:rsidP="00173B0A">
      <w:r>
        <w:t>Epps, S. Jackson, BJ. (2000) Empowered Families, Successful Children: Early Intervention Programs That Work. Washington, D.C.: American Psychological Corporation; McBride, S.L. (1999). Research in review: Family-centred practices. Young Children, 54(3), 62-70</w:t>
      </w:r>
    </w:p>
    <w:p w:rsidR="00173B0A" w:rsidRDefault="00173B0A" w:rsidP="00173B0A">
      <w:r>
        <w:t xml:space="preserve">Espe-Sherwindt, M. (2008) in Family-centred practice: collaboration, competency and evidence Support for Learning, 23 (3), 1-9 familieswiki.pbworks.com/f/Family-Centred+Practice.pdf  </w:t>
      </w:r>
    </w:p>
    <w:p w:rsidR="00173B0A" w:rsidRDefault="00173B0A" w:rsidP="00173B0A">
      <w:r w:rsidRPr="00E63CDD">
        <w:t>Evans S, Huxley P, Baker C, White J, Madge S, Onyett S, Gould N. (2012) J Health Serv Res Policy. Apr 17, Suppl 2, 23-9</w:t>
      </w:r>
      <w:r>
        <w:t>,</w:t>
      </w:r>
      <w:r w:rsidRPr="00E63CDD">
        <w:t xml:space="preserve"> </w:t>
      </w:r>
      <w:r>
        <w:t xml:space="preserve"> a</w:t>
      </w:r>
      <w:r w:rsidRPr="00E63CDD">
        <w:t>bstract www.ncbi.nlm.nih.gov/pubmed/2257271</w:t>
      </w:r>
    </w:p>
    <w:p w:rsidR="00173B0A" w:rsidRDefault="00173B0A" w:rsidP="00173B0A">
      <w:r>
        <w:t xml:space="preserve">Family Resource Coalition (1987) What are the assumptions of the Family Resource Movement? Chicago, Michigan: Family Resource Coalition </w:t>
      </w:r>
    </w:p>
    <w:p w:rsidR="00173B0A" w:rsidRDefault="00173B0A" w:rsidP="00173B0A">
      <w:r>
        <w:t xml:space="preserve">Family Resource Coalition (1996) Guidelines for Family Support Practice. Chicago, Michigan: Family Resource Coalition </w:t>
      </w:r>
    </w:p>
    <w:p w:rsidR="00173B0A" w:rsidRDefault="00173B0A" w:rsidP="00173B0A">
      <w:r>
        <w:t>Family Resource Coalition (1997) Companion Guide to Guidelines for Family Support Practice,</w:t>
      </w:r>
      <w:r w:rsidRPr="0010728B">
        <w:t xml:space="preserve"> </w:t>
      </w:r>
      <w:r>
        <w:t xml:space="preserve">Chicago, Michigan: Family Resource Coalition </w:t>
      </w:r>
    </w:p>
    <w:p w:rsidR="00173B0A" w:rsidRDefault="00173B0A" w:rsidP="00173B0A">
      <w:r>
        <w:t>Friend, M., Cook, L. (2007) Interactions: Collaboration skills for school professionals (5th ed.). Boston: Allyn and Bacon</w:t>
      </w:r>
    </w:p>
    <w:p w:rsidR="00173B0A" w:rsidRDefault="00173B0A" w:rsidP="00173B0A">
      <w:r w:rsidRPr="00D20700">
        <w:t>Funke, G., Knott, B., Salas, E., Pavlas, D. (2010) Conceptualisation and Measurement of Team Workload www.dsto.defence.gov.au/attachments/Funke%20-%20conceptualisation%20and%20measurement%20of%20team%20workload.pdf</w:t>
      </w:r>
    </w:p>
    <w:p w:rsidR="00173B0A" w:rsidRDefault="00173B0A" w:rsidP="00173B0A">
      <w:r>
        <w:t>George, BM Managing Caseloads And Service Delivery Partnerships In School Based Practice. Accessible at http://www.oota.org/Managing%20Caseloads%20and%20Service%20Delivery%20Partnerships%20in%20School%20Based%20Practice.pdf</w:t>
      </w:r>
    </w:p>
    <w:p w:rsidR="00173B0A" w:rsidRDefault="00173B0A" w:rsidP="00173B0A">
      <w:r>
        <w:t>Greene, S. Stewart, B Barnardos’ Needs-Led  Outcomes-Focused Approach. www.barnardos.ie/assets/files/publications/free/childlinks_body17.pdf</w:t>
      </w:r>
    </w:p>
    <w:p w:rsidR="00173B0A" w:rsidRDefault="00173B0A" w:rsidP="00173B0A">
      <w:r>
        <w:t>Greiner AC, Knebel E, editors. (2003) Health Professions Education: A Bridge to Quality, Washington, DC: Institute of Medicine of the National Academies</w:t>
      </w:r>
    </w:p>
    <w:p w:rsidR="00173B0A" w:rsidRDefault="00173B0A" w:rsidP="00173B0A">
      <w:r>
        <w:t xml:space="preserve">Goldberg, B. (1993) Recipe for tragedy: Personnel shortages in the public schools, ASHA, 36–40 </w:t>
      </w:r>
    </w:p>
    <w:p w:rsidR="00173B0A" w:rsidRDefault="00173B0A" w:rsidP="00173B0A">
      <w:r>
        <w:t xml:space="preserve">Guralnick, MJ (eds.) (1997) The effectiveness of Early Intervention. Brookes, Baltimore. </w:t>
      </w:r>
    </w:p>
    <w:p w:rsidR="00173B0A" w:rsidRDefault="00173B0A" w:rsidP="00173B0A">
      <w:r>
        <w:t>Hammick M. (1998) Interprofessional Education: Concepts, Theory and Application, Journal of Interprofessional Care, 12(3), 323-332</w:t>
      </w:r>
    </w:p>
    <w:p w:rsidR="00173B0A" w:rsidRDefault="00173B0A" w:rsidP="00173B0A">
      <w:r w:rsidRPr="006D4635">
        <w:t>Health Foundation (2014) Helping measure Person-Centred Care health.org.uk/public/cms/75/76/313/4697/Helping%20measure%20person-centred%20care.pdf?realName=lnet6X.pdf</w:t>
      </w:r>
    </w:p>
    <w:p w:rsidR="00173B0A" w:rsidRDefault="00173B0A" w:rsidP="00173B0A">
      <w:r>
        <w:t>Health Foundation (2013) Measuring Patient Experience health.org.uk/public/cms/75/76/313/4300/Measuring%20patient%20experience.pdf</w:t>
      </w:r>
    </w:p>
    <w:p w:rsidR="00173B0A" w:rsidRDefault="00173B0A" w:rsidP="00173B0A">
      <w:r>
        <w:t>Henke, RO., Connolly, SG., Cox, JS. (1975) Caseload management: The key to effectiveness, Journal of Applied Rehabilitation Counselling, 6(4), 217–227</w:t>
      </w:r>
    </w:p>
    <w:p w:rsidR="00173B0A" w:rsidRDefault="00173B0A" w:rsidP="00173B0A">
      <w:r>
        <w:t xml:space="preserve">HRB (2012) </w:t>
      </w:r>
      <w:r w:rsidRPr="00516CD0">
        <w:t>Annual Report of the National Intellectual Di</w:t>
      </w:r>
      <w:r>
        <w:t>sability Database Committee</w:t>
      </w:r>
      <w:r w:rsidRPr="00516CD0">
        <w:t xml:space="preserve"> http://www.hrb.ie/publications/hrb-publication/publications//660/</w:t>
      </w:r>
    </w:p>
    <w:p w:rsidR="00173B0A" w:rsidRDefault="00173B0A" w:rsidP="00173B0A">
      <w:r>
        <w:t>HSE (2010) IMPROVING TEAM WORKING: A Guidance Document hse.ie/eng/services/ysys/SUI/Library/participation/team.pdf</w:t>
      </w:r>
    </w:p>
    <w:p w:rsidR="00173B0A" w:rsidRDefault="00173B0A" w:rsidP="00173B0A">
      <w:r w:rsidRPr="00F14F1A">
        <w:t>Hughes A.</w:t>
      </w:r>
      <w:r>
        <w:t>,</w:t>
      </w:r>
      <w:r w:rsidRPr="00F14F1A">
        <w:t xml:space="preserve"> Stuffins G. </w:t>
      </w:r>
      <w:r>
        <w:t xml:space="preserve">(1984) </w:t>
      </w:r>
      <w:r w:rsidRPr="00F14F1A">
        <w:t>Analysis of National Caseload Study. Association of S</w:t>
      </w:r>
      <w:r>
        <w:t>peech Therapy Managers, London (</w:t>
      </w:r>
      <w:r w:rsidRPr="00F14F1A">
        <w:t>as cited in the 1994 Eastern Health Board Irish Study on Speech and Language Therapy: The Way Forward. www.lenus.ie/hse/bitstream/10147/45687/1/8567.pdf</w:t>
      </w:r>
      <w:r>
        <w:t>)</w:t>
      </w:r>
    </w:p>
    <w:p w:rsidR="00173B0A" w:rsidRDefault="00173B0A" w:rsidP="00173B0A">
      <w:r>
        <w:t xml:space="preserve">Hughes, A. (1984) Analysis of notional caseload study West Berkshire Health Authority. Referred to in Speech and Language therapy Department (1985) Survey of Speech Therapy referrals from primary schools Unpublished report, Bristol and Weston Health Authority (cited in DFEE (2000) Provision for Children with Speech and Language Needs In England and Wales </w:t>
      </w:r>
      <w:r w:rsidRPr="00B24988">
        <w:t>http://dera.ioe.ac.uk/4475/1/RR239.pdf</w:t>
      </w:r>
      <w:r>
        <w:t>)</w:t>
      </w:r>
    </w:p>
    <w:p w:rsidR="00173B0A" w:rsidRDefault="00173B0A" w:rsidP="00173B0A">
      <w:r>
        <w:t>Human Capital Alliance (2006) Workload Capacity Measures for Use in Allied Health Workforce Planning humancapitalalliance.com.au/downloads/DH39%20Workload%20Capacity%20Measures.PDF</w:t>
      </w:r>
    </w:p>
    <w:p w:rsidR="00173B0A" w:rsidRDefault="00173B0A" w:rsidP="00173B0A">
      <w:r w:rsidRPr="0078213E">
        <w:t>Inclusion Ireland (2014) The Case of Speech and Language Therapy http://www.inclusionireland.ie/sites/default/files/attach/article/1158/thecaseofspeechandlanguagetherapy1.pdf</w:t>
      </w:r>
    </w:p>
    <w:p w:rsidR="00173B0A" w:rsidRDefault="00173B0A" w:rsidP="00173B0A">
      <w:r>
        <w:t>King, G., King, S., Rosenbaum, P., Goffin, R. (1999) Family centered care-giving and well-being of parents of children with disabilities: linking process with outcome, Journal of Pediatric Psychology, 24 (1), 41–53</w:t>
      </w:r>
    </w:p>
    <w:p w:rsidR="00173B0A" w:rsidRDefault="00173B0A" w:rsidP="00173B0A">
      <w:r>
        <w:t xml:space="preserve">King, R., Meadows, G., </w:t>
      </w:r>
      <w:r w:rsidRPr="00A646F5">
        <w:t>Le Bas</w:t>
      </w:r>
      <w:r>
        <w:t>, J. (2004)</w:t>
      </w:r>
      <w:r w:rsidRPr="00A646F5">
        <w:t xml:space="preserve"> Compiling a caseload ind</w:t>
      </w:r>
      <w:r>
        <w:t>ex for mental health management,</w:t>
      </w:r>
      <w:r w:rsidRPr="00A646F5">
        <w:t xml:space="preserve"> Australian and New Zealand Journal of Psychiatry, 38, 455-462 </w:t>
      </w:r>
    </w:p>
    <w:p w:rsidR="00173B0A" w:rsidRDefault="00173B0A" w:rsidP="00173B0A">
      <w:r w:rsidRPr="00AD36CB">
        <w:t>Kolehmainen,</w:t>
      </w:r>
      <w:r>
        <w:t xml:space="preserve"> N.,</w:t>
      </w:r>
      <w:r w:rsidRPr="00AD36CB">
        <w:t xml:space="preserve"> Francis, </w:t>
      </w:r>
      <w:r>
        <w:t xml:space="preserve">J., </w:t>
      </w:r>
      <w:r w:rsidRPr="00AD36CB">
        <w:t xml:space="preserve">Duncan, </w:t>
      </w:r>
      <w:r>
        <w:t xml:space="preserve">E., </w:t>
      </w:r>
      <w:r w:rsidRPr="00AD36CB">
        <w:t>Fraser</w:t>
      </w:r>
      <w:r>
        <w:t>, C</w:t>
      </w:r>
      <w:r w:rsidRPr="00AD36CB">
        <w:t xml:space="preserve"> (2010) Community professionals' management of client care: a mixed-methods systematic review</w:t>
      </w:r>
      <w:r>
        <w:t>,</w:t>
      </w:r>
      <w:r w:rsidRPr="00AD36CB">
        <w:t xml:space="preserve"> Services Research &amp; Policy, 15(1)</w:t>
      </w:r>
      <w:r>
        <w:t>, 47-55</w:t>
      </w:r>
      <w:r w:rsidRPr="00AD36CB">
        <w:t xml:space="preserve"> www.aura.abdn.ac.uk/bitstream/2164/2037/1/Kolehmainen2010.pdf</w:t>
      </w:r>
    </w:p>
    <w:p w:rsidR="00173B0A" w:rsidRDefault="00173B0A" w:rsidP="00173B0A">
      <w:r>
        <w:t xml:space="preserve">Koskie, J., Freeze, R. (2000) A critique of multidisciplinary teaming: Problems and possibilities. Developmental Disabilities Bulletin, 28(1), 1-17 </w:t>
      </w:r>
    </w:p>
    <w:p w:rsidR="00173B0A" w:rsidRDefault="00173B0A" w:rsidP="00173B0A">
      <w:r w:rsidRPr="00B329BD">
        <w:t>Laurant, M., Harmsen, M., Faber, M., Wollersheim, H., Sibbald, B., Grol, R</w:t>
      </w:r>
      <w:r>
        <w:t>.</w:t>
      </w:r>
      <w:r w:rsidRPr="00B329BD">
        <w:t xml:space="preserve"> (2010)</w:t>
      </w:r>
      <w:r>
        <w:t xml:space="preserve"> </w:t>
      </w:r>
      <w:r w:rsidRPr="00B329BD">
        <w:t>Revision of professional roles and quality impro</w:t>
      </w:r>
      <w:r>
        <w:t>vement A review of the evidence,</w:t>
      </w:r>
      <w:r w:rsidRPr="00B329BD">
        <w:t xml:space="preserve"> health.org.uk/publications/revision-of-professional-roles-and-quality-improvement/</w:t>
      </w:r>
    </w:p>
    <w:p w:rsidR="00173B0A" w:rsidRDefault="00173B0A" w:rsidP="00173B0A">
      <w:r w:rsidRPr="00A646F5">
        <w:t xml:space="preserve">Law, J., Lindsay, G., Peacey, N., Gascoigne, M., Soloff, N., Radford, J., Band, S., Fitzgerald, L. (2000) Provision for Children </w:t>
      </w:r>
      <w:r>
        <w:t>with Speech and Language Needs i</w:t>
      </w:r>
      <w:r w:rsidRPr="00A646F5">
        <w:t>n England and Wales</w:t>
      </w:r>
      <w:r>
        <w:t>:</w:t>
      </w:r>
      <w:r w:rsidRPr="00A646F5">
        <w:t xml:space="preserve"> Facilitating Communication Between Education and Health Services 2000 dera.ioe.ac.uk/4475/1/RR239.pdf</w:t>
      </w:r>
    </w:p>
    <w:p w:rsidR="00173B0A" w:rsidRDefault="00173B0A" w:rsidP="00173B0A">
      <w:r>
        <w:t>Law, J., McCann, D., O'May, F., Smart, C., Buchan, J., (2009) Service Provision for Children and Young People with Complex Needs in a Community Setting from The Perspectives of Nursing and Allied Health Professionals www.scotland.gov.uk/Publications/2009/06/05154149/0</w:t>
      </w:r>
    </w:p>
    <w:p w:rsidR="00173B0A" w:rsidRDefault="00173B0A" w:rsidP="00173B0A">
      <w:r>
        <w:t>Manser, T. (2009) Teamwork and patient safety in dynamic domains of healthcare: a review of the literature, Acta Anaesthesiol Scand, 53(2),143-51</w:t>
      </w:r>
    </w:p>
    <w:p w:rsidR="00173B0A" w:rsidRDefault="00173B0A" w:rsidP="00173B0A">
      <w:r>
        <w:t xml:space="preserve">Meisels, SJ., Shonkoff, JP. Early childhood intervention: A continuing evolution In, Shonkoff, J., Meisels, SJ, (eds). (2000) Handbook of Early Intervention Childhood Intervention, 2nd edn. Cambridge University Press, Cambridge, UK </w:t>
      </w:r>
    </w:p>
    <w:p w:rsidR="00173B0A" w:rsidRDefault="00173B0A" w:rsidP="00173B0A">
      <w:r w:rsidRPr="00566DD1">
        <w:t>MHC (2006) A discussion paper on Multidisciplinary Team Working: From Theory to Practice MHC Dublin mhcirl.ie/File/discusspapmultiteam.pdf</w:t>
      </w:r>
    </w:p>
    <w:p w:rsidR="00173B0A" w:rsidRDefault="00173B0A" w:rsidP="00173B0A">
      <w:r>
        <w:t>Miller, C., McNicholl, A. (2003) Integrating children’s services: issues and practices. London, Office for Public Management Ltd</w:t>
      </w:r>
    </w:p>
    <w:p w:rsidR="00173B0A" w:rsidRDefault="00173B0A" w:rsidP="00173B0A">
      <w:r>
        <w:t>Miller, E. (2011) Measuring Personal Outcomes: Challenges and Strategies, Glasgow: IRISS as cited by The Scottish Government (2013) Developing an Outcomes Model for Disabled Children and Young People in Scotland</w:t>
      </w:r>
    </w:p>
    <w:p w:rsidR="00173B0A" w:rsidRDefault="00173B0A" w:rsidP="00173B0A">
      <w:r>
        <w:t>Mitchell, P., Wynia, M., Golden, G., McNellis, B., Okun, S., Edwin Webb, C., Rohrbach, V., Von Kohorn, I. (2012) Core principles and values of effective team-based healthcare. http://www.iom.edu/~/media/Files/Perspectives-Files/2012/Discussion-Papers/VSRT-Team-Based-Care-Principles-Values.pdf</w:t>
      </w:r>
    </w:p>
    <w:p w:rsidR="00173B0A" w:rsidRDefault="00173B0A" w:rsidP="00173B0A">
      <w:r w:rsidRPr="0010728B">
        <w:t>Moore, T., Larkin, H., (2005) More than my child’s disability…”: A comprehensive literature review about family centred practice and family experiences of early childhood intervention services Victoria, Australia Scope (Vic) Ltd.</w:t>
      </w:r>
    </w:p>
    <w:p w:rsidR="00173B0A" w:rsidRDefault="00173B0A" w:rsidP="00173B0A">
      <w:r>
        <w:t xml:space="preserve">Mudge, A1., Laracy S., Richter K., Denaro C. (2006) Controlled trial of multidisciplinary care teams for acutely ill medical inpatients: enhanced multidisciplinary care.  Internal Medicine Journal, 36:558-563 </w:t>
      </w:r>
    </w:p>
    <w:p w:rsidR="00173B0A" w:rsidRDefault="00173B0A" w:rsidP="00173B0A">
      <w:r>
        <w:t>Murchland, S. Wake-Dyster, W. (2006) Resource allocation for community-based therapy, Disability and Rehabilitation, 28(22), 1425-1432</w:t>
      </w:r>
    </w:p>
    <w:p w:rsidR="00173B0A" w:rsidRDefault="00173B0A" w:rsidP="00173B0A">
      <w:r>
        <w:t xml:space="preserve">McCollum, J. (2000) Influencing the development of young children with disabilities: current themes in early intervention, Child and Adolescent Mental Health, 7, 4-9 </w:t>
      </w:r>
    </w:p>
    <w:p w:rsidR="00173B0A" w:rsidRDefault="00173B0A" w:rsidP="00173B0A">
      <w:r>
        <w:t xml:space="preserve">McWilliam, RA. (1992) Family-Centred Intervention Planning: A Routines-Based Approach, Tucson, Arizona: Communication Skill Builders </w:t>
      </w:r>
    </w:p>
    <w:p w:rsidR="00173B0A" w:rsidRDefault="00173B0A" w:rsidP="00173B0A">
      <w:r>
        <w:t xml:space="preserve">McWilliam, PJ., Bailey, DB. (1993) Working Together with Children and Families: Case Studies in Early Intervention Baltimore, Maryland: Paul H. Brookes </w:t>
      </w:r>
    </w:p>
    <w:p w:rsidR="00173B0A" w:rsidRDefault="00173B0A" w:rsidP="00173B0A">
      <w:r>
        <w:t>McWilliam, PJ., Winton, PJ., Crais, E.R. (1996) Practical Strategies for Family-Centered Intervention. San Diego, California: Singular Publishing Company</w:t>
      </w:r>
    </w:p>
    <w:p w:rsidR="00173B0A" w:rsidRDefault="00173B0A" w:rsidP="00173B0A">
      <w:r>
        <w:t>National Health Workforce Planning and Research Collaboration (2010) Workload Measures for Allied Health Professionals Final Report ahwo.gov.au/documents/Publications/2011/Workload%20Measures%20for%20Allied%20Health%20Professionals%20Final%20Report.pdf</w:t>
      </w:r>
    </w:p>
    <w:p w:rsidR="00173B0A" w:rsidRDefault="00173B0A" w:rsidP="00173B0A">
      <w:r>
        <w:t xml:space="preserve">NCSE (2014) Delivery for students with special educational needs – a better and more equitable way </w:t>
      </w:r>
      <w:r w:rsidRPr="0078213E">
        <w:t>http://ncse.ie/wp-content/uploads/2014/09/NCSE_Booklet_webFINAL_10_06_14.pdf</w:t>
      </w:r>
    </w:p>
    <w:p w:rsidR="00173B0A" w:rsidRDefault="00173B0A" w:rsidP="00173B0A">
      <w:r>
        <w:t>NCSE (2014) Educational Experiences and Outcomes for Children with Special Educational Needs: A Secondary Analysis of Data from the Growing Up in Ireland Study,</w:t>
      </w:r>
      <w:r w:rsidRPr="00B4422D">
        <w:t xml:space="preserve"> http://ncse.ie/wp-content/uploads/2014/11/NCSE-Educational-Outcomes-Children-with-SEN.pdf</w:t>
      </w:r>
    </w:p>
    <w:p w:rsidR="00173B0A" w:rsidRDefault="00173B0A" w:rsidP="00173B0A">
      <w:r>
        <w:t>NDA (2011) Report on the practice of Assessment of Need under Part 2 of the Disability Act 2005</w:t>
      </w:r>
      <w:r w:rsidRPr="0078213E">
        <w:t xml:space="preserve"> http://nda.ie/Publications/Disabilty-Supports/Report-on-the-Practice-of-Assessment-of-Need-under-Part-2-of-the-Disability-Act-2005.html</w:t>
      </w:r>
    </w:p>
    <w:p w:rsidR="00173B0A" w:rsidRDefault="00173B0A" w:rsidP="00173B0A">
      <w:r w:rsidRPr="00A04ED6">
        <w:t>Newacheck,</w:t>
      </w:r>
      <w:r>
        <w:t xml:space="preserve"> P., Taylor, WR. (1992) Childhood Chronic Illness: Prevalence, Severity, and Impact, </w:t>
      </w:r>
      <w:r w:rsidRPr="00A04ED6">
        <w:t>American Journal of Public Health</w:t>
      </w:r>
      <w:r>
        <w:t xml:space="preserve">, 82 (3), 364-371 </w:t>
      </w:r>
      <w:r w:rsidRPr="00A04ED6">
        <w:t>http://ajph.aphapublications.org/doi/pdf/10.2105/AJPH.82.3.364</w:t>
      </w:r>
    </w:p>
    <w:p w:rsidR="00173B0A" w:rsidRDefault="00173B0A" w:rsidP="00173B0A">
      <w:r>
        <w:t>Newfoundland and Labrador Association of Social Workers (1999) Interdisciplinary Team Work: A Discussion Paper for Social Workers nlasw.ca/pdf/Interdisciplinary_Teamwork.pdf</w:t>
      </w:r>
    </w:p>
    <w:p w:rsidR="00173B0A" w:rsidRPr="00AD36CB" w:rsidRDefault="00173B0A" w:rsidP="00173B0A">
      <w:r w:rsidRPr="00AD36CB">
        <w:t>Office of the Chief Social Worker (2014) Workload and Casework review: Qualitative Review of Social Worker Caseload, Cas</w:t>
      </w:r>
      <w:r>
        <w:t xml:space="preserve">ework and Workload Management </w:t>
      </w:r>
      <w:r w:rsidRPr="00AD36CB">
        <w:t>www.msd.govt.nz/documents/about-msd-and-our-work/newsroom/media-releases/2014/workload-and-casework-review.pdf</w:t>
      </w:r>
    </w:p>
    <w:p w:rsidR="00173B0A" w:rsidRPr="00AD36CB" w:rsidRDefault="00173B0A" w:rsidP="00173B0A">
      <w:r w:rsidRPr="00AD36CB">
        <w:t xml:space="preserve">Office of the Nursing and Midwifery Services Directorate, HSE, Dr Steevens’ Hospital, Dublin (2011) Population Health Information Tool (PHIT); Changing Practice to Support Service Delivery </w:t>
      </w:r>
      <w:hyperlink r:id="rId19" w:history="1">
        <w:r w:rsidRPr="00AD36CB">
          <w:rPr>
            <w:rStyle w:val="Hyperlink"/>
            <w:color w:val="auto"/>
          </w:rPr>
          <w:t>http://www.hse.ie/eng/about/Who/ONMSD/NMPDU/NMPDDN/PHITfulldoc.pdf</w:t>
        </w:r>
      </w:hyperlink>
    </w:p>
    <w:p w:rsidR="00173B0A" w:rsidRDefault="00173B0A" w:rsidP="00173B0A">
      <w:r>
        <w:t>Parker, R., Ward, H., Jackson, S., Aldgate, J. Wedge, P. (Eds.) (1991) Looking after children: Assessing Outcomes in Child Care: The Report of an Independent Working Party established by the Department of Health. London: HMSO</w:t>
      </w:r>
    </w:p>
    <w:p w:rsidR="00173B0A" w:rsidRPr="00AD36CB" w:rsidRDefault="00173B0A" w:rsidP="00173B0A">
      <w:r w:rsidRPr="00AD36CB">
        <w:t>Pillinger, J</w:t>
      </w:r>
      <w:r>
        <w:t>.</w:t>
      </w:r>
      <w:r w:rsidRPr="00AD36CB">
        <w:t xml:space="preserve"> (2012) The Future of Healthcare in Ireland: Position paper on the health crisis and the government’s plans for healthcare (Prepared for Impact Trade Union) impact.ie/files/healthpdf/reform/FutureofHealthcare.pdf</w:t>
      </w:r>
    </w:p>
    <w:p w:rsidR="00173B0A" w:rsidRDefault="00173B0A" w:rsidP="00173B0A">
      <w:r>
        <w:t xml:space="preserve">Powell, JY. (1996) A schema for family-centred practice, Families in Society, 77(7), 446-448 </w:t>
      </w:r>
    </w:p>
    <w:p w:rsidR="00173B0A" w:rsidRDefault="00173B0A" w:rsidP="00173B0A">
      <w:r>
        <w:t>Reilly, C. (2001) A trans-disciplinary approach: An atypical strategy for improving outcomes in rehabilitative and long-term acute care settings. Rehabilitation Nursing, 26(6), 216–220, 244</w:t>
      </w:r>
    </w:p>
    <w:p w:rsidR="00173B0A" w:rsidRPr="00A9445B" w:rsidRDefault="00173B0A" w:rsidP="00173B0A">
      <w:r>
        <w:t xml:space="preserve">Rexe, K., McGibbon Lammi, B., Zweck, C. (2013) Occupational therapy: Cost-effective solutions for changing health system needs. Healthcare Quarterly, 16(1), 69-75. doi: 10.12927.hcq.2013.23329 </w:t>
      </w:r>
    </w:p>
    <w:p w:rsidR="00173B0A" w:rsidRDefault="00173B0A" w:rsidP="00173B0A">
      <w:r w:rsidRPr="00AD36CB">
        <w:t>Riskind P, Fossey L, Brill K. (2011) Why measure patient satisfaction? J Med Pract  Manage</w:t>
      </w:r>
      <w:r>
        <w:t>ment,</w:t>
      </w:r>
      <w:r w:rsidRPr="00AD36CB">
        <w:t xml:space="preserve"> 26(4), 217-220 </w:t>
      </w:r>
    </w:p>
    <w:p w:rsidR="00173B0A" w:rsidRDefault="00173B0A" w:rsidP="00173B0A">
      <w:r>
        <w:t>Romanow RJ. (2002) Building on Values: The Future of Health Care in Canada. Ottawa: Commission on the Future of Health Care in Canada</w:t>
      </w:r>
    </w:p>
    <w:p w:rsidR="00173B0A" w:rsidRDefault="00173B0A" w:rsidP="00173B0A">
      <w:r>
        <w:t>Rosenbaum, P., King, S., Law, M., King, G., Evans, J. (1998). Family-centred service: A conceptual framework and research review, Physical and Occupational Therapy in Paediatrics, 18 (1), 1-20</w:t>
      </w:r>
    </w:p>
    <w:p w:rsidR="00173B0A" w:rsidRDefault="00173B0A" w:rsidP="00173B0A">
      <w:r w:rsidRPr="00F14F1A">
        <w:t xml:space="preserve">Scottish Executive Review </w:t>
      </w:r>
      <w:r>
        <w:t>(2003)S</w:t>
      </w:r>
      <w:r w:rsidRPr="00F14F1A">
        <w:t>peech and Language Therapy, Physiotherapy and Occupational Therapy for Children and Speech and Language Therapy for Adults with Learning Disabilities and Autistic Spectrum Disorder scotland.gov.uk/Publications/2003/08/18065/25750</w:t>
      </w:r>
    </w:p>
    <w:p w:rsidR="00173B0A" w:rsidRPr="00A9445B" w:rsidRDefault="00173B0A" w:rsidP="00173B0A">
      <w:r w:rsidRPr="00A9445B">
        <w:t>Scottish Government (2013) Developing an Outcomes Model for Disabled Children and Young People in Scotland www.scotland.gov.uk/Resource/0043/00434117.pdf</w:t>
      </w:r>
    </w:p>
    <w:p w:rsidR="00173B0A" w:rsidRDefault="00173B0A" w:rsidP="00173B0A">
      <w:r>
        <w:t>Scottish Government (2012) AHPs as agents of change in health and social care: The National Delivery Plan for the Allied Health Professions in Scotland, 2012–2015, Scottish Government: Edinburgh. scotland.gov.uk/Resource/0039/00395491.pdf</w:t>
      </w:r>
    </w:p>
    <w:p w:rsidR="00173B0A" w:rsidRDefault="00173B0A" w:rsidP="00173B0A">
      <w:r w:rsidRPr="00A9445B">
        <w:t xml:space="preserve">Scottish Government (2011) Report of the National Review of Services for Disabled Children </w:t>
      </w:r>
      <w:hyperlink r:id="rId20" w:history="1">
        <w:r w:rsidRPr="00A9445B">
          <w:rPr>
            <w:rStyle w:val="Hyperlink"/>
            <w:color w:val="auto"/>
          </w:rPr>
          <w:t>http://dera.ioe.ac.uk/2190/1/0114135.pdf</w:t>
        </w:r>
      </w:hyperlink>
    </w:p>
    <w:p w:rsidR="00173B0A" w:rsidRPr="00A75FE4" w:rsidRDefault="00173B0A" w:rsidP="00173B0A">
      <w:r w:rsidRPr="00A75FE4">
        <w:t xml:space="preserve">Scottish Government (2010) Guidance on partnership working between allied health professions and education Scottish Government Edinburgh - </w:t>
      </w:r>
      <w:hyperlink r:id="rId21" w:history="1">
        <w:r w:rsidRPr="00A75FE4">
          <w:rPr>
            <w:rStyle w:val="Hyperlink"/>
            <w:color w:val="auto"/>
          </w:rPr>
          <w:t>www.scotland.gov.uk/Resource/Doc/313416/0099357.pdf</w:t>
        </w:r>
      </w:hyperlink>
    </w:p>
    <w:p w:rsidR="00173B0A" w:rsidRDefault="00173B0A" w:rsidP="00173B0A">
      <w:r>
        <w:t>Slack M., Cummings DM., Borrego ME., Fuller K, Cook S. (2002) Strategies used by interdisciplinary rural health training programs to assure community responsiveness and recruit practitioners. Journal of Interprofessional Care, 16(2), 129-38</w:t>
      </w:r>
    </w:p>
    <w:p w:rsidR="00173B0A" w:rsidRDefault="00173B0A" w:rsidP="00173B0A">
      <w:r w:rsidRPr="00F14F1A">
        <w:t xml:space="preserve">Spencer, KC., Turkett, A., Vaughan, R., Koenig, S. (2006) School-Based Practice Patterns: A Survey of Occupational Therapists in Colorado The American Journal of Occupational Therapy </w:t>
      </w:r>
      <w:r>
        <w:t>60 (</w:t>
      </w:r>
      <w:r w:rsidRPr="00F14F1A">
        <w:t>1</w:t>
      </w:r>
      <w:r>
        <w:t>),</w:t>
      </w:r>
      <w:r w:rsidRPr="00F14F1A">
        <w:t xml:space="preserve"> </w:t>
      </w:r>
      <w:r>
        <w:t xml:space="preserve">81-91 </w:t>
      </w:r>
      <w:r w:rsidRPr="00F14F1A">
        <w:t>ajot.aotapress.net/content/60/1/81.full.pdf</w:t>
      </w:r>
    </w:p>
    <w:p w:rsidR="00173B0A" w:rsidRDefault="00173B0A" w:rsidP="00173B0A">
      <w:r>
        <w:t xml:space="preserve">Suter, E., Deutschlande, S., Mickelson, G., Nurani, Z., Lait, J., Harrison, L., Jarvis-Selinger, S., Bainbridge, L., Achilles, S., Ateah, C., Ho K, Grymonpre. R. (2012) Can inter-professional collaboration provide health human resources solutions? A knowledge synthesis. Journal Inter-professional Care., 26(4), 261-8 </w:t>
      </w:r>
    </w:p>
    <w:p w:rsidR="00173B0A" w:rsidRDefault="00173B0A" w:rsidP="00173B0A">
      <w:r>
        <w:t>Suter, E., Deutschlander, S (2010) Can inter-professional collaboration provide health human resources solutions? Western Canadian Inter-professional Health Collaborative (WCIHC) www.cihc.ca/wcihc/pdfs/FinalSynthesisReportMarch2010.pdf</w:t>
      </w:r>
    </w:p>
    <w:p w:rsidR="00173B0A" w:rsidRDefault="00173B0A" w:rsidP="00173B0A">
      <w:r>
        <w:t>Tuchman, L. (1996). (in) Rosin, P., Whitehead, A., Tuchman, L., Jesien, G., Begun, A. And Irwin, L. (1996). Partnerships in Family Centred Care - A Guide to Collaborative Early Intervention. Maryland: Brookes</w:t>
      </w:r>
    </w:p>
    <w:p w:rsidR="00173B0A" w:rsidRDefault="00173B0A" w:rsidP="00173B0A">
      <w:r>
        <w:t>Turnbull, AP. Turnbull, HR. (2000) Families, Professionals and Exceptionality: Collaborating for Empowerment (4th Ed.). Upper Saddle River, New Jersey: Merrill/Prentice Hall</w:t>
      </w:r>
    </w:p>
    <w:p w:rsidR="00173B0A" w:rsidRDefault="00173B0A" w:rsidP="00173B0A">
      <w:r>
        <w:t xml:space="preserve">Turnbull, AP., Turbiville, V. Turnbull, HR. (2000) Evolution of family-professional relationships: Collective empowerment for the early 21st century. In J.P. Shonkoff and S.J. Meisels. (Eds.). Handbook of Early Childhood Intervention (2nd Ed) Cambridge, UK: Cambridge University Press </w:t>
      </w:r>
    </w:p>
    <w:p w:rsidR="00173B0A" w:rsidRDefault="00173B0A" w:rsidP="00173B0A">
      <w:r>
        <w:t>Turnbull, AP., Turnbull, HR. (2000). Families, Professionals and Exceptionality: Collaborating for Empowerment (4th Ed.). Upper Saddle River, New Jersey: Merrill/Prentice Hall</w:t>
      </w:r>
    </w:p>
    <w:p w:rsidR="00173B0A" w:rsidRDefault="00173B0A" w:rsidP="00173B0A">
      <w:r w:rsidRPr="00267A5C">
        <w:t>Virginia Department of Education, Office of Special Education and Student Services (2011) Speech-Language Pathology Services in Schools: Guid</w:t>
      </w:r>
      <w:r>
        <w:t xml:space="preserve">elines for Best Practice </w:t>
      </w:r>
      <w:r w:rsidRPr="00267A5C">
        <w:t>www.doe.virginia.gov/special_ed/disabilities/speech_language_impairment/speech_lang_pathology_services.pdf</w:t>
      </w:r>
    </w:p>
    <w:p w:rsidR="00173B0A" w:rsidRDefault="00173B0A" w:rsidP="00173B0A">
      <w:r>
        <w:t>Walls, M., O’ Connor, M (2004) Building Blocks to Best Practice Introducing an “Integrated Holistic Model” of Early Intervention with Children and Families. www.cecde.ie/gaeilge/pdf/Questions%20of%20Quality/Walls.pdf</w:t>
      </w:r>
    </w:p>
    <w:p w:rsidR="00173B0A" w:rsidRDefault="00173B0A" w:rsidP="00173B0A">
      <w:r>
        <w:t>Widerstrom, AH., Mowder, BB., Sadall, SR (1991) At risk, Handicapped Newborns and Infants: development assessment and intervention, Prentice Hall; NJ</w:t>
      </w:r>
    </w:p>
    <w:p w:rsidR="00173B0A" w:rsidRDefault="00173B0A" w:rsidP="00173B0A">
      <w:r>
        <w:t>Winton, PJ. (1992) Working with Families in Early Intervention: An Interdisciplinary Pre service Curriculum (2nd Ed.) Chapel Hill, North Carolina: Frank Porter Graham Child Development Center, University of North Carolina Paul H. Brooke</w:t>
      </w:r>
    </w:p>
    <w:p w:rsidR="00173B0A" w:rsidRDefault="00173B0A" w:rsidP="00173B0A">
      <w:r>
        <w:t>Wilson, LL. (2005) Characteristics and consequences of capacity building parenting supports. Casemakers, 1 (4), 1–3  www.fippcase.org/casemakers/casemakers_vol1_no4.pdf</w:t>
      </w:r>
    </w:p>
    <w:p w:rsidR="00173B0A" w:rsidRDefault="00173B0A" w:rsidP="00173B0A">
      <w:r>
        <w:t>Wood V., Flavell A., Vanstolk D., Bainbridge L, Nasmith (2009) The road to collaboration: Developing an interprofessional competency framework, Journal of Interprofessional Care, 23(6), 621-629</w:t>
      </w:r>
    </w:p>
    <w:p w:rsidR="00173B0A" w:rsidRDefault="00173B0A" w:rsidP="00173B0A">
      <w:r>
        <w:t>World Health Organisation (2010) Framework for action on inter-professional education and collaborative practice, Geneva: WHO</w:t>
      </w:r>
    </w:p>
    <w:p w:rsidR="00173B0A" w:rsidRPr="00173B0A" w:rsidRDefault="00173B0A" w:rsidP="00173B0A">
      <w:r>
        <w:t>Zwarenstein M., Goldman J., Reeves S. (2009) Interprofessional collaboration: effects of practice-based interventions on professional practice and healthcare outcomes. Cochrane Database of Systematic Reviews, Issue 3. Art. No.: CD000072. DOI: 10.1002/14651858.CD000072.pub2</w:t>
      </w:r>
    </w:p>
    <w:sectPr w:rsidR="00173B0A" w:rsidRPr="00173B0A" w:rsidSect="00173B0A">
      <w:pgSz w:w="11906" w:h="16838"/>
      <w:pgMar w:top="1440"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100" w:rsidRDefault="00C81100">
      <w:r>
        <w:separator/>
      </w:r>
    </w:p>
  </w:endnote>
  <w:endnote w:type="continuationSeparator" w:id="0">
    <w:p w:rsidR="00C81100" w:rsidRDefault="00C8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ill Sans">
    <w:altName w:val="Gill Sans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FC4" w:rsidRPr="004035FE" w:rsidRDefault="00BD6FC4">
    <w:pPr>
      <w:pStyle w:val="Footer"/>
      <w:rPr>
        <w:color w:val="BF2296"/>
      </w:rPr>
    </w:pPr>
    <w:r>
      <w:rPr>
        <w:rFonts w:ascii="Gill Sans MT" w:hAnsi="Gill Sans MT"/>
        <w:color w:val="BF2296"/>
        <w:sz w:val="24"/>
        <w:szCs w:val="24"/>
      </w:rPr>
      <w:t>National Disability Authority</w:t>
    </w:r>
    <w:r>
      <w:rPr>
        <w:rFonts w:ascii="Gill Sans MT" w:hAnsi="Gill Sans MT"/>
        <w:color w:val="BF2296"/>
        <w:sz w:val="24"/>
        <w:szCs w:val="24"/>
      </w:rPr>
      <w:tab/>
    </w:r>
    <w:r>
      <w:tab/>
    </w:r>
    <w:r w:rsidRPr="00B156DA">
      <w:rPr>
        <w:color w:val="BF2296"/>
        <w:sz w:val="24"/>
        <w:szCs w:val="24"/>
      </w:rPr>
      <w:fldChar w:fldCharType="begin"/>
    </w:r>
    <w:r w:rsidRPr="00B156DA">
      <w:rPr>
        <w:color w:val="BF2296"/>
        <w:sz w:val="24"/>
        <w:szCs w:val="24"/>
      </w:rPr>
      <w:instrText xml:space="preserve"> PAGE  \* Arabic  \* MERGEFORMAT </w:instrText>
    </w:r>
    <w:r w:rsidRPr="00B156DA">
      <w:rPr>
        <w:color w:val="BF2296"/>
        <w:sz w:val="24"/>
        <w:szCs w:val="24"/>
      </w:rPr>
      <w:fldChar w:fldCharType="separate"/>
    </w:r>
    <w:r w:rsidR="00056B8C">
      <w:rPr>
        <w:noProof/>
        <w:color w:val="BF2296"/>
        <w:sz w:val="24"/>
        <w:szCs w:val="24"/>
      </w:rPr>
      <w:t>2</w:t>
    </w:r>
    <w:r w:rsidRPr="00B156DA">
      <w:rPr>
        <w:color w:val="BF2296"/>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FC4" w:rsidRPr="001667D5" w:rsidRDefault="00BD6FC4" w:rsidP="001667D5">
    <w:pPr>
      <w:pStyle w:val="Footer"/>
      <w:rPr>
        <w:color w:val="BF2296"/>
      </w:rPr>
    </w:pPr>
    <w:r>
      <w:rPr>
        <w:color w:val="BF2296"/>
        <w:sz w:val="24"/>
        <w:szCs w:val="24"/>
      </w:rPr>
      <w:t>Children’s Disability Services in Ireland</w:t>
    </w:r>
    <w:r>
      <w:tab/>
    </w:r>
    <w:r>
      <w:tab/>
    </w:r>
    <w:r w:rsidRPr="001667D5">
      <w:rPr>
        <w:color w:val="BF2296"/>
        <w:sz w:val="24"/>
        <w:szCs w:val="24"/>
      </w:rPr>
      <w:fldChar w:fldCharType="begin"/>
    </w:r>
    <w:r w:rsidRPr="001667D5">
      <w:rPr>
        <w:color w:val="BF2296"/>
        <w:sz w:val="24"/>
        <w:szCs w:val="24"/>
      </w:rPr>
      <w:instrText xml:space="preserve"> PAGE  \* Arabic  \* MERGEFORMAT </w:instrText>
    </w:r>
    <w:r w:rsidRPr="001667D5">
      <w:rPr>
        <w:color w:val="BF2296"/>
        <w:sz w:val="24"/>
        <w:szCs w:val="24"/>
      </w:rPr>
      <w:fldChar w:fldCharType="separate"/>
    </w:r>
    <w:r w:rsidR="00056B8C">
      <w:rPr>
        <w:noProof/>
        <w:color w:val="BF2296"/>
        <w:sz w:val="24"/>
        <w:szCs w:val="24"/>
      </w:rPr>
      <w:t>142</w:t>
    </w:r>
    <w:r w:rsidRPr="001667D5">
      <w:rPr>
        <w:color w:val="BF2296"/>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100" w:rsidRDefault="00C81100">
      <w:r>
        <w:separator/>
      </w:r>
    </w:p>
  </w:footnote>
  <w:footnote w:type="continuationSeparator" w:id="0">
    <w:p w:rsidR="00C81100" w:rsidRDefault="00C81100">
      <w:r>
        <w:continuationSeparator/>
      </w:r>
    </w:p>
  </w:footnote>
  <w:footnote w:id="1">
    <w:p w:rsidR="00BD6FC4" w:rsidRPr="00F914C6" w:rsidRDefault="00BD6FC4" w:rsidP="00F914C6">
      <w:pPr>
        <w:pStyle w:val="FootnoteText"/>
        <w:spacing w:after="0"/>
        <w:rPr>
          <w:lang w:val="en-GB"/>
        </w:rPr>
      </w:pPr>
      <w:r>
        <w:rPr>
          <w:rStyle w:val="FootnoteReference"/>
        </w:rPr>
        <w:footnoteRef/>
      </w:r>
      <w:r>
        <w:t xml:space="preserve"> </w:t>
      </w:r>
      <w:r>
        <w:rPr>
          <w:lang w:val="en-GB"/>
        </w:rPr>
        <w:t xml:space="preserve">Since the publication of the Primary Care Report in 2001 a goal of Irish health policy has been to establish </w:t>
      </w:r>
      <w:r w:rsidRPr="00E039BB">
        <w:rPr>
          <w:lang w:val="en-GB"/>
        </w:rPr>
        <w:t xml:space="preserve">Primary Care Teams (PCTs) </w:t>
      </w:r>
      <w:r>
        <w:rPr>
          <w:lang w:val="en-GB"/>
        </w:rPr>
        <w:t>and organise g</w:t>
      </w:r>
      <w:r w:rsidRPr="00E039BB">
        <w:rPr>
          <w:lang w:val="en-GB"/>
        </w:rPr>
        <w:t xml:space="preserve">roups of PCTs </w:t>
      </w:r>
      <w:r>
        <w:rPr>
          <w:lang w:val="en-GB"/>
        </w:rPr>
        <w:t xml:space="preserve">into </w:t>
      </w:r>
      <w:r w:rsidRPr="00E039BB">
        <w:rPr>
          <w:lang w:val="en-GB"/>
        </w:rPr>
        <w:t xml:space="preserve">health and social care networks (HSCN). The Early Intervention and School Age Disability Teams are community teams </w:t>
      </w:r>
      <w:r>
        <w:rPr>
          <w:lang w:val="en-GB"/>
        </w:rPr>
        <w:t>t</w:t>
      </w:r>
      <w:r w:rsidRPr="00E039BB">
        <w:rPr>
          <w:lang w:val="en-GB"/>
        </w:rPr>
        <w:t>hat operate at the level of the HSCN.</w:t>
      </w:r>
      <w:r>
        <w:rPr>
          <w:lang w:val="en-GB"/>
        </w:rPr>
        <w:t xml:space="preserve"> The publication of the </w:t>
      </w:r>
      <w:r w:rsidRPr="00C84C3C">
        <w:rPr>
          <w:lang w:val="en-GB"/>
        </w:rPr>
        <w:t>Community Healthcare</w:t>
      </w:r>
      <w:r>
        <w:rPr>
          <w:lang w:val="en-GB"/>
        </w:rPr>
        <w:t xml:space="preserve"> </w:t>
      </w:r>
      <w:r w:rsidRPr="00C84C3C">
        <w:rPr>
          <w:lang w:val="en-GB"/>
        </w:rPr>
        <w:t>Organisations</w:t>
      </w:r>
      <w:r>
        <w:rPr>
          <w:lang w:val="en-GB"/>
        </w:rPr>
        <w:t xml:space="preserve"> </w:t>
      </w:r>
      <w:r w:rsidRPr="00C84C3C">
        <w:rPr>
          <w:lang w:val="en-GB"/>
        </w:rPr>
        <w:t>Report &amp; Recommendations of the</w:t>
      </w:r>
      <w:r>
        <w:rPr>
          <w:lang w:val="en-GB"/>
        </w:rPr>
        <w:t xml:space="preserve"> </w:t>
      </w:r>
      <w:r w:rsidRPr="00C84C3C">
        <w:rPr>
          <w:lang w:val="en-GB"/>
        </w:rPr>
        <w:t>Integrated Service Area Review Group</w:t>
      </w:r>
      <w:r>
        <w:rPr>
          <w:lang w:val="en-GB"/>
        </w:rPr>
        <w:t xml:space="preserve"> in 2014 reemphasises the vision of a primary health system built around PCTs but also emphasises standardisation of pathways and service delivery across network areas. </w:t>
      </w:r>
    </w:p>
  </w:footnote>
  <w:footnote w:id="2">
    <w:p w:rsidR="00BD6FC4" w:rsidRDefault="00BD6FC4">
      <w:pPr>
        <w:pStyle w:val="FootnoteText"/>
      </w:pPr>
      <w:r>
        <w:rPr>
          <w:rStyle w:val="FootnoteReference"/>
        </w:rPr>
        <w:footnoteRef/>
      </w:r>
      <w:r w:rsidRPr="0096303A">
        <w:t>www.hse.ie/progressingdisabilityservices/</w:t>
      </w:r>
    </w:p>
  </w:footnote>
  <w:footnote w:id="3">
    <w:p w:rsidR="00BD6FC4" w:rsidRDefault="00BD6FC4" w:rsidP="00963531">
      <w:pPr>
        <w:pStyle w:val="FootnoteText"/>
      </w:pPr>
      <w:r>
        <w:rPr>
          <w:rStyle w:val="FootnoteReference"/>
        </w:rPr>
        <w:footnoteRef/>
      </w:r>
      <w:r>
        <w:t>Carroll, C., Murphy, G., Sixsmith, J. (2013)</w:t>
      </w:r>
      <w:r w:rsidRPr="00E273A0">
        <w:t xml:space="preserve"> </w:t>
      </w:r>
      <w:r>
        <w:t>The Progression of Early Intervention Disability Services in Ireland, Infants &amp; Young Children, 26 (1), 17–27</w:t>
      </w:r>
    </w:p>
  </w:footnote>
  <w:footnote w:id="4">
    <w:p w:rsidR="00BD6FC4" w:rsidRDefault="00BD6FC4" w:rsidP="00684F7E">
      <w:pPr>
        <w:pStyle w:val="FootnoteText"/>
      </w:pPr>
      <w:r>
        <w:rPr>
          <w:rStyle w:val="FootnoteReference"/>
        </w:rPr>
        <w:footnoteRef/>
      </w:r>
      <w:r>
        <w:t xml:space="preserve"> </w:t>
      </w:r>
      <w:r w:rsidRPr="007337B0">
        <w:t>www.hse.ie/progressingdisabilityservices/</w:t>
      </w:r>
    </w:p>
  </w:footnote>
  <w:footnote w:id="5">
    <w:p w:rsidR="00BD6FC4" w:rsidRDefault="00BD6FC4">
      <w:pPr>
        <w:pStyle w:val="FootnoteText"/>
      </w:pPr>
      <w:r>
        <w:rPr>
          <w:rStyle w:val="FootnoteReference"/>
        </w:rPr>
        <w:footnoteRef/>
      </w:r>
      <w:r>
        <w:rPr>
          <w:rFonts w:ascii="Gill Sans MT" w:hAnsi="Gill Sans MT"/>
        </w:rPr>
        <w:t>‘</w:t>
      </w:r>
      <w:r>
        <w:t xml:space="preserve">The </w:t>
      </w:r>
      <w:r w:rsidRPr="002B1614">
        <w:t>Commu</w:t>
      </w:r>
      <w:r>
        <w:t xml:space="preserve">nity Healthcare Organisations </w:t>
      </w:r>
      <w:r w:rsidRPr="002B1614">
        <w:t>Report and Recommendations of the Integrated Service A</w:t>
      </w:r>
      <w:r>
        <w:t xml:space="preserve">rea Review Group, published in </w:t>
      </w:r>
      <w:r w:rsidRPr="002B1614">
        <w:t xml:space="preserve">October 2014, sets out how health services, outside of acute hospitals, will be organised and managed.  </w:t>
      </w:r>
      <w:r>
        <w:t xml:space="preserve">It </w:t>
      </w:r>
      <w:r w:rsidRPr="002B1614">
        <w:t>provides a framework for new governance and organisational structures in order to improve service delivery</w:t>
      </w:r>
      <w:r>
        <w:t xml:space="preserve"> </w:t>
      </w:r>
      <w:r w:rsidRPr="002B1614">
        <w:t>www.hse.ie/eng/services/publications/corporate/CHOReport.html</w:t>
      </w:r>
    </w:p>
  </w:footnote>
  <w:footnote w:id="6">
    <w:p w:rsidR="00BD6FC4" w:rsidRDefault="00BD6FC4" w:rsidP="0038161F">
      <w:pPr>
        <w:pStyle w:val="FootnoteText"/>
      </w:pPr>
      <w:r>
        <w:rPr>
          <w:rStyle w:val="FootnoteReference"/>
        </w:rPr>
        <w:footnoteRef/>
      </w:r>
      <w:r>
        <w:t xml:space="preserve">Measure of processes of care </w:t>
      </w:r>
      <w:r w:rsidRPr="0060736E">
        <w:t>http://www.canchild.ca/en/measures/mpoc56_mpoc20.asp</w:t>
      </w:r>
    </w:p>
  </w:footnote>
  <w:footnote w:id="7">
    <w:p w:rsidR="00BD6FC4" w:rsidRDefault="00BD6FC4" w:rsidP="0038161F">
      <w:pPr>
        <w:pStyle w:val="FootnoteText"/>
      </w:pPr>
      <w:r>
        <w:rPr>
          <w:rStyle w:val="FootnoteReference"/>
        </w:rPr>
        <w:footnoteRef/>
      </w:r>
      <w:r>
        <w:t xml:space="preserve">The Health Foundation (2014) Helping measure Person-Centred Care </w:t>
      </w:r>
      <w:r w:rsidRPr="00D778EA">
        <w:t>health.org.uk/public/cms/75/76/313/4697/Helping%20measure%20person-centred%20care.pdf?realName=lnet6X.pdf</w:t>
      </w:r>
    </w:p>
  </w:footnote>
  <w:footnote w:id="8">
    <w:p w:rsidR="00BD6FC4" w:rsidRDefault="00BD6FC4" w:rsidP="0038161F">
      <w:pPr>
        <w:pStyle w:val="FootnoteText"/>
      </w:pPr>
      <w:r>
        <w:rPr>
          <w:rStyle w:val="FootnoteReference"/>
        </w:rPr>
        <w:footnoteRef/>
      </w:r>
      <w:r>
        <w:t xml:space="preserve"> There is confusion around the difference between interdisciplinary and multidisciplinary teamwork and some use the terms interchangeably. Interdisciplinary team approaches integrate separate discipline approaches into a single consultation.</w:t>
      </w:r>
      <w:r w:rsidRPr="008D2A77">
        <w:t xml:space="preserve"> </w:t>
      </w:r>
      <w:r>
        <w:t>The patient is involved in discussions regarding their condition and the plans about their care. Only interdisciplinary client interventions develop a collaborative care plan between all disciplines. Multidisciplinary team approaches utilise the skills and experience of individuals from different</w:t>
      </w:r>
      <w:r w:rsidRPr="008D2A77">
        <w:t xml:space="preserve"> </w:t>
      </w:r>
      <w:r>
        <w:t>disciplines, with each discipline approaching the patient from their own perspective and, most often, organise separate consultations.</w:t>
      </w:r>
    </w:p>
  </w:footnote>
  <w:footnote w:id="9">
    <w:p w:rsidR="00BD6FC4" w:rsidRPr="00E039BB" w:rsidRDefault="00BD6FC4" w:rsidP="009C1F33">
      <w:pPr>
        <w:pStyle w:val="FootnoteText"/>
        <w:spacing w:after="0"/>
        <w:rPr>
          <w:lang w:val="en-GB"/>
        </w:rPr>
      </w:pPr>
      <w:r w:rsidRPr="00E039BB">
        <w:rPr>
          <w:rStyle w:val="FootnoteReference"/>
          <w:lang w:val="en-GB"/>
        </w:rPr>
        <w:footnoteRef/>
      </w:r>
      <w:r w:rsidRPr="00E039BB">
        <w:rPr>
          <w:lang w:val="en-GB"/>
        </w:rPr>
        <w:t xml:space="preserve"> </w:t>
      </w:r>
      <w:r>
        <w:rPr>
          <w:lang w:val="en-GB"/>
        </w:rPr>
        <w:t>T</w:t>
      </w:r>
      <w:r w:rsidRPr="00E039BB">
        <w:rPr>
          <w:lang w:val="en-GB"/>
        </w:rPr>
        <w:t>he National Health Workforce Plan</w:t>
      </w:r>
      <w:r>
        <w:rPr>
          <w:lang w:val="en-GB"/>
        </w:rPr>
        <w:t>ning and Research Collaboration</w:t>
      </w:r>
      <w:r w:rsidRPr="00D822DC">
        <w:rPr>
          <w:lang w:val="en-GB"/>
        </w:rPr>
        <w:t xml:space="preserve"> </w:t>
      </w:r>
      <w:r>
        <w:rPr>
          <w:lang w:val="en-GB"/>
        </w:rPr>
        <w:t xml:space="preserve">carried out this </w:t>
      </w:r>
      <w:r w:rsidRPr="00E039BB">
        <w:rPr>
          <w:lang w:val="en-GB"/>
        </w:rPr>
        <w:t>project</w:t>
      </w:r>
      <w:r>
        <w:rPr>
          <w:lang w:val="en-GB"/>
        </w:rPr>
        <w:t>. This Collaboration was</w:t>
      </w:r>
      <w:r w:rsidRPr="00E039BB">
        <w:rPr>
          <w:lang w:val="en-GB"/>
        </w:rPr>
        <w:t xml:space="preserve"> a tri-partite partnership between the Australian Health Workforce Institute, PricewaterhouseCoopers (PwC) and Health Workforce Australia. </w:t>
      </w:r>
      <w:r>
        <w:rPr>
          <w:lang w:val="en-GB"/>
        </w:rPr>
        <w:t xml:space="preserve">It was set up </w:t>
      </w:r>
      <w:r w:rsidRPr="00E039BB">
        <w:rPr>
          <w:lang w:val="en-GB"/>
        </w:rPr>
        <w:t xml:space="preserve">to undertake national health workforce research including advice and development on future supply and demand models for the health workforce. </w:t>
      </w:r>
    </w:p>
  </w:footnote>
  <w:footnote w:id="10">
    <w:p w:rsidR="00BD6FC4" w:rsidRPr="00E039BB" w:rsidRDefault="00BD6FC4" w:rsidP="009C1F33">
      <w:pPr>
        <w:pStyle w:val="FootnoteText"/>
        <w:spacing w:after="0"/>
        <w:rPr>
          <w:lang w:val="en-GB"/>
        </w:rPr>
      </w:pPr>
      <w:r w:rsidRPr="00E039BB">
        <w:rPr>
          <w:rStyle w:val="FootnoteReference"/>
          <w:lang w:val="en-GB"/>
        </w:rPr>
        <w:footnoteRef/>
      </w:r>
      <w:r w:rsidRPr="00E039BB">
        <w:rPr>
          <w:lang w:val="en-GB"/>
        </w:rPr>
        <w:t>National Health Workforce Planning and Research Collaboration (2010) Workload Measures for Allied Health Professionals Final Report. ahwo.gov.au/documents/Publications/2011/Workload%20Measures%20for%20Allied%20Health%20Professionals%20Final%20Report.pdf</w:t>
      </w:r>
    </w:p>
  </w:footnote>
  <w:footnote w:id="11">
    <w:p w:rsidR="00BD6FC4" w:rsidRPr="001A2351" w:rsidRDefault="00BD6FC4" w:rsidP="001A2351">
      <w:pPr>
        <w:spacing w:after="0"/>
        <w:rPr>
          <w:rStyle w:val="FootnoteTextChar"/>
        </w:rPr>
      </w:pPr>
      <w:r>
        <w:rPr>
          <w:rStyle w:val="FootnoteReference"/>
        </w:rPr>
        <w:footnoteRef/>
      </w:r>
      <w:r>
        <w:t xml:space="preserve"> </w:t>
      </w:r>
      <w:r w:rsidRPr="001A2351">
        <w:rPr>
          <w:rStyle w:val="FootnoteTextChar"/>
        </w:rPr>
        <w:t>Mudge, A1., Laracy S., Richter K., Denaro C. (2006) Controlled trial of multidisciplinary care teams for acutely ill medical inpatients: enhanced multidisciplinary care.  Internal Medicine Journal, 36:558-563 as cited by Cartmill, L., Comans, TA., Clark, MJ., Ash, S. Sheppard, L (2012) Using staffing ratios for workforce planning: evidence on nine allied health professions www.ncbi.nlm.nih.gov/pmc/articles/PMC3398270/</w:t>
      </w:r>
    </w:p>
  </w:footnote>
  <w:footnote w:id="12">
    <w:p w:rsidR="00BD6FC4" w:rsidRDefault="00BD6FC4">
      <w:pPr>
        <w:pStyle w:val="FootnoteText"/>
      </w:pPr>
      <w:r>
        <w:rPr>
          <w:rStyle w:val="FootnoteReference"/>
        </w:rPr>
        <w:footnoteRef/>
      </w:r>
      <w:r>
        <w:t xml:space="preserve"> </w:t>
      </w:r>
      <w:r w:rsidRPr="005D3180">
        <w:t>http://education.ohio.gov/Topics/Special-Education/News/Caseloa</w:t>
      </w:r>
      <w:r>
        <w:t>d-Ratio-Project-and-Study</w:t>
      </w:r>
    </w:p>
  </w:footnote>
  <w:footnote w:id="13">
    <w:p w:rsidR="00BD6FC4" w:rsidRDefault="00BD6FC4" w:rsidP="00185181">
      <w:pPr>
        <w:pStyle w:val="FootnoteText"/>
      </w:pPr>
      <w:r>
        <w:rPr>
          <w:rStyle w:val="FootnoteReference"/>
        </w:rPr>
        <w:footnoteRef/>
      </w:r>
      <w:r>
        <w:t>See, for example, Riskind P, Fossey L, Brill K. (2011) Why measure patient satisfaction? J Med Pract  Manage 26(4), 217-220 as cited by the Health Foundation (2013) Measuring Patient Experience</w:t>
      </w:r>
      <w:r w:rsidRPr="00185181">
        <w:t xml:space="preserve"> health.org.uk/public/cms/75/76/313/4300/Measuring%20patient%20ex</w:t>
      </w:r>
      <w:r>
        <w:t>perience.pdf</w:t>
      </w:r>
    </w:p>
  </w:footnote>
  <w:footnote w:id="14">
    <w:p w:rsidR="00BD6FC4" w:rsidRDefault="00BD6FC4" w:rsidP="00185181">
      <w:pPr>
        <w:pStyle w:val="FootnoteText"/>
      </w:pPr>
      <w:r>
        <w:rPr>
          <w:rStyle w:val="FootnoteReference"/>
        </w:rPr>
        <w:footnoteRef/>
      </w:r>
      <w:r>
        <w:t xml:space="preserve"> Doyle C, Lennox L, Bell D. (2013) A systematic review of evidence on the links between patient experience and clinical safety and effectiveness, BMJ Open, 3(1): e001570</w:t>
      </w:r>
      <w:r w:rsidRPr="00185181">
        <w:t xml:space="preserve"> </w:t>
      </w:r>
      <w:r>
        <w:t>as cited by the Health Foundation (2013) Measuring Patient Experience</w:t>
      </w:r>
      <w:r w:rsidRPr="00687C67">
        <w:t xml:space="preserve"> </w:t>
      </w:r>
      <w:r w:rsidRPr="00185181">
        <w:t>health.org.uk/public/cms/75/76/313/4300/Measuring%20patient%20ex</w:t>
      </w:r>
      <w:r>
        <w:t>perience.pdf</w:t>
      </w:r>
    </w:p>
  </w:footnote>
  <w:footnote w:id="15">
    <w:p w:rsidR="00BD6FC4" w:rsidRDefault="00BD6FC4">
      <w:pPr>
        <w:pStyle w:val="FootnoteText"/>
      </w:pPr>
      <w:r>
        <w:rPr>
          <w:rStyle w:val="FootnoteReference"/>
        </w:rPr>
        <w:footnoteRef/>
      </w:r>
      <w:r>
        <w:t xml:space="preserve"> T</w:t>
      </w:r>
      <w:r w:rsidRPr="0081196A">
        <w:t>he Health Foundation (2013) Measuring Patient Experience health.org.uk/public/cms/75/76/313/4300/Measuring%20patient%20experience.pdf</w:t>
      </w:r>
    </w:p>
  </w:footnote>
  <w:footnote w:id="16">
    <w:p w:rsidR="00BD6FC4" w:rsidRPr="00E039BB" w:rsidRDefault="00BD6FC4" w:rsidP="00BC2D47">
      <w:pPr>
        <w:pStyle w:val="FootnoteText"/>
        <w:spacing w:after="0"/>
        <w:rPr>
          <w:lang w:val="en-GB"/>
        </w:rPr>
      </w:pPr>
      <w:r w:rsidRPr="00E039BB">
        <w:rPr>
          <w:rStyle w:val="FootnoteReference"/>
          <w:lang w:val="en-GB"/>
        </w:rPr>
        <w:footnoteRef/>
      </w:r>
      <w:r w:rsidRPr="00E039BB">
        <w:rPr>
          <w:lang w:val="en-GB"/>
        </w:rPr>
        <w:t xml:space="preserve"> Evans S, Huxley P, Baker C, White J, Madge S, Onyett S, Gould N. (2012</w:t>
      </w:r>
      <w:r>
        <w:rPr>
          <w:lang w:val="en-GB"/>
        </w:rPr>
        <w:t xml:space="preserve">) J Health Serv Res Policy. Apr 17, Suppl 2, 23-9 </w:t>
      </w:r>
      <w:r w:rsidRPr="00E039BB">
        <w:rPr>
          <w:lang w:val="en-GB"/>
        </w:rPr>
        <w:t xml:space="preserve"> Abstract www.ncbi.nlm.nih.gov/pubmed/2257271</w:t>
      </w:r>
    </w:p>
  </w:footnote>
  <w:footnote w:id="17">
    <w:p w:rsidR="00BD6FC4" w:rsidRPr="00E039BB" w:rsidRDefault="00BD6FC4" w:rsidP="00C504AD">
      <w:pPr>
        <w:pStyle w:val="FootnoteText"/>
        <w:spacing w:after="0"/>
        <w:rPr>
          <w:lang w:val="en-GB"/>
        </w:rPr>
      </w:pPr>
      <w:r w:rsidRPr="00E039BB">
        <w:rPr>
          <w:rStyle w:val="FootnoteReference"/>
          <w:lang w:val="en-GB"/>
        </w:rPr>
        <w:footnoteRef/>
      </w:r>
      <w:r w:rsidRPr="00E039BB">
        <w:rPr>
          <w:lang w:val="en-GB"/>
        </w:rPr>
        <w:t>Peter Bacon and Associates (2001) Final Report: Current and Future Supply and Demand Conditions in the Labour Market for Certain Professional Therapists www.lenus.ie/hse/bitstream/10147/42517/1/1885.pdf</w:t>
      </w:r>
    </w:p>
  </w:footnote>
  <w:footnote w:id="18">
    <w:p w:rsidR="00BD6FC4" w:rsidRPr="00E039BB" w:rsidRDefault="00BD6FC4" w:rsidP="00C504AD">
      <w:pPr>
        <w:spacing w:after="0"/>
        <w:rPr>
          <w:sz w:val="22"/>
          <w:lang w:val="en-GB"/>
        </w:rPr>
      </w:pPr>
      <w:r w:rsidRPr="00E039BB">
        <w:rPr>
          <w:rStyle w:val="FootnoteReference"/>
          <w:lang w:val="en-GB"/>
        </w:rPr>
        <w:footnoteRef/>
      </w:r>
      <w:r w:rsidRPr="00E039BB">
        <w:rPr>
          <w:lang w:val="en-GB"/>
        </w:rPr>
        <w:t xml:space="preserve"> </w:t>
      </w:r>
      <w:r w:rsidRPr="00E039BB">
        <w:rPr>
          <w:rStyle w:val="FootnoteTextChar"/>
          <w:lang w:val="en-GB"/>
        </w:rPr>
        <w:t xml:space="preserve">Cartmill, L., Comans, TA., Clark, MJ., Ash, </w:t>
      </w:r>
      <w:smartTag w:uri="urn:schemas-microsoft-com:office:smarttags" w:element="place">
        <w:r w:rsidRPr="00E039BB">
          <w:rPr>
            <w:rStyle w:val="FootnoteTextChar"/>
            <w:lang w:val="en-GB"/>
          </w:rPr>
          <w:t>S. Sheppard</w:t>
        </w:r>
      </w:smartTag>
      <w:r w:rsidRPr="00E039BB">
        <w:rPr>
          <w:rStyle w:val="FootnoteTextChar"/>
          <w:lang w:val="en-GB"/>
        </w:rPr>
        <w:t>, L (2012) Using staffing ratios for workforce planning: evidence on nine allied health professions www.ncbi.nlm.nih.gov/pmc/articles/PMC3398270/</w:t>
      </w:r>
    </w:p>
  </w:footnote>
  <w:footnote w:id="19">
    <w:p w:rsidR="00BD6FC4" w:rsidRPr="00E039BB" w:rsidRDefault="00BD6FC4" w:rsidP="00BC2D47">
      <w:pPr>
        <w:pStyle w:val="FootnoteText"/>
        <w:spacing w:after="0"/>
        <w:rPr>
          <w:lang w:val="en-GB"/>
        </w:rPr>
      </w:pPr>
      <w:r w:rsidRPr="00E039BB">
        <w:rPr>
          <w:rStyle w:val="FootnoteReference"/>
          <w:lang w:val="en-GB"/>
        </w:rPr>
        <w:footnoteRef/>
      </w:r>
      <w:r w:rsidRPr="00E039BB">
        <w:rPr>
          <w:lang w:val="en-GB"/>
        </w:rPr>
        <w:t xml:space="preserve"> Pillinger, J (2012) The Future of Healthcare in </w:t>
      </w:r>
      <w:smartTag w:uri="urn:schemas-microsoft-com:office:smarttags" w:element="country-region">
        <w:smartTag w:uri="urn:schemas-microsoft-com:office:smarttags" w:element="place">
          <w:r w:rsidRPr="00E039BB">
            <w:rPr>
              <w:lang w:val="en-GB"/>
            </w:rPr>
            <w:t>Ireland</w:t>
          </w:r>
        </w:smartTag>
      </w:smartTag>
      <w:r w:rsidRPr="00E039BB">
        <w:rPr>
          <w:lang w:val="en-GB"/>
        </w:rPr>
        <w:t>: Position paper on the health crisis and the go</w:t>
      </w:r>
      <w:r>
        <w:rPr>
          <w:lang w:val="en-GB"/>
        </w:rPr>
        <w:t>vernment’s plans for healthcare</w:t>
      </w:r>
      <w:r w:rsidRPr="00E039BB">
        <w:rPr>
          <w:lang w:val="en-GB"/>
        </w:rPr>
        <w:t xml:space="preserve"> (Prepared for Impact Trade Union) impact.ie/files/healthpdf/reform/FutureofHealthcare.pdf</w:t>
      </w:r>
    </w:p>
  </w:footnote>
  <w:footnote w:id="20">
    <w:p w:rsidR="00BD6FC4" w:rsidRDefault="00BD6FC4">
      <w:pPr>
        <w:pStyle w:val="FootnoteText"/>
      </w:pPr>
      <w:r>
        <w:rPr>
          <w:rStyle w:val="FootnoteReference"/>
        </w:rPr>
        <w:footnoteRef/>
      </w:r>
      <w:r>
        <w:t xml:space="preserve"> Professional issues: caseload and workload </w:t>
      </w:r>
      <w:r w:rsidRPr="00C20F11">
        <w:t>www.asha.org/practice-portal/professional-issues/Caseload-and-Workload/</w:t>
      </w:r>
    </w:p>
  </w:footnote>
  <w:footnote w:id="21">
    <w:p w:rsidR="00BD6FC4" w:rsidRDefault="00BD6FC4" w:rsidP="00BC03CE">
      <w:pPr>
        <w:pStyle w:val="FootnoteText"/>
      </w:pPr>
      <w:r>
        <w:rPr>
          <w:rStyle w:val="FootnoteReference"/>
        </w:rPr>
        <w:footnoteRef/>
      </w:r>
      <w:r>
        <w:t xml:space="preserve"> Supervision and principles of work allocation for Child Protection practitioners </w:t>
      </w:r>
      <w:r>
        <w:cr/>
        <w:t>dhs.vic.gov.au/__data/assets/pdf_file/0005/464909/cp_principles_of_work_allocation.pdf</w:t>
      </w:r>
    </w:p>
  </w:footnote>
  <w:footnote w:id="22">
    <w:p w:rsidR="00BD6FC4" w:rsidRDefault="00BD6FC4">
      <w:pPr>
        <w:pStyle w:val="FootnoteText"/>
      </w:pPr>
      <w:r>
        <w:rPr>
          <w:rStyle w:val="FootnoteReference"/>
        </w:rPr>
        <w:footnoteRef/>
      </w:r>
      <w:r>
        <w:t xml:space="preserve"> Special Education Caseloads Taskforce </w:t>
      </w:r>
      <w:r w:rsidRPr="00BC03CE">
        <w:t>http://education.state.mn.us/MDE/Welcome/AdvBCT/SpecEdCaseLoadsTaskForce/054226</w:t>
      </w:r>
    </w:p>
  </w:footnote>
  <w:footnote w:id="23">
    <w:p w:rsidR="00BD6FC4" w:rsidRDefault="00BD6FC4" w:rsidP="006D4B32">
      <w:pPr>
        <w:pStyle w:val="FootnoteText"/>
      </w:pPr>
      <w:r>
        <w:rPr>
          <w:rStyle w:val="FootnoteReference"/>
        </w:rPr>
        <w:footnoteRef/>
      </w:r>
      <w:r>
        <w:t xml:space="preserve"> ASHA (2014) Schools Survey: SLP caseload characteristics </w:t>
      </w:r>
      <w:r w:rsidRPr="005F1EFE">
        <w:t>asha.org/uploadedFiles/2014-SLP-Schools-Survey-Caseload-Report.pdf</w:t>
      </w:r>
    </w:p>
  </w:footnote>
  <w:footnote w:id="24">
    <w:p w:rsidR="00BD6FC4" w:rsidRDefault="00BD6FC4">
      <w:pPr>
        <w:pStyle w:val="FootnoteText"/>
      </w:pPr>
      <w:r>
        <w:rPr>
          <w:rStyle w:val="FootnoteReference"/>
        </w:rPr>
        <w:footnoteRef/>
      </w:r>
      <w:r>
        <w:t xml:space="preserve"> </w:t>
      </w:r>
      <w:r>
        <w:rPr>
          <w:rStyle w:val="FootnoteReference"/>
        </w:rPr>
        <w:footnoteRef/>
      </w:r>
      <w:r>
        <w:t xml:space="preserve"> </w:t>
      </w:r>
      <w:r w:rsidRPr="007C2660">
        <w:t>Funke, G., Knott, B., Salas, E., Pavlas, D. (2010) Conceptualisation and Measurement of Team Workload</w:t>
      </w:r>
      <w:r w:rsidRPr="00BC5F1C">
        <w:t xml:space="preserve"> www.dsto.defence.gov.au/attachments/Funke%20-%20conceptualisation%20and%20measurement%20of%20team%20workload.pdf</w:t>
      </w:r>
    </w:p>
  </w:footnote>
  <w:footnote w:id="25">
    <w:p w:rsidR="00BD6FC4" w:rsidRPr="00E039BB" w:rsidRDefault="00BD6FC4" w:rsidP="00976B85">
      <w:pPr>
        <w:pStyle w:val="FootnoteText"/>
        <w:spacing w:after="0"/>
        <w:rPr>
          <w:lang w:val="en-GB"/>
        </w:rPr>
      </w:pPr>
      <w:r w:rsidRPr="00E039BB">
        <w:rPr>
          <w:rStyle w:val="FootnoteReference"/>
          <w:lang w:val="en-GB"/>
        </w:rPr>
        <w:footnoteRef/>
      </w:r>
      <w:r w:rsidRPr="00E039BB">
        <w:rPr>
          <w:lang w:val="en-GB"/>
        </w:rPr>
        <w:t xml:space="preserve"> Page 5, Burnett, D., Klaiman, D (2009) on behalf of the CAOT, CPA and CASLPA Steering Committee of the Interprofessional Caseload Management Planning Tool: The Development of an Interprofessional Caseload Management Planning Tool in Occupational Therapy, Physiotherapy and Speech-Language Pathology </w:t>
      </w:r>
      <w:r>
        <w:rPr>
          <w:lang w:val="en-GB"/>
        </w:rPr>
        <w:t>in Canada: Background Document.</w:t>
      </w:r>
    </w:p>
  </w:footnote>
  <w:footnote w:id="26">
    <w:p w:rsidR="00BD6FC4" w:rsidRDefault="00BD6FC4">
      <w:pPr>
        <w:pStyle w:val="FootnoteText"/>
      </w:pPr>
      <w:r>
        <w:rPr>
          <w:rStyle w:val="FootnoteReference"/>
        </w:rPr>
        <w:footnoteRef/>
      </w:r>
      <w:r>
        <w:t xml:space="preserve"> </w:t>
      </w:r>
      <w:r w:rsidRPr="003A6A04">
        <w:t>Chief Social Worker (2014) Workload and Casework review: Qualitative Review of Social Worker Caseload, Casework and Workload Management  /www.msd.govt.nz/documents/about-msd-and-our-work/newsroom/media-releases/2014/workload-and-casework-review.pdf</w:t>
      </w:r>
    </w:p>
  </w:footnote>
  <w:footnote w:id="27">
    <w:p w:rsidR="00BD6FC4" w:rsidRDefault="00BD6FC4" w:rsidP="00B5516A">
      <w:pPr>
        <w:pStyle w:val="FootnoteText"/>
      </w:pPr>
      <w:r>
        <w:rPr>
          <w:rStyle w:val="FootnoteReference"/>
        </w:rPr>
        <w:footnoteRef/>
      </w:r>
      <w:r>
        <w:t xml:space="preserve"> From the literature as cited in Office of the Chief Social Worker (2014) Workload and Casework review: Qualitative Review of Social Worker Caseload, Casework and Workload Management  /www.msd.govt.nz/documents/about-msd-and-our-work/newsroom/media-releases/2014/workload-and-casework-review.pdf</w:t>
      </w:r>
    </w:p>
  </w:footnote>
  <w:footnote w:id="28">
    <w:p w:rsidR="00BD6FC4" w:rsidRPr="00E039BB" w:rsidRDefault="00BD6FC4" w:rsidP="001D11F2">
      <w:pPr>
        <w:pStyle w:val="FootnoteText"/>
        <w:spacing w:after="0"/>
        <w:rPr>
          <w:lang w:val="en-GB"/>
        </w:rPr>
      </w:pPr>
      <w:r w:rsidRPr="00E039BB">
        <w:rPr>
          <w:rStyle w:val="FootnoteReference"/>
          <w:lang w:val="en-GB"/>
        </w:rPr>
        <w:footnoteRef/>
      </w:r>
      <w:r w:rsidRPr="00E039BB">
        <w:rPr>
          <w:lang w:val="en-GB"/>
        </w:rPr>
        <w:t xml:space="preserve"> BC Paediatric Therapists Helping Kids Reach their Potential Promoting Manageable Workloads Project Phase 2 - Preferred Practice Guidelines for BC Paediatric Therapists December 2008 www.therapybc.ca/pdf/PreferredPracticeGuidelines.pdf</w:t>
      </w:r>
    </w:p>
  </w:footnote>
  <w:footnote w:id="29">
    <w:p w:rsidR="00BD6FC4" w:rsidRPr="00E039BB" w:rsidRDefault="00BD6FC4" w:rsidP="00976B85">
      <w:pPr>
        <w:pStyle w:val="FootnoteText"/>
        <w:spacing w:after="0"/>
        <w:rPr>
          <w:lang w:val="en-GB"/>
        </w:rPr>
      </w:pPr>
      <w:r w:rsidRPr="00E039BB">
        <w:rPr>
          <w:rStyle w:val="FootnoteReference"/>
          <w:lang w:val="en-GB"/>
        </w:rPr>
        <w:footnoteRef/>
      </w:r>
      <w:r w:rsidRPr="00E039BB">
        <w:rPr>
          <w:lang w:val="en-GB"/>
        </w:rPr>
        <w:t xml:space="preserve"> Progressing Disability Services for Children and Young People Accessible at http://www.hse.ie/progressingdisabilityservices</w:t>
      </w:r>
    </w:p>
  </w:footnote>
  <w:footnote w:id="30">
    <w:p w:rsidR="00BD6FC4" w:rsidRPr="00E039BB" w:rsidRDefault="00BD6FC4" w:rsidP="00976B85">
      <w:pPr>
        <w:pStyle w:val="FootnoteText"/>
        <w:spacing w:after="0"/>
        <w:rPr>
          <w:lang w:val="en-GB"/>
        </w:rPr>
      </w:pPr>
      <w:r w:rsidRPr="00E039BB">
        <w:rPr>
          <w:rStyle w:val="FootnoteReference"/>
          <w:lang w:val="en-GB"/>
        </w:rPr>
        <w:footnoteRef/>
      </w:r>
      <w:r w:rsidRPr="00E039BB">
        <w:rPr>
          <w:lang w:val="en-GB"/>
        </w:rPr>
        <w:t xml:space="preserve"> The Scottish Government, 2011, Report of the National Review of Services for Disabled Children, p.7</w:t>
      </w:r>
    </w:p>
  </w:footnote>
  <w:footnote w:id="31">
    <w:p w:rsidR="00BD6FC4" w:rsidRDefault="00BD6FC4" w:rsidP="00B008E9">
      <w:pPr>
        <w:pStyle w:val="FootnoteText"/>
      </w:pPr>
      <w:r>
        <w:rPr>
          <w:rStyle w:val="FootnoteReference"/>
        </w:rPr>
        <w:footnoteRef/>
      </w:r>
      <w:r>
        <w:t xml:space="preserve"> Inclusion Ireland (2014) The Case of Speech and Language Therapy</w:t>
      </w:r>
    </w:p>
  </w:footnote>
  <w:footnote w:id="32">
    <w:p w:rsidR="00BD6FC4" w:rsidRDefault="00BD6FC4" w:rsidP="00B008E9">
      <w:pPr>
        <w:pStyle w:val="FootnoteText"/>
      </w:pPr>
      <w:r>
        <w:rPr>
          <w:rStyle w:val="FootnoteReference"/>
        </w:rPr>
        <w:footnoteRef/>
      </w:r>
      <w:r>
        <w:t xml:space="preserve"> In recognition of the problems this causes, there has been some recent relaxation with some limited maternity cover provided where it has been possible to forecast requirements. </w:t>
      </w:r>
    </w:p>
  </w:footnote>
  <w:footnote w:id="33">
    <w:p w:rsidR="00BD6FC4" w:rsidRPr="000B377A" w:rsidRDefault="00BD6FC4" w:rsidP="00B008E9">
      <w:pPr>
        <w:pStyle w:val="FootnoteText"/>
        <w:rPr>
          <w:szCs w:val="22"/>
        </w:rPr>
      </w:pPr>
      <w:r w:rsidRPr="000B377A">
        <w:rPr>
          <w:rStyle w:val="FootnoteReference"/>
          <w:sz w:val="22"/>
          <w:szCs w:val="22"/>
        </w:rPr>
        <w:footnoteRef/>
      </w:r>
      <w:r w:rsidRPr="000B377A">
        <w:rPr>
          <w:szCs w:val="22"/>
        </w:rPr>
        <w:t xml:space="preserve"> CSO Popu</w:t>
      </w:r>
      <w:r>
        <w:rPr>
          <w:szCs w:val="22"/>
        </w:rPr>
        <w:t xml:space="preserve">lation projections 2016 to 2046 </w:t>
      </w:r>
      <w:r>
        <w:rPr>
          <w:szCs w:val="22"/>
          <w:lang w:val="en-GB"/>
        </w:rPr>
        <w:t>www.cso.ie</w:t>
      </w:r>
    </w:p>
  </w:footnote>
  <w:footnote w:id="34">
    <w:p w:rsidR="00BD6FC4" w:rsidRPr="00D70F89" w:rsidRDefault="00BD6FC4" w:rsidP="00B008E9">
      <w:pPr>
        <w:pStyle w:val="FootnoteText"/>
      </w:pPr>
      <w:r>
        <w:rPr>
          <w:rStyle w:val="FootnoteReference"/>
        </w:rPr>
        <w:footnoteRef/>
      </w:r>
      <w:r>
        <w:t xml:space="preserve"> </w:t>
      </w:r>
      <w:r w:rsidRPr="00D70F89">
        <w:t xml:space="preserve">see </w:t>
      </w:r>
      <w:hyperlink r:id="rId1" w:history="1">
        <w:r w:rsidRPr="00D70F89">
          <w:rPr>
            <w:rStyle w:val="Hyperlink"/>
            <w:color w:val="auto"/>
          </w:rPr>
          <w:t>http://trutzhaase.eu/deprivation-index/overview/</w:t>
        </w:r>
      </w:hyperlink>
      <w:r w:rsidRPr="00D70F89">
        <w:t xml:space="preserve"> for a description of the index</w:t>
      </w:r>
    </w:p>
  </w:footnote>
  <w:footnote w:id="35">
    <w:p w:rsidR="00BD6FC4" w:rsidRPr="00D70F89" w:rsidRDefault="00BD6FC4" w:rsidP="00B008E9">
      <w:pPr>
        <w:pStyle w:val="FootnoteText"/>
      </w:pPr>
      <w:r w:rsidRPr="00D70F89">
        <w:rPr>
          <w:rStyle w:val="FootnoteReference"/>
        </w:rPr>
        <w:footnoteRef/>
      </w:r>
      <w:r w:rsidRPr="00D70F89">
        <w:t xml:space="preserve"> NDA (2011) Report on the practice of Assessment of Need under Part 2 of the Disability Act 2005</w:t>
      </w:r>
    </w:p>
  </w:footnote>
  <w:footnote w:id="36">
    <w:p w:rsidR="00BD6FC4" w:rsidRPr="00D70F89" w:rsidRDefault="00BD6FC4" w:rsidP="00B008E9">
      <w:pPr>
        <w:pStyle w:val="FootnoteText"/>
      </w:pPr>
      <w:r w:rsidRPr="00D70F89">
        <w:rPr>
          <w:rStyle w:val="FootnoteReference"/>
        </w:rPr>
        <w:footnoteRef/>
      </w:r>
      <w:r w:rsidRPr="00D70F89">
        <w:t xml:space="preserve"> NCSE (2014) Delivery for students with special educational needs – a better and more equitable way. </w:t>
      </w:r>
    </w:p>
  </w:footnote>
  <w:footnote w:id="37">
    <w:p w:rsidR="00BD6FC4" w:rsidRDefault="00BD6FC4" w:rsidP="00B008E9">
      <w:pPr>
        <w:pStyle w:val="FootnoteText"/>
      </w:pPr>
      <w:r>
        <w:rPr>
          <w:rStyle w:val="FootnoteReference"/>
        </w:rPr>
        <w:footnoteRef/>
      </w:r>
      <w:r>
        <w:t xml:space="preserve"> </w:t>
      </w:r>
      <w:r w:rsidRPr="00035707">
        <w:t>A cut-off age of 19 rather than 18 would add 5.5% to th</w:t>
      </w:r>
      <w:r>
        <w:t xml:space="preserve">e underlying child population. </w:t>
      </w:r>
    </w:p>
  </w:footnote>
  <w:footnote w:id="38">
    <w:p w:rsidR="00BD6FC4" w:rsidRDefault="00BD6FC4" w:rsidP="00B008E9">
      <w:pPr>
        <w:pStyle w:val="FootnoteText"/>
      </w:pPr>
      <w:r>
        <w:rPr>
          <w:rStyle w:val="FootnoteReference"/>
        </w:rPr>
        <w:footnoteRef/>
      </w:r>
      <w:r>
        <w:t xml:space="preserve"> </w:t>
      </w:r>
      <w:r w:rsidRPr="00CD1559">
        <w:t>NSPDD report 2012, p. 13 state</w:t>
      </w:r>
      <w:r>
        <w:t xml:space="preserve">s there were 6,897 up to date records but </w:t>
      </w:r>
      <w:r w:rsidRPr="00CD1559">
        <w:t xml:space="preserve">34,168 people eligible for registration on the database - a multiple of 4.95, which we have </w:t>
      </w:r>
      <w:r>
        <w:t xml:space="preserve">rounded to </w:t>
      </w:r>
      <w:r w:rsidRPr="00CD1559">
        <w:t>5</w:t>
      </w:r>
      <w:r>
        <w:t xml:space="preserve"> for the </w:t>
      </w:r>
    </w:p>
    <w:p w:rsidR="00BD6FC4" w:rsidRDefault="00BD6FC4" w:rsidP="00B008E9">
      <w:pPr>
        <w:pStyle w:val="FootnoteText"/>
      </w:pPr>
      <w:r>
        <w:t>purposes of our calculations.</w:t>
      </w:r>
    </w:p>
  </w:footnote>
  <w:footnote w:id="39">
    <w:p w:rsidR="00BD6FC4" w:rsidRPr="00EA1024" w:rsidRDefault="00BD6FC4" w:rsidP="00B008E9">
      <w:pPr>
        <w:pStyle w:val="FootnoteText"/>
      </w:pPr>
      <w:r>
        <w:rPr>
          <w:rStyle w:val="FootnoteReference"/>
        </w:rPr>
        <w:footnoteRef/>
      </w:r>
      <w:r>
        <w:t>The National Intellectual Disability Database report 2012, p. 85 has data on therapist use and need, aggregated as between adults and children – the HRB gave us the data separately for children.  Tables</w:t>
      </w:r>
      <w:r w:rsidRPr="00EA1024">
        <w:t xml:space="preserve"> 3.1, 3.2</w:t>
      </w:r>
      <w:r>
        <w:t xml:space="preserve"> in the </w:t>
      </w:r>
      <w:r w:rsidRPr="00EA1024">
        <w:t>2012 National Physical and Sensory Disability database report</w:t>
      </w:r>
      <w:r>
        <w:t xml:space="preserve"> measure therapy use and need for this group. However, as the coverage is low as discussed in the text, we multiplies it by factors of 5 and 6.25 to get a range of calculations of aggregate need across physical, sensory and intellectual disability. The NIDD for 2013 gives a similar breakdown.</w:t>
      </w:r>
    </w:p>
    <w:p w:rsidR="00BD6FC4" w:rsidRDefault="00BD6FC4" w:rsidP="00B008E9">
      <w:pPr>
        <w:pStyle w:val="FootnoteText"/>
      </w:pPr>
    </w:p>
  </w:footnote>
  <w:footnote w:id="40">
    <w:p w:rsidR="00BD6FC4" w:rsidRDefault="00BD6FC4" w:rsidP="00B008E9">
      <w:pPr>
        <w:pStyle w:val="FootnoteText"/>
      </w:pPr>
      <w:r>
        <w:rPr>
          <w:rStyle w:val="FootnoteReference"/>
        </w:rPr>
        <w:footnoteRef/>
      </w:r>
      <w:r>
        <w:t xml:space="preserve"> The current ratio between grades is of the order of two senior to each basic grade post</w:t>
      </w:r>
    </w:p>
  </w:footnote>
  <w:footnote w:id="41">
    <w:p w:rsidR="00BD6FC4" w:rsidRDefault="00BD6FC4" w:rsidP="00B008E9">
      <w:pPr>
        <w:pStyle w:val="FootnoteText"/>
      </w:pPr>
      <w:r>
        <w:rPr>
          <w:rStyle w:val="FootnoteReference"/>
        </w:rPr>
        <w:footnoteRef/>
      </w:r>
      <w:r>
        <w:t xml:space="preserve"> For instance Newacheck and Taylor (1992) argue that c</w:t>
      </w:r>
      <w:r w:rsidRPr="00746CFE">
        <w:rPr>
          <w:bCs/>
        </w:rPr>
        <w:t xml:space="preserve">hronic conditions fall along a continuum that begins with those that have essentially no impact on the child and ends with those that affect the child and the family profoundly. Using this continuum approach, </w:t>
      </w:r>
      <w:r>
        <w:rPr>
          <w:bCs/>
        </w:rPr>
        <w:t xml:space="preserve">they found that </w:t>
      </w:r>
      <w:r w:rsidRPr="00746CFE">
        <w:rPr>
          <w:bCs/>
        </w:rPr>
        <w:t xml:space="preserve">31% of US children with chronic conditions can be divided into three groups: 20% with mild conditions that result in little or no bother or activity limitations; 9% with conditions of moderate severity that result in some bother or limitation of activity, but not both; and 2% with severe conditions that cause frequent bother and limitation of activity. </w:t>
      </w:r>
      <w:r>
        <w:rPr>
          <w:bCs/>
        </w:rPr>
        <w:t xml:space="preserve">Comparing there findings with others they argue that 2% is at the low end of the prevalence studies. See </w:t>
      </w:r>
      <w:r w:rsidRPr="002F6F58">
        <w:rPr>
          <w:bCs/>
        </w:rPr>
        <w:t>http://ajph.aphapublications.org/doi/pdf/10.2105/AJPH.82.3.364</w:t>
      </w:r>
    </w:p>
  </w:footnote>
  <w:footnote w:id="42">
    <w:p w:rsidR="00BD6FC4" w:rsidRDefault="00BD6FC4" w:rsidP="00B008E9">
      <w:pPr>
        <w:pStyle w:val="FootnoteText"/>
      </w:pPr>
      <w:r>
        <w:rPr>
          <w:rStyle w:val="FootnoteReference"/>
        </w:rPr>
        <w:footnoteRef/>
      </w:r>
      <w:r>
        <w:t xml:space="preserve"> </w:t>
      </w:r>
      <w:hyperlink r:id="rId2" w:history="1">
        <w:r w:rsidRPr="00853F36">
          <w:rPr>
            <w:rStyle w:val="Hyperlink"/>
            <w:lang w:val="en-GB"/>
          </w:rPr>
          <w:t>http://www.pediatricsdigest.mobi/content/131/1/38.short</w:t>
        </w:r>
      </w:hyperlink>
      <w:r>
        <w:t>.</w:t>
      </w:r>
    </w:p>
  </w:footnote>
  <w:footnote w:id="43">
    <w:p w:rsidR="00BD6FC4" w:rsidRDefault="00BD6FC4" w:rsidP="0008565A">
      <w:pPr>
        <w:pStyle w:val="FootnoteText"/>
      </w:pPr>
      <w:r>
        <w:rPr>
          <w:rStyle w:val="FootnoteReference"/>
        </w:rPr>
        <w:footnoteRef/>
      </w:r>
      <w:r>
        <w:t xml:space="preserve"> Physiotherapist, instructor or educator</w:t>
      </w:r>
    </w:p>
  </w:footnote>
  <w:footnote w:id="44">
    <w:p w:rsidR="00BD6FC4" w:rsidRDefault="00BD6FC4" w:rsidP="0008565A">
      <w:pPr>
        <w:pStyle w:val="FootnoteText"/>
      </w:pPr>
      <w:r>
        <w:rPr>
          <w:rStyle w:val="FootnoteReference"/>
        </w:rPr>
        <w:footnoteRef/>
      </w:r>
      <w:r>
        <w:t xml:space="preserve"> Physiotherapist, instructor or educator</w:t>
      </w:r>
    </w:p>
  </w:footnote>
  <w:footnote w:id="45">
    <w:p w:rsidR="00BD6FC4" w:rsidRDefault="00BD6FC4">
      <w:pPr>
        <w:pStyle w:val="FootnoteText"/>
      </w:pPr>
      <w:r>
        <w:rPr>
          <w:rStyle w:val="FootnoteReference"/>
        </w:rPr>
        <w:footnoteRef/>
      </w:r>
      <w:r>
        <w:t xml:space="preserve"> The eligibility criteria for interdisciplinary teams needs to be established and standardised across the country. Once this is done it will be clearer who is eligible for services.</w:t>
      </w:r>
    </w:p>
  </w:footnote>
  <w:footnote w:id="46">
    <w:p w:rsidR="00BD6FC4" w:rsidRDefault="00BD6FC4" w:rsidP="00453926">
      <w:pPr>
        <w:pStyle w:val="FootnoteText"/>
      </w:pPr>
      <w:r>
        <w:rPr>
          <w:rStyle w:val="FootnoteReference"/>
        </w:rPr>
        <w:footnoteRef/>
      </w:r>
      <w:r>
        <w:t xml:space="preserve"> </w:t>
      </w:r>
      <w:r w:rsidRPr="0064624A">
        <w:t xml:space="preserve">A further complication is that some of the children with multiple disabilities </w:t>
      </w:r>
      <w:r>
        <w:t xml:space="preserve">are recorded as having multiple learning disabilities </w:t>
      </w:r>
      <w:r w:rsidRPr="0064624A">
        <w:t>and they need learning support</w:t>
      </w:r>
      <w:r>
        <w:t>. As few of these children say they are hampered in daily living, they are unlikely to need the support of an interdisciplinary team.</w:t>
      </w:r>
    </w:p>
  </w:footnote>
  <w:footnote w:id="47">
    <w:p w:rsidR="00BD6FC4" w:rsidRDefault="00BD6FC4" w:rsidP="00B008E9">
      <w:pPr>
        <w:pStyle w:val="FootnoteText"/>
      </w:pPr>
      <w:r>
        <w:rPr>
          <w:rStyle w:val="FootnoteReference"/>
        </w:rPr>
        <w:footnoteRef/>
      </w:r>
      <w:r>
        <w:t xml:space="preserve"> 15 children of the 1563 reported only learning related disabilities.</w:t>
      </w:r>
    </w:p>
  </w:footnote>
  <w:footnote w:id="48">
    <w:p w:rsidR="00BD6FC4" w:rsidRDefault="00BD6FC4" w:rsidP="00B008E9">
      <w:pPr>
        <w:pStyle w:val="FootnoteText"/>
      </w:pPr>
      <w:r>
        <w:rPr>
          <w:rStyle w:val="FootnoteReference"/>
        </w:rPr>
        <w:footnoteRef/>
      </w:r>
      <w:r>
        <w:t xml:space="preserve"> GUI 13 was collected in 2011-2012 so the numbers are comparable.</w:t>
      </w:r>
    </w:p>
  </w:footnote>
  <w:footnote w:id="49">
    <w:p w:rsidR="00BD6FC4" w:rsidRDefault="00BD6FC4">
      <w:pPr>
        <w:pStyle w:val="FootnoteText"/>
      </w:pPr>
      <w:r>
        <w:rPr>
          <w:rStyle w:val="FootnoteReference"/>
        </w:rPr>
        <w:footnoteRef/>
      </w:r>
      <w:r>
        <w:t xml:space="preserve"> </w:t>
      </w:r>
      <w:r w:rsidRPr="00291CCD">
        <w:t>The overall school going population can be taken as those aged 4 to 18. Figures from the 2011 Census for those aged 3 to 17 gives a good estimate of the population aged 4-18 in 2012, the reference period for the N</w:t>
      </w:r>
      <w:r>
        <w:t>ational Council Special Education (N</w:t>
      </w:r>
      <w:r w:rsidRPr="00291CCD">
        <w:t>CSE</w:t>
      </w:r>
      <w:r>
        <w:t>) data (</w:t>
      </w:r>
      <w:r w:rsidRPr="00291CCD">
        <w:t>on the assumption of minimal deaths or net migration</w:t>
      </w:r>
      <w:r>
        <w:t xml:space="preserve">). </w:t>
      </w:r>
    </w:p>
  </w:footnote>
  <w:footnote w:id="50">
    <w:p w:rsidR="00BD6FC4" w:rsidRDefault="00BD6FC4">
      <w:pPr>
        <w:pStyle w:val="FootnoteText"/>
      </w:pPr>
      <w:r>
        <w:rPr>
          <w:rStyle w:val="FootnoteReference"/>
        </w:rPr>
        <w:footnoteRef/>
      </w:r>
      <w:r>
        <w:t xml:space="preserve"> </w:t>
      </w:r>
      <w:r w:rsidRPr="00C94235">
        <w:t>ncse.ie/wp-content/uploads/2014/11/NCSE-Educational-Outcomes-Children-with-SEN.pdf</w:t>
      </w:r>
    </w:p>
  </w:footnote>
  <w:footnote w:id="51">
    <w:p w:rsidR="00BD6FC4" w:rsidRPr="00BA210E" w:rsidRDefault="00BD6FC4" w:rsidP="00B008E9">
      <w:pPr>
        <w:pStyle w:val="FootnoteText"/>
        <w:rPr>
          <w:lang w:val="en-GB"/>
        </w:rPr>
      </w:pPr>
      <w:r>
        <w:rPr>
          <w:rStyle w:val="FootnoteReference"/>
        </w:rPr>
        <w:footnoteRef/>
      </w:r>
      <w:r>
        <w:t xml:space="preserve"> </w:t>
      </w:r>
      <w:r w:rsidRPr="00BA210E">
        <w:rPr>
          <w:lang w:val="en-GB"/>
        </w:rPr>
        <w:t>Ea</w:t>
      </w:r>
      <w:r>
        <w:rPr>
          <w:lang w:val="en-GB"/>
        </w:rPr>
        <w:t>rly intervention and school age</w:t>
      </w:r>
      <w:r w:rsidRPr="00BA210E">
        <w:rPr>
          <w:lang w:val="en-GB"/>
        </w:rPr>
        <w:t xml:space="preserve"> teams cannot exist without the necessary administrative, management and coordination staff but estimating the requirements for these staff did not form part of this project. </w:t>
      </w:r>
    </w:p>
    <w:p w:rsidR="00BD6FC4" w:rsidRDefault="00BD6FC4" w:rsidP="00B008E9">
      <w:pPr>
        <w:pStyle w:val="FootnoteText"/>
      </w:pPr>
    </w:p>
  </w:footnote>
  <w:footnote w:id="52">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American Speech-Language-Hearing Association (2002) "A workload analysis approach for establishing speech-language caseload standards in the schools: Guidelines." </w:t>
      </w:r>
      <w:hyperlink r:id="rId3" w:history="1">
        <w:r w:rsidRPr="00E039BB">
          <w:rPr>
            <w:rStyle w:val="Hyperlink"/>
            <w:color w:val="auto"/>
            <w:lang w:val="en-GB"/>
          </w:rPr>
          <w:t>www.asha.org/policy</w:t>
        </w:r>
      </w:hyperlink>
      <w:r w:rsidRPr="00E039BB">
        <w:rPr>
          <w:lang w:val="en-GB"/>
        </w:rPr>
        <w:t>. www.asha.org/docs/html/GL2002-00066.html</w:t>
      </w:r>
    </w:p>
  </w:footnote>
  <w:footnote w:id="53">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Cirrin, F., Biehl., Estomin, E., and Schraeder, T. (2003). Speech-language caseloads in the schools: a workload analysis approach to setting caseload standards. Semin Speech Lang., 24,155-80 as cited in Toward Best Practices For Caseload Assignment And Management For Occupational Therapy In </w:t>
      </w:r>
      <w:smartTag w:uri="urn:schemas-microsoft-com:office:smarttags" w:element="country-region">
        <w:smartTag w:uri="urn:schemas-microsoft-com:office:smarttags" w:element="place">
          <w:r w:rsidRPr="00E039BB">
            <w:rPr>
              <w:lang w:val="en-GB"/>
            </w:rPr>
            <w:t>Canada</w:t>
          </w:r>
        </w:smartTag>
      </w:smartTag>
      <w:r w:rsidRPr="00E039BB">
        <w:rPr>
          <w:lang w:val="en-GB"/>
        </w:rPr>
        <w:t xml:space="preserve"> www.caot.ca/pdfs/CAOT_CASELOAD_MANAGEMENT_REPORT.pdf</w:t>
      </w:r>
    </w:p>
  </w:footnote>
  <w:footnote w:id="54">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Braithwaite J., Hindle D., Phelan P. D., Hanson R. (1998). Casemix funding in </w:t>
      </w:r>
      <w:smartTag w:uri="urn:schemas-microsoft-com:office:smarttags" w:element="country-region">
        <w:smartTag w:uri="urn:schemas-microsoft-com:office:smarttags" w:element="place">
          <w:r w:rsidRPr="00E039BB">
            <w:rPr>
              <w:lang w:val="en-GB"/>
            </w:rPr>
            <w:t>Australia</w:t>
          </w:r>
        </w:smartTag>
      </w:smartTag>
      <w:r w:rsidRPr="00E039BB">
        <w:rPr>
          <w:lang w:val="en-GB"/>
        </w:rPr>
        <w:t xml:space="preserve">. Medical Journal of </w:t>
      </w:r>
      <w:smartTag w:uri="urn:schemas-microsoft-com:office:smarttags" w:element="country-region">
        <w:smartTag w:uri="urn:schemas-microsoft-com:office:smarttags" w:element="place">
          <w:r w:rsidRPr="00E039BB">
            <w:rPr>
              <w:lang w:val="en-GB"/>
            </w:rPr>
            <w:t>Australia</w:t>
          </w:r>
        </w:smartTag>
      </w:smartTag>
      <w:r w:rsidRPr="00E039BB">
        <w:rPr>
          <w:lang w:val="en-GB"/>
        </w:rPr>
        <w:t>, 168(11): 558-562 and Duckett, S., Gray, L., &amp; Howe, A. (1995). Designing a finding system for rehabilitation services: Part 1: Rationale and recent developments. Australian Health Review, 18(3): 30-44 as cited in Bundy, A., Brentnall, B., Hemsley, B., Marshall, E. (2008) Therapy Services in the Disability Sector: Literature Review NSW Department of Ageing, Disability and Home Care</w:t>
      </w:r>
    </w:p>
  </w:footnote>
  <w:footnote w:id="55">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Bundy, A., Brentnall, B., Hemsley, B., Marshall, E. (2008) Therapy Services in the Disability Sector: Literature Review NSW Department of Ageing, Disability and Home Care </w:t>
      </w:r>
    </w:p>
  </w:footnote>
  <w:footnote w:id="56">
    <w:p w:rsidR="00BD6FC4" w:rsidRPr="00E039BB" w:rsidRDefault="00BD6FC4" w:rsidP="005605F8">
      <w:pPr>
        <w:pStyle w:val="FootnoteText"/>
        <w:spacing w:after="0"/>
        <w:rPr>
          <w:lang w:val="en-GB"/>
        </w:rPr>
      </w:pPr>
      <w:r w:rsidRPr="00E039BB">
        <w:rPr>
          <w:rStyle w:val="FootnoteReference"/>
          <w:lang w:val="en-GB"/>
        </w:rPr>
        <w:footnoteRef/>
      </w:r>
      <w:r w:rsidRPr="00E039BB">
        <w:rPr>
          <w:lang w:val="en-GB"/>
        </w:rPr>
        <w:t>, ibid, p. 64</w:t>
      </w:r>
    </w:p>
  </w:footnote>
  <w:footnote w:id="57">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Cavouras, C. (2003). Foundations for safe nursing Journal of Clinical Systems Management, 5, 13-15 as cited in Toward Best Practices for Caseload Assignment and Management for Occupational Therapy in </w:t>
      </w:r>
      <w:smartTag w:uri="urn:schemas-microsoft-com:office:smarttags" w:element="country-region">
        <w:smartTag w:uri="urn:schemas-microsoft-com:office:smarttags" w:element="place">
          <w:r w:rsidRPr="00E039BB">
            <w:rPr>
              <w:lang w:val="en-GB"/>
            </w:rPr>
            <w:t>Canada</w:t>
          </w:r>
        </w:smartTag>
      </w:smartTag>
      <w:r w:rsidRPr="00E039BB">
        <w:rPr>
          <w:lang w:val="en-GB"/>
        </w:rPr>
        <w:t>. Prepared for the Canadian Association of Occupational Therapists by Management Dimensions, in collaboration with D. Parker-Taillon and Associates, June 2005 www.caot.ca</w:t>
      </w:r>
    </w:p>
  </w:footnote>
  <w:footnote w:id="58">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Henke, R. O., Connolly, S. G., &amp; Cox,J. S. (1975). Caseload management: The key to effectiveness. Journal of Applied Rehabilitation Counselling, 6(4), 217–227</w:t>
      </w:r>
    </w:p>
  </w:footnote>
  <w:footnote w:id="59">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See Toward Best Practices For Caseload Assignment And Management For Occupation</w:t>
      </w:r>
      <w:r>
        <w:rPr>
          <w:lang w:val="en-GB"/>
        </w:rPr>
        <w:t xml:space="preserve">al Therapy In Canada (2005) </w:t>
      </w:r>
      <w:r w:rsidRPr="00E039BB">
        <w:rPr>
          <w:lang w:val="en-GB"/>
        </w:rPr>
        <w:t>caot.ca/pdfs/CAOT_CASELOAD_MANAGEMENT_REPORT.pdf</w:t>
      </w:r>
    </w:p>
  </w:footnote>
  <w:footnote w:id="60">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Population Health Information Tool (PHIT); Changing Practice to Support Service Delivery (2011), Office of the Nursing and Midwifery Services Directorate, HSE, Dr Steevens’ Hospital, </w:t>
      </w:r>
      <w:smartTag w:uri="urn:schemas-microsoft-com:office:smarttags" w:element="City">
        <w:smartTag w:uri="urn:schemas-microsoft-com:office:smarttags" w:element="place">
          <w:r w:rsidRPr="00E039BB">
            <w:rPr>
              <w:lang w:val="en-GB"/>
            </w:rPr>
            <w:t>Dublin</w:t>
          </w:r>
        </w:smartTag>
      </w:smartTag>
      <w:r>
        <w:rPr>
          <w:lang w:val="en-GB"/>
        </w:rPr>
        <w:t xml:space="preserve">. </w:t>
      </w:r>
      <w:r w:rsidRPr="00E039BB">
        <w:rPr>
          <w:lang w:val="en-GB"/>
        </w:rPr>
        <w:t xml:space="preserve">ichn.ie/uploads/20695%20ONSMD%20PHIT%20Doc%20Final%20Publication.pdf </w:t>
      </w:r>
    </w:p>
  </w:footnote>
  <w:footnote w:id="61">
    <w:p w:rsidR="00BD6FC4" w:rsidRPr="00E039BB" w:rsidRDefault="00BD6FC4" w:rsidP="00F63B31">
      <w:pPr>
        <w:pStyle w:val="FootnoteText"/>
        <w:spacing w:after="0"/>
        <w:rPr>
          <w:lang w:val="en-GB"/>
        </w:rPr>
      </w:pPr>
      <w:r w:rsidRPr="00E039BB">
        <w:rPr>
          <w:rStyle w:val="FootnoteReference"/>
          <w:lang w:val="en-GB"/>
        </w:rPr>
        <w:footnoteRef/>
      </w:r>
      <w:r>
        <w:rPr>
          <w:lang w:val="en-GB"/>
        </w:rPr>
        <w:t xml:space="preserve"> Dyson, M., Duckett, S. J., Allen, FC L. (2000)</w:t>
      </w:r>
      <w:r w:rsidRPr="00E039BB">
        <w:rPr>
          <w:lang w:val="en-GB"/>
        </w:rPr>
        <w:t xml:space="preserve"> A therapy-relevant casemix classification system for school-age children with disabilities. </w:t>
      </w:r>
      <w:r w:rsidRPr="00E039BB">
        <w:rPr>
          <w:i/>
          <w:lang w:val="en-GB"/>
        </w:rPr>
        <w:t>Archives of Physical Medicine and Rehabilitation</w:t>
      </w:r>
      <w:r w:rsidRPr="00E039BB">
        <w:rPr>
          <w:lang w:val="en-GB"/>
        </w:rPr>
        <w:t xml:space="preserve">, </w:t>
      </w:r>
      <w:r>
        <w:rPr>
          <w:lang w:val="en-GB"/>
        </w:rPr>
        <w:t xml:space="preserve">81: 634-643 and Murchland, S. </w:t>
      </w:r>
      <w:r w:rsidRPr="00E039BB">
        <w:rPr>
          <w:lang w:val="en-GB"/>
        </w:rPr>
        <w:t>W</w:t>
      </w:r>
      <w:r>
        <w:rPr>
          <w:lang w:val="en-GB"/>
        </w:rPr>
        <w:t>ake-Dyster, W. (2006)</w:t>
      </w:r>
      <w:r w:rsidRPr="00E039BB">
        <w:rPr>
          <w:lang w:val="en-GB"/>
        </w:rPr>
        <w:t xml:space="preserve"> Resource allocation for community-based therapy. </w:t>
      </w:r>
      <w:r w:rsidRPr="00E039BB">
        <w:rPr>
          <w:i/>
          <w:lang w:val="en-GB"/>
        </w:rPr>
        <w:t>Disability and Rehabilitation</w:t>
      </w:r>
      <w:r w:rsidRPr="00E039BB">
        <w:rPr>
          <w:lang w:val="en-GB"/>
        </w:rPr>
        <w:t xml:space="preserve">, 28(22): 1425-1432 as cited in Bundy, A., Brentnall, B., Hemsley, B., Marshall, E. (2008) Therapy Services in the Disability Sector: Literature Review NSW Department of Ageing, Disability and Home Care </w:t>
      </w:r>
    </w:p>
  </w:footnote>
  <w:footnote w:id="62">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National Health Workforce Planning and Research Collaboration (2010) Workload Measures for Allied Health </w:t>
      </w:r>
      <w:r>
        <w:rPr>
          <w:lang w:val="en-GB"/>
        </w:rPr>
        <w:t xml:space="preserve">Professionals Final Report. </w:t>
      </w:r>
      <w:r w:rsidRPr="00E039BB">
        <w:rPr>
          <w:lang w:val="en-GB"/>
        </w:rPr>
        <w:t>ahwo.gov.au/documents/Publications/2011/Workload%20Measures%20for%20Allied%20Health%20Professionals%20Final%20Report.pdf</w:t>
      </w:r>
    </w:p>
  </w:footnote>
  <w:footnote w:id="63">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Human Capital </w:t>
      </w:r>
      <w:smartTag w:uri="urn:schemas-microsoft-com:office:smarttags" w:element="City">
        <w:smartTag w:uri="urn:schemas-microsoft-com:office:smarttags" w:element="place">
          <w:r w:rsidRPr="00E039BB">
            <w:rPr>
              <w:lang w:val="en-GB"/>
            </w:rPr>
            <w:t>Alliance</w:t>
          </w:r>
        </w:smartTag>
      </w:smartTag>
      <w:r w:rsidRPr="00E039BB">
        <w:rPr>
          <w:lang w:val="en-GB"/>
        </w:rPr>
        <w:t xml:space="preserve"> (2006) Workload Capacity Measures for Use in Allied Health</w:t>
      </w:r>
    </w:p>
    <w:p w:rsidR="00BD6FC4" w:rsidRDefault="00BD6FC4" w:rsidP="00F63B31">
      <w:pPr>
        <w:pStyle w:val="FootnoteText"/>
        <w:spacing w:after="0"/>
        <w:rPr>
          <w:lang w:val="en-GB"/>
        </w:rPr>
      </w:pPr>
      <w:r w:rsidRPr="00E039BB">
        <w:rPr>
          <w:lang w:val="en-GB"/>
        </w:rPr>
        <w:t>Workfor</w:t>
      </w:r>
      <w:r>
        <w:rPr>
          <w:lang w:val="en-GB"/>
        </w:rPr>
        <w:t>ce Planning</w:t>
      </w:r>
    </w:p>
    <w:p w:rsidR="00BD6FC4" w:rsidRPr="00E039BB" w:rsidRDefault="00BD6FC4" w:rsidP="00F63B31">
      <w:pPr>
        <w:pStyle w:val="FootnoteText"/>
        <w:spacing w:after="0"/>
        <w:rPr>
          <w:lang w:val="en-GB"/>
        </w:rPr>
      </w:pPr>
      <w:r w:rsidRPr="00E039BB">
        <w:rPr>
          <w:lang w:val="en-GB"/>
        </w:rPr>
        <w:t>humancapitalalliance.com.au/downloads/DH39%20Workload%20Capacity%20Measures.PDF</w:t>
      </w:r>
    </w:p>
  </w:footnote>
  <w:footnote w:id="64">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Ibid, page 18</w:t>
      </w:r>
    </w:p>
  </w:footnote>
  <w:footnote w:id="65">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Ibid, page 18</w:t>
      </w:r>
    </w:p>
  </w:footnote>
  <w:footnote w:id="66">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ibid, page 18</w:t>
      </w:r>
    </w:p>
  </w:footnote>
  <w:footnote w:id="67">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Ibid, page 18</w:t>
      </w:r>
    </w:p>
  </w:footnote>
  <w:footnote w:id="68">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Niina Kolehmainen, Jill Francis, Edward Duncan, Cynthia Fraser (2010) Community professionals' management of client care: a mixed-methods systematic review Services Research &amp; Policy, 15(1)47-55. www.aura.abdn.ac.uk/bitstream/2164/2037/1/Kolehmainen2010.pdf</w:t>
      </w:r>
    </w:p>
  </w:footnote>
  <w:footnote w:id="69">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Toward Best Practices For Caseload Assignment And Management For Occupational Therapy In Canada (2005) www.caot.ca/pdfs/CAOT_CASELOAD_MANAGEMENT_REPORT.pdf</w:t>
      </w:r>
    </w:p>
  </w:footnote>
  <w:footnote w:id="70">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BC’s Paediatric Therapists, Helping kids reach their potential, Final Report (2006) www.therapybc.ca/pdf/PMWFPT_FinalReport.pdf </w:t>
      </w:r>
    </w:p>
  </w:footnote>
  <w:footnote w:id="71">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ibid</w:t>
      </w:r>
    </w:p>
  </w:footnote>
  <w:footnote w:id="72">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BC Paediatric Therapists Helping Kids Reach their Potential Promoting Manageable Workloads Project Phase 2 - Preferred Practice Guidelines for BC Paediatric Therapists December 2008 www.therapybc.ca/pdf/PreferredPracticeGuidelines.pdf</w:t>
      </w:r>
    </w:p>
  </w:footnote>
  <w:footnote w:id="73">
    <w:p w:rsidR="00BD6FC4" w:rsidRDefault="00BD6FC4">
      <w:pPr>
        <w:pStyle w:val="FootnoteText"/>
      </w:pPr>
      <w:r>
        <w:rPr>
          <w:rStyle w:val="FootnoteReference"/>
        </w:rPr>
        <w:footnoteRef/>
      </w:r>
      <w:r>
        <w:t xml:space="preserve"> ‘Sole-charge’ is a term used in Canada for therapy posts with additional seniority and autonomy, so it is perhaps comparable to a senior therapy post in an Irish context.</w:t>
      </w:r>
    </w:p>
  </w:footnote>
  <w:footnote w:id="74">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BC Paediatric Therapists Helping Kids Reach their Potential Promoting Manageable Workloads Project Phase 2 - Preferred Practice Guidelines for BC Paediatric Therapists December 2008 www.therapybc.ca/pdf/PreferredPracticeGuidelines.pdf</w:t>
      </w:r>
    </w:p>
  </w:footnote>
  <w:footnote w:id="75">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Phase 1 of the WAT- T project was a Master of Rehabilitation Science research study completed by Kathy Davidson, a Paediatric Physiotherapist with agency support from the Office of the Provincial Paediatric Therapy Recruitment and Retention Coordinator (PPTRRC)</w:t>
      </w:r>
    </w:p>
  </w:footnote>
  <w:footnote w:id="76">
    <w:p w:rsidR="00BD6FC4" w:rsidRPr="00E039BB" w:rsidRDefault="00BD6FC4" w:rsidP="00546539">
      <w:pPr>
        <w:pStyle w:val="FootnoteText"/>
        <w:spacing w:after="0"/>
        <w:rPr>
          <w:lang w:val="en-GB"/>
        </w:rPr>
      </w:pPr>
      <w:r w:rsidRPr="00E039BB">
        <w:rPr>
          <w:rStyle w:val="FootnoteReference"/>
          <w:lang w:val="en-GB"/>
        </w:rPr>
        <w:footnoteRef/>
      </w:r>
      <w:r w:rsidRPr="00E039BB">
        <w:rPr>
          <w:lang w:val="en-GB"/>
        </w:rPr>
        <w:t xml:space="preserve"> Davidson, K. F., &amp; Bressler, S. I. (2010). Piloting a points-based caseload measure for community based paediatric occupational and physiotherapists. Canadian Journal of Occupational Therapy, 77, 174-180. doi: 10.2182/cjot.2010.01.00</w:t>
      </w:r>
    </w:p>
  </w:footnote>
  <w:footnote w:id="77">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WAT-T: The Workload Assessment Tool for Therapists Establishment of reliability and validity in a points-based caseload measure for paediatric rehabilitation therapists February 2011 Research Summary Submitted to the Office of the Provincial Paediatric Therapy Recruitment and Retention Coordinator. www.therapybc.ca/pdf/WAT-T=Workload%20Assessment%20Tool%20for%20Therapists.pdf</w:t>
      </w:r>
    </w:p>
  </w:footnote>
  <w:footnote w:id="78">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WAT-T: The Workload Assessment Tool for Therapists Establishment of reliability and validity in a points-based caseload measure for paediatric rehabilitation therapists February 2011 Research Summary Submitted to the Office of the Provincial Paediatric Therapy Recruitment</w:t>
      </w:r>
      <w:r>
        <w:rPr>
          <w:lang w:val="en-GB"/>
        </w:rPr>
        <w:t xml:space="preserve"> and Retention Coordinator. </w:t>
      </w:r>
      <w:r w:rsidRPr="00E039BB">
        <w:rPr>
          <w:lang w:val="en-GB"/>
        </w:rPr>
        <w:t>therapybc.ca/pdf/WAT-T=Workload%20Assessment%20Tool%20for%20Therapists.pdf</w:t>
      </w:r>
    </w:p>
  </w:footnote>
  <w:footnote w:id="79">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Burnett, D., Klaiman, D (2009) on behalf of the CAOT, CPA and CASLPA Steering Committee of the Interprofessional Caseload Management Planning Tool: The Development of an Interprofessional Caseload Management Planning Tool in Occupational Therapy, Physiotherapy and Speech-Language Pathology in Canada: Background Document</w:t>
      </w:r>
      <w:r>
        <w:rPr>
          <w:lang w:val="en-GB"/>
        </w:rPr>
        <w:t>.</w:t>
      </w:r>
    </w:p>
  </w:footnote>
  <w:footnote w:id="80">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Burnett, D., Klaiman, D., (2009) The Development of an Inter-professional Caseload Management Planning Tool in Occupational Therapy, Physiotherapy and Speech-Language Pathology in </w:t>
      </w:r>
      <w:smartTag w:uri="urn:schemas-microsoft-com:office:smarttags" w:element="country-region">
        <w:smartTag w:uri="urn:schemas-microsoft-com:office:smarttags" w:element="place">
          <w:r w:rsidRPr="00E039BB">
            <w:rPr>
              <w:lang w:val="en-GB"/>
            </w:rPr>
            <w:t>Canada</w:t>
          </w:r>
        </w:smartTag>
      </w:smartTag>
      <w:r w:rsidRPr="00E039BB">
        <w:rPr>
          <w:lang w:val="en-GB"/>
        </w:rPr>
        <w:t>: Background Document . www.caot.ca/pdfs/CMPT%20Background%20Paper%20Feb%202010.pdf</w:t>
      </w:r>
    </w:p>
  </w:footnote>
  <w:footnote w:id="81">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2011Caseload Management Planning Tool in Occupational Therapy, Physiotherapy and Speech-Language Pathology in </w:t>
      </w:r>
      <w:smartTag w:uri="urn:schemas-microsoft-com:office:smarttags" w:element="country-region">
        <w:smartTag w:uri="urn:schemas-microsoft-com:office:smarttags" w:element="place">
          <w:r w:rsidRPr="00E039BB">
            <w:rPr>
              <w:lang w:val="en-GB"/>
            </w:rPr>
            <w:t>Canada</w:t>
          </w:r>
        </w:smartTag>
      </w:smartTag>
      <w:r w:rsidRPr="00E039BB">
        <w:rPr>
          <w:lang w:val="en-GB"/>
        </w:rPr>
        <w:t xml:space="preserve"> (This is the product of a collaborative partnership among the Canadian Association of Occupational Therapists (CAOT ), the Canadian Association of Speech-Language Pathologists and Audiologists (CASL PA) and the Canadian Physiotherapy Association (CPA). This project was made possible through funding under a contribution agreement with Health </w:t>
      </w:r>
      <w:smartTag w:uri="urn:schemas-microsoft-com:office:smarttags" w:element="country-region">
        <w:smartTag w:uri="urn:schemas-microsoft-com:office:smarttags" w:element="place">
          <w:r w:rsidRPr="00E039BB">
            <w:rPr>
              <w:lang w:val="en-GB"/>
            </w:rPr>
            <w:t>Canada</w:t>
          </w:r>
        </w:smartTag>
      </w:smartTag>
      <w:r w:rsidRPr="00E039BB">
        <w:rPr>
          <w:lang w:val="en-GB"/>
        </w:rPr>
        <w:t>, which is gratefully acknowledged CAOT managed the project.) ssot.sk.ca/+pub/Educational%20events/June%20CMPT%20final%20for%20dec.pdf</w:t>
      </w:r>
    </w:p>
  </w:footnote>
  <w:footnote w:id="82">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ibid</w:t>
      </w:r>
    </w:p>
  </w:footnote>
  <w:footnote w:id="83">
    <w:p w:rsidR="00BD6FC4" w:rsidRPr="00406BE9" w:rsidRDefault="00BD6FC4" w:rsidP="00F63B31">
      <w:pPr>
        <w:pStyle w:val="FootnoteText"/>
        <w:spacing w:after="0"/>
        <w:rPr>
          <w:lang w:val="en-GB"/>
        </w:rPr>
      </w:pPr>
      <w:r w:rsidRPr="00406BE9">
        <w:rPr>
          <w:rStyle w:val="FootnoteReference"/>
          <w:lang w:val="en-GB"/>
        </w:rPr>
        <w:footnoteRef/>
      </w:r>
      <w:r w:rsidRPr="00406BE9">
        <w:rPr>
          <w:lang w:val="en-GB"/>
        </w:rPr>
        <w:t xml:space="preserve"> The CMPT was developed over a two-year period through a complex process. The process involved evidence synthesis in a background paper that provided the foundational basis for the CMPT ongoing input from an Advisory Committee; feedback from more than 3000 online survey responders; pilot application of the CMPT by 15 services in nine clinical sites representing diverse practice settings and geographical regions of Canada; and, continued guidance by an oversight Steering Committee representing the three professions. Information on the CMPT Project, including the Background Paper, is available at: caot.ca and </w:t>
      </w:r>
      <w:hyperlink r:id="rId4" w:history="1">
        <w:r w:rsidRPr="00406BE9">
          <w:rPr>
            <w:rStyle w:val="Hyperlink"/>
            <w:color w:val="auto"/>
            <w:lang w:val="en-GB"/>
          </w:rPr>
          <w:t>physiotherapy.ca</w:t>
        </w:r>
      </w:hyperlink>
      <w:r w:rsidRPr="00406BE9">
        <w:rPr>
          <w:lang w:val="en-GB"/>
        </w:rPr>
        <w:t xml:space="preserve"> and caslpa.ca</w:t>
      </w:r>
    </w:p>
  </w:footnote>
  <w:footnote w:id="84">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King, R., Meadows, G., and Le Bas J. (2004). Compiling a caseload index for mental health management. Australian and New Zealand Journal of Psychiatry, 38, 455-462 as cited in Toward Best Practices For Caseload Assignment And Management For Occupational Therapy In Canada www.caot.ca/pdfs/CAOT_CASELOAD_MANAGEMENT_REPORT.pdf</w:t>
      </w:r>
    </w:p>
  </w:footnote>
  <w:footnote w:id="85">
    <w:p w:rsidR="00BD6FC4" w:rsidRPr="00E039BB" w:rsidRDefault="00BD6FC4" w:rsidP="00F63B31">
      <w:pPr>
        <w:spacing w:after="0"/>
        <w:rPr>
          <w:sz w:val="22"/>
          <w:lang w:val="en-GB"/>
        </w:rPr>
      </w:pPr>
      <w:r w:rsidRPr="00E039BB">
        <w:rPr>
          <w:rStyle w:val="FootnoteReference"/>
          <w:lang w:val="en-GB"/>
        </w:rPr>
        <w:footnoteRef/>
      </w:r>
      <w:r w:rsidRPr="00E039BB">
        <w:rPr>
          <w:lang w:val="en-GB"/>
        </w:rPr>
        <w:t xml:space="preserve"> </w:t>
      </w:r>
      <w:r w:rsidRPr="00E039BB">
        <w:rPr>
          <w:rStyle w:val="FootnoteTextChar"/>
          <w:lang w:val="en-GB"/>
        </w:rPr>
        <w:t xml:space="preserve">Cartmill, L., Comans, TA., Clark, MJ., Ash, </w:t>
      </w:r>
      <w:smartTag w:uri="urn:schemas-microsoft-com:office:smarttags" w:element="place">
        <w:r w:rsidRPr="00E039BB">
          <w:rPr>
            <w:rStyle w:val="FootnoteTextChar"/>
            <w:lang w:val="en-GB"/>
          </w:rPr>
          <w:t>S. Sheppard</w:t>
        </w:r>
      </w:smartTag>
      <w:r w:rsidRPr="00E039BB">
        <w:rPr>
          <w:rStyle w:val="FootnoteTextChar"/>
          <w:lang w:val="en-GB"/>
        </w:rPr>
        <w:t>, L (2012) Using staffing ratios for workforce planning: evidence on nine allied health professions www.ncbi.nlm.nih.gov/pmc/articles/PMC3398270/</w:t>
      </w:r>
    </w:p>
  </w:footnote>
  <w:footnote w:id="86">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ibid</w:t>
      </w:r>
    </w:p>
  </w:footnote>
  <w:footnote w:id="87">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ibid</w:t>
      </w:r>
    </w:p>
  </w:footnote>
  <w:footnote w:id="88">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Page 5, Burnett, D., Klaiman, D (2009) on behalf of the CAOT, CPA and CASLPA Steering Committee of the Interprofessional Caseload Management Planning Tool: The Development of an Interprofessional Caseload Management Planning Tool in Occupational Therapy, Physiotherapy and Speech-Language Pathology </w:t>
      </w:r>
      <w:r>
        <w:rPr>
          <w:lang w:val="en-GB"/>
        </w:rPr>
        <w:t>in Canada: Background Document.</w:t>
      </w:r>
    </w:p>
  </w:footnote>
  <w:footnote w:id="89">
    <w:p w:rsidR="00BD6FC4" w:rsidRPr="00E039BB" w:rsidRDefault="00BD6FC4" w:rsidP="00406BE9">
      <w:pPr>
        <w:pStyle w:val="FootnoteText"/>
        <w:spacing w:after="0"/>
        <w:rPr>
          <w:lang w:val="en-GB"/>
        </w:rPr>
      </w:pPr>
      <w:r w:rsidRPr="00E039BB">
        <w:rPr>
          <w:rStyle w:val="FootnoteReference"/>
          <w:lang w:val="en-GB"/>
        </w:rPr>
        <w:footnoteRef/>
      </w:r>
      <w:r w:rsidRPr="00E039BB">
        <w:rPr>
          <w:lang w:val="en-GB"/>
        </w:rPr>
        <w:t xml:space="preserve"> Burnett, D., Klaiman, D., (2009) The Development of an Inter-professional Caseload Management Planning Tool in Occupational Therapy, Physiotherapy and Speech-Language Pathology in </w:t>
      </w:r>
      <w:smartTag w:uri="urn:schemas-microsoft-com:office:smarttags" w:element="country-region">
        <w:smartTag w:uri="urn:schemas-microsoft-com:office:smarttags" w:element="place">
          <w:r w:rsidRPr="00E039BB">
            <w:rPr>
              <w:lang w:val="en-GB"/>
            </w:rPr>
            <w:t>Canada</w:t>
          </w:r>
        </w:smartTag>
      </w:smartTag>
      <w:r w:rsidRPr="00E039BB">
        <w:rPr>
          <w:lang w:val="en-GB"/>
        </w:rPr>
        <w:t>: Background Document . www.caot.ca/pdfs/CMPT%20Background%20Paper%20Feb%202010.pdf</w:t>
      </w:r>
    </w:p>
  </w:footnote>
  <w:footnote w:id="90">
    <w:p w:rsidR="00BD6FC4" w:rsidRPr="00E039BB" w:rsidRDefault="00BD6FC4" w:rsidP="00406BE9">
      <w:pPr>
        <w:pStyle w:val="FootnoteText"/>
        <w:spacing w:after="0"/>
        <w:rPr>
          <w:lang w:val="en-GB"/>
        </w:rPr>
      </w:pPr>
      <w:r w:rsidRPr="00E039BB">
        <w:rPr>
          <w:rStyle w:val="FootnoteReference"/>
          <w:lang w:val="en-GB"/>
        </w:rPr>
        <w:footnoteRef/>
      </w:r>
      <w:r w:rsidRPr="00E039BB">
        <w:rPr>
          <w:lang w:val="en-GB"/>
        </w:rPr>
        <w:t xml:space="preserve"> Burnett, D., Klaiman, D (2009) The Development of an Inter-professional Caseload Management Planning Tool in Occupational Therapy, Physiotherapy and Speech-Language Pathology in </w:t>
      </w:r>
      <w:smartTag w:uri="urn:schemas-microsoft-com:office:smarttags" w:element="country-region">
        <w:smartTag w:uri="urn:schemas-microsoft-com:office:smarttags" w:element="place">
          <w:r w:rsidRPr="00E039BB">
            <w:rPr>
              <w:lang w:val="en-GB"/>
            </w:rPr>
            <w:t>Canada</w:t>
          </w:r>
        </w:smartTag>
      </w:smartTag>
      <w:r>
        <w:rPr>
          <w:lang w:val="en-GB"/>
        </w:rPr>
        <w:t>.</w:t>
      </w:r>
    </w:p>
  </w:footnote>
  <w:footnote w:id="91">
    <w:p w:rsidR="00BD6FC4" w:rsidRPr="00E039BB" w:rsidRDefault="00BD6FC4" w:rsidP="009B64A7">
      <w:pPr>
        <w:pStyle w:val="FootnoteText"/>
        <w:spacing w:after="0"/>
        <w:rPr>
          <w:lang w:val="en-GB"/>
        </w:rPr>
      </w:pPr>
      <w:r w:rsidRPr="00E039BB">
        <w:rPr>
          <w:rStyle w:val="FootnoteReference"/>
          <w:lang w:val="en-GB"/>
        </w:rPr>
        <w:footnoteRef/>
      </w:r>
      <w:r w:rsidRPr="00E039BB">
        <w:rPr>
          <w:lang w:val="en-GB"/>
        </w:rPr>
        <w:t xml:space="preserve"> ibid</w:t>
      </w:r>
    </w:p>
  </w:footnote>
  <w:footnote w:id="92">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ibid</w:t>
      </w:r>
    </w:p>
  </w:footnote>
  <w:footnote w:id="93">
    <w:p w:rsidR="00BD6FC4" w:rsidRPr="00E039BB" w:rsidRDefault="00BD6FC4" w:rsidP="00406BE9">
      <w:pPr>
        <w:pStyle w:val="FootnoteText"/>
        <w:spacing w:after="0"/>
        <w:rPr>
          <w:lang w:val="en-GB"/>
        </w:rPr>
      </w:pPr>
      <w:r w:rsidRPr="00E039BB">
        <w:rPr>
          <w:rStyle w:val="FootnoteReference"/>
          <w:lang w:val="en-GB"/>
        </w:rPr>
        <w:footnoteRef/>
      </w:r>
      <w:r w:rsidRPr="00E039BB">
        <w:rPr>
          <w:lang w:val="en-GB"/>
        </w:rPr>
        <w:t xml:space="preserve"> Law, J., Lindsay, G., Peacey, N., Gascoigne, M., Soloff, N., Radford, J., Band, S., Fitzgerald, L. (2000) Provision for Children with Speech and Language Needs In England and Wales Facilitating Communication Between Education and Health Services 2000 dera.ioe.ac.uk/4475/1/RR239.pdf</w:t>
      </w:r>
    </w:p>
  </w:footnote>
  <w:footnote w:id="94">
    <w:p w:rsidR="00BD6FC4" w:rsidRPr="00E039BB" w:rsidRDefault="00BD6FC4" w:rsidP="00406BE9">
      <w:pPr>
        <w:pStyle w:val="FootnoteText"/>
        <w:spacing w:after="0"/>
        <w:rPr>
          <w:lang w:val="en-GB"/>
        </w:rPr>
      </w:pPr>
      <w:r w:rsidRPr="00E039BB">
        <w:rPr>
          <w:rStyle w:val="FootnoteReference"/>
          <w:lang w:val="en-GB"/>
        </w:rPr>
        <w:footnoteRef/>
      </w:r>
      <w:r w:rsidRPr="00E039BB">
        <w:rPr>
          <w:lang w:val="en-GB"/>
        </w:rPr>
        <w:t xml:space="preserve"> ibid</w:t>
      </w:r>
    </w:p>
  </w:footnote>
  <w:footnote w:id="95">
    <w:p w:rsidR="00BD6FC4" w:rsidRPr="00E039BB" w:rsidRDefault="00BD6FC4" w:rsidP="00406BE9">
      <w:pPr>
        <w:pStyle w:val="FootnoteText"/>
        <w:spacing w:after="0"/>
        <w:rPr>
          <w:lang w:val="en-GB"/>
        </w:rPr>
      </w:pPr>
      <w:r w:rsidRPr="00E039BB">
        <w:rPr>
          <w:rStyle w:val="FootnoteReference"/>
          <w:lang w:val="en-GB"/>
        </w:rPr>
        <w:footnoteRef/>
      </w:r>
      <w:r w:rsidRPr="00E039BB">
        <w:rPr>
          <w:lang w:val="en-GB"/>
        </w:rPr>
        <w:t xml:space="preserve"> ibid - the main aim of this study was to provide an overview of the nature and extent of speech and language therapy provision across </w:t>
      </w:r>
      <w:smartTag w:uri="urn:schemas-microsoft-com:office:smarttags" w:element="country-region">
        <w:r w:rsidRPr="00E039BB">
          <w:rPr>
            <w:lang w:val="en-GB"/>
          </w:rPr>
          <w:t>England</w:t>
        </w:r>
      </w:smartTag>
      <w:r w:rsidRPr="00E039BB">
        <w:rPr>
          <w:lang w:val="en-GB"/>
        </w:rPr>
        <w:t xml:space="preserve"> and </w:t>
      </w:r>
      <w:smartTag w:uri="urn:schemas-microsoft-com:office:smarttags" w:element="country-region">
        <w:smartTag w:uri="urn:schemas-microsoft-com:office:smarttags" w:element="place">
          <w:r w:rsidRPr="00E039BB">
            <w:rPr>
              <w:lang w:val="en-GB"/>
            </w:rPr>
            <w:t>Wales</w:t>
          </w:r>
        </w:smartTag>
      </w:smartTag>
      <w:r w:rsidRPr="00E039BB">
        <w:rPr>
          <w:lang w:val="en-GB"/>
        </w:rPr>
        <w:t>. The study involved a survey of Local Education Authorities (LEAs) and Health Trust SLT departments, 15 case studies and 5 regional workshops with key stakeholders.</w:t>
      </w:r>
    </w:p>
  </w:footnote>
  <w:footnote w:id="96">
    <w:p w:rsidR="00BD6FC4" w:rsidRPr="00E039BB" w:rsidRDefault="00BD6FC4" w:rsidP="00406BE9">
      <w:pPr>
        <w:pStyle w:val="FootnoteText"/>
        <w:spacing w:after="0"/>
        <w:rPr>
          <w:lang w:val="en-GB"/>
        </w:rPr>
      </w:pPr>
      <w:r w:rsidRPr="00E039BB">
        <w:rPr>
          <w:rStyle w:val="FootnoteReference"/>
          <w:lang w:val="en-GB"/>
        </w:rPr>
        <w:footnoteRef/>
      </w:r>
      <w:r w:rsidRPr="00E039BB">
        <w:rPr>
          <w:lang w:val="en-GB"/>
        </w:rPr>
        <w:t xml:space="preserve"> ibid </w:t>
      </w:r>
    </w:p>
  </w:footnote>
  <w:footnote w:id="97">
    <w:p w:rsidR="00BD6FC4" w:rsidRPr="00E039BB" w:rsidRDefault="00BD6FC4" w:rsidP="00406BE9">
      <w:pPr>
        <w:pStyle w:val="FootnoteText"/>
        <w:spacing w:after="0"/>
        <w:rPr>
          <w:rStyle w:val="FootnoteReference"/>
          <w:sz w:val="20"/>
          <w:vertAlign w:val="baseline"/>
          <w:lang w:val="en-GB"/>
        </w:rPr>
      </w:pPr>
      <w:r w:rsidRPr="00E039BB">
        <w:rPr>
          <w:rStyle w:val="FootnoteReference"/>
          <w:sz w:val="22"/>
          <w:szCs w:val="22"/>
          <w:lang w:val="en-GB"/>
        </w:rPr>
        <w:footnoteRef/>
      </w:r>
      <w:r w:rsidRPr="00E039BB">
        <w:rPr>
          <w:lang w:val="en-GB"/>
        </w:rPr>
        <w:t xml:space="preserve"> ibid</w:t>
      </w:r>
    </w:p>
  </w:footnote>
  <w:footnote w:id="98">
    <w:p w:rsidR="00BD6FC4" w:rsidRPr="00E039BB" w:rsidRDefault="00BD6FC4" w:rsidP="00406BE9">
      <w:pPr>
        <w:pStyle w:val="FootnoteText"/>
        <w:spacing w:after="0"/>
        <w:rPr>
          <w:lang w:val="en-GB"/>
        </w:rPr>
      </w:pPr>
      <w:r w:rsidRPr="00E039BB">
        <w:rPr>
          <w:rStyle w:val="FootnoteReference"/>
          <w:lang w:val="en-GB"/>
        </w:rPr>
        <w:footnoteRef/>
      </w:r>
      <w:r w:rsidRPr="00E039BB">
        <w:rPr>
          <w:lang w:val="en-GB"/>
        </w:rPr>
        <w:t xml:space="preserve"> ibid</w:t>
      </w:r>
    </w:p>
  </w:footnote>
  <w:footnote w:id="99">
    <w:p w:rsidR="00BD6FC4" w:rsidRPr="00E039BB" w:rsidRDefault="00BD6FC4" w:rsidP="00406BE9">
      <w:pPr>
        <w:pStyle w:val="FootnoteText"/>
        <w:spacing w:after="0"/>
        <w:rPr>
          <w:lang w:val="en-GB"/>
        </w:rPr>
      </w:pPr>
      <w:r w:rsidRPr="00E039BB">
        <w:rPr>
          <w:rStyle w:val="FootnoteReference"/>
          <w:lang w:val="en-GB"/>
        </w:rPr>
        <w:footnoteRef/>
      </w:r>
      <w:r w:rsidRPr="00E039BB">
        <w:rPr>
          <w:lang w:val="en-GB"/>
        </w:rPr>
        <w:t xml:space="preserve"> ibid</w:t>
      </w:r>
    </w:p>
  </w:footnote>
  <w:footnote w:id="100">
    <w:p w:rsidR="00BD6FC4" w:rsidRPr="00E039BB" w:rsidRDefault="00BD6FC4" w:rsidP="00406BE9">
      <w:pPr>
        <w:pStyle w:val="FootnoteText"/>
        <w:spacing w:after="0"/>
        <w:rPr>
          <w:lang w:val="en-GB"/>
        </w:rPr>
      </w:pPr>
      <w:r w:rsidRPr="00E039BB">
        <w:rPr>
          <w:rStyle w:val="FootnoteReference"/>
          <w:lang w:val="en-GB"/>
        </w:rPr>
        <w:footnoteRef/>
      </w:r>
      <w:r w:rsidRPr="00E039BB">
        <w:rPr>
          <w:lang w:val="en-GB"/>
        </w:rPr>
        <w:t xml:space="preserve"> Hughes A (1984) Analysis of notional caseload study West Berkshire Health Authority. Referred to in Speech and Language therapy Department (1985) Survey of Speech Therapy referrals from primary schools Unpublished report, </w:t>
      </w:r>
      <w:smartTag w:uri="urn:schemas-microsoft-com:office:smarttags" w:element="City">
        <w:smartTag w:uri="urn:schemas-microsoft-com:office:smarttags" w:element="place">
          <w:r w:rsidRPr="00E039BB">
            <w:rPr>
              <w:lang w:val="en-GB"/>
            </w:rPr>
            <w:t>Bristol</w:t>
          </w:r>
        </w:smartTag>
      </w:smartTag>
      <w:r w:rsidRPr="00E039BB">
        <w:rPr>
          <w:lang w:val="en-GB"/>
        </w:rPr>
        <w:t xml:space="preserve"> and Weston Health Authority</w:t>
      </w:r>
    </w:p>
  </w:footnote>
  <w:footnote w:id="101">
    <w:p w:rsidR="00BD6FC4" w:rsidRPr="00E039BB" w:rsidRDefault="00BD6FC4" w:rsidP="00406BE9">
      <w:pPr>
        <w:pStyle w:val="FootnoteText"/>
        <w:spacing w:after="0"/>
        <w:rPr>
          <w:lang w:val="en-GB"/>
        </w:rPr>
      </w:pPr>
      <w:r w:rsidRPr="00E039BB">
        <w:rPr>
          <w:rStyle w:val="FootnoteReference"/>
          <w:lang w:val="en-GB"/>
        </w:rPr>
        <w:footnoteRef/>
      </w:r>
      <w:r w:rsidRPr="00E039BB">
        <w:rPr>
          <w:lang w:val="en-GB"/>
        </w:rPr>
        <w:t xml:space="preserve"> Hughes A. Stuffins G. Analysis of National Caseload Study. Association of Speech Therapy Managers, </w:t>
      </w:r>
      <w:smartTag w:uri="urn:schemas-microsoft-com:office:smarttags" w:element="City">
        <w:smartTag w:uri="urn:schemas-microsoft-com:office:smarttags" w:element="place">
          <w:r w:rsidRPr="00E039BB">
            <w:rPr>
              <w:lang w:val="en-GB"/>
            </w:rPr>
            <w:t>London</w:t>
          </w:r>
        </w:smartTag>
      </w:smartTag>
      <w:r w:rsidRPr="00E039BB">
        <w:rPr>
          <w:lang w:val="en-GB"/>
        </w:rPr>
        <w:t>; 1984 as cited in the 1994 Eastern Health Board Irish Study on Speech and Language Therapy: The Way Forward. www.lenus.ie/hse/bitstream/10147/45687/1/8567.pdf</w:t>
      </w:r>
    </w:p>
  </w:footnote>
  <w:footnote w:id="102">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A </w:t>
      </w:r>
      <w:r>
        <w:rPr>
          <w:lang w:val="en-GB"/>
        </w:rPr>
        <w:t xml:space="preserve">2003 </w:t>
      </w:r>
      <w:r w:rsidRPr="00E039BB">
        <w:rPr>
          <w:lang w:val="en-GB"/>
        </w:rPr>
        <w:t>Scottish Executive Review of Speech and Language Therapy, Physiotherapy and Occupational Therapy for Children and Speech and Language Therapy for Adults with Learning Disabilities and A</w:t>
      </w:r>
      <w:r>
        <w:rPr>
          <w:lang w:val="en-GB"/>
        </w:rPr>
        <w:t xml:space="preserve">utistic Spectrum Disorder </w:t>
      </w:r>
      <w:r w:rsidRPr="00E039BB">
        <w:rPr>
          <w:lang w:val="en-GB"/>
        </w:rPr>
        <w:t>scotland.gov.uk/Publications/2003/08/18065/25750</w:t>
      </w:r>
    </w:p>
  </w:footnote>
  <w:footnote w:id="103">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Charvat, JL (2005) NASP Study: </w:t>
      </w:r>
      <w:smartTag w:uri="urn:schemas-microsoft-com:office:smarttags" w:element="place">
        <w:smartTag w:uri="urn:schemas-microsoft-com:office:smarttags" w:element="PlaceName">
          <w:r w:rsidRPr="00E039BB">
            <w:rPr>
              <w:lang w:val="en-GB"/>
            </w:rPr>
            <w:t>How</w:t>
          </w:r>
        </w:smartTag>
        <w:r w:rsidRPr="00E039BB">
          <w:rPr>
            <w:lang w:val="en-GB"/>
          </w:rPr>
          <w:t xml:space="preserve"> </w:t>
        </w:r>
        <w:smartTag w:uri="urn:schemas-microsoft-com:office:smarttags" w:element="PlaceName">
          <w:r w:rsidRPr="00E039BB">
            <w:rPr>
              <w:lang w:val="en-GB"/>
            </w:rPr>
            <w:t>Many</w:t>
          </w:r>
        </w:smartTag>
        <w:r w:rsidRPr="00E039BB">
          <w:rPr>
            <w:lang w:val="en-GB"/>
          </w:rPr>
          <w:t xml:space="preserve"> </w:t>
        </w:r>
        <w:smartTag w:uri="urn:schemas-microsoft-com:office:smarttags" w:element="PlaceType">
          <w:r w:rsidRPr="00E039BB">
            <w:rPr>
              <w:lang w:val="en-GB"/>
            </w:rPr>
            <w:t>School</w:t>
          </w:r>
        </w:smartTag>
      </w:smartTag>
      <w:r w:rsidRPr="00E039BB">
        <w:rPr>
          <w:lang w:val="en-GB"/>
        </w:rPr>
        <w:t xml:space="preserve"> Psychologists Are There? NASP Communiqué, Vol. 33, March 2005. Accessible at http://www.nasponline.org/publications/cq/cq336numsp.aspx</w:t>
      </w:r>
    </w:p>
  </w:footnote>
  <w:footnote w:id="104">
    <w:p w:rsidR="00BD6FC4" w:rsidRDefault="00BD6FC4">
      <w:pPr>
        <w:pStyle w:val="FootnoteText"/>
      </w:pPr>
      <w:r>
        <w:rPr>
          <w:rStyle w:val="FootnoteReference"/>
        </w:rPr>
        <w:footnoteRef/>
      </w:r>
      <w:r>
        <w:t xml:space="preserve"> “Pull out therapy” means a </w:t>
      </w:r>
      <w:r w:rsidRPr="00031ABC">
        <w:t xml:space="preserve">treatment </w:t>
      </w:r>
      <w:r>
        <w:t xml:space="preserve">or intervention </w:t>
      </w:r>
      <w:r w:rsidRPr="00031ABC">
        <w:t>that is provided in a separate room</w:t>
      </w:r>
      <w:r>
        <w:t xml:space="preserve"> to the mainstream classroom. </w:t>
      </w:r>
    </w:p>
  </w:footnote>
  <w:footnote w:id="105">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Spencer, KC., Turkett, A., Vaughan, R., Koenig, S. (2006) School-Based Practice Patterns: A Survey of Occupational Therapists in Colorado </w:t>
      </w:r>
      <w:r w:rsidRPr="00E039BB">
        <w:rPr>
          <w:i/>
          <w:lang w:val="en-GB"/>
        </w:rPr>
        <w:t>The American Journal of Occupational Therapy</w:t>
      </w:r>
      <w:r w:rsidRPr="00E039BB">
        <w:rPr>
          <w:lang w:val="en-GB"/>
        </w:rPr>
        <w:t xml:space="preserve"> January/February 2006, Volume 60, Number 1 ajot.aotapress.net/content/60/1/81.full.pdf</w:t>
      </w:r>
    </w:p>
  </w:footnote>
  <w:footnote w:id="106">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George, BM Managing Caseloads And Service Delivery Partnerships In School Based Practice. Accessible at http://www.oota.org/Managing%20Caseloads%20and%20Service%20Delivery%20Partnerships%20in%20School%20Based%20Practice.pdf</w:t>
      </w:r>
    </w:p>
  </w:footnote>
  <w:footnote w:id="107">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Specially designed instruction provided to the students as designated on the students IEP. Specially designed instruction means adapting, as appropriate to the needs of an eligible child the content, methodology or delivery of instruction</w:t>
      </w:r>
    </w:p>
  </w:footnote>
  <w:footnote w:id="108">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Service providers shall serve no more than the numbers represented in the table. However, service providers may need to serve less based on the workload factors in the provision of specially designed instruction</w:t>
      </w:r>
    </w:p>
  </w:footnote>
  <w:footnote w:id="109">
    <w:p w:rsidR="00BD6FC4" w:rsidRPr="00E039BB" w:rsidRDefault="00BD6FC4" w:rsidP="00E74F63">
      <w:pPr>
        <w:pStyle w:val="FootnoteText"/>
        <w:spacing w:after="0"/>
        <w:rPr>
          <w:lang w:val="en-GB"/>
        </w:rPr>
      </w:pPr>
      <w:r w:rsidRPr="00E039BB">
        <w:rPr>
          <w:rStyle w:val="FootnoteReference"/>
          <w:lang w:val="en-GB"/>
        </w:rPr>
        <w:footnoteRef/>
      </w:r>
      <w:r w:rsidRPr="00E039BB">
        <w:rPr>
          <w:lang w:val="en-GB"/>
        </w:rPr>
        <w:t xml:space="preserve"> </w:t>
      </w:r>
      <w:smartTag w:uri="urn:schemas-microsoft-com:office:smarttags" w:element="State">
        <w:smartTag w:uri="urn:schemas-microsoft-com:office:smarttags" w:element="place">
          <w:r w:rsidRPr="00E039BB">
            <w:rPr>
              <w:lang w:val="en-GB"/>
            </w:rPr>
            <w:t>Ohio</w:t>
          </w:r>
        </w:smartTag>
      </w:smartTag>
      <w:r w:rsidRPr="00E039BB">
        <w:rPr>
          <w:lang w:val="en-GB"/>
        </w:rPr>
        <w:t xml:space="preserve"> Dept of Education (2011) Determining caseloads for related services staff who serve both preschool and school age children. ohioslha.org/pdf/PRepSchools/Sharedcaseloadsteps.pdf</w:t>
      </w:r>
    </w:p>
  </w:footnote>
  <w:footnote w:id="110">
    <w:p w:rsidR="00BD6FC4" w:rsidRDefault="00BD6FC4" w:rsidP="00E74F63">
      <w:pPr>
        <w:pStyle w:val="FootnoteText"/>
        <w:spacing w:after="0"/>
        <w:rPr>
          <w:lang w:val="en-GB"/>
        </w:rPr>
      </w:pPr>
      <w:r w:rsidRPr="00E039BB">
        <w:rPr>
          <w:rStyle w:val="FootnoteReference"/>
          <w:lang w:val="en-GB"/>
        </w:rPr>
        <w:footnoteRef/>
      </w:r>
      <w:r w:rsidRPr="00E039BB">
        <w:rPr>
          <w:lang w:val="en-GB"/>
        </w:rPr>
        <w:t xml:space="preserve"> Determination of Appropriate Caseload for School-Based Occupational Therapy and Physical Therapy Practice Position Paper </w:t>
      </w:r>
    </w:p>
    <w:p w:rsidR="00BD6FC4" w:rsidRPr="00E039BB" w:rsidRDefault="00BD6FC4" w:rsidP="00E74F63">
      <w:pPr>
        <w:pStyle w:val="FootnoteText"/>
        <w:spacing w:after="0"/>
        <w:rPr>
          <w:lang w:val="en-GB"/>
        </w:rPr>
      </w:pPr>
      <w:r w:rsidRPr="00E039BB">
        <w:rPr>
          <w:lang w:val="en-GB"/>
        </w:rPr>
        <w:t>otptat.ohio.gov/Portals/0/Pubs/School%20Based%20OT-PT%20Caseload%20Position%20Paper%20June%202011.pdf</w:t>
      </w:r>
    </w:p>
  </w:footnote>
  <w:footnote w:id="111">
    <w:p w:rsidR="00BD6FC4" w:rsidRPr="00E039BB" w:rsidRDefault="00BD6FC4" w:rsidP="00E74F63">
      <w:pPr>
        <w:pStyle w:val="FootnoteText"/>
        <w:spacing w:after="0"/>
        <w:rPr>
          <w:lang w:val="en-GB"/>
        </w:rPr>
      </w:pPr>
      <w:r w:rsidRPr="00E039BB">
        <w:rPr>
          <w:rStyle w:val="FootnoteReference"/>
          <w:lang w:val="en-GB"/>
        </w:rPr>
        <w:footnoteRef/>
      </w:r>
      <w:r w:rsidRPr="00E039BB">
        <w:rPr>
          <w:lang w:val="en-GB"/>
        </w:rPr>
        <w:t xml:space="preserve"> HI=hearing impairment, VI =visual impairment, OH=other health impairment, OHI =other health impairment major</w:t>
      </w:r>
    </w:p>
  </w:footnote>
  <w:footnote w:id="112">
    <w:p w:rsidR="00BD6FC4" w:rsidRPr="00E039BB" w:rsidRDefault="00BD6FC4" w:rsidP="00E74F63">
      <w:pPr>
        <w:pStyle w:val="FootnoteText"/>
        <w:spacing w:after="0"/>
        <w:rPr>
          <w:lang w:val="en-GB"/>
        </w:rPr>
      </w:pPr>
      <w:r w:rsidRPr="00E039BB">
        <w:rPr>
          <w:rStyle w:val="FootnoteReference"/>
          <w:lang w:val="en-GB"/>
        </w:rPr>
        <w:footnoteRef/>
      </w:r>
      <w:r w:rsidRPr="00E039BB">
        <w:rPr>
          <w:lang w:val="en-GB"/>
        </w:rPr>
        <w:t xml:space="preserve"> TBI=traumatic brain injury</w:t>
      </w:r>
    </w:p>
  </w:footnote>
  <w:footnote w:id="113">
    <w:p w:rsidR="00BD6FC4" w:rsidRPr="00E039BB" w:rsidRDefault="00BD6FC4" w:rsidP="00E74F63">
      <w:pPr>
        <w:pStyle w:val="FootnoteText"/>
        <w:spacing w:after="0"/>
        <w:rPr>
          <w:lang w:val="en-GB"/>
        </w:rPr>
      </w:pPr>
      <w:r w:rsidRPr="00E039BB">
        <w:rPr>
          <w:rStyle w:val="FootnoteReference"/>
          <w:lang w:val="en-GB"/>
        </w:rPr>
        <w:footnoteRef/>
      </w:r>
      <w:r w:rsidRPr="00E039BB">
        <w:rPr>
          <w:lang w:val="en-GB"/>
        </w:rPr>
        <w:t xml:space="preserve"> ibid</w:t>
      </w:r>
    </w:p>
  </w:footnote>
  <w:footnote w:id="114">
    <w:p w:rsidR="00BD6FC4" w:rsidRPr="00E039BB" w:rsidRDefault="00BD6FC4" w:rsidP="00E74F63">
      <w:pPr>
        <w:pStyle w:val="FootnoteText"/>
        <w:spacing w:after="0"/>
        <w:rPr>
          <w:lang w:val="en-GB"/>
        </w:rPr>
      </w:pPr>
      <w:r w:rsidRPr="00E039BB">
        <w:rPr>
          <w:rStyle w:val="FootnoteReference"/>
          <w:lang w:val="en-GB"/>
        </w:rPr>
        <w:footnoteRef/>
      </w:r>
      <w:r w:rsidRPr="00E039BB">
        <w:rPr>
          <w:lang w:val="en-GB"/>
        </w:rPr>
        <w:t xml:space="preserve"> See, for example, a presentation entitled “</w:t>
      </w:r>
      <w:smartTag w:uri="urn:schemas-microsoft-com:office:smarttags" w:element="State">
        <w:smartTag w:uri="urn:schemas-microsoft-com:office:smarttags" w:element="place">
          <w:r w:rsidRPr="00E039BB">
            <w:rPr>
              <w:lang w:val="en-GB"/>
            </w:rPr>
            <w:t>Ohio</w:t>
          </w:r>
        </w:smartTag>
      </w:smartTag>
      <w:r w:rsidRPr="00E039BB">
        <w:rPr>
          <w:lang w:val="en-GB"/>
        </w:rPr>
        <w:t>’s Caseload Ratio Project: The Results, The Implications, and Where Do We Go From Here? Presented at the OSLHA Annual Conve</w:t>
      </w:r>
      <w:r>
        <w:rPr>
          <w:lang w:val="en-GB"/>
        </w:rPr>
        <w:t xml:space="preserve">ntion: 3/13/2014. </w:t>
      </w:r>
      <w:r w:rsidRPr="00E039BB">
        <w:rPr>
          <w:lang w:val="en-GB"/>
        </w:rPr>
        <w:t>http://www.ohioslha.org/pdf/Convention/2014%20Handouts/Symposium1.pdf</w:t>
      </w:r>
    </w:p>
  </w:footnote>
  <w:footnote w:id="115">
    <w:p w:rsidR="00BD6FC4" w:rsidRPr="00E039BB" w:rsidRDefault="00BD6FC4" w:rsidP="00E74F63">
      <w:pPr>
        <w:pStyle w:val="FootnoteText"/>
        <w:spacing w:after="0"/>
        <w:rPr>
          <w:lang w:val="en-GB"/>
        </w:rPr>
      </w:pPr>
      <w:r w:rsidRPr="00E039BB">
        <w:rPr>
          <w:rStyle w:val="FootnoteReference"/>
          <w:lang w:val="en-GB"/>
        </w:rPr>
        <w:footnoteRef/>
      </w:r>
      <w:r>
        <w:rPr>
          <w:lang w:val="en-GB"/>
        </w:rPr>
        <w:t xml:space="preserve"> </w:t>
      </w:r>
      <w:r w:rsidRPr="00E039BB">
        <w:rPr>
          <w:lang w:val="en-GB"/>
        </w:rPr>
        <w:t>http://education.ohio.gov/Topics/Special-Education/News/Caseload-Ratio-Project-and-Study</w:t>
      </w:r>
    </w:p>
  </w:footnote>
  <w:footnote w:id="116">
    <w:p w:rsidR="00BD6FC4" w:rsidRDefault="00BD6FC4" w:rsidP="00E74F63">
      <w:pPr>
        <w:pStyle w:val="FootnoteText"/>
      </w:pPr>
      <w:r>
        <w:rPr>
          <w:rStyle w:val="FootnoteReference"/>
        </w:rPr>
        <w:footnoteRef/>
      </w:r>
      <w:r>
        <w:t xml:space="preserve"> </w:t>
      </w:r>
      <w:r w:rsidRPr="005D3180">
        <w:t>http://education.ohio.gov/Topics/Special-Education/News/Caseloa</w:t>
      </w:r>
      <w:r>
        <w:t>d-Ratio-Project-and-Study</w:t>
      </w:r>
    </w:p>
  </w:footnote>
  <w:footnote w:id="117">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Boswell S, (2000) Crushed by growing caseloads The ASJA Leader 5, 18 p 1 and 6 See also www.asha.org/nctecd/treatment_outcomes.htm</w:t>
      </w:r>
    </w:p>
  </w:footnote>
  <w:footnote w:id="118">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ibid</w:t>
      </w:r>
    </w:p>
  </w:footnote>
  <w:footnote w:id="119">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American Speech-Language-Hearing Association. (2004). 2004 schools survey report: Survey methodology, respondent demographi</w:t>
      </w:r>
      <w:r>
        <w:rPr>
          <w:lang w:val="en-GB"/>
        </w:rPr>
        <w:t>cs, and glossary</w:t>
      </w:r>
      <w:r w:rsidRPr="00E039BB">
        <w:rPr>
          <w:lang w:val="en-GB"/>
        </w:rPr>
        <w:t xml:space="preserve"> </w:t>
      </w:r>
      <w:hyperlink r:id="rId5" w:history="1">
        <w:r w:rsidRPr="00E039BB">
          <w:rPr>
            <w:rStyle w:val="Hyperlink"/>
            <w:color w:val="auto"/>
            <w:lang w:val="en-GB"/>
          </w:rPr>
          <w:t xml:space="preserve"> www.asha.org/NR/rdonlyres/A700FE99-C454-44EF-959884B195E8D87F/</w:t>
        </w:r>
      </w:hyperlink>
      <w:r w:rsidRPr="00E039BB">
        <w:rPr>
          <w:lang w:val="en-GB"/>
        </w:rPr>
        <w:t>0/SchoolsSurveyWorkforce.pdf as cited in Edgar, D., &amp; Rosa-Lugo, L. (2007). The critical shortage of speech-language pathologists in the public school setting: Features of the work environment that affect recruitment and retention. Language, Speech, and Hearing Services in Schools, 38, 31-46</w:t>
      </w:r>
    </w:p>
  </w:footnote>
  <w:footnote w:id="120">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Overview of Special Educator Work Load Plan Requirements</w:t>
      </w:r>
      <w:r>
        <w:rPr>
          <w:lang w:val="en-GB"/>
        </w:rPr>
        <w:t xml:space="preserve"> August 31, 2009. </w:t>
      </w:r>
      <w:r w:rsidRPr="00E039BB">
        <w:rPr>
          <w:lang w:val="en-GB"/>
        </w:rPr>
        <w:t>http://www.isbe.net/spec-ed/pdfs/work_load_plan_overview.pdf</w:t>
      </w:r>
    </w:p>
  </w:footnote>
  <w:footnote w:id="121">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Ehren, B. (2001, January). Reducing caseloads (Special Interest Division 16). ASHA Leader.</w:t>
      </w:r>
    </w:p>
  </w:footnote>
  <w:footnote w:id="122">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Chiang, B., &amp;</w:t>
      </w:r>
      <w:r>
        <w:rPr>
          <w:lang w:val="en-GB"/>
        </w:rPr>
        <w:t xml:space="preserve"> </w:t>
      </w:r>
      <w:r w:rsidRPr="00E039BB">
        <w:rPr>
          <w:lang w:val="en-GB"/>
        </w:rPr>
        <w:t xml:space="preserve">Rylance, B. (2000).Wisconsin speech-language pathologists’ caseloads: Reality and repercussions. </w:t>
      </w:r>
      <w:smartTag w:uri="urn:schemas-microsoft-com:office:smarttags" w:element="place">
        <w:smartTag w:uri="urn:schemas-microsoft-com:office:smarttags" w:element="City">
          <w:r w:rsidRPr="00E039BB">
            <w:rPr>
              <w:lang w:val="en-GB"/>
            </w:rPr>
            <w:t>Oshkosh</w:t>
          </w:r>
        </w:smartTag>
        <w:r w:rsidRPr="00E039BB">
          <w:rPr>
            <w:lang w:val="en-GB"/>
          </w:rPr>
          <w:t xml:space="preserve">, </w:t>
        </w:r>
        <w:smartTag w:uri="urn:schemas-microsoft-com:office:smarttags" w:element="State">
          <w:r w:rsidRPr="00E039BB">
            <w:rPr>
              <w:lang w:val="en-GB"/>
            </w:rPr>
            <w:t>WI</w:t>
          </w:r>
        </w:smartTag>
      </w:smartTag>
      <w:r w:rsidRPr="00E039BB">
        <w:rPr>
          <w:lang w:val="en-GB"/>
        </w:rPr>
        <w:t>: University of Wisconsin–Oshkosh</w:t>
      </w:r>
    </w:p>
  </w:footnote>
  <w:footnote w:id="123">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Annett, M. M. (2003, April 15). Beyond School Caseloads : Looking at Total Workload. The ASHA Leader. www.asha.org/Publications/leader/2003/030415/030415.htm</w:t>
      </w:r>
    </w:p>
  </w:footnote>
  <w:footnote w:id="124">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Blood, G., Ridenour, J., Thomas, E., Qualls, C., &amp; Hammer, C. (2002). Predicting job satisfaction among speech-language pathologists in public schools. Language, Speech, and Hearing Services in Schools, 33, 282-290</w:t>
      </w:r>
    </w:p>
  </w:footnote>
  <w:footnote w:id="125">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Edgar, D., &amp; Rosa-Lugo, L. (2007). The critical shortage of speech-language pathologists in the public school setting: Features of the work environment that affect recruitment and retention. Language, Speech, and Hearing Services in Schools, 38, 31-46</w:t>
      </w:r>
    </w:p>
  </w:footnote>
  <w:footnote w:id="126">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Goldberg, B. (1993, November). Recipe for tragedy: Personnel shortages in the public schools. Asha, 36–40. </w:t>
      </w:r>
    </w:p>
  </w:footnote>
  <w:footnote w:id="127">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American Speech-Language-Hearing Association. (2002). Scope of practice in speech-language pathology. ASHA Leader(Suppl. 22), 29–36.</w:t>
      </w:r>
    </w:p>
  </w:footnote>
  <w:footnote w:id="128">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Edgar, D., &amp; Rosa-Lugo, L. (2007). The critical shortage of speech-language pathologists in the public school setting: Features of the work environment that affect recruitment and retention. Language, Speech, and Hearing Services in Schools, 38, 31-46</w:t>
      </w:r>
    </w:p>
  </w:footnote>
  <w:footnote w:id="129">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Specialist staff include PT/OT/SLT/educational psychologists</w:t>
      </w:r>
    </w:p>
  </w:footnote>
  <w:footnote w:id="130">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This information was supplied from the New Zealand Ministry of Education, Regional Operations, Special Education Division.</w:t>
      </w:r>
    </w:p>
  </w:footnote>
  <w:footnote w:id="131">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ibid</w:t>
      </w:r>
    </w:p>
  </w:footnote>
  <w:footnote w:id="132">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This information is derived from Rochelle Hay, the program manager for children’s disability services in </w:t>
      </w:r>
      <w:smartTag w:uri="urn:schemas-microsoft-com:office:smarttags" w:element="State">
        <w:smartTag w:uri="urn:schemas-microsoft-com:office:smarttags" w:element="place">
          <w:r w:rsidRPr="00E039BB">
            <w:rPr>
              <w:lang w:val="en-GB"/>
            </w:rPr>
            <w:t>South Australia</w:t>
          </w:r>
        </w:smartTag>
      </w:smartTag>
      <w:r w:rsidRPr="00E039BB">
        <w:rPr>
          <w:lang w:val="en-GB"/>
        </w:rPr>
        <w:t xml:space="preserve">. She noted that these figures are not based on specific research but on what is happening in the different territories in </w:t>
      </w:r>
      <w:smartTag w:uri="urn:schemas-microsoft-com:office:smarttags" w:element="country-region">
        <w:smartTag w:uri="urn:schemas-microsoft-com:office:smarttags" w:element="place">
          <w:r w:rsidRPr="00E039BB">
            <w:rPr>
              <w:lang w:val="en-GB"/>
            </w:rPr>
            <w:t>Australia</w:t>
          </w:r>
        </w:smartTag>
      </w:smartTag>
      <w:r w:rsidRPr="00E039BB">
        <w:rPr>
          <w:lang w:val="en-GB"/>
        </w:rPr>
        <w:t>.</w:t>
      </w:r>
    </w:p>
  </w:footnote>
  <w:footnote w:id="133">
    <w:p w:rsidR="00BD6FC4" w:rsidRPr="00E039BB" w:rsidRDefault="00BD6FC4" w:rsidP="00F63B31">
      <w:pPr>
        <w:pStyle w:val="FootnoteText"/>
        <w:spacing w:after="0"/>
        <w:rPr>
          <w:lang w:val="en-GB"/>
        </w:rPr>
      </w:pPr>
      <w:r w:rsidRPr="00E039BB">
        <w:rPr>
          <w:rStyle w:val="FootnoteReference"/>
          <w:lang w:val="en-GB"/>
        </w:rPr>
        <w:footnoteRef/>
      </w:r>
      <w:r w:rsidRPr="00E039BB">
        <w:rPr>
          <w:lang w:val="en-GB"/>
        </w:rPr>
        <w:t xml:space="preserve"> This information was provided by Maria Stefkova, National Institute Education </w:t>
      </w:r>
      <w:smartTag w:uri="urn:schemas-microsoft-com:office:smarttags" w:element="country-region">
        <w:smartTag w:uri="urn:schemas-microsoft-com:office:smarttags" w:element="place">
          <w:r w:rsidRPr="00E039BB">
            <w:rPr>
              <w:lang w:val="en-GB"/>
            </w:rPr>
            <w:t>Slovakia</w:t>
          </w:r>
        </w:smartTag>
      </w:smartTag>
      <w:r w:rsidRPr="00E039BB">
        <w:rPr>
          <w:lang w:val="en-GB"/>
        </w:rPr>
        <w:t xml:space="preserve"> and National Coordinator for the European Agency for Development in Special Needs Education </w:t>
      </w:r>
    </w:p>
  </w:footnote>
  <w:footnote w:id="134">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Parker, R., Ward, H., Jackson, S., Aldgate, J. &amp; Wedge, P. (Eds.) (1991). Looking after children: Assessing Outcomes in Child Care. The Report of an Independent Working Party established by the Department of Health. </w:t>
      </w:r>
      <w:smartTag w:uri="urn:schemas-microsoft-com:office:smarttags" w:element="City">
        <w:smartTag w:uri="urn:schemas-microsoft-com:office:smarttags" w:element="place">
          <w:r w:rsidRPr="00E039BB">
            <w:rPr>
              <w:lang w:val="en-GB"/>
            </w:rPr>
            <w:t>London</w:t>
          </w:r>
        </w:smartTag>
      </w:smartTag>
      <w:r w:rsidRPr="00E039BB">
        <w:rPr>
          <w:lang w:val="en-GB"/>
        </w:rPr>
        <w:t xml:space="preserve"> : HMSO</w:t>
      </w:r>
    </w:p>
  </w:footnote>
  <w:footnote w:id="135">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Early Intervention </w:t>
      </w:r>
      <w:smartTag w:uri="urn:schemas-microsoft-com:office:smarttags" w:element="State">
        <w:smartTag w:uri="urn:schemas-microsoft-com:office:smarttags" w:element="place">
          <w:r w:rsidRPr="00E039BB">
            <w:rPr>
              <w:lang w:val="en-GB"/>
            </w:rPr>
            <w:t>Colorado</w:t>
          </w:r>
        </w:smartTag>
      </w:smartTag>
      <w:r w:rsidRPr="00E039BB">
        <w:rPr>
          <w:lang w:val="en-GB"/>
        </w:rPr>
        <w:t xml:space="preserve"> Child and Family Outcomes Measurement. www.eicolorado.org/index.cfm?fuseaction=Family.content&amp;linkid</w:t>
      </w:r>
    </w:p>
  </w:footnote>
  <w:footnote w:id="136">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Greene, S. Stewart, B Barnardos’ Needs-Led &amp; Outcomes-Focused Approach. www.barnardos.ie/assets/files/publications/free/childlinks_body17.pdf</w:t>
      </w:r>
    </w:p>
  </w:footnote>
  <w:footnote w:id="137">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The Scottish Government (2013) Developing an Outcomes Model for Disabled Children and Young People in </w:t>
      </w:r>
      <w:smartTag w:uri="urn:schemas-microsoft-com:office:smarttags" w:element="country-region">
        <w:smartTag w:uri="urn:schemas-microsoft-com:office:smarttags" w:element="place">
          <w:r w:rsidRPr="00E039BB">
            <w:rPr>
              <w:lang w:val="en-GB"/>
            </w:rPr>
            <w:t>Scotland</w:t>
          </w:r>
        </w:smartTag>
      </w:smartTag>
      <w:r w:rsidRPr="00E039BB">
        <w:rPr>
          <w:lang w:val="en-GB"/>
        </w:rPr>
        <w:t xml:space="preserve"> www.scotland.gov.uk/Resource/0043/00434117.pdf</w:t>
      </w:r>
    </w:p>
  </w:footnote>
  <w:footnote w:id="138">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ibid</w:t>
      </w:r>
    </w:p>
  </w:footnote>
  <w:footnote w:id="139">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Cook, A. and Miller, E. (2012) Personal Outcomes Approach: Talking Points. Edinburgh: Joint Improvement Team as cited by The Scottish Government (2013) Developing an Outcomes Model for Disabled Children and Young People in Scotland www.scotland.gov.uk/Resource/0043/00434117.pdf</w:t>
      </w:r>
    </w:p>
  </w:footnote>
  <w:footnote w:id="140">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The Scottish Government (2013) Developing an Outcomes Model for Disabled Children and Young People in </w:t>
      </w:r>
      <w:smartTag w:uri="urn:schemas-microsoft-com:office:smarttags" w:element="country-region">
        <w:smartTag w:uri="urn:schemas-microsoft-com:office:smarttags" w:element="place">
          <w:r w:rsidRPr="00E039BB">
            <w:rPr>
              <w:lang w:val="en-GB"/>
            </w:rPr>
            <w:t>Scotland</w:t>
          </w:r>
        </w:smartTag>
      </w:smartTag>
      <w:r w:rsidRPr="00E039BB">
        <w:rPr>
          <w:lang w:val="en-GB"/>
        </w:rPr>
        <w:t xml:space="preserve"> www.scotland.gov.uk/Resource/0043/00434117.pdf</w:t>
      </w:r>
    </w:p>
  </w:footnote>
  <w:footnote w:id="141">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Miller, E. (2011) Measuring Personal Outcomes: Challenges and Strategies. </w:t>
      </w:r>
      <w:smartTag w:uri="urn:schemas-microsoft-com:office:smarttags" w:element="City">
        <w:r w:rsidRPr="00E039BB">
          <w:rPr>
            <w:lang w:val="en-GB"/>
          </w:rPr>
          <w:t>Glasgow</w:t>
        </w:r>
      </w:smartTag>
      <w:r w:rsidRPr="00E039BB">
        <w:rPr>
          <w:lang w:val="en-GB"/>
        </w:rPr>
        <w:t xml:space="preserve">: IRISS as cited by The Scottish Government (2013) Developing an Outcomes Model for Disabled Children and Young People in </w:t>
      </w:r>
      <w:smartTag w:uri="urn:schemas-microsoft-com:office:smarttags" w:element="country-region">
        <w:smartTag w:uri="urn:schemas-microsoft-com:office:smarttags" w:element="place">
          <w:r w:rsidRPr="00E039BB">
            <w:rPr>
              <w:lang w:val="en-GB"/>
            </w:rPr>
            <w:t>Scotland</w:t>
          </w:r>
        </w:smartTag>
      </w:smartTag>
    </w:p>
  </w:footnote>
  <w:footnote w:id="142">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The Scottish Government (2013) Developing an Outcomes Model for Disabled Children and Young People in </w:t>
      </w:r>
      <w:smartTag w:uri="urn:schemas-microsoft-com:office:smarttags" w:element="country-region">
        <w:smartTag w:uri="urn:schemas-microsoft-com:office:smarttags" w:element="place">
          <w:r w:rsidRPr="00E039BB">
            <w:rPr>
              <w:lang w:val="en-GB"/>
            </w:rPr>
            <w:t>Scotland</w:t>
          </w:r>
        </w:smartTag>
      </w:smartTag>
      <w:r w:rsidRPr="00E039BB">
        <w:rPr>
          <w:lang w:val="en-GB"/>
        </w:rPr>
        <w:t xml:space="preserve"> www.scotland.gov.uk/Resource/0043/00434117.pdf</w:t>
      </w:r>
    </w:p>
  </w:footnote>
  <w:footnote w:id="143">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Health care for disabled children and young people: A review of how the health care needs of disabled children and young people are met by the commissioners and providers of health care in </w:t>
      </w:r>
      <w:smartTag w:uri="urn:schemas-microsoft-com:office:smarttags" w:element="country-region">
        <w:smartTag w:uri="urn:schemas-microsoft-com:office:smarttags" w:element="place">
          <w:r w:rsidRPr="00E039BB">
            <w:rPr>
              <w:lang w:val="en-GB"/>
            </w:rPr>
            <w:t>England</w:t>
          </w:r>
        </w:smartTag>
      </w:smartTag>
      <w:r w:rsidRPr="00E039BB">
        <w:rPr>
          <w:lang w:val="en-GB"/>
        </w:rPr>
        <w:t>. www.cqc.org.uk/sites/default/files/media/documents/health_care_for_disabled_children.pdf</w:t>
      </w:r>
    </w:p>
  </w:footnote>
  <w:footnote w:id="144">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Contact a Family (2011) Parent carer forum involvement in shaping health services </w:t>
      </w:r>
      <w:hyperlink r:id="rId6" w:history="1">
        <w:r w:rsidRPr="00E039BB">
          <w:rPr>
            <w:rStyle w:val="Hyperlink"/>
            <w:color w:val="auto"/>
            <w:lang w:val="en-GB"/>
          </w:rPr>
          <w:t xml:space="preserve"> www.pinpoint-cambs.org.uk/sites/default/files/Shaping%20Health%20services%20final.pdf</w:t>
        </w:r>
      </w:hyperlink>
      <w:r w:rsidRPr="00E039BB">
        <w:rPr>
          <w:lang w:val="en-GB"/>
        </w:rPr>
        <w:t xml:space="preserve"> (This report is based on the results of a survey sent out to 151 parent carer forums and highlights the work carried out by parent carer forums in shaping health services and the challenges forums have experienced in raising children’s issues through LINks)</w:t>
      </w:r>
    </w:p>
  </w:footnote>
  <w:footnote w:id="145">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The Children’s Trust, Tadworth (2011) Disabled Children and Health Reform: Questions, Challenges and Opportunities. www.thechildrenstrust.org.uk</w:t>
      </w:r>
    </w:p>
  </w:footnote>
  <w:footnote w:id="146">
    <w:p w:rsidR="00BD6FC4" w:rsidRPr="00E039BB" w:rsidRDefault="00BD6FC4" w:rsidP="003E307C">
      <w:pPr>
        <w:pStyle w:val="FootnoteText"/>
        <w:spacing w:after="0"/>
        <w:rPr>
          <w:szCs w:val="22"/>
          <w:lang w:val="en-GB"/>
        </w:rPr>
      </w:pPr>
      <w:r w:rsidRPr="00E039BB">
        <w:rPr>
          <w:rStyle w:val="FootnoteReference"/>
          <w:lang w:val="en-GB"/>
        </w:rPr>
        <w:footnoteRef/>
      </w:r>
      <w:r w:rsidRPr="00E039BB">
        <w:rPr>
          <w:lang w:val="en-GB"/>
        </w:rPr>
        <w:t xml:space="preserve"> </w:t>
      </w:r>
      <w:r w:rsidRPr="00E039BB">
        <w:rPr>
          <w:szCs w:val="22"/>
          <w:lang w:val="en-GB"/>
        </w:rPr>
        <w:t>Barnardos: Reorganising Child and Family Support Services Discussion Paper August 2011 www.barnardos.ie/.../Reorganising%20Child%20and%20Family%20Support%20Services%20Ba... This report by Barnardos is on Child and Family Services not Children’s Disability services but the issues are similar</w:t>
      </w:r>
    </w:p>
  </w:footnote>
  <w:footnote w:id="147">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Bundy, A., Brentnall, B., Hemsley, B., Marshall, E. (2008) Therapy Services in the Disability Sector: Literature Review NSW Department of Ageing, Disability and Home Care</w:t>
      </w:r>
    </w:p>
  </w:footnote>
  <w:footnote w:id="148">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Bundy et al (2008) found that therapists use various types of therapy such as direct, indirect and consultation therapy. The proportion of time spent in direct contact with the person/ family varies with service delivery philosophy and type. Different forms of therapy, implemented by a range of personnel in different ways were all found to be effective across a range of settings.</w:t>
      </w:r>
    </w:p>
  </w:footnote>
  <w:footnote w:id="149">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Bundy, A., Brentnall, B., Hemsley, B., Marshall, E. (2008) Therapy Services in the Disability Sector: Literature Review NSW Department of Ageing, Disability and Home Care </w:t>
      </w:r>
    </w:p>
  </w:footnote>
  <w:footnote w:id="150">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European Agency for Development in Special Needs Education (2010) Early Childhood Intervention - progress and developments 2005-2010, Odense, Denmark: European Agency for Development in Special Needs Education</w:t>
      </w:r>
    </w:p>
  </w:footnote>
  <w:footnote w:id="151">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Page 8, Human Capital </w:t>
      </w:r>
      <w:smartTag w:uri="urn:schemas-microsoft-com:office:smarttags" w:element="City">
        <w:r w:rsidRPr="00E039BB">
          <w:rPr>
            <w:lang w:val="en-GB"/>
          </w:rPr>
          <w:t>Alliance</w:t>
        </w:r>
      </w:smartTag>
      <w:r w:rsidRPr="00E039BB">
        <w:rPr>
          <w:lang w:val="en-GB"/>
        </w:rPr>
        <w:t xml:space="preserve"> (2006) Workload Capacity Measures for Allied Health – Final Report Department of Human Services, </w:t>
      </w:r>
      <w:smartTag w:uri="urn:schemas-microsoft-com:office:smarttags" w:element="place">
        <w:smartTag w:uri="urn:schemas-microsoft-com:office:smarttags" w:element="City">
          <w:r w:rsidRPr="00E039BB">
            <w:rPr>
              <w:lang w:val="en-GB"/>
            </w:rPr>
            <w:t>Victoria</w:t>
          </w:r>
        </w:smartTag>
        <w:r w:rsidRPr="00E039BB">
          <w:rPr>
            <w:lang w:val="en-GB"/>
          </w:rPr>
          <w:t xml:space="preserve">, </w:t>
        </w:r>
        <w:smartTag w:uri="urn:schemas-microsoft-com:office:smarttags" w:element="country-region">
          <w:r w:rsidRPr="00E039BB">
            <w:rPr>
              <w:lang w:val="en-GB"/>
            </w:rPr>
            <w:t>Australia</w:t>
          </w:r>
        </w:smartTag>
      </w:smartTag>
    </w:p>
  </w:footnote>
  <w:footnote w:id="152">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These seven services (physiotherapy, occupational therapy, speech and language therapy, dietetics, orthotics, podiatry and orthotic services, and art therapies) are reviewed in A Strategy for the Therapy Services 2011-2016. www.wales.nhs.uk/sitesplus/documents/866/A%20Strategy%20for%20the%20Therapy%20Services%20in%20Aneurin%20Bevan%20Health%20Board%20Final%20%282%29.pdf</w:t>
      </w:r>
    </w:p>
  </w:footnote>
  <w:footnote w:id="153">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The 7 groups are Physiotherapy, Speech and Language Therapy, Occupational Therapy, Dietetics, Orthotics and Radiography and Radiation Therapy.</w:t>
      </w:r>
    </w:p>
  </w:footnote>
  <w:footnote w:id="154">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The groups are Arts Therapy, Dietetics, Physiotherapy, Podiatry, Prosthetics and Orthotics, Occupational Therapy, Orthotics, Diagnostic and Therapy Radiography and Speech and Language Therapy.</w:t>
      </w:r>
    </w:p>
  </w:footnote>
  <w:footnote w:id="155">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Therapy Focus Strategic Plan 2012-2014. therapyfocus.org.au/assets/pdf/therapy-focus-strategic-plan-2012-2014web.pdf</w:t>
      </w:r>
    </w:p>
  </w:footnote>
  <w:footnote w:id="156">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Page 10, Human Capital Alliance (2006) Workload Capacity Measures for Allied Health – Final Report, Department of Human Services, Victoria, Australia</w:t>
      </w:r>
    </w:p>
  </w:footnote>
  <w:footnote w:id="157">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Pillinger, J (2012) The Future of Healthcare in </w:t>
      </w:r>
      <w:smartTag w:uri="urn:schemas-microsoft-com:office:smarttags" w:element="country-region">
        <w:smartTag w:uri="urn:schemas-microsoft-com:office:smarttags" w:element="place">
          <w:r w:rsidRPr="00E039BB">
            <w:rPr>
              <w:lang w:val="en-GB"/>
            </w:rPr>
            <w:t>Ireland</w:t>
          </w:r>
        </w:smartTag>
      </w:smartTag>
      <w:r w:rsidRPr="00E039BB">
        <w:rPr>
          <w:lang w:val="en-GB"/>
        </w:rPr>
        <w:t>: Position paper on the health crisis and the government’s plans for healthcare. (Prepared for Impact). www.impact.ie/files/healthpdf/reform/FutureofHealthcare.pdf</w:t>
      </w:r>
    </w:p>
  </w:footnote>
  <w:footnote w:id="158">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ibid</w:t>
      </w:r>
    </w:p>
  </w:footnote>
  <w:footnote w:id="159">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Pages 8-9, Scottish Government (2012) AHPs as agents of change in health and social care: The National Delivery Plan for the Allied Health Professions in </w:t>
      </w:r>
      <w:smartTag w:uri="urn:schemas-microsoft-com:office:smarttags" w:element="country-region">
        <w:smartTag w:uri="urn:schemas-microsoft-com:office:smarttags" w:element="place">
          <w:r w:rsidRPr="00E039BB">
            <w:rPr>
              <w:lang w:val="en-GB"/>
            </w:rPr>
            <w:t>Scotland</w:t>
          </w:r>
        </w:smartTag>
      </w:smartTag>
      <w:r w:rsidRPr="00E039BB">
        <w:rPr>
          <w:lang w:val="en-GB"/>
        </w:rPr>
        <w:t xml:space="preserve">, 2012–2015. The Scottish Government </w:t>
      </w:r>
      <w:smartTag w:uri="urn:schemas-microsoft-com:office:smarttags" w:element="City">
        <w:smartTag w:uri="urn:schemas-microsoft-com:office:smarttags" w:element="place">
          <w:r w:rsidRPr="00E039BB">
            <w:rPr>
              <w:lang w:val="en-GB"/>
            </w:rPr>
            <w:t>Edinburgh</w:t>
          </w:r>
        </w:smartTag>
      </w:smartTag>
      <w:r>
        <w:rPr>
          <w:lang w:val="en-GB"/>
        </w:rPr>
        <w:t xml:space="preserve">. </w:t>
      </w:r>
      <w:r w:rsidRPr="00E039BB">
        <w:rPr>
          <w:lang w:val="en-GB"/>
        </w:rPr>
        <w:t>scotland.gov.uk/Resource/0039/00395491.pdf</w:t>
      </w:r>
    </w:p>
  </w:footnote>
  <w:footnote w:id="160">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Rexe, K., McGibbon Lammi, B., Zweck, C. (2013) Occupational therapy: Cost-effective solutions for changing health system needs. Healthcare Quarterly, 16(1), 69-7</w:t>
      </w:r>
      <w:r>
        <w:rPr>
          <w:lang w:val="en-GB"/>
        </w:rPr>
        <w:t>5. doi: 10.12927.hcq.2013.23329</w:t>
      </w:r>
    </w:p>
  </w:footnote>
  <w:footnote w:id="161">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Page 8, Scottish Government (2012) AHPs as agents of change in health and social care: The National Delivery Plan for the Allied Health Professions in </w:t>
      </w:r>
      <w:smartTag w:uri="urn:schemas-microsoft-com:office:smarttags" w:element="country-region">
        <w:smartTag w:uri="urn:schemas-microsoft-com:office:smarttags" w:element="place">
          <w:r w:rsidRPr="00E039BB">
            <w:rPr>
              <w:lang w:val="en-GB"/>
            </w:rPr>
            <w:t>Scotland</w:t>
          </w:r>
        </w:smartTag>
      </w:smartTag>
      <w:r w:rsidRPr="00E039BB">
        <w:rPr>
          <w:lang w:val="en-GB"/>
        </w:rPr>
        <w:t xml:space="preserve">, 2012–2015. The Scottish Government </w:t>
      </w:r>
      <w:smartTag w:uri="urn:schemas-microsoft-com:office:smarttags" w:element="City">
        <w:smartTag w:uri="urn:schemas-microsoft-com:office:smarttags" w:element="place">
          <w:r w:rsidRPr="00E039BB">
            <w:rPr>
              <w:lang w:val="en-GB"/>
            </w:rPr>
            <w:t>Edinburgh</w:t>
          </w:r>
        </w:smartTag>
      </w:smartTag>
      <w:r w:rsidRPr="00E039BB">
        <w:rPr>
          <w:lang w:val="en-GB"/>
        </w:rPr>
        <w:t>. scotland.gov.uk/Resource/0039/00395491.pdf</w:t>
      </w:r>
    </w:p>
  </w:footnote>
  <w:footnote w:id="162">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Laurant, M., Harmsen, M., Faber, M., Wollersheim, H., Sibbald, B., Grol, R (2010)Revision of professional roles and quality improvement A review of the evidence. health.org.uk/publications/revision-of-professional-roles-and-quality-improvement/</w:t>
      </w:r>
    </w:p>
  </w:footnote>
  <w:footnote w:id="163">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ibid</w:t>
      </w:r>
    </w:p>
  </w:footnote>
  <w:footnote w:id="164">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ibid</w:t>
      </w:r>
    </w:p>
  </w:footnote>
  <w:footnote w:id="165">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NSW Ministry of Health (2011) Health Professionals Workforce Plan Taskforce Discussion Paper to inform and support the NSW Government's Health Professionals Workforce Plan www0.health.nsw.gov.au/resources/workforce/hpwp/pdf/hpwp_discussion.pdf</w:t>
      </w:r>
    </w:p>
  </w:footnote>
  <w:footnote w:id="166">
    <w:p w:rsidR="00BD6FC4" w:rsidRPr="009A793A" w:rsidRDefault="00BD6FC4" w:rsidP="003E307C">
      <w:pPr>
        <w:pStyle w:val="FootnoteText"/>
        <w:spacing w:after="0"/>
        <w:rPr>
          <w:lang w:val="en-GB"/>
        </w:rPr>
      </w:pPr>
      <w:r w:rsidRPr="00E039BB">
        <w:rPr>
          <w:rStyle w:val="FootnoteReference"/>
          <w:lang w:val="en-GB"/>
        </w:rPr>
        <w:footnoteRef/>
      </w:r>
      <w:r w:rsidRPr="00E039BB">
        <w:rPr>
          <w:lang w:val="en-GB"/>
        </w:rPr>
        <w:t xml:space="preserve"> </w:t>
      </w:r>
      <w:r w:rsidRPr="009A793A">
        <w:rPr>
          <w:lang w:val="en-GB"/>
        </w:rPr>
        <w:t>For example, 1) Meisels, SJ., Shonkoff, JP. Early childhood intervention: A continuing evolution In, Shonkoff, J., Meisels, SJ, (eds). (2000) Handbook of Early Intervention Childhood Intervention, 2</w:t>
      </w:r>
      <w:r w:rsidRPr="009A793A">
        <w:rPr>
          <w:vertAlign w:val="superscript"/>
          <w:lang w:val="en-GB"/>
        </w:rPr>
        <w:t>nd</w:t>
      </w:r>
      <w:r w:rsidRPr="009A793A">
        <w:rPr>
          <w:lang w:val="en-GB"/>
        </w:rPr>
        <w:t xml:space="preserve"> edn. Cambridge University Press, Cambridge, UK. 2) Guralnick, MJ (eds.). (1997) The effectiveness of Early Intervention. Brookes, Baltimore. 3) McCollum, J. (2000) Influencing the development of young children with disabilities: current themes in early intervention. Child and Adolescent Mental Health, 7, 4-9. 4) Blauw-Hospers CH, Hadders-Algra M (2005). A systematic review of the effects of early intervention on motor development in Developmental Medicine and Child Neurology, 47(6), 421-432</w:t>
      </w:r>
    </w:p>
  </w:footnote>
  <w:footnote w:id="167">
    <w:p w:rsidR="00BD6FC4" w:rsidRPr="00E039BB" w:rsidRDefault="00BD6FC4" w:rsidP="003E307C">
      <w:pPr>
        <w:pStyle w:val="ListNumber"/>
        <w:numPr>
          <w:ilvl w:val="0"/>
          <w:numId w:val="0"/>
        </w:numPr>
        <w:spacing w:after="0"/>
        <w:rPr>
          <w:sz w:val="22"/>
          <w:szCs w:val="22"/>
          <w:lang w:val="en-GB"/>
        </w:rPr>
      </w:pPr>
      <w:r w:rsidRPr="00E039BB">
        <w:rPr>
          <w:rStyle w:val="FootnoteReference"/>
          <w:lang w:val="en-GB"/>
        </w:rPr>
        <w:footnoteRef/>
      </w:r>
      <w:r w:rsidRPr="00E039BB">
        <w:rPr>
          <w:sz w:val="22"/>
          <w:szCs w:val="22"/>
          <w:lang w:val="en-GB"/>
        </w:rPr>
        <w:t>The Economist Intelligence Unit (2012) Starting well: Benchmarking early education across the wor</w:t>
      </w:r>
      <w:r>
        <w:rPr>
          <w:sz w:val="22"/>
          <w:szCs w:val="22"/>
          <w:lang w:val="en-GB"/>
        </w:rPr>
        <w:t>ld.</w:t>
      </w:r>
    </w:p>
  </w:footnote>
  <w:footnote w:id="168">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Dunst, C. J., Trivette, C. M., and Jodry, W. Influences of social support on children with disabilities and their families, In Guralnick, M. (ed.) "The effectiveness of early intervention", Brookes, Baltimore, 1997</w:t>
      </w:r>
    </w:p>
  </w:footnote>
  <w:footnote w:id="169">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This definition is in De Moor, JM., Van Waesberghe, BT., Hosman, JB., Jaekan, D., Miedama, S. (1993) Early intervention for children with disabilities: manifesto of the Eurlyaid working party. International Journal of Rehabilitation Research, 16, 23-31</w:t>
      </w:r>
    </w:p>
  </w:footnote>
  <w:footnote w:id="170">
    <w:p w:rsidR="00BD6FC4" w:rsidRPr="009A793A" w:rsidRDefault="00BD6FC4" w:rsidP="003E307C">
      <w:pPr>
        <w:pStyle w:val="FootnoteText"/>
        <w:spacing w:after="0"/>
        <w:rPr>
          <w:lang w:val="en-GB"/>
        </w:rPr>
      </w:pPr>
      <w:r w:rsidRPr="00E039BB">
        <w:rPr>
          <w:rStyle w:val="FootnoteReference"/>
          <w:lang w:val="en-GB"/>
        </w:rPr>
        <w:footnoteRef/>
      </w:r>
      <w:r w:rsidRPr="00E039BB">
        <w:rPr>
          <w:lang w:val="en-GB"/>
        </w:rPr>
        <w:t xml:space="preserve"> </w:t>
      </w:r>
      <w:r w:rsidRPr="009A793A">
        <w:rPr>
          <w:lang w:val="en-GB"/>
        </w:rPr>
        <w:t xml:space="preserve">Dunst, CJ (1999) Placing parent education in conceptual and empirical concept Topics in Early Childhood Special Education, 19, 141-147 </w:t>
      </w:r>
    </w:p>
  </w:footnote>
  <w:footnote w:id="171">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Bailey, D.B., McWilliam, P.J., Winton, P.J., &amp; Simeonsson, R.J. (1992). Implementing Family-Centred Services in Early Intervention: A Team-Based Model for Change </w:t>
      </w:r>
      <w:smartTag w:uri="urn:schemas-microsoft-com:office:smarttags" w:element="City">
        <w:r w:rsidRPr="00E039BB">
          <w:rPr>
            <w:lang w:val="en-GB"/>
          </w:rPr>
          <w:t>Cambridge</w:t>
        </w:r>
      </w:smartTag>
      <w:r w:rsidRPr="00E039BB">
        <w:rPr>
          <w:lang w:val="en-GB"/>
        </w:rPr>
        <w:t xml:space="preserve">, </w:t>
      </w:r>
      <w:smartTag w:uri="urn:schemas-microsoft-com:office:smarttags" w:element="State">
        <w:r w:rsidRPr="00E039BB">
          <w:rPr>
            <w:lang w:val="en-GB"/>
          </w:rPr>
          <w:t>Massachusetts</w:t>
        </w:r>
      </w:smartTag>
      <w:r w:rsidRPr="00E039BB">
        <w:rPr>
          <w:lang w:val="en-GB"/>
        </w:rPr>
        <w:t xml:space="preserve">: </w:t>
      </w:r>
      <w:smartTag w:uri="urn:schemas-microsoft-com:office:smarttags" w:element="City">
        <w:smartTag w:uri="urn:schemas-microsoft-com:office:smarttags" w:element="place">
          <w:r w:rsidRPr="00E039BB">
            <w:rPr>
              <w:lang w:val="en-GB"/>
            </w:rPr>
            <w:t>Brookline</w:t>
          </w:r>
        </w:smartTag>
      </w:smartTag>
      <w:r w:rsidRPr="00E039BB">
        <w:rPr>
          <w:lang w:val="en-GB"/>
        </w:rPr>
        <w:t xml:space="preserve"> Books</w:t>
      </w:r>
    </w:p>
  </w:footnote>
  <w:footnote w:id="172">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Turnbull, A.P. &amp; Tunbull, H.R. (2000). Families, Professionals and Exceptionality: Collaborating for Empowerment (4</w:t>
      </w:r>
      <w:r w:rsidRPr="00E039BB">
        <w:rPr>
          <w:vertAlign w:val="superscript"/>
          <w:lang w:val="en-GB"/>
        </w:rPr>
        <w:t>th</w:t>
      </w:r>
      <w:r w:rsidRPr="00E039BB">
        <w:rPr>
          <w:lang w:val="en-GB"/>
        </w:rPr>
        <w:t xml:space="preserve"> Ed.). </w:t>
      </w:r>
      <w:smartTag w:uri="urn:schemas-microsoft-com:office:smarttags" w:element="place">
        <w:smartTag w:uri="urn:schemas-microsoft-com:office:smarttags" w:element="City">
          <w:r w:rsidRPr="00E039BB">
            <w:rPr>
              <w:lang w:val="en-GB"/>
            </w:rPr>
            <w:t>Upper Saddle River</w:t>
          </w:r>
        </w:smartTag>
        <w:r w:rsidRPr="00E039BB">
          <w:rPr>
            <w:lang w:val="en-GB"/>
          </w:rPr>
          <w:t xml:space="preserve">, </w:t>
        </w:r>
        <w:smartTag w:uri="urn:schemas-microsoft-com:office:smarttags" w:element="State">
          <w:r w:rsidRPr="00E039BB">
            <w:rPr>
              <w:lang w:val="en-GB"/>
            </w:rPr>
            <w:t>New Jersey</w:t>
          </w:r>
        </w:smartTag>
      </w:smartTag>
      <w:r w:rsidRPr="00E039BB">
        <w:rPr>
          <w:lang w:val="en-GB"/>
        </w:rPr>
        <w:t>: Merrill/Prentice Hall.</w:t>
      </w:r>
    </w:p>
  </w:footnote>
  <w:footnote w:id="173">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See section on family centred services in the literature review of this report</w:t>
      </w:r>
    </w:p>
  </w:footnote>
  <w:footnote w:id="174">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Dale, N. (1996). Working with Families of Children with Special Needs. </w:t>
      </w:r>
      <w:smartTag w:uri="urn:schemas-microsoft-com:office:smarttags" w:element="City">
        <w:smartTag w:uri="urn:schemas-microsoft-com:office:smarttags" w:element="place">
          <w:r w:rsidRPr="00E039BB">
            <w:rPr>
              <w:lang w:val="en-GB"/>
            </w:rPr>
            <w:t>London</w:t>
          </w:r>
        </w:smartTag>
      </w:smartTag>
      <w:r w:rsidRPr="00E039BB">
        <w:rPr>
          <w:lang w:val="en-GB"/>
        </w:rPr>
        <w:t>: Routledge</w:t>
      </w:r>
    </w:p>
  </w:footnote>
  <w:footnote w:id="175">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The work of Bronfenbrenner has had a major influence on the development of services that focus on the child’s family context as the basis of their learning. Bronfenbrenner understood that children develop as part of distinct ecological settings and are influenced by family systems, social networks, community settings, parent child interactions as well as by direct intervention and teaching. See Bronfenbrenner. U. (1979), The Ecology of Human Development. </w:t>
      </w:r>
      <w:smartTag w:uri="urn:schemas-microsoft-com:office:smarttags" w:element="country-region">
        <w:r w:rsidRPr="00E039BB">
          <w:rPr>
            <w:lang w:val="en-GB"/>
          </w:rPr>
          <w:t>USA</w:t>
        </w:r>
      </w:smartTag>
      <w:r w:rsidRPr="00E039BB">
        <w:rPr>
          <w:lang w:val="en-GB"/>
        </w:rPr>
        <w:t xml:space="preserve">: </w:t>
      </w:r>
      <w:smartTag w:uri="urn:schemas-microsoft-com:office:smarttags" w:element="place">
        <w:smartTag w:uri="urn:schemas-microsoft-com:office:smarttags" w:element="PlaceName">
          <w:r w:rsidRPr="00E039BB">
            <w:rPr>
              <w:lang w:val="en-GB"/>
            </w:rPr>
            <w:t>Harvard</w:t>
          </w:r>
        </w:smartTag>
        <w:r w:rsidRPr="00E039BB">
          <w:rPr>
            <w:lang w:val="en-GB"/>
          </w:rPr>
          <w:t xml:space="preserve"> </w:t>
        </w:r>
        <w:smartTag w:uri="urn:schemas-microsoft-com:office:smarttags" w:element="PlaceType">
          <w:r w:rsidRPr="00E039BB">
            <w:rPr>
              <w:lang w:val="en-GB"/>
            </w:rPr>
            <w:t>University</w:t>
          </w:r>
        </w:smartTag>
      </w:smartTag>
      <w:r w:rsidRPr="00E039BB">
        <w:rPr>
          <w:lang w:val="en-GB"/>
        </w:rPr>
        <w:t xml:space="preserve"> Press.</w:t>
      </w:r>
    </w:p>
  </w:footnote>
  <w:footnote w:id="176">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Blacher, J., Baker, BL., (2002) The Best of AAMR: Families and Mental Retardation: A Collection of Notable AAMR Journal Articles across the 20th Century (383pp). </w:t>
      </w:r>
      <w:smartTag w:uri="urn:schemas-microsoft-com:office:smarttags" w:element="place">
        <w:smartTag w:uri="urn:schemas-microsoft-com:office:smarttags" w:element="City">
          <w:r w:rsidRPr="00E039BB">
            <w:rPr>
              <w:lang w:val="en-GB"/>
            </w:rPr>
            <w:t>Washington</w:t>
          </w:r>
        </w:smartTag>
        <w:r w:rsidRPr="00E039BB">
          <w:rPr>
            <w:lang w:val="en-GB"/>
          </w:rPr>
          <w:t xml:space="preserve">, </w:t>
        </w:r>
        <w:smartTag w:uri="urn:schemas-microsoft-com:office:smarttags" w:element="State">
          <w:r w:rsidRPr="00E039BB">
            <w:rPr>
              <w:lang w:val="en-GB"/>
            </w:rPr>
            <w:t>DC</w:t>
          </w:r>
        </w:smartTag>
      </w:smartTag>
      <w:r w:rsidRPr="00E039BB">
        <w:rPr>
          <w:lang w:val="en-GB"/>
        </w:rPr>
        <w:t xml:space="preserve">: American Association on Mental Retardation. </w:t>
      </w:r>
    </w:p>
  </w:footnote>
  <w:footnote w:id="177">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ibid</w:t>
      </w:r>
    </w:p>
  </w:footnote>
  <w:footnote w:id="178">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“Moore, T., Larkin, H., (2005) More than my child’s disability…”: A comprehensive literature review about family centred practice and family experiences of early childhood intervention services Victoria, Australia Scope (Vic) Ltd.</w:t>
      </w:r>
    </w:p>
  </w:footnote>
  <w:footnote w:id="179">
    <w:p w:rsidR="00BD6FC4" w:rsidRPr="00BE4E14" w:rsidRDefault="00BD6FC4" w:rsidP="003E307C">
      <w:pPr>
        <w:pStyle w:val="FootnoteText"/>
        <w:spacing w:after="0"/>
        <w:rPr>
          <w:lang w:val="en-GB"/>
        </w:rPr>
      </w:pPr>
      <w:r w:rsidRPr="00E039BB">
        <w:rPr>
          <w:rStyle w:val="FootnoteReference"/>
          <w:lang w:val="en-GB"/>
        </w:rPr>
        <w:footnoteRef/>
      </w:r>
      <w:r w:rsidRPr="00E039BB">
        <w:rPr>
          <w:lang w:val="en-GB"/>
        </w:rPr>
        <w:t xml:space="preserve"> </w:t>
      </w:r>
      <w:r w:rsidRPr="00BE4E14">
        <w:rPr>
          <w:lang w:val="en-GB"/>
        </w:rPr>
        <w:t>Dunst, C.J., Trivette, C.M. &amp; Deal, A.G. (1988) Enabling and Empowering Families Cambridge, Massachusetts: Brookline Books</w:t>
      </w:r>
    </w:p>
  </w:footnote>
  <w:footnote w:id="180">
    <w:p w:rsidR="00BD6FC4" w:rsidRPr="00BE4E14" w:rsidRDefault="00BD6FC4" w:rsidP="003E307C">
      <w:pPr>
        <w:pStyle w:val="FootnoteText"/>
        <w:spacing w:after="0"/>
        <w:rPr>
          <w:lang w:val="en-GB"/>
        </w:rPr>
      </w:pPr>
      <w:r w:rsidRPr="00BE4E14">
        <w:rPr>
          <w:rStyle w:val="FootnoteReference"/>
          <w:lang w:val="en-GB"/>
        </w:rPr>
        <w:footnoteRef/>
      </w:r>
      <w:r w:rsidRPr="00BE4E14">
        <w:rPr>
          <w:lang w:val="en-GB"/>
        </w:rPr>
        <w:t xml:space="preserve"> Dunst, C.J. (2000). Revisiting ‘Rethinking Early Intervention’ Topics in Early Childhood Special Education, 20(2), 95-104</w:t>
      </w:r>
    </w:p>
  </w:footnote>
  <w:footnote w:id="181">
    <w:p w:rsidR="00BD6FC4" w:rsidRPr="00E039BB" w:rsidRDefault="00BD6FC4" w:rsidP="003E307C">
      <w:pPr>
        <w:pStyle w:val="FootnoteText"/>
        <w:spacing w:after="0"/>
        <w:rPr>
          <w:lang w:val="en-GB"/>
        </w:rPr>
      </w:pPr>
      <w:r w:rsidRPr="00BE4E14">
        <w:rPr>
          <w:rStyle w:val="FootnoteReference"/>
          <w:lang w:val="en-GB"/>
        </w:rPr>
        <w:footnoteRef/>
      </w:r>
      <w:r w:rsidRPr="00BE4E14">
        <w:rPr>
          <w:lang w:val="en-GB"/>
        </w:rPr>
        <w:t xml:space="preserve"> For example:</w:t>
      </w:r>
      <w:r w:rsidRPr="00E039BB">
        <w:rPr>
          <w:lang w:val="en-GB"/>
        </w:rPr>
        <w:t xml:space="preserve"> 1) Bailey, D.B., McWilliam, P.J., Winton, P.J., &amp; Simeonsson, R.J. (1992). Implementing Family-Centred Services in Early Intervention: A Team-Based Model for Change </w:t>
      </w:r>
      <w:smartTag w:uri="urn:schemas-microsoft-com:office:smarttags" w:element="City">
        <w:r w:rsidRPr="00E039BB">
          <w:rPr>
            <w:lang w:val="en-GB"/>
          </w:rPr>
          <w:t>Cambridge</w:t>
        </w:r>
      </w:smartTag>
      <w:r w:rsidRPr="00E039BB">
        <w:rPr>
          <w:lang w:val="en-GB"/>
        </w:rPr>
        <w:t xml:space="preserve">, </w:t>
      </w:r>
      <w:smartTag w:uri="urn:schemas-microsoft-com:office:smarttags" w:element="State">
        <w:r w:rsidRPr="00E039BB">
          <w:rPr>
            <w:lang w:val="en-GB"/>
          </w:rPr>
          <w:t>Massachusetts</w:t>
        </w:r>
      </w:smartTag>
      <w:r w:rsidRPr="00E039BB">
        <w:rPr>
          <w:lang w:val="en-GB"/>
        </w:rPr>
        <w:t xml:space="preserve">: </w:t>
      </w:r>
      <w:smartTag w:uri="urn:schemas-microsoft-com:office:smarttags" w:element="City">
        <w:smartTag w:uri="urn:schemas-microsoft-com:office:smarttags" w:element="place">
          <w:r w:rsidRPr="00E039BB">
            <w:rPr>
              <w:lang w:val="en-GB"/>
            </w:rPr>
            <w:t>Brookline</w:t>
          </w:r>
        </w:smartTag>
      </w:smartTag>
      <w:r w:rsidRPr="00E039BB">
        <w:rPr>
          <w:lang w:val="en-GB"/>
        </w:rPr>
        <w:t xml:space="preserve"> Books; 2) McWilliam, R.A. (1992). Family-Centred Intervention Planning: A Routines-Based Approach. </w:t>
      </w:r>
      <w:smartTag w:uri="urn:schemas-microsoft-com:office:smarttags" w:element="place">
        <w:smartTag w:uri="urn:schemas-microsoft-com:office:smarttags" w:element="City">
          <w:r w:rsidRPr="00E039BB">
            <w:rPr>
              <w:lang w:val="en-GB"/>
            </w:rPr>
            <w:t>Tucson</w:t>
          </w:r>
        </w:smartTag>
        <w:r w:rsidRPr="00E039BB">
          <w:rPr>
            <w:lang w:val="en-GB"/>
          </w:rPr>
          <w:t xml:space="preserve">, </w:t>
        </w:r>
        <w:smartTag w:uri="urn:schemas-microsoft-com:office:smarttags" w:element="State">
          <w:r w:rsidRPr="00E039BB">
            <w:rPr>
              <w:lang w:val="en-GB"/>
            </w:rPr>
            <w:t>Arizona</w:t>
          </w:r>
        </w:smartTag>
      </w:smartTag>
      <w:r w:rsidRPr="00E039BB">
        <w:rPr>
          <w:lang w:val="en-GB"/>
        </w:rPr>
        <w:t xml:space="preserve">: Communication Skill Builders; 3) McWilliam, P.J. &amp; Bailey, D.B. (1993). Working Together with Children and Families: Case Studies in Early Intervention </w:t>
      </w:r>
      <w:smartTag w:uri="urn:schemas-microsoft-com:office:smarttags" w:element="place">
        <w:smartTag w:uri="urn:schemas-microsoft-com:office:smarttags" w:element="City">
          <w:r w:rsidRPr="00E039BB">
            <w:rPr>
              <w:lang w:val="en-GB"/>
            </w:rPr>
            <w:t>Baltimore</w:t>
          </w:r>
        </w:smartTag>
        <w:r w:rsidRPr="00E039BB">
          <w:rPr>
            <w:lang w:val="en-GB"/>
          </w:rPr>
          <w:t xml:space="preserve">, </w:t>
        </w:r>
        <w:smartTag w:uri="urn:schemas-microsoft-com:office:smarttags" w:element="State">
          <w:r w:rsidRPr="00E039BB">
            <w:rPr>
              <w:lang w:val="en-GB"/>
            </w:rPr>
            <w:t>Maryland</w:t>
          </w:r>
        </w:smartTag>
      </w:smartTag>
      <w:r w:rsidRPr="00E039BB">
        <w:rPr>
          <w:lang w:val="en-GB"/>
        </w:rPr>
        <w:t xml:space="preserve">: Paul H. Brookes. 4) McWilliam, P.J., Winton, P.J., &amp; Crais, E.R. (1996) Practical Strategies for Family-Centered Intervention. </w:t>
      </w:r>
      <w:smartTag w:uri="urn:schemas-microsoft-com:office:smarttags" w:element="place">
        <w:smartTag w:uri="urn:schemas-microsoft-com:office:smarttags" w:element="City">
          <w:r w:rsidRPr="00E039BB">
            <w:rPr>
              <w:lang w:val="en-GB"/>
            </w:rPr>
            <w:t>San Diego</w:t>
          </w:r>
        </w:smartTag>
        <w:r w:rsidRPr="00E039BB">
          <w:rPr>
            <w:lang w:val="en-GB"/>
          </w:rPr>
          <w:t xml:space="preserve">, </w:t>
        </w:r>
        <w:smartTag w:uri="urn:schemas-microsoft-com:office:smarttags" w:element="State">
          <w:r w:rsidRPr="00E039BB">
            <w:rPr>
              <w:lang w:val="en-GB"/>
            </w:rPr>
            <w:t>California</w:t>
          </w:r>
        </w:smartTag>
      </w:smartTag>
      <w:r w:rsidRPr="00E039BB">
        <w:rPr>
          <w:lang w:val="en-GB"/>
        </w:rPr>
        <w:t xml:space="preserve">: Singular Publishing Company; 5) Winton, P.J. (1992). Working with Families in Early Intervention: An Interdisciplinary Pre service Curriculum (2nd Ed.) </w:t>
      </w:r>
      <w:smartTag w:uri="urn:schemas-microsoft-com:office:smarttags" w:element="City">
        <w:r w:rsidRPr="00E039BB">
          <w:rPr>
            <w:lang w:val="en-GB"/>
          </w:rPr>
          <w:t>Chapel Hill</w:t>
        </w:r>
      </w:smartTag>
      <w:r w:rsidRPr="00E039BB">
        <w:rPr>
          <w:lang w:val="en-GB"/>
        </w:rPr>
        <w:t xml:space="preserve">, </w:t>
      </w:r>
      <w:smartTag w:uri="urn:schemas-microsoft-com:office:smarttags" w:element="State">
        <w:r w:rsidRPr="00E039BB">
          <w:rPr>
            <w:lang w:val="en-GB"/>
          </w:rPr>
          <w:t>North Carolina</w:t>
        </w:r>
      </w:smartTag>
      <w:r w:rsidRPr="00E039BB">
        <w:rPr>
          <w:lang w:val="en-GB"/>
        </w:rPr>
        <w:t xml:space="preserve">: </w:t>
      </w:r>
      <w:smartTag w:uri="urn:schemas-microsoft-com:office:smarttags" w:element="PlaceName">
        <w:r w:rsidRPr="00E039BB">
          <w:rPr>
            <w:lang w:val="en-GB"/>
          </w:rPr>
          <w:t>Frank</w:t>
        </w:r>
      </w:smartTag>
      <w:r w:rsidRPr="00E039BB">
        <w:rPr>
          <w:lang w:val="en-GB"/>
        </w:rPr>
        <w:t xml:space="preserve"> </w:t>
      </w:r>
      <w:smartTag w:uri="urn:schemas-microsoft-com:office:smarttags" w:element="PlaceName">
        <w:r w:rsidRPr="00E039BB">
          <w:rPr>
            <w:lang w:val="en-GB"/>
          </w:rPr>
          <w:t>Porter</w:t>
        </w:r>
      </w:smartTag>
      <w:r w:rsidRPr="00E039BB">
        <w:rPr>
          <w:lang w:val="en-GB"/>
        </w:rPr>
        <w:t xml:space="preserve"> </w:t>
      </w:r>
      <w:smartTag w:uri="urn:schemas-microsoft-com:office:smarttags" w:element="PlaceName">
        <w:r w:rsidRPr="00E039BB">
          <w:rPr>
            <w:lang w:val="en-GB"/>
          </w:rPr>
          <w:t>Graham</w:t>
        </w:r>
      </w:smartTag>
      <w:r w:rsidRPr="00E039BB">
        <w:rPr>
          <w:lang w:val="en-GB"/>
        </w:rPr>
        <w:t xml:space="preserve"> </w:t>
      </w:r>
      <w:smartTag w:uri="urn:schemas-microsoft-com:office:smarttags" w:element="PlaceName">
        <w:r w:rsidRPr="00E039BB">
          <w:rPr>
            <w:lang w:val="en-GB"/>
          </w:rPr>
          <w:t>Child</w:t>
        </w:r>
      </w:smartTag>
      <w:r w:rsidRPr="00E039BB">
        <w:rPr>
          <w:lang w:val="en-GB"/>
        </w:rPr>
        <w:t xml:space="preserve"> </w:t>
      </w:r>
      <w:smartTag w:uri="urn:schemas-microsoft-com:office:smarttags" w:element="PlaceName">
        <w:r w:rsidRPr="00E039BB">
          <w:rPr>
            <w:lang w:val="en-GB"/>
          </w:rPr>
          <w:t>Development</w:t>
        </w:r>
      </w:smartTag>
      <w:r w:rsidRPr="00E039BB">
        <w:rPr>
          <w:lang w:val="en-GB"/>
        </w:rPr>
        <w:t xml:space="preserve"> </w:t>
      </w:r>
      <w:smartTag w:uri="urn:schemas-microsoft-com:office:smarttags" w:element="PlaceType">
        <w:r w:rsidRPr="00E039BB">
          <w:rPr>
            <w:lang w:val="en-GB"/>
          </w:rPr>
          <w:t>Center</w:t>
        </w:r>
      </w:smartTag>
      <w:r w:rsidRPr="00E039BB">
        <w:rPr>
          <w:lang w:val="en-GB"/>
        </w:rPr>
        <w:t xml:space="preserve">, </w:t>
      </w:r>
      <w:smartTag w:uri="urn:schemas-microsoft-com:office:smarttags" w:element="place">
        <w:smartTag w:uri="urn:schemas-microsoft-com:office:smarttags" w:element="PlaceType">
          <w:r w:rsidRPr="00E039BB">
            <w:rPr>
              <w:lang w:val="en-GB"/>
            </w:rPr>
            <w:t>University</w:t>
          </w:r>
        </w:smartTag>
        <w:r w:rsidRPr="00E039BB">
          <w:rPr>
            <w:lang w:val="en-GB"/>
          </w:rPr>
          <w:t xml:space="preserve"> of </w:t>
        </w:r>
        <w:smartTag w:uri="urn:schemas-microsoft-com:office:smarttags" w:element="PlaceName">
          <w:r w:rsidRPr="00E039BB">
            <w:rPr>
              <w:lang w:val="en-GB"/>
            </w:rPr>
            <w:t>North Carolina</w:t>
          </w:r>
        </w:smartTag>
      </w:smartTag>
      <w:r w:rsidRPr="00E039BB">
        <w:rPr>
          <w:lang w:val="en-GB"/>
        </w:rPr>
        <w:t>.</w:t>
      </w:r>
    </w:p>
  </w:footnote>
  <w:footnote w:id="182">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For example, 1) Allen, R.I. and Petr, C.G. (1996) Towards developing standards and measurements for family-centered practice in family-support programs In G.H.S. Singer, L.E. Powers and A.L. Olson (Eds.) Redefining Family Support: Innovations in Public-Private Partnerships Baltimore, Maryland: Paul H. Brookes. 2) Turnbull, A.P., Turbiville, V. &amp; Turnbull, H.R. (2000). Evolution of family-professional relationships: Collective empowerment for the early 21st century. In J.P. Shonkoff and S.J. Meisels. (Eds.). Handbook of Early Childhood Intervention (2nd Ed) </w:t>
      </w:r>
      <w:smartTag w:uri="urn:schemas-microsoft-com:office:smarttags" w:element="City">
        <w:r w:rsidRPr="00E039BB">
          <w:rPr>
            <w:lang w:val="en-GB"/>
          </w:rPr>
          <w:t>Cambridge</w:t>
        </w:r>
      </w:smartTag>
      <w:r w:rsidRPr="00E039BB">
        <w:rPr>
          <w:lang w:val="en-GB"/>
        </w:rPr>
        <w:t xml:space="preserve">, </w:t>
      </w:r>
      <w:smartTag w:uri="urn:schemas-microsoft-com:office:smarttags" w:element="country-region">
        <w:r w:rsidRPr="00E039BB">
          <w:rPr>
            <w:lang w:val="en-GB"/>
          </w:rPr>
          <w:t>UK</w:t>
        </w:r>
      </w:smartTag>
      <w:r w:rsidRPr="00E039BB">
        <w:rPr>
          <w:lang w:val="en-GB"/>
        </w:rPr>
        <w:t xml:space="preserve">: </w:t>
      </w:r>
      <w:smartTag w:uri="urn:schemas-microsoft-com:office:smarttags" w:element="place">
        <w:smartTag w:uri="urn:schemas-microsoft-com:office:smarttags" w:element="PlaceName">
          <w:r w:rsidRPr="00E039BB">
            <w:rPr>
              <w:lang w:val="en-GB"/>
            </w:rPr>
            <w:t>Cambridge</w:t>
          </w:r>
        </w:smartTag>
        <w:r w:rsidRPr="00E039BB">
          <w:rPr>
            <w:lang w:val="en-GB"/>
          </w:rPr>
          <w:t xml:space="preserve"> </w:t>
        </w:r>
        <w:smartTag w:uri="urn:schemas-microsoft-com:office:smarttags" w:element="PlaceType">
          <w:r w:rsidRPr="00E039BB">
            <w:rPr>
              <w:lang w:val="en-GB"/>
            </w:rPr>
            <w:t>University</w:t>
          </w:r>
        </w:smartTag>
      </w:smartTag>
      <w:r w:rsidRPr="00E039BB">
        <w:rPr>
          <w:lang w:val="en-GB"/>
        </w:rPr>
        <w:t xml:space="preserve"> Press. 3); Turnbull, A.P. &amp; Tunbull, H.R. (2000). Families, Professionals and Exceptionality: Collaborating for Empowerment (4</w:t>
      </w:r>
      <w:r w:rsidRPr="00E039BB">
        <w:rPr>
          <w:vertAlign w:val="superscript"/>
          <w:lang w:val="en-GB"/>
        </w:rPr>
        <w:t>th</w:t>
      </w:r>
      <w:r w:rsidRPr="00E039BB">
        <w:rPr>
          <w:lang w:val="en-GB"/>
        </w:rPr>
        <w:t xml:space="preserve"> Ed.). </w:t>
      </w:r>
      <w:smartTag w:uri="urn:schemas-microsoft-com:office:smarttags" w:element="place">
        <w:smartTag w:uri="urn:schemas-microsoft-com:office:smarttags" w:element="City">
          <w:r w:rsidRPr="00E039BB">
            <w:rPr>
              <w:lang w:val="en-GB"/>
            </w:rPr>
            <w:t>Upper Saddle River</w:t>
          </w:r>
        </w:smartTag>
        <w:r w:rsidRPr="00E039BB">
          <w:rPr>
            <w:lang w:val="en-GB"/>
          </w:rPr>
          <w:t xml:space="preserve">, </w:t>
        </w:r>
        <w:smartTag w:uri="urn:schemas-microsoft-com:office:smarttags" w:element="State">
          <w:r w:rsidRPr="00E039BB">
            <w:rPr>
              <w:lang w:val="en-GB"/>
            </w:rPr>
            <w:t>New Jersey</w:t>
          </w:r>
        </w:smartTag>
      </w:smartTag>
      <w:r w:rsidRPr="00E039BB">
        <w:rPr>
          <w:lang w:val="en-GB"/>
        </w:rPr>
        <w:t>: Merrill/Prentice Hall.</w:t>
      </w:r>
    </w:p>
  </w:footnote>
  <w:footnote w:id="183">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Rosenbaum, P., King, S., Law, M., King, G. &amp; Evans, J. (1998). Family-centred service: A conceptual framework and research review. Physical and Occupational Therapy in Paediatrics, 18 (1), 1-20.</w:t>
      </w:r>
    </w:p>
  </w:footnote>
  <w:footnote w:id="184">
    <w:p w:rsidR="00BD6FC4" w:rsidRPr="00E039BB" w:rsidRDefault="00BD6FC4" w:rsidP="003E307C">
      <w:pPr>
        <w:pStyle w:val="FootnoteText"/>
        <w:spacing w:after="0"/>
        <w:rPr>
          <w:szCs w:val="22"/>
          <w:lang w:val="en-GB"/>
        </w:rPr>
      </w:pPr>
      <w:r w:rsidRPr="00E039BB">
        <w:rPr>
          <w:rStyle w:val="FootnoteReference"/>
          <w:lang w:val="en-GB"/>
        </w:rPr>
        <w:footnoteRef/>
      </w:r>
      <w:r w:rsidRPr="00E039BB">
        <w:rPr>
          <w:lang w:val="en-GB"/>
        </w:rPr>
        <w:t xml:space="preserve"> 1) Family Resource Coalition. (1987).What are the assumptions of the Family Resource Movement? </w:t>
      </w:r>
      <w:smartTag w:uri="urn:schemas-microsoft-com:office:smarttags" w:element="place">
        <w:smartTag w:uri="urn:schemas-microsoft-com:office:smarttags" w:element="City">
          <w:r w:rsidRPr="00E039BB">
            <w:rPr>
              <w:lang w:val="en-GB"/>
            </w:rPr>
            <w:t>Chicago</w:t>
          </w:r>
        </w:smartTag>
        <w:r w:rsidRPr="00E039BB">
          <w:rPr>
            <w:lang w:val="en-GB"/>
          </w:rPr>
          <w:t xml:space="preserve">, </w:t>
        </w:r>
        <w:smartTag w:uri="urn:schemas-microsoft-com:office:smarttags" w:element="State">
          <w:r w:rsidRPr="00E039BB">
            <w:rPr>
              <w:lang w:val="en-GB"/>
            </w:rPr>
            <w:t>Michigan</w:t>
          </w:r>
        </w:smartTag>
      </w:smartTag>
      <w:r w:rsidRPr="00E039BB">
        <w:rPr>
          <w:lang w:val="en-GB"/>
        </w:rPr>
        <w:t xml:space="preserve">: Family Resource Coalition. 2) Family Resource Coalition. (1996). Guidelines for Family Support Practice. </w:t>
      </w:r>
      <w:smartTag w:uri="urn:schemas-microsoft-com:office:smarttags" w:element="place">
        <w:smartTag w:uri="urn:schemas-microsoft-com:office:smarttags" w:element="City">
          <w:r w:rsidRPr="00E039BB">
            <w:rPr>
              <w:lang w:val="en-GB"/>
            </w:rPr>
            <w:t>Chicago</w:t>
          </w:r>
        </w:smartTag>
        <w:r w:rsidRPr="00E039BB">
          <w:rPr>
            <w:lang w:val="en-GB"/>
          </w:rPr>
          <w:t xml:space="preserve">, </w:t>
        </w:r>
        <w:smartTag w:uri="urn:schemas-microsoft-com:office:smarttags" w:element="State">
          <w:r w:rsidRPr="00E039BB">
            <w:rPr>
              <w:lang w:val="en-GB"/>
            </w:rPr>
            <w:t>Michigan</w:t>
          </w:r>
        </w:smartTag>
      </w:smartTag>
      <w:r w:rsidRPr="00E039BB">
        <w:rPr>
          <w:lang w:val="en-GB"/>
        </w:rPr>
        <w:t xml:space="preserve">: Family Resource Coalition. 3) Family Resource Coalition. (1997). Companion Guide to Guidelines for Family Support Practice. </w:t>
      </w:r>
      <w:smartTag w:uri="urn:schemas-microsoft-com:office:smarttags" w:element="place">
        <w:smartTag w:uri="urn:schemas-microsoft-com:office:smarttags" w:element="City">
          <w:r w:rsidRPr="00E039BB">
            <w:rPr>
              <w:lang w:val="en-GB"/>
            </w:rPr>
            <w:t>Chicago</w:t>
          </w:r>
        </w:smartTag>
        <w:r w:rsidRPr="00E039BB">
          <w:rPr>
            <w:lang w:val="en-GB"/>
          </w:rPr>
          <w:t xml:space="preserve">, </w:t>
        </w:r>
        <w:smartTag w:uri="urn:schemas-microsoft-com:office:smarttags" w:element="State">
          <w:r w:rsidRPr="00E039BB">
            <w:rPr>
              <w:lang w:val="en-GB"/>
            </w:rPr>
            <w:t>Michigan</w:t>
          </w:r>
        </w:smartTag>
      </w:smartTag>
      <w:r w:rsidRPr="00E039BB">
        <w:rPr>
          <w:lang w:val="en-GB"/>
        </w:rPr>
        <w:t xml:space="preserve">: Family Resource Coalition. 40 Dunst, C.J. (1995). Key characteristics and </w:t>
      </w:r>
      <w:r w:rsidRPr="00E039BB">
        <w:rPr>
          <w:szCs w:val="22"/>
          <w:lang w:val="en-GB"/>
        </w:rPr>
        <w:t xml:space="preserve">features of community-based family support programs. </w:t>
      </w:r>
      <w:smartTag w:uri="urn:schemas-microsoft-com:office:smarttags" w:element="place">
        <w:smartTag w:uri="urn:schemas-microsoft-com:office:smarttags" w:element="City">
          <w:r w:rsidRPr="00E039BB">
            <w:rPr>
              <w:szCs w:val="22"/>
              <w:lang w:val="en-GB"/>
            </w:rPr>
            <w:t>Chicago</w:t>
          </w:r>
        </w:smartTag>
        <w:r w:rsidRPr="00E039BB">
          <w:rPr>
            <w:szCs w:val="22"/>
            <w:lang w:val="en-GB"/>
          </w:rPr>
          <w:t xml:space="preserve">, </w:t>
        </w:r>
        <w:smartTag w:uri="urn:schemas-microsoft-com:office:smarttags" w:element="State">
          <w:r w:rsidRPr="00E039BB">
            <w:rPr>
              <w:szCs w:val="22"/>
              <w:lang w:val="en-GB"/>
            </w:rPr>
            <w:t>Michigan</w:t>
          </w:r>
        </w:smartTag>
      </w:smartTag>
      <w:r w:rsidRPr="00E039BB">
        <w:rPr>
          <w:szCs w:val="22"/>
          <w:lang w:val="en-GB"/>
        </w:rPr>
        <w:t>: Family Resource Coalition</w:t>
      </w:r>
    </w:p>
  </w:footnote>
  <w:footnote w:id="185">
    <w:p w:rsidR="00BD6FC4" w:rsidRPr="00E039BB" w:rsidRDefault="00BD6FC4" w:rsidP="003E307C">
      <w:pPr>
        <w:pStyle w:val="FootnoteText"/>
        <w:spacing w:after="0"/>
        <w:rPr>
          <w:szCs w:val="22"/>
          <w:lang w:val="en-GB"/>
        </w:rPr>
      </w:pPr>
      <w:r w:rsidRPr="00E039BB">
        <w:rPr>
          <w:rStyle w:val="FootnoteReference"/>
          <w:sz w:val="22"/>
          <w:szCs w:val="22"/>
          <w:lang w:val="en-GB"/>
        </w:rPr>
        <w:footnoteRef/>
      </w:r>
      <w:r w:rsidRPr="00E039BB">
        <w:rPr>
          <w:szCs w:val="22"/>
          <w:lang w:val="en-GB"/>
        </w:rPr>
        <w:t xml:space="preserve"> </w:t>
      </w:r>
      <w:r w:rsidRPr="00BE4E14">
        <w:rPr>
          <w:szCs w:val="22"/>
          <w:lang w:val="en-GB"/>
        </w:rPr>
        <w:t>Baird, S. &amp; Peterson, J. (1997). Seeking a comfortable fit between family-centred philosophy and infant parent interaction in early intervention: Time for a paradigm shift? Topics in Early Childhood Special Education 17(2), 139-164; Beckman, P.J. (2002). Providing family-centered services. In M.L. Batshaw (Ed.). Children with Disabilities (5th Ed.). Baltimore, Maryland: Paul H. Brookes; Beckman, P.J., Robinson, C.C., Rosenberg, S. &amp; Filer, J. (1994). Family involvement in early intervention:</w:t>
      </w:r>
      <w:r w:rsidRPr="00E039BB">
        <w:rPr>
          <w:szCs w:val="22"/>
          <w:lang w:val="en-GB"/>
        </w:rPr>
        <w:t xml:space="preserve"> The evolution ,of family-centered service. In L.J. Johnson, R.J. Gallagher, M.J. LaMontagne, J.B. Jordan, J.J. Gallagher P.L. Hutinger and M.B. Karnes (Eds.). Meeting Early Intervention Challenges: Issues from Birth to Three (2nd. Ed.). </w:t>
      </w:r>
      <w:smartTag w:uri="urn:schemas-microsoft-com:office:smarttags" w:element="place">
        <w:smartTag w:uri="urn:schemas-microsoft-com:office:smarttags" w:element="City">
          <w:r w:rsidRPr="00E039BB">
            <w:rPr>
              <w:szCs w:val="22"/>
              <w:lang w:val="en-GB"/>
            </w:rPr>
            <w:t>Baltimore</w:t>
          </w:r>
        </w:smartTag>
        <w:r w:rsidRPr="00E039BB">
          <w:rPr>
            <w:szCs w:val="22"/>
            <w:lang w:val="en-GB"/>
          </w:rPr>
          <w:t xml:space="preserve">, </w:t>
        </w:r>
        <w:smartTag w:uri="urn:schemas-microsoft-com:office:smarttags" w:element="State">
          <w:r w:rsidRPr="00E039BB">
            <w:rPr>
              <w:szCs w:val="22"/>
              <w:lang w:val="en-GB"/>
            </w:rPr>
            <w:t>Maryland</w:t>
          </w:r>
        </w:smartTag>
      </w:smartTag>
      <w:r w:rsidRPr="00E039BB">
        <w:rPr>
          <w:szCs w:val="22"/>
          <w:lang w:val="en-GB"/>
        </w:rPr>
        <w:t xml:space="preserve">: Paul H. Brooke; Epps, S. &amp; Jackson, B.J. (2000). Empowered Families, Successful Children: Early Intervention Programs That Work. </w:t>
      </w:r>
      <w:smartTag w:uri="urn:schemas-microsoft-com:office:smarttags" w:element="place">
        <w:smartTag w:uri="urn:schemas-microsoft-com:office:smarttags" w:element="City">
          <w:r w:rsidRPr="00E039BB">
            <w:rPr>
              <w:szCs w:val="22"/>
              <w:lang w:val="en-GB"/>
            </w:rPr>
            <w:t>Washington</w:t>
          </w:r>
        </w:smartTag>
        <w:r w:rsidRPr="00E039BB">
          <w:rPr>
            <w:szCs w:val="22"/>
            <w:lang w:val="en-GB"/>
          </w:rPr>
          <w:t xml:space="preserve">, </w:t>
        </w:r>
        <w:smartTag w:uri="urn:schemas-microsoft-com:office:smarttags" w:element="State">
          <w:r w:rsidRPr="00E039BB">
            <w:rPr>
              <w:szCs w:val="22"/>
              <w:lang w:val="en-GB"/>
            </w:rPr>
            <w:t>D.C.</w:t>
          </w:r>
        </w:smartTag>
      </w:smartTag>
      <w:r w:rsidRPr="00E039BB">
        <w:rPr>
          <w:szCs w:val="22"/>
          <w:lang w:val="en-GB"/>
        </w:rPr>
        <w:t xml:space="preserve">: American Psychological Corporation; McBride, S.L. (1999). Research in review: Family-centred practices. Young Children, 54(3), 62-70; Powell, J.Y. (1996). A schema for family-centred practice. Families in Society, 77(7), 446-448. </w:t>
      </w:r>
    </w:p>
  </w:footnote>
  <w:footnote w:id="186">
    <w:p w:rsidR="00BD6FC4" w:rsidRPr="00E039BB" w:rsidRDefault="00BD6FC4" w:rsidP="003E307C">
      <w:pPr>
        <w:pStyle w:val="FootnoteText"/>
        <w:spacing w:after="0"/>
        <w:rPr>
          <w:lang w:val="en-GB"/>
        </w:rPr>
      </w:pPr>
      <w:r w:rsidRPr="00E039BB">
        <w:rPr>
          <w:rStyle w:val="FootnoteReference"/>
          <w:sz w:val="22"/>
          <w:szCs w:val="22"/>
          <w:lang w:val="en-GB"/>
        </w:rPr>
        <w:footnoteRef/>
      </w:r>
      <w:r w:rsidRPr="00E039BB">
        <w:rPr>
          <w:szCs w:val="22"/>
          <w:lang w:val="en-GB"/>
        </w:rPr>
        <w:t xml:space="preserve"> Research showing positive outcomes has been summarised by, for example, </w:t>
      </w:r>
      <w:r w:rsidRPr="00E039BB">
        <w:rPr>
          <w:lang w:val="en-GB"/>
        </w:rPr>
        <w:t xml:space="preserve">Moore, T., Larkin, H. (2005) in More than my child's disability, Scope, Victoria </w:t>
      </w:r>
      <w:hyperlink r:id="rId7" w:history="1">
        <w:r w:rsidRPr="00E039BB">
          <w:rPr>
            <w:rStyle w:val="Hyperlink"/>
            <w:color w:val="auto"/>
            <w:lang w:val="en-GB"/>
          </w:rPr>
          <w:t xml:space="preserve"> scopevic.org.au/mychild.pdf</w:t>
        </w:r>
      </w:hyperlink>
      <w:r w:rsidRPr="00E039BB">
        <w:rPr>
          <w:lang w:val="en-GB"/>
        </w:rPr>
        <w:t xml:space="preserve"> and </w:t>
      </w:r>
      <w:r w:rsidRPr="00E039BB">
        <w:rPr>
          <w:szCs w:val="22"/>
          <w:lang w:val="en-GB"/>
        </w:rPr>
        <w:t xml:space="preserve">Espe-Sherwindt, M. (2008) in Family-centred practice: collaboration, competency and evidence Support for Learning, 23 (3) p.1-9 </w:t>
      </w:r>
      <w:r w:rsidRPr="00E039BB">
        <w:rPr>
          <w:rFonts w:cs="Arial"/>
          <w:szCs w:val="22"/>
          <w:lang w:val="en-GB"/>
        </w:rPr>
        <w:t>familieswiki.pbworks.com/f/Family-Centred+Practice.pdf</w:t>
      </w:r>
      <w:r w:rsidRPr="00E039BB">
        <w:rPr>
          <w:szCs w:val="22"/>
          <w:lang w:val="en-GB"/>
        </w:rPr>
        <w:t xml:space="preserve"> ) included Dunst, CJ., Trivette, CM. (2005) Characteristics and consequences of family-</w:t>
      </w:r>
      <w:r w:rsidRPr="00BE4E14">
        <w:rPr>
          <w:szCs w:val="22"/>
          <w:lang w:val="en-GB"/>
        </w:rPr>
        <w:t>centred help-giving practices. Casemakers, 1, 6, 1-4. Access at www.fippcase.org/casemakers/casemakers_vol1_no6.pdf]; King, G., King, S., Rosenbaum, P. and Goffin, R. (1999) Family centered care-giving and well-being of parents of children with disabilities: linking process with outcome. Journal of Pediatric Psychology, 24, 1, 41–53; Wilson, LL., (2005) Characteristics and consequences</w:t>
      </w:r>
      <w:r w:rsidRPr="00BE4E14">
        <w:rPr>
          <w:lang w:val="en-GB"/>
        </w:rPr>
        <w:t xml:space="preserve"> of capacity building parenting</w:t>
      </w:r>
      <w:r w:rsidRPr="00E039BB">
        <w:rPr>
          <w:lang w:val="en-GB"/>
        </w:rPr>
        <w:t xml:space="preserve"> supports. Casemakers, 1, 4, 1–3. </w:t>
      </w:r>
      <w:hyperlink r:id="rId8" w:history="1">
        <w:r>
          <w:rPr>
            <w:rStyle w:val="Hyperlink"/>
            <w:color w:val="auto"/>
            <w:lang w:val="en-GB"/>
          </w:rPr>
          <w:t xml:space="preserve"> </w:t>
        </w:r>
        <w:r w:rsidRPr="00E039BB">
          <w:rPr>
            <w:rStyle w:val="Hyperlink"/>
            <w:color w:val="auto"/>
            <w:lang w:val="en-GB"/>
          </w:rPr>
          <w:t>fippcase.org/casemakers/casemakers_vol1_no4.pdf</w:t>
        </w:r>
      </w:hyperlink>
    </w:p>
  </w:footnote>
  <w:footnote w:id="187">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Dunst, CJ., Trivette, CM., Hamby, DW. (2006) Family Support Program Quality and Parent, Family and Child Benefits. </w:t>
      </w:r>
      <w:smartTag w:uri="urn:schemas-microsoft-com:office:smarttags" w:element="place">
        <w:smartTag w:uri="urn:schemas-microsoft-com:office:smarttags" w:element="City">
          <w:r w:rsidRPr="00E039BB">
            <w:rPr>
              <w:lang w:val="en-GB"/>
            </w:rPr>
            <w:t>Asheville</w:t>
          </w:r>
        </w:smartTag>
        <w:r w:rsidRPr="00E039BB">
          <w:rPr>
            <w:lang w:val="en-GB"/>
          </w:rPr>
          <w:t xml:space="preserve">, </w:t>
        </w:r>
        <w:smartTag w:uri="urn:schemas-microsoft-com:office:smarttags" w:element="State">
          <w:r w:rsidRPr="00E039BB">
            <w:rPr>
              <w:lang w:val="en-GB"/>
            </w:rPr>
            <w:t>NC</w:t>
          </w:r>
        </w:smartTag>
      </w:smartTag>
      <w:r w:rsidRPr="00E039BB">
        <w:rPr>
          <w:lang w:val="en-GB"/>
        </w:rPr>
        <w:t xml:space="preserve">: Winterberry Press </w:t>
      </w:r>
      <w:r w:rsidRPr="00E039BB">
        <w:rPr>
          <w:szCs w:val="22"/>
          <w:lang w:val="en-GB"/>
        </w:rPr>
        <w:t>as cited by Espe-Sherwindt, M. (2008)</w:t>
      </w:r>
    </w:p>
  </w:footnote>
  <w:footnote w:id="188">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Dunst, CJ., Trivette, CM., Hamby, DW. (2007) </w:t>
      </w:r>
      <w:smartTag w:uri="urn:schemas-microsoft-com:office:smarttags" w:element="place">
        <w:r w:rsidRPr="00E039BB">
          <w:rPr>
            <w:lang w:val="en-GB"/>
          </w:rPr>
          <w:t>Meta</w:t>
        </w:r>
      </w:smartTag>
      <w:r w:rsidRPr="00E039BB">
        <w:rPr>
          <w:lang w:val="en-GB"/>
        </w:rPr>
        <w:t xml:space="preserve"> analysis of family-centered help giving practices research. Mental Retardation and Developmental Disabilities Research Reviews, 13,</w:t>
      </w:r>
    </w:p>
    <w:p w:rsidR="00BD6FC4" w:rsidRPr="00E039BB" w:rsidRDefault="00BD6FC4" w:rsidP="003E307C">
      <w:pPr>
        <w:pStyle w:val="FootnoteText"/>
        <w:spacing w:after="0"/>
        <w:rPr>
          <w:lang w:val="en-GB"/>
        </w:rPr>
      </w:pPr>
      <w:r w:rsidRPr="00E039BB">
        <w:rPr>
          <w:lang w:val="en-GB"/>
        </w:rPr>
        <w:t>370–378</w:t>
      </w:r>
    </w:p>
  </w:footnote>
  <w:footnote w:id="189">
    <w:p w:rsidR="00BD6FC4" w:rsidRPr="00E039BB" w:rsidRDefault="00BD6FC4" w:rsidP="003E307C">
      <w:pPr>
        <w:pStyle w:val="FootnoteText"/>
        <w:spacing w:after="0"/>
        <w:rPr>
          <w:lang w:val="en-GB"/>
        </w:rPr>
      </w:pPr>
      <w:r w:rsidRPr="00E039BB">
        <w:rPr>
          <w:rStyle w:val="FootnoteReference"/>
          <w:lang w:val="en-GB"/>
        </w:rPr>
        <w:footnoteRef/>
      </w:r>
      <w:r w:rsidRPr="00E039BB">
        <w:rPr>
          <w:lang w:val="en-GB"/>
        </w:rPr>
        <w:t xml:space="preserve"> Moore, T., Larkin, H., (2005) More than my child’s disability…”: A comprehensive literature review about family centred practice and family experiences of early childhood intervention services Victoria, Australia Scope (Vic) Ltd.</w:t>
      </w:r>
    </w:p>
  </w:footnote>
  <w:footnote w:id="190">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World Health Organisation (2010) Framework for action on inter-professional education and collaborative practice. </w:t>
      </w:r>
      <w:smartTag w:uri="urn:schemas-microsoft-com:office:smarttags" w:element="place">
        <w:smartTag w:uri="urn:schemas-microsoft-com:office:smarttags" w:element="City">
          <w:r w:rsidRPr="00E039BB">
            <w:rPr>
              <w:lang w:val="en-GB"/>
            </w:rPr>
            <w:t>Geneva</w:t>
          </w:r>
        </w:smartTag>
      </w:smartTag>
      <w:r w:rsidRPr="00E039BB">
        <w:rPr>
          <w:lang w:val="en-GB"/>
        </w:rPr>
        <w:t>: WHO</w:t>
      </w:r>
    </w:p>
  </w:footnote>
  <w:footnote w:id="191">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Inter-professional collaboration is also known as inter-professional practice</w:t>
      </w:r>
    </w:p>
  </w:footnote>
  <w:footnote w:id="192">
    <w:p w:rsidR="00BD6FC4" w:rsidRPr="00E039BB" w:rsidRDefault="00BD6FC4" w:rsidP="00DC6120">
      <w:pPr>
        <w:pStyle w:val="FootnoteText"/>
        <w:spacing w:after="0"/>
        <w:rPr>
          <w:lang w:val="en-GB"/>
        </w:rPr>
      </w:pPr>
      <w:r w:rsidRPr="00E039BB">
        <w:rPr>
          <w:rStyle w:val="FootnoteReference"/>
          <w:lang w:val="en-GB"/>
        </w:rPr>
        <w:footnoteRef/>
      </w:r>
      <w:r w:rsidRPr="009A477D">
        <w:rPr>
          <w:lang w:val="de-DE"/>
        </w:rPr>
        <w:t xml:space="preserve"> </w:t>
      </w:r>
      <w:r w:rsidRPr="009A477D">
        <w:rPr>
          <w:lang w:val="de-DE"/>
        </w:rPr>
        <w:t xml:space="preserve">Zwarenstein M., Goldman J. &amp; Reeves S. (2009). </w:t>
      </w:r>
      <w:r w:rsidRPr="00E039BB">
        <w:rPr>
          <w:lang w:val="en-GB"/>
        </w:rPr>
        <w:t>Interprofessional collaboration: effects of practice-based interventions on professional practice and healthcare outcomes. Cochrane Database of Systematic Reviews, Issue 3. Art. No.: CD000072. DOI: 10.1002/14651858.CD000072.pub2.</w:t>
      </w:r>
    </w:p>
  </w:footnote>
  <w:footnote w:id="193">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Allen et al, 1997 as cited in </w:t>
      </w:r>
      <w:smartTag w:uri="urn:schemas-microsoft-com:office:smarttags" w:element="place">
        <w:smartTag w:uri="urn:schemas-microsoft-com:office:smarttags" w:element="City">
          <w:r w:rsidRPr="00E039BB">
            <w:rPr>
              <w:lang w:val="en-GB"/>
            </w:rPr>
            <w:t>Bell</w:t>
          </w:r>
        </w:smartTag>
      </w:smartTag>
      <w:r w:rsidRPr="00E039BB">
        <w:rPr>
          <w:lang w:val="en-GB"/>
        </w:rPr>
        <w:t>, A., Corfield, M., &amp; Richardson, N. (2009). Collaborative transdisciplinary intervention in early years-putting theory in practice. Child: care, health and development, 36 (1), 142-148.</w:t>
      </w:r>
    </w:p>
  </w:footnote>
  <w:footnote w:id="194">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Friend, M., &amp; Cook, L. (2007). Interactions: Collaboration skills for school professionals (5th ed.). </w:t>
      </w:r>
      <w:smartTag w:uri="urn:schemas-microsoft-com:office:smarttags" w:element="City">
        <w:smartTag w:uri="urn:schemas-microsoft-com:office:smarttags" w:element="place">
          <w:r w:rsidRPr="00E039BB">
            <w:rPr>
              <w:lang w:val="en-GB"/>
            </w:rPr>
            <w:t>Boston</w:t>
          </w:r>
        </w:smartTag>
      </w:smartTag>
      <w:r w:rsidRPr="00E039BB">
        <w:rPr>
          <w:lang w:val="en-GB"/>
        </w:rPr>
        <w:t>: Allyn and Bacon.</w:t>
      </w:r>
    </w:p>
  </w:footnote>
  <w:footnote w:id="195">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Boshoff, K. and Stewart, H. (2012), Key principles for confronting the challenges of collaboration in educational settings. Australian Occupational Therapy Journa</w:t>
      </w:r>
      <w:r>
        <w:rPr>
          <w:lang w:val="en-GB"/>
        </w:rPr>
        <w:t>l. doi: 10.1111/1440-1630.12003</w:t>
      </w:r>
    </w:p>
  </w:footnote>
  <w:footnote w:id="196">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Interdisciplinary Team Work: A Discussion Paper for Social</w:t>
      </w:r>
      <w:r>
        <w:rPr>
          <w:lang w:val="en-GB"/>
        </w:rPr>
        <w:t xml:space="preserve"> Workers </w:t>
      </w:r>
      <w:r w:rsidRPr="00E039BB">
        <w:rPr>
          <w:lang w:val="en-GB"/>
        </w:rPr>
        <w:t>nlasw.ca/pdf/Interdisciplinary_Teamwork.pdf</w:t>
      </w:r>
    </w:p>
  </w:footnote>
  <w:footnote w:id="197">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Chan, A., BPharm, Wood, V. (2012) Preparing Tomorrow’s Healthcare Providers for Interprofessional Collaborative Patient-­Centred Practice Today UBCMJ | MARCH 2010 1(2) www.ubcmj.com</w:t>
      </w:r>
    </w:p>
  </w:footnote>
  <w:footnote w:id="198">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Hammick M. Interprofessional Education: Concepts, Theory and Application. Journal of Interprofessional Care 1998; 12(3): 323-332.</w:t>
      </w:r>
    </w:p>
  </w:footnote>
  <w:footnote w:id="199">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Greiner AC, Knebel E, editors. Health Professions Education: A Bridge to Quality. </w:t>
      </w:r>
      <w:smartTag w:uri="urn:schemas-microsoft-com:office:smarttags" w:element="City">
        <w:r w:rsidRPr="00E039BB">
          <w:rPr>
            <w:lang w:val="en-GB"/>
          </w:rPr>
          <w:t>Washington</w:t>
        </w:r>
      </w:smartTag>
      <w:r w:rsidRPr="00E039BB">
        <w:rPr>
          <w:lang w:val="en-GB"/>
        </w:rPr>
        <w:t xml:space="preserve">, </w:t>
      </w:r>
      <w:smartTag w:uri="urn:schemas-microsoft-com:office:smarttags" w:element="State">
        <w:r w:rsidRPr="00E039BB">
          <w:rPr>
            <w:lang w:val="en-GB"/>
          </w:rPr>
          <w:t>DC</w:t>
        </w:r>
      </w:smartTag>
      <w:r w:rsidRPr="00E039BB">
        <w:rPr>
          <w:lang w:val="en-GB"/>
        </w:rPr>
        <w:t xml:space="preserve">: </w:t>
      </w:r>
      <w:smartTag w:uri="urn:schemas-microsoft-com:office:smarttags" w:element="place">
        <w:smartTag w:uri="urn:schemas-microsoft-com:office:smarttags" w:element="PlaceType">
          <w:r w:rsidRPr="00E039BB">
            <w:rPr>
              <w:lang w:val="en-GB"/>
            </w:rPr>
            <w:t>Institute</w:t>
          </w:r>
        </w:smartTag>
        <w:r w:rsidRPr="00E039BB">
          <w:rPr>
            <w:lang w:val="en-GB"/>
          </w:rPr>
          <w:t xml:space="preserve"> of </w:t>
        </w:r>
        <w:smartTag w:uri="urn:schemas-microsoft-com:office:smarttags" w:element="PlaceName">
          <w:r w:rsidRPr="00E039BB">
            <w:rPr>
              <w:lang w:val="en-GB"/>
            </w:rPr>
            <w:t>Medicine</w:t>
          </w:r>
        </w:smartTag>
      </w:smartTag>
      <w:r w:rsidRPr="00E039BB">
        <w:rPr>
          <w:lang w:val="en-GB"/>
        </w:rPr>
        <w:t xml:space="preserve"> of the National Academies; 2003.</w:t>
      </w:r>
    </w:p>
  </w:footnote>
  <w:footnote w:id="200">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IMPROVING TEAM WORKIN</w:t>
      </w:r>
      <w:r>
        <w:rPr>
          <w:lang w:val="en-GB"/>
        </w:rPr>
        <w:t xml:space="preserve">G A Guidance Document 2010. </w:t>
      </w:r>
      <w:r w:rsidRPr="00E039BB">
        <w:rPr>
          <w:lang w:val="en-GB"/>
        </w:rPr>
        <w:t>hse.ie/eng/services/ysys/SUI/Library/participation/team.pdf</w:t>
      </w:r>
    </w:p>
  </w:footnote>
  <w:footnote w:id="201">
    <w:p w:rsidR="00BD6FC4" w:rsidRPr="000E211C" w:rsidRDefault="00BD6FC4" w:rsidP="00DC6120">
      <w:pPr>
        <w:pStyle w:val="FootnoteText"/>
        <w:spacing w:after="0"/>
        <w:rPr>
          <w:lang w:val="en-GB"/>
        </w:rPr>
      </w:pPr>
      <w:r w:rsidRPr="00E039BB">
        <w:rPr>
          <w:rStyle w:val="FootnoteReference"/>
          <w:lang w:val="en-GB"/>
        </w:rPr>
        <w:footnoteRef/>
      </w:r>
      <w:r w:rsidRPr="00E039BB">
        <w:rPr>
          <w:lang w:val="en-GB"/>
        </w:rPr>
        <w:t xml:space="preserve"> </w:t>
      </w:r>
      <w:r w:rsidRPr="000E211C">
        <w:rPr>
          <w:lang w:val="en-GB"/>
        </w:rPr>
        <w:t xml:space="preserve">Medical teamwork and patient safety </w:t>
      </w:r>
      <w:hyperlink r:id="rId9" w:history="1">
        <w:r w:rsidRPr="000E211C">
          <w:rPr>
            <w:rStyle w:val="Hyperlink"/>
            <w:color w:val="auto"/>
            <w:u w:val="none"/>
            <w:lang w:val="en-GB"/>
          </w:rPr>
          <w:t xml:space="preserve"> www.ahrq.gov/research/findings/final-reports/medteam/index.html</w:t>
        </w:r>
      </w:hyperlink>
    </w:p>
  </w:footnote>
  <w:footnote w:id="202">
    <w:p w:rsidR="00BD6FC4" w:rsidRPr="000E211C" w:rsidRDefault="00BD6FC4" w:rsidP="00DC6120">
      <w:pPr>
        <w:pStyle w:val="FootnoteText"/>
        <w:spacing w:after="0"/>
        <w:rPr>
          <w:lang w:val="en-GB"/>
        </w:rPr>
      </w:pPr>
      <w:r w:rsidRPr="000E211C">
        <w:rPr>
          <w:rStyle w:val="FootnoteReference"/>
          <w:lang w:val="en-GB"/>
        </w:rPr>
        <w:footnoteRef/>
      </w:r>
      <w:r w:rsidRPr="000E211C">
        <w:rPr>
          <w:lang w:val="en-GB"/>
        </w:rPr>
        <w:t xml:space="preserve"> Manser, T (2009) Teamwork and patient safety in dynamic domains of healthcare: a review of the literature. Acta Anaesthesiol Scand. Feb;</w:t>
      </w:r>
      <w:r>
        <w:rPr>
          <w:lang w:val="en-GB"/>
        </w:rPr>
        <w:t xml:space="preserve"> </w:t>
      </w:r>
      <w:r w:rsidRPr="000E211C">
        <w:rPr>
          <w:lang w:val="en-GB"/>
        </w:rPr>
        <w:t>53(2):143-51</w:t>
      </w:r>
    </w:p>
  </w:footnote>
  <w:footnote w:id="203">
    <w:p w:rsidR="00BD6FC4" w:rsidRPr="000E211C" w:rsidRDefault="00BD6FC4" w:rsidP="00DC6120">
      <w:pPr>
        <w:pStyle w:val="FootnoteText"/>
        <w:spacing w:after="0"/>
        <w:rPr>
          <w:lang w:val="en-GB"/>
        </w:rPr>
      </w:pPr>
      <w:r w:rsidRPr="000E211C">
        <w:rPr>
          <w:rStyle w:val="FootnoteReference"/>
          <w:lang w:val="en-GB"/>
        </w:rPr>
        <w:footnoteRef/>
      </w:r>
      <w:r w:rsidRPr="000E211C">
        <w:rPr>
          <w:lang w:val="en-GB"/>
        </w:rPr>
        <w:t xml:space="preserve"> ibid</w:t>
      </w:r>
    </w:p>
  </w:footnote>
  <w:footnote w:id="204">
    <w:p w:rsidR="00BD6FC4" w:rsidRPr="000E211C" w:rsidRDefault="00BD6FC4" w:rsidP="00DC6120">
      <w:pPr>
        <w:pStyle w:val="FootnoteText"/>
        <w:spacing w:after="0"/>
        <w:rPr>
          <w:lang w:val="en-GB"/>
        </w:rPr>
      </w:pPr>
      <w:r w:rsidRPr="000E211C">
        <w:rPr>
          <w:rStyle w:val="FootnoteReference"/>
          <w:lang w:val="en-GB"/>
        </w:rPr>
        <w:footnoteRef/>
      </w:r>
      <w:r w:rsidRPr="000E211C">
        <w:rPr>
          <w:lang w:val="en-GB"/>
        </w:rPr>
        <w:t xml:space="preserve"> ibid</w:t>
      </w:r>
    </w:p>
  </w:footnote>
  <w:footnote w:id="205">
    <w:p w:rsidR="00BD6FC4" w:rsidRPr="00E039BB" w:rsidRDefault="00BD6FC4" w:rsidP="00DC6120">
      <w:pPr>
        <w:pStyle w:val="FootnoteText"/>
        <w:spacing w:after="0"/>
        <w:rPr>
          <w:lang w:val="en-GB"/>
        </w:rPr>
      </w:pPr>
      <w:r w:rsidRPr="00E039BB">
        <w:rPr>
          <w:rStyle w:val="FootnoteReference"/>
          <w:lang w:val="en-GB"/>
        </w:rPr>
        <w:footnoteRef/>
      </w:r>
      <w:r>
        <w:rPr>
          <w:lang w:val="en-GB"/>
        </w:rPr>
        <w:t xml:space="preserve"> Personal</w:t>
      </w:r>
      <w:r w:rsidRPr="00E039BB">
        <w:rPr>
          <w:lang w:val="en-GB"/>
        </w:rPr>
        <w:t xml:space="preserve"> communication from Sligo EIT team </w:t>
      </w:r>
    </w:p>
  </w:footnote>
  <w:footnote w:id="206">
    <w:p w:rsidR="00BD6FC4" w:rsidRPr="000E211C" w:rsidRDefault="00BD6FC4" w:rsidP="00DC6120">
      <w:pPr>
        <w:pStyle w:val="FootnoteText"/>
        <w:spacing w:after="0"/>
        <w:rPr>
          <w:lang w:val="en-GB"/>
        </w:rPr>
      </w:pPr>
      <w:r w:rsidRPr="000E211C">
        <w:rPr>
          <w:rStyle w:val="FootnoteReference"/>
          <w:lang w:val="en-GB"/>
        </w:rPr>
        <w:footnoteRef/>
      </w:r>
      <w:r w:rsidRPr="000E211C">
        <w:rPr>
          <w:lang w:val="en-GB"/>
        </w:rPr>
        <w:t xml:space="preserve"> MHC (2006) A discussion paper on Multidisciplinary Team Working: From Theory to Pr</w:t>
      </w:r>
      <w:r>
        <w:rPr>
          <w:lang w:val="en-GB"/>
        </w:rPr>
        <w:t xml:space="preserve">actice MHC Dublin </w:t>
      </w:r>
      <w:r w:rsidRPr="000E211C">
        <w:rPr>
          <w:lang w:val="en-GB"/>
        </w:rPr>
        <w:t>mhcirl.ie/File/discusspapmultiteam.pdf</w:t>
      </w:r>
    </w:p>
  </w:footnote>
  <w:footnote w:id="207">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The guidance has been developed by Caitríona Heslin and Anne Ryan based on applied work in the Dubl</w:t>
      </w:r>
      <w:r>
        <w:rPr>
          <w:lang w:val="en-GB"/>
        </w:rPr>
        <w:t xml:space="preserve">in North East region. </w:t>
      </w:r>
      <w:r w:rsidRPr="00E039BB">
        <w:rPr>
          <w:lang w:val="en-GB"/>
        </w:rPr>
        <w:t>hse.ie/eng/services/ysys/SUI/Library/participation/team.pdf</w:t>
      </w:r>
    </w:p>
  </w:footnote>
  <w:footnote w:id="208">
    <w:p w:rsidR="00BD6FC4" w:rsidRPr="00E039BB" w:rsidRDefault="00BD6FC4" w:rsidP="00DC6120">
      <w:pPr>
        <w:pStyle w:val="FootnoteText"/>
        <w:spacing w:after="0"/>
        <w:rPr>
          <w:lang w:val="en-GB"/>
        </w:rPr>
      </w:pPr>
      <w:r w:rsidRPr="00E039BB">
        <w:rPr>
          <w:rStyle w:val="FootnoteReference"/>
          <w:lang w:val="en-GB"/>
        </w:rPr>
        <w:footnoteRef/>
      </w:r>
      <w:r>
        <w:rPr>
          <w:lang w:val="en-GB"/>
        </w:rPr>
        <w:t xml:space="preserve"> </w:t>
      </w:r>
      <w:r w:rsidRPr="00E039BB">
        <w:rPr>
          <w:lang w:val="en-GB"/>
        </w:rPr>
        <w:t>Speech-Language Pathology Services in Schools: Guidelines for Best Pr</w:t>
      </w:r>
      <w:r>
        <w:rPr>
          <w:lang w:val="en-GB"/>
        </w:rPr>
        <w:t>actice, 2011</w:t>
      </w:r>
    </w:p>
  </w:footnote>
  <w:footnote w:id="209">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Tuchman, L. (1996). in Rosin, P., Whitehead, A., Tuchman, L., Jesien, G., Begun, A. and Irwin, L. (1996). Partnerships in Family Centred Care - A Guide to Collaborative Early Intervention </w:t>
      </w:r>
      <w:smartTag w:uri="urn:schemas-microsoft-com:office:smarttags" w:element="State">
        <w:smartTag w:uri="urn:schemas-microsoft-com:office:smarttags" w:element="place">
          <w:r w:rsidRPr="00E039BB">
            <w:rPr>
              <w:lang w:val="en-GB"/>
            </w:rPr>
            <w:t>Maryland</w:t>
          </w:r>
        </w:smartTag>
      </w:smartTag>
      <w:r w:rsidRPr="00E039BB">
        <w:rPr>
          <w:lang w:val="en-GB"/>
        </w:rPr>
        <w:t>: Brookes</w:t>
      </w:r>
    </w:p>
  </w:footnote>
  <w:footnote w:id="210">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Early Intervention Therapy Program Guidelines, 2009.</w:t>
      </w:r>
    </w:p>
  </w:footnote>
  <w:footnote w:id="211">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Tuchman, L. (1996). in Rosin, P., Whitehead, A., Tuchman, L., Jesien, G., Begun, A. and Irwin, L. (1996). Partnerships in Family Centred Care - A Guide to Collaborative Early Intervention </w:t>
      </w:r>
      <w:smartTag w:uri="urn:schemas-microsoft-com:office:smarttags" w:element="State">
        <w:smartTag w:uri="urn:schemas-microsoft-com:office:smarttags" w:element="place">
          <w:r w:rsidRPr="00E039BB">
            <w:rPr>
              <w:lang w:val="en-GB"/>
            </w:rPr>
            <w:t>Maryland</w:t>
          </w:r>
        </w:smartTag>
      </w:smartTag>
      <w:r w:rsidRPr="00E039BB">
        <w:rPr>
          <w:lang w:val="en-GB"/>
        </w:rPr>
        <w:t>: Brookes</w:t>
      </w:r>
    </w:p>
  </w:footnote>
  <w:footnote w:id="212">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Reilly, C. (2001). Transdisciplinary approach: An atypical strategy for improving outcomes in rehabilitative and long-term acute care settings. Rehabilitation Nursing, 26(6), 216–220, 244. Reilly, 2001</w:t>
      </w:r>
    </w:p>
  </w:footnote>
  <w:footnote w:id="213">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Dale, N. (1996) Working with Families of Children with Special Needs, Partnership and Practice. </w:t>
      </w:r>
      <w:smartTag w:uri="urn:schemas-microsoft-com:office:smarttags" w:element="City">
        <w:smartTag w:uri="urn:schemas-microsoft-com:office:smarttags" w:element="place">
          <w:r w:rsidRPr="00E039BB">
            <w:rPr>
              <w:lang w:val="en-GB"/>
            </w:rPr>
            <w:t>London</w:t>
          </w:r>
        </w:smartTag>
      </w:smartTag>
      <w:r w:rsidRPr="00E039BB">
        <w:rPr>
          <w:lang w:val="en-GB"/>
        </w:rPr>
        <w:t>: Routledge Dale; Widerstrom, A H., Mowder, B.B. and Sadall, S. R., (1991). At risk, Handicapped Newborns and Infants: development assessment and intervention. Prentice Hall; NJ.</w:t>
      </w:r>
    </w:p>
  </w:footnote>
  <w:footnote w:id="214">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Early Childhood Intervention Progress and Developments 2005-2010</w:t>
      </w:r>
    </w:p>
  </w:footnote>
  <w:footnote w:id="215">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w:t>
      </w:r>
      <w:smartTag w:uri="urn:schemas-microsoft-com:office:smarttags" w:element="place">
        <w:smartTag w:uri="urn:schemas-microsoft-com:office:smarttags" w:element="PlaceName">
          <w:r w:rsidRPr="00E039BB">
            <w:rPr>
              <w:lang w:val="en-GB"/>
            </w:rPr>
            <w:t>Virginia</w:t>
          </w:r>
        </w:smartTag>
        <w:r w:rsidRPr="00E039BB">
          <w:rPr>
            <w:lang w:val="en-GB"/>
          </w:rPr>
          <w:t xml:space="preserve"> </w:t>
        </w:r>
        <w:smartTag w:uri="urn:schemas-microsoft-com:office:smarttags" w:element="PlaceName">
          <w:r w:rsidRPr="00E039BB">
            <w:rPr>
              <w:lang w:val="en-GB"/>
            </w:rPr>
            <w:t>Department</w:t>
          </w:r>
        </w:smartTag>
      </w:smartTag>
      <w:r w:rsidRPr="00E039BB">
        <w:rPr>
          <w:lang w:val="en-GB"/>
        </w:rPr>
        <w:t xml:space="preserve"> of Education, Office of Special Education and Student Services (2011) Speech-Language Pathology Services in Schools: Guidelines for Best Practice</w:t>
      </w:r>
    </w:p>
  </w:footnote>
  <w:footnote w:id="216">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w:t>
      </w:r>
      <w:smartTag w:uri="urn:schemas-microsoft-com:office:smarttags" w:element="City">
        <w:smartTag w:uri="urn:schemas-microsoft-com:office:smarttags" w:element="place">
          <w:r w:rsidRPr="00E039BB">
            <w:rPr>
              <w:lang w:val="en-GB"/>
            </w:rPr>
            <w:t>Bell</w:t>
          </w:r>
        </w:smartTag>
      </w:smartTag>
      <w:r w:rsidRPr="00E039BB">
        <w:rPr>
          <w:lang w:val="en-GB"/>
        </w:rPr>
        <w:t xml:space="preserve">, A., Corfield, M., &amp; Richardson, N. (2009). Collaborative transdisciplinary intervention in early years-putting theory in practice. Child: care, health and development, 36 (1), 142-148. </w:t>
      </w:r>
    </w:p>
  </w:footnote>
  <w:footnote w:id="217">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Tuchman, L. (1996). in Rosin, P., Whitehead, A., Tuchman, L., Jesien, G., Begun, A. and Irwin, L. (1996). Partnerships in Family Centred Care - A Guide to Collaborative Early Intervention </w:t>
      </w:r>
      <w:smartTag w:uri="urn:schemas-microsoft-com:office:smarttags" w:element="State">
        <w:smartTag w:uri="urn:schemas-microsoft-com:office:smarttags" w:element="place">
          <w:r w:rsidRPr="00E039BB">
            <w:rPr>
              <w:lang w:val="en-GB"/>
            </w:rPr>
            <w:t>Maryland</w:t>
          </w:r>
        </w:smartTag>
      </w:smartTag>
      <w:r w:rsidRPr="00E039BB">
        <w:rPr>
          <w:lang w:val="en-GB"/>
        </w:rPr>
        <w:t>: Brookes</w:t>
      </w:r>
    </w:p>
  </w:footnote>
  <w:footnote w:id="218">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Koskie, J. &amp; Freeze, R. (2000). A critique of multidisciplinary teaming: Problems and possibilities. Developmental Disabilities Bulletin, 28(1): 1-17 as cited in Bundy, A., Hemsley, B., Brentnall, J., &amp; </w:t>
      </w:r>
      <w:smartTag w:uri="urn:schemas-microsoft-com:office:smarttags" w:element="City">
        <w:smartTag w:uri="urn:schemas-microsoft-com:office:smarttags" w:element="place">
          <w:r w:rsidRPr="00E039BB">
            <w:rPr>
              <w:lang w:val="en-GB"/>
            </w:rPr>
            <w:t>Marshall</w:t>
          </w:r>
        </w:smartTag>
      </w:smartTag>
      <w:r w:rsidRPr="00E039BB">
        <w:rPr>
          <w:lang w:val="en-GB"/>
        </w:rPr>
        <w:t>, E., (2008).Therapy Services in the Disability Sector: Literature Review. NSW Department of Ageing</w:t>
      </w:r>
      <w:r>
        <w:rPr>
          <w:lang w:val="en-GB"/>
        </w:rPr>
        <w:t xml:space="preserve">, Disability and Home Care. </w:t>
      </w:r>
      <w:r w:rsidRPr="00E039BB">
        <w:rPr>
          <w:lang w:val="en-GB"/>
        </w:rPr>
        <w:t>adhc.nsw.gov.au/__data/assets/file/0007/228139/10_Therapy_Services_Disability_Sector.pdf</w:t>
      </w:r>
    </w:p>
  </w:footnote>
  <w:footnote w:id="219">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w:t>
      </w:r>
      <w:smartTag w:uri="urn:schemas-microsoft-com:office:smarttags" w:element="place">
        <w:r w:rsidRPr="00E039BB">
          <w:rPr>
            <w:lang w:val="en-GB"/>
          </w:rPr>
          <w:t>North Tipperary</w:t>
        </w:r>
      </w:smartTag>
      <w:r w:rsidRPr="00E039BB">
        <w:rPr>
          <w:lang w:val="en-GB"/>
        </w:rPr>
        <w:t xml:space="preserve"> Early Intervention Service (2006)</w:t>
      </w:r>
    </w:p>
  </w:footnote>
  <w:footnote w:id="220">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w:t>
      </w:r>
      <w:smartTag w:uri="urn:schemas-microsoft-com:office:smarttags" w:element="City">
        <w:smartTag w:uri="urn:schemas-microsoft-com:office:smarttags" w:element="place">
          <w:r w:rsidRPr="00E039BB">
            <w:rPr>
              <w:lang w:val="en-GB"/>
            </w:rPr>
            <w:t>Wooster</w:t>
          </w:r>
        </w:smartTag>
      </w:smartTag>
      <w:r w:rsidRPr="00E039BB">
        <w:rPr>
          <w:lang w:val="en-GB"/>
        </w:rPr>
        <w:t>, 2001 Speech-Language Pathology Services in Schools: Guidelines for Best Practice, 2011).</w:t>
      </w:r>
    </w:p>
  </w:footnote>
  <w:footnote w:id="221">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ASHA, 2006; Koskie &amp; Freeze, 2000) (Speech-Language Pathology Services in Schools: Guidelines for Best Practice, 2011).</w:t>
      </w:r>
    </w:p>
  </w:footnote>
  <w:footnote w:id="222">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Dunst, C., Trivette, C. and Johanson C. (1994). Parent Professional Collaboration and Partnerships. (in) Dunst, C. Trivette, C. and Deal, A. (Eds.). Supporting and Strengthening Families: Vol. 1. Methods Strategies and Practices, </w:t>
      </w:r>
      <w:smartTag w:uri="urn:schemas-microsoft-com:office:smarttags" w:element="City">
        <w:r w:rsidRPr="00E039BB">
          <w:rPr>
            <w:lang w:val="en-GB"/>
          </w:rPr>
          <w:t>Cambridge</w:t>
        </w:r>
      </w:smartTag>
      <w:r w:rsidRPr="00E039BB">
        <w:rPr>
          <w:lang w:val="en-GB"/>
        </w:rPr>
        <w:t xml:space="preserve">, </w:t>
      </w:r>
      <w:smartTag w:uri="urn:schemas-microsoft-com:office:smarttags" w:element="State">
        <w:r w:rsidRPr="00E039BB">
          <w:rPr>
            <w:lang w:val="en-GB"/>
          </w:rPr>
          <w:t>MA</w:t>
        </w:r>
      </w:smartTag>
      <w:r w:rsidRPr="00E039BB">
        <w:rPr>
          <w:lang w:val="en-GB"/>
        </w:rPr>
        <w:t xml:space="preserve">: </w:t>
      </w:r>
      <w:smartTag w:uri="urn:schemas-microsoft-com:office:smarttags" w:element="City">
        <w:smartTag w:uri="urn:schemas-microsoft-com:office:smarttags" w:element="place">
          <w:r w:rsidRPr="00E039BB">
            <w:rPr>
              <w:lang w:val="en-GB"/>
            </w:rPr>
            <w:t>Brookline</w:t>
          </w:r>
        </w:smartTag>
      </w:smartTag>
      <w:r w:rsidRPr="00E039BB">
        <w:rPr>
          <w:lang w:val="en-GB"/>
        </w:rPr>
        <w:t xml:space="preserve"> Books. pp. 197-211</w:t>
      </w:r>
    </w:p>
  </w:footnote>
  <w:footnote w:id="223">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Walls, M., O’ Connor, M (20040 Building Blocks to Best Practice Introducing an “Integrated Holistic Model” of Early Intervention with Children and Families. www.cecde.ie/gaeilge/pdf/Questions%20of%20Quality/Walls.pdf</w:t>
      </w:r>
    </w:p>
  </w:footnote>
  <w:footnote w:id="224">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Bober, P. Corbett, S (2011) Occupational Therapy and Physical Therapy: A Resource and Planning Guide Second Edition Wisconsin Department of Public Instruction Madison, Wisconsin</w:t>
      </w:r>
    </w:p>
    <w:p w:rsidR="00BD6FC4" w:rsidRPr="00E039BB" w:rsidRDefault="00BD6FC4" w:rsidP="00DC6120">
      <w:pPr>
        <w:pStyle w:val="FootnoteText"/>
        <w:spacing w:after="0"/>
        <w:rPr>
          <w:lang w:val="en-GB"/>
        </w:rPr>
      </w:pPr>
      <w:r w:rsidRPr="00E039BB">
        <w:rPr>
          <w:lang w:val="en-GB"/>
        </w:rPr>
        <w:t xml:space="preserve"> sped.dpi.wi.gov/files/sped/pdf/ot-pt-guide-2nd-edition.pdf</w:t>
      </w:r>
    </w:p>
  </w:footnote>
  <w:footnote w:id="225">
    <w:p w:rsidR="00BD6FC4" w:rsidRPr="003229D7" w:rsidRDefault="00BD6FC4" w:rsidP="00DC6120">
      <w:pPr>
        <w:pStyle w:val="FootnoteText"/>
      </w:pPr>
      <w:r>
        <w:rPr>
          <w:rStyle w:val="FootnoteReference"/>
        </w:rPr>
        <w:footnoteRef/>
      </w:r>
      <w:r>
        <w:t xml:space="preserve"> </w:t>
      </w:r>
      <w:r w:rsidRPr="003229D7">
        <w:t xml:space="preserve">Law, </w:t>
      </w:r>
      <w:r>
        <w:t xml:space="preserve">J., </w:t>
      </w:r>
      <w:r w:rsidRPr="003229D7">
        <w:t xml:space="preserve">McCann, </w:t>
      </w:r>
      <w:r>
        <w:t xml:space="preserve">D., </w:t>
      </w:r>
      <w:r w:rsidRPr="003229D7">
        <w:t xml:space="preserve">O'May, </w:t>
      </w:r>
      <w:r>
        <w:t xml:space="preserve">F., </w:t>
      </w:r>
      <w:r w:rsidRPr="003229D7">
        <w:t xml:space="preserve">Smart, </w:t>
      </w:r>
      <w:r>
        <w:t xml:space="preserve">C., </w:t>
      </w:r>
      <w:r w:rsidRPr="003229D7">
        <w:t>Buchan,</w:t>
      </w:r>
      <w:r>
        <w:t xml:space="preserve"> J., (2009)</w:t>
      </w:r>
      <w:r w:rsidRPr="003229D7">
        <w:t xml:space="preserve"> Service Provision for Children and Young People with Complex Needs in a Community Setting from The Perspectives of Nursing and Allied Health Professionals</w:t>
      </w:r>
      <w:r>
        <w:t xml:space="preserve"> </w:t>
      </w:r>
      <w:r w:rsidRPr="003229D7">
        <w:t>www.scotland.gov.uk/Publications/2009/06/05154149/0</w:t>
      </w:r>
    </w:p>
  </w:footnote>
  <w:footnote w:id="226">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The Scottish Government (2010) Guidance on partnership working between allied health professions and education Scottish Government Edinburgh - www.scotland.gov.uk/Resource/Doc/313416/0099357.pdf</w:t>
      </w:r>
    </w:p>
  </w:footnote>
  <w:footnote w:id="227">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ibid</w:t>
      </w:r>
    </w:p>
  </w:footnote>
  <w:footnote w:id="228">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Suter, E., Deutschlande, S., Mickelson, G., Nurani, Z., Lait, J., Harrison, L., Jarvis-Selinger, S., Bainbridge, L., Achilles, S., Ateah, C., Ho K, Grymonpre. R. (2012) Can inter-professional collaboration provide health human resources solutions? A knowledge synthesis. Journal Inter-professional Care., 26(4), 261-8 and Suter, E., Deutschlander, S (2010) Can inter-professional collaboration provide health human resources solutions? Western Canadian Inter-professional Health Collaborative (WCIHC) www.cihc.ca/wcihc/pdfs/FinalSynthesisReportMarch2010.pdf</w:t>
      </w:r>
    </w:p>
  </w:footnote>
  <w:footnote w:id="229">
    <w:p w:rsidR="00BD6FC4" w:rsidRDefault="00BD6FC4" w:rsidP="00DC6120">
      <w:pPr>
        <w:pStyle w:val="FootnoteText"/>
      </w:pPr>
      <w:r>
        <w:rPr>
          <w:rStyle w:val="FootnoteReference"/>
        </w:rPr>
        <w:footnoteRef/>
      </w:r>
      <w:r w:rsidRPr="009B53E6">
        <w:t>Scottish Executive Review of Speech and Language Therapy, Physiotherapy and Occupational Therapy for Children and Speech and Language Therapy for Adults with Learning Disabilities and Autistic Spectrum Disorder</w:t>
      </w:r>
      <w:r>
        <w:t xml:space="preserve">, 2003, </w:t>
      </w:r>
      <w:r w:rsidRPr="009B53E6">
        <w:t>scotland.gov.uk/Publications/2003/08/18066/25805</w:t>
      </w:r>
    </w:p>
  </w:footnote>
  <w:footnote w:id="230">
    <w:p w:rsidR="00BD6FC4" w:rsidRPr="00E039BB" w:rsidRDefault="00BD6FC4" w:rsidP="00DC6120">
      <w:pPr>
        <w:pStyle w:val="FootnoteText"/>
        <w:spacing w:after="0"/>
        <w:rPr>
          <w:lang w:val="en-GB"/>
        </w:rPr>
      </w:pPr>
      <w:r w:rsidRPr="00E039BB">
        <w:rPr>
          <w:rStyle w:val="FootnoteReference"/>
          <w:lang w:val="en-GB"/>
        </w:rPr>
        <w:footnoteRef/>
      </w:r>
      <w:r>
        <w:rPr>
          <w:lang w:val="en-GB"/>
        </w:rPr>
        <w:t xml:space="preserve"> </w:t>
      </w:r>
      <w:r w:rsidRPr="00E039BB">
        <w:rPr>
          <w:lang w:val="en-GB"/>
        </w:rPr>
        <w:t>www.european-agency.org/publications/ereports/early-childhood-intervention/eci_en.pdf</w:t>
      </w:r>
    </w:p>
  </w:footnote>
  <w:footnote w:id="231">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Miller, C., McNicholl, A (2003) Integrating children’s services: issues and practices. </w:t>
      </w:r>
      <w:smartTag w:uri="urn:schemas-microsoft-com:office:smarttags" w:element="City">
        <w:smartTag w:uri="urn:schemas-microsoft-com:office:smarttags" w:element="place">
          <w:r w:rsidRPr="00E039BB">
            <w:rPr>
              <w:lang w:val="en-GB"/>
            </w:rPr>
            <w:t>London</w:t>
          </w:r>
        </w:smartTag>
      </w:smartTag>
      <w:r w:rsidRPr="00E039BB">
        <w:rPr>
          <w:lang w:val="en-GB"/>
        </w:rPr>
        <w:t>, Office for Public Management Ltd</w:t>
      </w:r>
    </w:p>
  </w:footnote>
  <w:footnote w:id="232">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Borrill, CS., Carletta, J., Carter, AJ., Dawson, JF., Garrod, S., Rees, A., Richards, A., Shapiro, D., West, MA (1999) The Effectiveness of Health Care Teams in the National Health Service. homepages.inf.ed.ac.uk/jeanc/DOH-final-report.pdf</w:t>
      </w:r>
    </w:p>
  </w:footnote>
  <w:footnote w:id="233">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ibid</w:t>
      </w:r>
    </w:p>
  </w:footnote>
  <w:footnote w:id="234">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ibid</w:t>
      </w:r>
    </w:p>
  </w:footnote>
  <w:footnote w:id="235">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ibid</w:t>
      </w:r>
    </w:p>
  </w:footnote>
  <w:footnote w:id="236">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w:t>
      </w:r>
      <w:proofErr w:type="spellStart"/>
      <w:r w:rsidRPr="00E039BB">
        <w:rPr>
          <w:lang w:val="en-GB"/>
        </w:rPr>
        <w:t>Romanow</w:t>
      </w:r>
      <w:proofErr w:type="spellEnd"/>
      <w:r w:rsidRPr="00E039BB">
        <w:rPr>
          <w:lang w:val="en-GB"/>
        </w:rPr>
        <w:t xml:space="preserve"> RJ. Building on Values: The Future of Health Care in </w:t>
      </w:r>
      <w:smartTag w:uri="urn:schemas-microsoft-com:office:smarttags" w:element="country-region">
        <w:smartTag w:uri="urn:schemas-microsoft-com:office:smarttags" w:element="place">
          <w:r w:rsidRPr="00E039BB">
            <w:rPr>
              <w:lang w:val="en-GB"/>
            </w:rPr>
            <w:t>Canada</w:t>
          </w:r>
        </w:smartTag>
      </w:smartTag>
      <w:r w:rsidRPr="00E039BB">
        <w:rPr>
          <w:lang w:val="en-GB"/>
        </w:rPr>
        <w:t xml:space="preserve">. </w:t>
      </w:r>
      <w:smartTag w:uri="urn:schemas-microsoft-com:office:smarttags" w:element="City">
        <w:r w:rsidRPr="00E039BB">
          <w:rPr>
            <w:lang w:val="en-GB"/>
          </w:rPr>
          <w:t>Ottawa</w:t>
        </w:r>
      </w:smartTag>
      <w:r w:rsidRPr="00E039BB">
        <w:rPr>
          <w:lang w:val="en-GB"/>
        </w:rPr>
        <w:t xml:space="preserve">: Commission on the Future of Health Care in </w:t>
      </w:r>
      <w:smartTag w:uri="urn:schemas-microsoft-com:office:smarttags" w:element="country-region">
        <w:smartTag w:uri="urn:schemas-microsoft-com:office:smarttags" w:element="place">
          <w:r w:rsidRPr="00E039BB">
            <w:rPr>
              <w:lang w:val="en-GB"/>
            </w:rPr>
            <w:t>Canada</w:t>
          </w:r>
        </w:smartTag>
      </w:smartTag>
      <w:r w:rsidRPr="00E039BB">
        <w:rPr>
          <w:lang w:val="en-GB"/>
        </w:rPr>
        <w:t>; 2002.</w:t>
      </w:r>
    </w:p>
  </w:footnote>
  <w:footnote w:id="237">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Bundy, A., Brentnall, B., Hemsley, B., Marshall, E. (2008) Therapy Services in the Disability Sector: Literature Review NSW Department of Ageing, Disability and Home Care (p. 60)</w:t>
      </w:r>
    </w:p>
  </w:footnote>
  <w:footnote w:id="238">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Canadian Interprofessional Health Collaborative (CIHC). A National Inter-professional Competency Framework: Draft for Discussion. 2009. Unpublished as cited in Chan, A., BPharm, Wood, V. (2012) Preparing Tomorrow’s Healthcare Providers for Interprofessional Collaborative Patient-­Centred Practice To</w:t>
      </w:r>
      <w:r>
        <w:rPr>
          <w:lang w:val="en-GB"/>
        </w:rPr>
        <w:t xml:space="preserve">day UBCMJ | MARCH 2010 1(2) </w:t>
      </w:r>
      <w:r w:rsidRPr="00E039BB">
        <w:rPr>
          <w:lang w:val="en-GB"/>
        </w:rPr>
        <w:t>ubcmj.com</w:t>
      </w:r>
    </w:p>
  </w:footnote>
  <w:footnote w:id="239">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Hillier SL, Civetta L, Pridham L. A Systematic Review of Collaborative Models for Health and Education Professionals Working in School Settings and Implications for Training. Education for Health 10 (online),</w:t>
      </w:r>
      <w:r>
        <w:rPr>
          <w:lang w:val="en-GB"/>
        </w:rPr>
        <w:t xml:space="preserve"> 2010: 393. </w:t>
      </w:r>
      <w:r w:rsidRPr="00E039BB">
        <w:rPr>
          <w:lang w:val="en-GB"/>
        </w:rPr>
        <w:t>educationforhealth.net</w:t>
      </w:r>
    </w:p>
  </w:footnote>
  <w:footnote w:id="240">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ibid</w:t>
      </w:r>
    </w:p>
  </w:footnote>
  <w:footnote w:id="241">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Webb N. Group Collaboration in Assessment: Multiple objectives, processes and outcomes. Educational Evaluation and Policy Analysis. 1995 Summer; 17(2):239-261 as cited in Chan, A., BPharm, Wood, V. (2012) Preparing Tomorrow’s Healthcare Providers for Interprofessional Collaborative Patient-­Centred Practice Today UBCMJ | MARCH 2010 1(2) www.ubcmj.com</w:t>
      </w:r>
    </w:p>
  </w:footnote>
  <w:footnote w:id="242">
    <w:p w:rsidR="00BD6FC4" w:rsidRPr="00E039BB" w:rsidRDefault="00BD6FC4" w:rsidP="00DC6120">
      <w:pPr>
        <w:pStyle w:val="FootnoteText"/>
        <w:spacing w:after="0"/>
        <w:rPr>
          <w:lang w:val="en-GB"/>
        </w:rPr>
      </w:pPr>
      <w:r w:rsidRPr="000E211C">
        <w:rPr>
          <w:rStyle w:val="FootnoteReference"/>
          <w:lang w:val="en-GB"/>
        </w:rPr>
        <w:footnoteRef/>
      </w:r>
      <w:r w:rsidRPr="000E211C">
        <w:rPr>
          <w:lang w:val="en-GB"/>
        </w:rPr>
        <w:t xml:space="preserve"> Stone N, Sims J, McNair R, Nesbitt P. Education for a sustainable rural workforce by building team working capacity [Online]. 2002 [cited 2009 Oc 7]. </w:t>
      </w:r>
      <w:hyperlink r:id="rId10" w:history="1">
        <w:r w:rsidRPr="000E211C">
          <w:rPr>
            <w:rStyle w:val="Hyperlink"/>
            <w:color w:val="auto"/>
            <w:u w:val="none"/>
            <w:lang w:val="en-GB"/>
          </w:rPr>
          <w:t>gp.unimelb.edu.au/research/ripe/RIPEWONCApaperFinal.doc</w:t>
        </w:r>
      </w:hyperlink>
      <w:r w:rsidRPr="000E211C">
        <w:rPr>
          <w:lang w:val="en-GB"/>
        </w:rPr>
        <w:t xml:space="preserve"> as cited in Chan, A., BPharm, Wood, V. (2012) Preparing Tomorrow’s Healthcare Providers for Interprofessional Collaborative Patient-­Centred</w:t>
      </w:r>
      <w:r w:rsidRPr="00E039BB">
        <w:rPr>
          <w:lang w:val="en-GB"/>
        </w:rPr>
        <w:t xml:space="preserve"> Practice Today UBCMJ | MARCH 2010 1(2) www.ubcmj.com</w:t>
      </w:r>
    </w:p>
  </w:footnote>
  <w:footnote w:id="243">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Dalton L, Spencer J, Dunn M, Albert E, Walker J, Farrell G. Re-thinking approaches to undergraduate health professional education: Interdisciplinary rural placement program. Collegian 2003; 10(1): 17-21 and Slack M, Cummings DM, Borrego ME, Fuller K, Cook S. Strategies used by interdisciplinary rural health training programs to assure community responsiveness and recruit practitioners. Journal of Interprofessional Care 2002; 16(2): 129-38.</w:t>
      </w:r>
    </w:p>
  </w:footnote>
  <w:footnote w:id="244">
    <w:p w:rsidR="00BD6FC4" w:rsidRPr="00E039BB" w:rsidRDefault="00BD6FC4" w:rsidP="00DC6120">
      <w:pPr>
        <w:pStyle w:val="FootnoteText"/>
        <w:spacing w:after="0"/>
        <w:rPr>
          <w:lang w:val="en-GB"/>
        </w:rPr>
      </w:pPr>
      <w:r w:rsidRPr="00E039BB">
        <w:rPr>
          <w:rStyle w:val="FootnoteReference"/>
          <w:lang w:val="en-GB"/>
        </w:rPr>
        <w:footnoteRef/>
      </w:r>
      <w:r w:rsidRPr="00E039BB">
        <w:rPr>
          <w:lang w:val="en-GB"/>
        </w:rPr>
        <w:t xml:space="preserve"> Wood V, Flavell A, Vanstolk D, Bainbridge L, Nasmith. The road to collaboration: Developing an interprofessional competency framework. Journal of Interprofessional Care 2009; 23(6): 621-629.</w:t>
      </w:r>
    </w:p>
  </w:footnote>
  <w:footnote w:id="245">
    <w:p w:rsidR="00BD6FC4" w:rsidRPr="003C7350" w:rsidRDefault="00BD6FC4" w:rsidP="00DC6120">
      <w:pPr>
        <w:pStyle w:val="FootnoteText"/>
        <w:rPr>
          <w:lang w:val="en-GB"/>
        </w:rPr>
      </w:pPr>
      <w:r>
        <w:rPr>
          <w:rStyle w:val="FootnoteReference"/>
        </w:rPr>
        <w:footnoteRef/>
      </w:r>
      <w:r w:rsidRPr="003C7350">
        <w:rPr>
          <w:lang w:val="en-GB"/>
        </w:rPr>
        <w:t xml:space="preserve"> Mitchell, P., Wynia, M., Golden, G., McNellis, B., Okun, S., Edwin Webb, C., Rohrbach, V., Von Kohorn, </w:t>
      </w:r>
      <w:smartTag w:uri="urn:schemas-microsoft-com:office:smarttags" w:element="place">
        <w:r w:rsidRPr="003C7350">
          <w:rPr>
            <w:lang w:val="en-GB"/>
          </w:rPr>
          <w:t>I</w:t>
        </w:r>
        <w:r>
          <w:rPr>
            <w:lang w:val="en-GB"/>
          </w:rPr>
          <w:t>.</w:t>
        </w:r>
      </w:smartTag>
      <w:r w:rsidRPr="003C7350">
        <w:rPr>
          <w:lang w:val="en-GB"/>
        </w:rPr>
        <w:t xml:space="preserve"> (2012) Core principles and values of effective team-based healthcare. http://www.iom.edu/~/media/Files/Perspectives-Files/2012/Discussion-Papers/VSRT-Team-Based-Care-Principles-Values.pdf</w:t>
      </w:r>
    </w:p>
  </w:footnote>
  <w:footnote w:id="246">
    <w:p w:rsidR="00BD6FC4" w:rsidRPr="00B26430" w:rsidRDefault="00BD6FC4" w:rsidP="00DC6120">
      <w:pPr>
        <w:pStyle w:val="FootnoteText"/>
      </w:pPr>
      <w:r>
        <w:rPr>
          <w:rStyle w:val="FootnoteReference"/>
        </w:rPr>
        <w:footnoteRef/>
      </w:r>
      <w:r>
        <w:t xml:space="preserve"> Dubois, CA., Singh, D. (2009)</w:t>
      </w:r>
      <w:r w:rsidRPr="00736B21">
        <w:t xml:space="preserve"> From staff-mix to skill-mix and beyond: towards a systemic approach to health workforce management</w:t>
      </w:r>
      <w:r>
        <w:t xml:space="preserve"> </w:t>
      </w:r>
      <w:r w:rsidRPr="00B26430">
        <w:t>http://www.ncbi.nlm.nih.gov/pmc/articles/PMC2813845/</w:t>
      </w:r>
    </w:p>
  </w:footnote>
  <w:footnote w:id="247">
    <w:p w:rsidR="00BD6FC4" w:rsidRPr="00B26430" w:rsidRDefault="00BD6FC4" w:rsidP="00DC6120">
      <w:pPr>
        <w:pStyle w:val="FootnoteText"/>
      </w:pPr>
      <w:r>
        <w:rPr>
          <w:rStyle w:val="FootnoteReference"/>
        </w:rPr>
        <w:footnoteRef/>
      </w:r>
      <w:r>
        <w:t xml:space="preserve"> Dubois, CA., Singh, D. (2009)</w:t>
      </w:r>
      <w:r w:rsidRPr="00736B21">
        <w:t xml:space="preserve"> From staff-mix to skill-mix and beyond: towards a systemic approach to health workforce management</w:t>
      </w:r>
      <w:r>
        <w:t xml:space="preserve"> </w:t>
      </w:r>
      <w:r w:rsidRPr="00B26430">
        <w:t>ncbi.nlm.nih.gov/pmc/articles/PMC2813845/</w:t>
      </w:r>
    </w:p>
  </w:footnote>
  <w:footnote w:id="248">
    <w:p w:rsidR="00BD6FC4" w:rsidRDefault="00BD6FC4" w:rsidP="00DC6120">
      <w:pPr>
        <w:pStyle w:val="FootnoteText"/>
      </w:pPr>
      <w:r>
        <w:rPr>
          <w:rStyle w:val="FootnoteReference"/>
        </w:rPr>
        <w:footnoteRef/>
      </w:r>
      <w:r>
        <w:t xml:space="preserve"> P.14, ibid</w:t>
      </w:r>
    </w:p>
  </w:footnote>
  <w:footnote w:id="249">
    <w:p w:rsidR="00BD6FC4" w:rsidRDefault="00BD6FC4" w:rsidP="00DC6120">
      <w:pPr>
        <w:pStyle w:val="FootnoteText"/>
      </w:pPr>
      <w:r>
        <w:rPr>
          <w:rStyle w:val="FootnoteReference"/>
        </w:rPr>
        <w:footnoteRef/>
      </w:r>
      <w:r>
        <w:t xml:space="preserve"> Dubois, CA., Singh, D. (2009)</w:t>
      </w:r>
      <w:r w:rsidRPr="00736B21">
        <w:t xml:space="preserve"> From staff-mix to skill-mix and beyond: towards a systemic approach to health workforce management</w:t>
      </w:r>
      <w:r>
        <w:t xml:space="preserve"> </w:t>
      </w:r>
      <w:r w:rsidRPr="00B26430">
        <w:t>ncbi.nlm.nih.gov/pmc/articles/PMC2813845</w:t>
      </w:r>
    </w:p>
  </w:footnote>
  <w:footnote w:id="250">
    <w:p w:rsidR="00BD6FC4" w:rsidRDefault="00BD6FC4" w:rsidP="00234FC8">
      <w:pPr>
        <w:pStyle w:val="FootnoteText"/>
      </w:pPr>
      <w:r>
        <w:rPr>
          <w:rStyle w:val="FootnoteReference"/>
        </w:rPr>
        <w:footnoteRef/>
      </w:r>
      <w:r>
        <w:t xml:space="preserve"> Census 2006 had ‘blindness or severe vision impairment’ and ‘deafness or a severe hearing impairment’ in a single category whereas they were two separate categories in 2011. Intellectual and learning disability constituted a single category in 2006, but formed two separate categories in 2011.</w:t>
      </w:r>
    </w:p>
  </w:footnote>
  <w:footnote w:id="251">
    <w:p w:rsidR="00BD6FC4" w:rsidRDefault="00BD6FC4" w:rsidP="00234FC8">
      <w:pPr>
        <w:pStyle w:val="FootnoteText"/>
      </w:pPr>
      <w:r>
        <w:rPr>
          <w:rStyle w:val="FootnoteReference"/>
        </w:rPr>
        <w:footnoteRef/>
      </w:r>
      <w:r>
        <w:t xml:space="preserve"> The proportion of children aged 0-19 recorded with a disability rose from 4.1% in 2006 to 8.1% in 2011. Those recorded with an emotional, psychological or mental health condition rose from 0.5% to 1.5% between 2006 and 2011, those with learning OR intellectual disability increased from 2.5% to 4.4% and the proportion in the ‘other illness or disability’ category rose from 1% to 2.5%, and those recorded with physical disabilities rose from 0.5% to 0.8%. On the other hand, the proportion with difficulty dressing, bathing or getting around inside the home – those with more severe levels of impairment – remained stable between 2006 and 2011 at 0.6%. </w:t>
      </w:r>
    </w:p>
  </w:footnote>
  <w:footnote w:id="252">
    <w:p w:rsidR="00BD6FC4" w:rsidRDefault="00BD6FC4" w:rsidP="00F81329">
      <w:pPr>
        <w:pStyle w:val="FootnoteText"/>
      </w:pPr>
      <w:r>
        <w:rPr>
          <w:rStyle w:val="FootnoteReference"/>
        </w:rPr>
        <w:footnoteRef/>
      </w:r>
      <w:r>
        <w:t xml:space="preserve"> See appendix xx for changes between the two census, which illustrates that much of the increase is due to changes in intellectual disability and learning disability category.</w:t>
      </w:r>
    </w:p>
  </w:footnote>
  <w:footnote w:id="253">
    <w:p w:rsidR="00BD6FC4" w:rsidRDefault="00BD6FC4" w:rsidP="00F81329">
      <w:pPr>
        <w:pStyle w:val="FootnoteText"/>
      </w:pPr>
      <w:r>
        <w:rPr>
          <w:rStyle w:val="FootnoteReference"/>
        </w:rPr>
        <w:footnoteRef/>
      </w:r>
      <w:r>
        <w:t xml:space="preserve"> There is a question that asks if the totality of supports the child receives are adequate, but it is not possible to identify which particular supports are adequate nor which supports are needed but not met.</w:t>
      </w:r>
    </w:p>
  </w:footnote>
  <w:footnote w:id="254">
    <w:p w:rsidR="00BD6FC4" w:rsidRPr="00E039BB" w:rsidRDefault="00BD6FC4" w:rsidP="00F81329">
      <w:pPr>
        <w:pStyle w:val="FootnoteText"/>
        <w:spacing w:after="0"/>
        <w:rPr>
          <w:lang w:val="en-GB"/>
        </w:rPr>
      </w:pPr>
      <w:r w:rsidRPr="00E039BB">
        <w:rPr>
          <w:rStyle w:val="FootnoteReference"/>
          <w:lang w:val="en-GB"/>
        </w:rPr>
        <w:footnoteRef/>
      </w:r>
      <w:r w:rsidRPr="00E039BB">
        <w:rPr>
          <w:lang w:val="en-GB"/>
        </w:rPr>
        <w:t xml:space="preserve"> www.dohc.ie/consultations/closed/disability_policy_review/key_themes.html</w:t>
      </w:r>
    </w:p>
  </w:footnote>
  <w:footnote w:id="255">
    <w:p w:rsidR="00BD6FC4" w:rsidRPr="00E039BB" w:rsidRDefault="00BD6FC4" w:rsidP="00F81329">
      <w:pPr>
        <w:pStyle w:val="FootnoteText"/>
        <w:spacing w:after="0"/>
        <w:rPr>
          <w:lang w:val="en-GB"/>
        </w:rPr>
      </w:pPr>
      <w:r w:rsidRPr="00E039BB">
        <w:rPr>
          <w:rStyle w:val="FootnoteReference"/>
          <w:lang w:val="en-GB"/>
        </w:rPr>
        <w:footnoteRef/>
      </w:r>
      <w:r w:rsidRPr="00E039BB">
        <w:rPr>
          <w:lang w:val="en-GB"/>
        </w:rPr>
        <w:t xml:space="preserve"> The NRG comprised representatives of the professions and management involved in delivering multi-disciplinary services to children. </w:t>
      </w:r>
      <w:r>
        <w:rPr>
          <w:lang w:val="en-GB"/>
        </w:rPr>
        <w:t xml:space="preserve">Due to </w:t>
      </w:r>
      <w:r w:rsidRPr="00E039BB">
        <w:rPr>
          <w:lang w:val="en-GB"/>
        </w:rPr>
        <w:t>the economic downturn, the implementation of the EPSEN Act and of the Disability Act for ch</w:t>
      </w:r>
      <w:r>
        <w:rPr>
          <w:lang w:val="en-GB"/>
        </w:rPr>
        <w:t>ildren over five was deferred.</w:t>
      </w:r>
      <w:r w:rsidRPr="00E039BB">
        <w:rPr>
          <w:lang w:val="en-GB"/>
        </w:rPr>
        <w:t xml:space="preserve"> </w:t>
      </w:r>
      <w:r>
        <w:rPr>
          <w:lang w:val="en-GB"/>
        </w:rPr>
        <w:t xml:space="preserve">A </w:t>
      </w:r>
      <w:r w:rsidRPr="00E039BB">
        <w:rPr>
          <w:lang w:val="en-GB"/>
        </w:rPr>
        <w:t>decision was made by the NRG, in consultation with the HSE Lead Local Health Manager for Disabilities, that the focus of the NRG work and NRG report would be the development of a framework for the future delivery of service</w:t>
      </w:r>
      <w:r>
        <w:rPr>
          <w:lang w:val="en-GB"/>
        </w:rPr>
        <w:t>s for the 5-18 years age cohort</w:t>
      </w:r>
    </w:p>
  </w:footnote>
  <w:footnote w:id="256">
    <w:p w:rsidR="00BD6FC4" w:rsidRPr="00E039BB" w:rsidRDefault="00BD6FC4" w:rsidP="00CB08EF">
      <w:pPr>
        <w:pStyle w:val="FootnoteText"/>
        <w:spacing w:after="0"/>
        <w:rPr>
          <w:lang w:val="en-GB"/>
        </w:rPr>
      </w:pPr>
      <w:r w:rsidRPr="00E039BB">
        <w:rPr>
          <w:rStyle w:val="FootnoteReference"/>
          <w:lang w:val="en-GB"/>
        </w:rPr>
        <w:footnoteRef/>
      </w:r>
      <w:r w:rsidRPr="00E039BB">
        <w:rPr>
          <w:lang w:val="en-GB"/>
        </w:rPr>
        <w:t xml:space="preserve"> Needs are to be classified according to the International Classification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FC4" w:rsidRDefault="00BD6FC4" w:rsidP="00D84A48">
    <w:pPr>
      <w:pStyle w:val="Header"/>
      <w:tabs>
        <w:tab w:val="clear" w:pos="4320"/>
      </w:tabs>
    </w:pPr>
    <w:r>
      <w:rPr>
        <w:color w:val="BF2296"/>
        <w:sz w:val="24"/>
        <w:szCs w:val="24"/>
      </w:rPr>
      <w:t>Children’s Disability Services in Ireland</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2" w15:restartNumberingAfterBreak="0">
    <w:nsid w:val="FFFFFF82"/>
    <w:multiLevelType w:val="singleLevel"/>
    <w:tmpl w:val="A64C2CEC"/>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3"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4" w15:restartNumberingAfterBreak="0">
    <w:nsid w:val="FFFFFF88"/>
    <w:multiLevelType w:val="singleLevel"/>
    <w:tmpl w:val="B22CEC76"/>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44665BC2"/>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6" w15:restartNumberingAfterBreak="0">
    <w:nsid w:val="003B74F7"/>
    <w:multiLevelType w:val="multilevel"/>
    <w:tmpl w:val="F61053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83362D5"/>
    <w:multiLevelType w:val="hybridMultilevel"/>
    <w:tmpl w:val="68F299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15A6D39"/>
    <w:multiLevelType w:val="hybridMultilevel"/>
    <w:tmpl w:val="D884C9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9F0367D"/>
    <w:multiLevelType w:val="multilevel"/>
    <w:tmpl w:val="3ECA389E"/>
    <w:lvl w:ilvl="0">
      <w:start w:val="4"/>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4AD81085"/>
    <w:multiLevelType w:val="hybridMultilevel"/>
    <w:tmpl w:val="D938D4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DC75CDA"/>
    <w:multiLevelType w:val="hybridMultilevel"/>
    <w:tmpl w:val="56766D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D5E76E4"/>
    <w:multiLevelType w:val="multilevel"/>
    <w:tmpl w:val="C0B451AE"/>
    <w:lvl w:ilvl="0">
      <w:start w:val="3"/>
      <w:numFmt w:val="decimal"/>
      <w:lvlText w:val="%1."/>
      <w:lvlJc w:val="left"/>
      <w:pPr>
        <w:ind w:left="645" w:hanging="645"/>
      </w:pPr>
      <w:rPr>
        <w:rFonts w:hint="default"/>
      </w:rPr>
    </w:lvl>
    <w:lvl w:ilvl="1">
      <w:start w:val="1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num w:numId="1">
    <w:abstractNumId w:val="5"/>
  </w:num>
  <w:num w:numId="2">
    <w:abstractNumId w:val="5"/>
  </w:num>
  <w:num w:numId="3">
    <w:abstractNumId w:val="3"/>
  </w:num>
  <w:num w:numId="4">
    <w:abstractNumId w:val="3"/>
  </w:num>
  <w:num w:numId="5">
    <w:abstractNumId w:val="2"/>
  </w:num>
  <w:num w:numId="6">
    <w:abstractNumId w:val="4"/>
  </w:num>
  <w:num w:numId="7">
    <w:abstractNumId w:val="1"/>
  </w:num>
  <w:num w:numId="8">
    <w:abstractNumId w:val="0"/>
  </w:num>
  <w:num w:numId="9">
    <w:abstractNumId w:val="10"/>
  </w:num>
  <w:num w:numId="10">
    <w:abstractNumId w:val="6"/>
  </w:num>
  <w:num w:numId="11">
    <w:abstractNumId w:val="12"/>
  </w:num>
  <w:num w:numId="12">
    <w:abstractNumId w:val="9"/>
  </w:num>
  <w:num w:numId="13">
    <w:abstractNumId w:val="11"/>
  </w:num>
  <w:num w:numId="14">
    <w:abstractNumId w:val="8"/>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30"/>
  <w:displayHorizontalDrawingGridEvery w:val="2"/>
  <w:characterSpacingControl w:val="doNotCompress"/>
  <w:hdrShapeDefaults>
    <o:shapedefaults v:ext="edit" spidmax="3074" o:allowoverlap="f" fill="f" fillcolor="white" stroke="f">
      <v:fill color="white" on="f"/>
      <v:stroke on="f"/>
      <v:textbox style="mso-rotate-with-shape: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5B2"/>
    <w:rsid w:val="00004A19"/>
    <w:rsid w:val="00022B86"/>
    <w:rsid w:val="00031ABC"/>
    <w:rsid w:val="0004058F"/>
    <w:rsid w:val="00040D15"/>
    <w:rsid w:val="00051143"/>
    <w:rsid w:val="00055418"/>
    <w:rsid w:val="00056879"/>
    <w:rsid w:val="00056B8C"/>
    <w:rsid w:val="00056DE5"/>
    <w:rsid w:val="00062502"/>
    <w:rsid w:val="0008565A"/>
    <w:rsid w:val="00093CDC"/>
    <w:rsid w:val="00093E17"/>
    <w:rsid w:val="000A3E47"/>
    <w:rsid w:val="000A713B"/>
    <w:rsid w:val="000B4B4B"/>
    <w:rsid w:val="000D159D"/>
    <w:rsid w:val="000E211C"/>
    <w:rsid w:val="000E5D8C"/>
    <w:rsid w:val="000F3FE7"/>
    <w:rsid w:val="001004DA"/>
    <w:rsid w:val="00101F84"/>
    <w:rsid w:val="00114C8B"/>
    <w:rsid w:val="001264C9"/>
    <w:rsid w:val="00130E9E"/>
    <w:rsid w:val="00131D0E"/>
    <w:rsid w:val="0013443C"/>
    <w:rsid w:val="0013747D"/>
    <w:rsid w:val="0013755B"/>
    <w:rsid w:val="00142C12"/>
    <w:rsid w:val="00146AA0"/>
    <w:rsid w:val="00147C50"/>
    <w:rsid w:val="00154AB5"/>
    <w:rsid w:val="00155D6F"/>
    <w:rsid w:val="00156E43"/>
    <w:rsid w:val="001667D5"/>
    <w:rsid w:val="00170F73"/>
    <w:rsid w:val="00172707"/>
    <w:rsid w:val="00173B0A"/>
    <w:rsid w:val="00177DBA"/>
    <w:rsid w:val="00177DBD"/>
    <w:rsid w:val="00180A33"/>
    <w:rsid w:val="00181FE6"/>
    <w:rsid w:val="00182F89"/>
    <w:rsid w:val="00183905"/>
    <w:rsid w:val="00184473"/>
    <w:rsid w:val="00185181"/>
    <w:rsid w:val="00185C92"/>
    <w:rsid w:val="00190FAE"/>
    <w:rsid w:val="00192663"/>
    <w:rsid w:val="001937D7"/>
    <w:rsid w:val="00193C07"/>
    <w:rsid w:val="001A1B07"/>
    <w:rsid w:val="001A2351"/>
    <w:rsid w:val="001A6552"/>
    <w:rsid w:val="001B23F5"/>
    <w:rsid w:val="001B248F"/>
    <w:rsid w:val="001B2966"/>
    <w:rsid w:val="001B5265"/>
    <w:rsid w:val="001C0CBD"/>
    <w:rsid w:val="001C2025"/>
    <w:rsid w:val="001C69CB"/>
    <w:rsid w:val="001D11F2"/>
    <w:rsid w:val="001D1CED"/>
    <w:rsid w:val="001D395E"/>
    <w:rsid w:val="001D4E06"/>
    <w:rsid w:val="001D5114"/>
    <w:rsid w:val="001E0736"/>
    <w:rsid w:val="001E2DD3"/>
    <w:rsid w:val="001E6506"/>
    <w:rsid w:val="001F0D22"/>
    <w:rsid w:val="001F55B2"/>
    <w:rsid w:val="0020197D"/>
    <w:rsid w:val="0020734B"/>
    <w:rsid w:val="00215A9E"/>
    <w:rsid w:val="002173C4"/>
    <w:rsid w:val="002275A1"/>
    <w:rsid w:val="00227660"/>
    <w:rsid w:val="002279A8"/>
    <w:rsid w:val="002300C2"/>
    <w:rsid w:val="00232005"/>
    <w:rsid w:val="00232722"/>
    <w:rsid w:val="00234FC8"/>
    <w:rsid w:val="00235CDB"/>
    <w:rsid w:val="002406B7"/>
    <w:rsid w:val="0024359C"/>
    <w:rsid w:val="002439B4"/>
    <w:rsid w:val="00243C36"/>
    <w:rsid w:val="00250EE0"/>
    <w:rsid w:val="002570B7"/>
    <w:rsid w:val="00264CBA"/>
    <w:rsid w:val="00265A74"/>
    <w:rsid w:val="00273340"/>
    <w:rsid w:val="00273A15"/>
    <w:rsid w:val="00275C87"/>
    <w:rsid w:val="002807CD"/>
    <w:rsid w:val="00283824"/>
    <w:rsid w:val="002852E1"/>
    <w:rsid w:val="0028687C"/>
    <w:rsid w:val="002874E2"/>
    <w:rsid w:val="00287B8E"/>
    <w:rsid w:val="00291CCD"/>
    <w:rsid w:val="002943BF"/>
    <w:rsid w:val="002A0576"/>
    <w:rsid w:val="002A5703"/>
    <w:rsid w:val="002A5DD6"/>
    <w:rsid w:val="002B1614"/>
    <w:rsid w:val="002B5090"/>
    <w:rsid w:val="002B6109"/>
    <w:rsid w:val="002B74D2"/>
    <w:rsid w:val="002C6945"/>
    <w:rsid w:val="002D0996"/>
    <w:rsid w:val="002D100B"/>
    <w:rsid w:val="002D37CB"/>
    <w:rsid w:val="002D5E87"/>
    <w:rsid w:val="002E5CD4"/>
    <w:rsid w:val="002E6A47"/>
    <w:rsid w:val="002F226E"/>
    <w:rsid w:val="002F4B0F"/>
    <w:rsid w:val="002F5E2F"/>
    <w:rsid w:val="002F66A1"/>
    <w:rsid w:val="0030015D"/>
    <w:rsid w:val="00300DC8"/>
    <w:rsid w:val="003035D7"/>
    <w:rsid w:val="00303B50"/>
    <w:rsid w:val="0030752A"/>
    <w:rsid w:val="00312C21"/>
    <w:rsid w:val="003229D7"/>
    <w:rsid w:val="00322C38"/>
    <w:rsid w:val="003241D3"/>
    <w:rsid w:val="00331811"/>
    <w:rsid w:val="00331F05"/>
    <w:rsid w:val="00340642"/>
    <w:rsid w:val="00342081"/>
    <w:rsid w:val="00346A83"/>
    <w:rsid w:val="0035228C"/>
    <w:rsid w:val="003573B1"/>
    <w:rsid w:val="00357827"/>
    <w:rsid w:val="00370031"/>
    <w:rsid w:val="0038161F"/>
    <w:rsid w:val="003818DC"/>
    <w:rsid w:val="00383574"/>
    <w:rsid w:val="0038503F"/>
    <w:rsid w:val="0038695E"/>
    <w:rsid w:val="00397168"/>
    <w:rsid w:val="00397A22"/>
    <w:rsid w:val="003A0755"/>
    <w:rsid w:val="003A44C8"/>
    <w:rsid w:val="003A6A04"/>
    <w:rsid w:val="003B10EC"/>
    <w:rsid w:val="003B2D53"/>
    <w:rsid w:val="003B40CD"/>
    <w:rsid w:val="003B6A4F"/>
    <w:rsid w:val="003B7751"/>
    <w:rsid w:val="003C5476"/>
    <w:rsid w:val="003C5B8E"/>
    <w:rsid w:val="003C7350"/>
    <w:rsid w:val="003D0C92"/>
    <w:rsid w:val="003D55D0"/>
    <w:rsid w:val="003D6DFB"/>
    <w:rsid w:val="003E307C"/>
    <w:rsid w:val="003F0FC7"/>
    <w:rsid w:val="003F281F"/>
    <w:rsid w:val="003F6BB3"/>
    <w:rsid w:val="00400EE2"/>
    <w:rsid w:val="0040246E"/>
    <w:rsid w:val="004035FE"/>
    <w:rsid w:val="004042B7"/>
    <w:rsid w:val="00405814"/>
    <w:rsid w:val="00405C89"/>
    <w:rsid w:val="004068E4"/>
    <w:rsid w:val="00406BE9"/>
    <w:rsid w:val="00426180"/>
    <w:rsid w:val="004339C7"/>
    <w:rsid w:val="00434726"/>
    <w:rsid w:val="00434BCD"/>
    <w:rsid w:val="00445A92"/>
    <w:rsid w:val="00453926"/>
    <w:rsid w:val="004603F5"/>
    <w:rsid w:val="004607BA"/>
    <w:rsid w:val="00461925"/>
    <w:rsid w:val="00461CEE"/>
    <w:rsid w:val="00461DFB"/>
    <w:rsid w:val="00462301"/>
    <w:rsid w:val="00464071"/>
    <w:rsid w:val="00465EB2"/>
    <w:rsid w:val="00470516"/>
    <w:rsid w:val="00477270"/>
    <w:rsid w:val="00477C68"/>
    <w:rsid w:val="004808ED"/>
    <w:rsid w:val="00484ADB"/>
    <w:rsid w:val="004922FB"/>
    <w:rsid w:val="004934C9"/>
    <w:rsid w:val="00493516"/>
    <w:rsid w:val="00495A89"/>
    <w:rsid w:val="004964E3"/>
    <w:rsid w:val="004A280F"/>
    <w:rsid w:val="004A457D"/>
    <w:rsid w:val="004B2952"/>
    <w:rsid w:val="004C5836"/>
    <w:rsid w:val="004D104E"/>
    <w:rsid w:val="004E535A"/>
    <w:rsid w:val="004E698B"/>
    <w:rsid w:val="004E6B23"/>
    <w:rsid w:val="004E79F4"/>
    <w:rsid w:val="004F0E95"/>
    <w:rsid w:val="004F22FF"/>
    <w:rsid w:val="004F36F3"/>
    <w:rsid w:val="004F5891"/>
    <w:rsid w:val="0050131F"/>
    <w:rsid w:val="00506DA7"/>
    <w:rsid w:val="00511607"/>
    <w:rsid w:val="0051277C"/>
    <w:rsid w:val="00521D98"/>
    <w:rsid w:val="00523DA5"/>
    <w:rsid w:val="00534C3E"/>
    <w:rsid w:val="00546539"/>
    <w:rsid w:val="00546C3B"/>
    <w:rsid w:val="005538D2"/>
    <w:rsid w:val="00554A61"/>
    <w:rsid w:val="005605F8"/>
    <w:rsid w:val="00562758"/>
    <w:rsid w:val="00567255"/>
    <w:rsid w:val="00571AF7"/>
    <w:rsid w:val="00574A33"/>
    <w:rsid w:val="00575C12"/>
    <w:rsid w:val="00576F82"/>
    <w:rsid w:val="00584D89"/>
    <w:rsid w:val="00596FAE"/>
    <w:rsid w:val="005A0B30"/>
    <w:rsid w:val="005A3E8F"/>
    <w:rsid w:val="005A6C4A"/>
    <w:rsid w:val="005A7091"/>
    <w:rsid w:val="005B053F"/>
    <w:rsid w:val="005B21E6"/>
    <w:rsid w:val="005B501E"/>
    <w:rsid w:val="005B617C"/>
    <w:rsid w:val="005C292B"/>
    <w:rsid w:val="005C2EE3"/>
    <w:rsid w:val="005C36A1"/>
    <w:rsid w:val="005D3180"/>
    <w:rsid w:val="005D4C1D"/>
    <w:rsid w:val="005D5855"/>
    <w:rsid w:val="005E09B9"/>
    <w:rsid w:val="005E0F3E"/>
    <w:rsid w:val="005E12D1"/>
    <w:rsid w:val="005E42A8"/>
    <w:rsid w:val="005E4B41"/>
    <w:rsid w:val="005E4C1E"/>
    <w:rsid w:val="005E6246"/>
    <w:rsid w:val="005F1974"/>
    <w:rsid w:val="005F1EFE"/>
    <w:rsid w:val="005F7C80"/>
    <w:rsid w:val="006026D1"/>
    <w:rsid w:val="0060736E"/>
    <w:rsid w:val="00607D16"/>
    <w:rsid w:val="00607FAA"/>
    <w:rsid w:val="00614600"/>
    <w:rsid w:val="00615D63"/>
    <w:rsid w:val="00616517"/>
    <w:rsid w:val="006305BA"/>
    <w:rsid w:val="00631F89"/>
    <w:rsid w:val="00632387"/>
    <w:rsid w:val="0064063D"/>
    <w:rsid w:val="0064447A"/>
    <w:rsid w:val="00644680"/>
    <w:rsid w:val="0065147B"/>
    <w:rsid w:val="006525FD"/>
    <w:rsid w:val="00666F45"/>
    <w:rsid w:val="00674F9A"/>
    <w:rsid w:val="00676405"/>
    <w:rsid w:val="00684F7E"/>
    <w:rsid w:val="00687C67"/>
    <w:rsid w:val="00691500"/>
    <w:rsid w:val="006A0F28"/>
    <w:rsid w:val="006A17A1"/>
    <w:rsid w:val="006A1F68"/>
    <w:rsid w:val="006A35CF"/>
    <w:rsid w:val="006A60A6"/>
    <w:rsid w:val="006B61D8"/>
    <w:rsid w:val="006B7E5E"/>
    <w:rsid w:val="006D2B12"/>
    <w:rsid w:val="006D3757"/>
    <w:rsid w:val="006D4773"/>
    <w:rsid w:val="006D4B32"/>
    <w:rsid w:val="006D5136"/>
    <w:rsid w:val="006E0C75"/>
    <w:rsid w:val="006E1610"/>
    <w:rsid w:val="006E5EDB"/>
    <w:rsid w:val="006E5FD1"/>
    <w:rsid w:val="006F25EC"/>
    <w:rsid w:val="006F2B6D"/>
    <w:rsid w:val="006F5902"/>
    <w:rsid w:val="00703247"/>
    <w:rsid w:val="00716E17"/>
    <w:rsid w:val="007204E1"/>
    <w:rsid w:val="0072075B"/>
    <w:rsid w:val="00723F96"/>
    <w:rsid w:val="007316D7"/>
    <w:rsid w:val="00731CEF"/>
    <w:rsid w:val="00732C13"/>
    <w:rsid w:val="007337B0"/>
    <w:rsid w:val="00736B21"/>
    <w:rsid w:val="007416CB"/>
    <w:rsid w:val="007445B3"/>
    <w:rsid w:val="00760865"/>
    <w:rsid w:val="007608EF"/>
    <w:rsid w:val="00764C44"/>
    <w:rsid w:val="00784DFD"/>
    <w:rsid w:val="007866C0"/>
    <w:rsid w:val="00787049"/>
    <w:rsid w:val="007A2909"/>
    <w:rsid w:val="007A2EEE"/>
    <w:rsid w:val="007A31B0"/>
    <w:rsid w:val="007B381B"/>
    <w:rsid w:val="007B6238"/>
    <w:rsid w:val="007B779F"/>
    <w:rsid w:val="007B78BD"/>
    <w:rsid w:val="007C1D90"/>
    <w:rsid w:val="007C73F7"/>
    <w:rsid w:val="007D43CC"/>
    <w:rsid w:val="007D71FC"/>
    <w:rsid w:val="007E1B8B"/>
    <w:rsid w:val="007E6671"/>
    <w:rsid w:val="007F12B2"/>
    <w:rsid w:val="007F2AF6"/>
    <w:rsid w:val="007F2E71"/>
    <w:rsid w:val="007F4DEE"/>
    <w:rsid w:val="007F502D"/>
    <w:rsid w:val="0080079F"/>
    <w:rsid w:val="0080115B"/>
    <w:rsid w:val="008013CC"/>
    <w:rsid w:val="00802FEC"/>
    <w:rsid w:val="00804D59"/>
    <w:rsid w:val="0081196A"/>
    <w:rsid w:val="008128FB"/>
    <w:rsid w:val="008143FD"/>
    <w:rsid w:val="00823B6C"/>
    <w:rsid w:val="008319B6"/>
    <w:rsid w:val="00831FA1"/>
    <w:rsid w:val="00832328"/>
    <w:rsid w:val="00834CEB"/>
    <w:rsid w:val="008418B3"/>
    <w:rsid w:val="00841E83"/>
    <w:rsid w:val="008428CE"/>
    <w:rsid w:val="00843E13"/>
    <w:rsid w:val="008471B0"/>
    <w:rsid w:val="00847243"/>
    <w:rsid w:val="00847251"/>
    <w:rsid w:val="0085042B"/>
    <w:rsid w:val="00853009"/>
    <w:rsid w:val="00853F36"/>
    <w:rsid w:val="00862F55"/>
    <w:rsid w:val="00863B6E"/>
    <w:rsid w:val="00865653"/>
    <w:rsid w:val="00872AB3"/>
    <w:rsid w:val="00877B9D"/>
    <w:rsid w:val="00882F26"/>
    <w:rsid w:val="00893A12"/>
    <w:rsid w:val="008A008D"/>
    <w:rsid w:val="008A20F8"/>
    <w:rsid w:val="008A2EB8"/>
    <w:rsid w:val="008A3DDE"/>
    <w:rsid w:val="008A5FBE"/>
    <w:rsid w:val="008B0919"/>
    <w:rsid w:val="008B3CA2"/>
    <w:rsid w:val="008B3D28"/>
    <w:rsid w:val="008B7F78"/>
    <w:rsid w:val="008C12FA"/>
    <w:rsid w:val="008C60CF"/>
    <w:rsid w:val="008C6AAF"/>
    <w:rsid w:val="008D045A"/>
    <w:rsid w:val="008D2A77"/>
    <w:rsid w:val="008D634F"/>
    <w:rsid w:val="008E1CD4"/>
    <w:rsid w:val="008E4300"/>
    <w:rsid w:val="008E4B7C"/>
    <w:rsid w:val="008E6892"/>
    <w:rsid w:val="008E68BA"/>
    <w:rsid w:val="008F29EC"/>
    <w:rsid w:val="008F3138"/>
    <w:rsid w:val="008F3EF1"/>
    <w:rsid w:val="008F5FD7"/>
    <w:rsid w:val="00900CA0"/>
    <w:rsid w:val="009148DB"/>
    <w:rsid w:val="009161EF"/>
    <w:rsid w:val="00916976"/>
    <w:rsid w:val="009222D3"/>
    <w:rsid w:val="009267CD"/>
    <w:rsid w:val="00927320"/>
    <w:rsid w:val="009275CD"/>
    <w:rsid w:val="009310E5"/>
    <w:rsid w:val="00932DC4"/>
    <w:rsid w:val="009343FC"/>
    <w:rsid w:val="00936705"/>
    <w:rsid w:val="009408F5"/>
    <w:rsid w:val="0094343D"/>
    <w:rsid w:val="009453E1"/>
    <w:rsid w:val="00946C72"/>
    <w:rsid w:val="009613B6"/>
    <w:rsid w:val="0096195E"/>
    <w:rsid w:val="0096303A"/>
    <w:rsid w:val="00963531"/>
    <w:rsid w:val="00965E64"/>
    <w:rsid w:val="00971B87"/>
    <w:rsid w:val="00976B85"/>
    <w:rsid w:val="00982A1C"/>
    <w:rsid w:val="00985205"/>
    <w:rsid w:val="0098578C"/>
    <w:rsid w:val="00987821"/>
    <w:rsid w:val="00991FE7"/>
    <w:rsid w:val="00992970"/>
    <w:rsid w:val="00993D4F"/>
    <w:rsid w:val="00996B3B"/>
    <w:rsid w:val="009A0C1A"/>
    <w:rsid w:val="009A230F"/>
    <w:rsid w:val="009A477D"/>
    <w:rsid w:val="009A793A"/>
    <w:rsid w:val="009B53E6"/>
    <w:rsid w:val="009B64A7"/>
    <w:rsid w:val="009C001A"/>
    <w:rsid w:val="009C1437"/>
    <w:rsid w:val="009C1F33"/>
    <w:rsid w:val="009C3BD7"/>
    <w:rsid w:val="009C459F"/>
    <w:rsid w:val="009C4D62"/>
    <w:rsid w:val="009C52A8"/>
    <w:rsid w:val="009D3F1E"/>
    <w:rsid w:val="009D45ED"/>
    <w:rsid w:val="009E01E8"/>
    <w:rsid w:val="009E0329"/>
    <w:rsid w:val="009E14AF"/>
    <w:rsid w:val="009E1B39"/>
    <w:rsid w:val="009E5111"/>
    <w:rsid w:val="009E74D2"/>
    <w:rsid w:val="009F60C9"/>
    <w:rsid w:val="009F7B74"/>
    <w:rsid w:val="00A01B7D"/>
    <w:rsid w:val="00A05270"/>
    <w:rsid w:val="00A07AC9"/>
    <w:rsid w:val="00A1079C"/>
    <w:rsid w:val="00A107C6"/>
    <w:rsid w:val="00A201B4"/>
    <w:rsid w:val="00A26396"/>
    <w:rsid w:val="00A2641D"/>
    <w:rsid w:val="00A313F9"/>
    <w:rsid w:val="00A32146"/>
    <w:rsid w:val="00A331A0"/>
    <w:rsid w:val="00A36614"/>
    <w:rsid w:val="00A4123F"/>
    <w:rsid w:val="00A42377"/>
    <w:rsid w:val="00A42B6E"/>
    <w:rsid w:val="00A443B9"/>
    <w:rsid w:val="00A45AA1"/>
    <w:rsid w:val="00A5057E"/>
    <w:rsid w:val="00A55125"/>
    <w:rsid w:val="00A5627D"/>
    <w:rsid w:val="00A60E5D"/>
    <w:rsid w:val="00A6132E"/>
    <w:rsid w:val="00A660ED"/>
    <w:rsid w:val="00A66FE1"/>
    <w:rsid w:val="00A83303"/>
    <w:rsid w:val="00A841A0"/>
    <w:rsid w:val="00A85193"/>
    <w:rsid w:val="00A956A9"/>
    <w:rsid w:val="00AA08E6"/>
    <w:rsid w:val="00AA0D3A"/>
    <w:rsid w:val="00AA126B"/>
    <w:rsid w:val="00AA1C16"/>
    <w:rsid w:val="00AA356B"/>
    <w:rsid w:val="00AA57F2"/>
    <w:rsid w:val="00AA6A79"/>
    <w:rsid w:val="00AA7990"/>
    <w:rsid w:val="00AB526D"/>
    <w:rsid w:val="00AB6764"/>
    <w:rsid w:val="00AC5045"/>
    <w:rsid w:val="00AC5BBD"/>
    <w:rsid w:val="00AC77F6"/>
    <w:rsid w:val="00AD2D30"/>
    <w:rsid w:val="00AD382E"/>
    <w:rsid w:val="00AD675E"/>
    <w:rsid w:val="00AE2552"/>
    <w:rsid w:val="00AE4019"/>
    <w:rsid w:val="00AE5A52"/>
    <w:rsid w:val="00AF0948"/>
    <w:rsid w:val="00AF36B1"/>
    <w:rsid w:val="00AF7402"/>
    <w:rsid w:val="00B008E9"/>
    <w:rsid w:val="00B0508C"/>
    <w:rsid w:val="00B054F9"/>
    <w:rsid w:val="00B05D5D"/>
    <w:rsid w:val="00B13313"/>
    <w:rsid w:val="00B13DAA"/>
    <w:rsid w:val="00B156DA"/>
    <w:rsid w:val="00B1755E"/>
    <w:rsid w:val="00B26430"/>
    <w:rsid w:val="00B26C11"/>
    <w:rsid w:val="00B31A3F"/>
    <w:rsid w:val="00B3778C"/>
    <w:rsid w:val="00B42B21"/>
    <w:rsid w:val="00B4380E"/>
    <w:rsid w:val="00B454C3"/>
    <w:rsid w:val="00B45E38"/>
    <w:rsid w:val="00B51A51"/>
    <w:rsid w:val="00B536BB"/>
    <w:rsid w:val="00B5516A"/>
    <w:rsid w:val="00B610C2"/>
    <w:rsid w:val="00B61CB9"/>
    <w:rsid w:val="00B629DF"/>
    <w:rsid w:val="00B642B6"/>
    <w:rsid w:val="00B723BA"/>
    <w:rsid w:val="00B72DE7"/>
    <w:rsid w:val="00B76547"/>
    <w:rsid w:val="00B770B0"/>
    <w:rsid w:val="00B80120"/>
    <w:rsid w:val="00B837E6"/>
    <w:rsid w:val="00B84D65"/>
    <w:rsid w:val="00B8719C"/>
    <w:rsid w:val="00B92EA5"/>
    <w:rsid w:val="00BA2579"/>
    <w:rsid w:val="00BA3396"/>
    <w:rsid w:val="00BA4C61"/>
    <w:rsid w:val="00BB3272"/>
    <w:rsid w:val="00BB494D"/>
    <w:rsid w:val="00BC03CE"/>
    <w:rsid w:val="00BC2204"/>
    <w:rsid w:val="00BC2D47"/>
    <w:rsid w:val="00BC74C2"/>
    <w:rsid w:val="00BC7DF6"/>
    <w:rsid w:val="00BD0DCA"/>
    <w:rsid w:val="00BD5678"/>
    <w:rsid w:val="00BD684A"/>
    <w:rsid w:val="00BD6FC4"/>
    <w:rsid w:val="00BE3DCC"/>
    <w:rsid w:val="00BE4E14"/>
    <w:rsid w:val="00BF412E"/>
    <w:rsid w:val="00C00875"/>
    <w:rsid w:val="00C02FB9"/>
    <w:rsid w:val="00C046AC"/>
    <w:rsid w:val="00C04BE4"/>
    <w:rsid w:val="00C154AE"/>
    <w:rsid w:val="00C2050D"/>
    <w:rsid w:val="00C208EC"/>
    <w:rsid w:val="00C20F11"/>
    <w:rsid w:val="00C2179B"/>
    <w:rsid w:val="00C23B5C"/>
    <w:rsid w:val="00C3621A"/>
    <w:rsid w:val="00C369E0"/>
    <w:rsid w:val="00C40F67"/>
    <w:rsid w:val="00C437BF"/>
    <w:rsid w:val="00C43DA4"/>
    <w:rsid w:val="00C44C6A"/>
    <w:rsid w:val="00C504AD"/>
    <w:rsid w:val="00C53CED"/>
    <w:rsid w:val="00C62BAA"/>
    <w:rsid w:val="00C632F9"/>
    <w:rsid w:val="00C633B7"/>
    <w:rsid w:val="00C646F7"/>
    <w:rsid w:val="00C6485F"/>
    <w:rsid w:val="00C674F2"/>
    <w:rsid w:val="00C730B3"/>
    <w:rsid w:val="00C75B63"/>
    <w:rsid w:val="00C773CD"/>
    <w:rsid w:val="00C77BCD"/>
    <w:rsid w:val="00C81100"/>
    <w:rsid w:val="00C8281E"/>
    <w:rsid w:val="00C829DA"/>
    <w:rsid w:val="00C84C3C"/>
    <w:rsid w:val="00C867C9"/>
    <w:rsid w:val="00C86C1D"/>
    <w:rsid w:val="00C94235"/>
    <w:rsid w:val="00CA308C"/>
    <w:rsid w:val="00CA6E4B"/>
    <w:rsid w:val="00CA7B07"/>
    <w:rsid w:val="00CB08EF"/>
    <w:rsid w:val="00CB280C"/>
    <w:rsid w:val="00CB39DE"/>
    <w:rsid w:val="00CC1490"/>
    <w:rsid w:val="00CC1566"/>
    <w:rsid w:val="00CC159B"/>
    <w:rsid w:val="00CC2443"/>
    <w:rsid w:val="00CC2A4C"/>
    <w:rsid w:val="00CC6AB3"/>
    <w:rsid w:val="00CC7911"/>
    <w:rsid w:val="00CD0427"/>
    <w:rsid w:val="00CD1D8C"/>
    <w:rsid w:val="00CD209A"/>
    <w:rsid w:val="00CD292B"/>
    <w:rsid w:val="00CD6CD7"/>
    <w:rsid w:val="00CD722F"/>
    <w:rsid w:val="00CE2AB4"/>
    <w:rsid w:val="00CE358A"/>
    <w:rsid w:val="00CE4718"/>
    <w:rsid w:val="00CE542D"/>
    <w:rsid w:val="00CE6F5B"/>
    <w:rsid w:val="00CE71B3"/>
    <w:rsid w:val="00CF2538"/>
    <w:rsid w:val="00CF3E56"/>
    <w:rsid w:val="00D02608"/>
    <w:rsid w:val="00D03EB6"/>
    <w:rsid w:val="00D04FF6"/>
    <w:rsid w:val="00D05ECC"/>
    <w:rsid w:val="00D0650C"/>
    <w:rsid w:val="00D100D9"/>
    <w:rsid w:val="00D16030"/>
    <w:rsid w:val="00D21DCF"/>
    <w:rsid w:val="00D2318C"/>
    <w:rsid w:val="00D23CC1"/>
    <w:rsid w:val="00D25E53"/>
    <w:rsid w:val="00D36C51"/>
    <w:rsid w:val="00D40684"/>
    <w:rsid w:val="00D43EE0"/>
    <w:rsid w:val="00D4681B"/>
    <w:rsid w:val="00D540CD"/>
    <w:rsid w:val="00D5494F"/>
    <w:rsid w:val="00D569A5"/>
    <w:rsid w:val="00D70522"/>
    <w:rsid w:val="00D70F89"/>
    <w:rsid w:val="00D71F21"/>
    <w:rsid w:val="00D76EEE"/>
    <w:rsid w:val="00D778EA"/>
    <w:rsid w:val="00D822DC"/>
    <w:rsid w:val="00D84A48"/>
    <w:rsid w:val="00D9304E"/>
    <w:rsid w:val="00D94A2E"/>
    <w:rsid w:val="00DA1819"/>
    <w:rsid w:val="00DA1A61"/>
    <w:rsid w:val="00DA3D00"/>
    <w:rsid w:val="00DA4B2E"/>
    <w:rsid w:val="00DA523F"/>
    <w:rsid w:val="00DA7FC0"/>
    <w:rsid w:val="00DB3832"/>
    <w:rsid w:val="00DC0180"/>
    <w:rsid w:val="00DC301F"/>
    <w:rsid w:val="00DC6120"/>
    <w:rsid w:val="00DD05F2"/>
    <w:rsid w:val="00DD24C4"/>
    <w:rsid w:val="00DE424F"/>
    <w:rsid w:val="00DF2819"/>
    <w:rsid w:val="00DF6BC2"/>
    <w:rsid w:val="00E039BB"/>
    <w:rsid w:val="00E10A03"/>
    <w:rsid w:val="00E10C91"/>
    <w:rsid w:val="00E12687"/>
    <w:rsid w:val="00E1473A"/>
    <w:rsid w:val="00E178DD"/>
    <w:rsid w:val="00E20F6B"/>
    <w:rsid w:val="00E21F90"/>
    <w:rsid w:val="00E26190"/>
    <w:rsid w:val="00E26299"/>
    <w:rsid w:val="00E273A0"/>
    <w:rsid w:val="00E42B41"/>
    <w:rsid w:val="00E43614"/>
    <w:rsid w:val="00E45672"/>
    <w:rsid w:val="00E45E17"/>
    <w:rsid w:val="00E471A7"/>
    <w:rsid w:val="00E63F3E"/>
    <w:rsid w:val="00E674FF"/>
    <w:rsid w:val="00E74F63"/>
    <w:rsid w:val="00E770BE"/>
    <w:rsid w:val="00E8053F"/>
    <w:rsid w:val="00E83137"/>
    <w:rsid w:val="00E84FD7"/>
    <w:rsid w:val="00E90BD7"/>
    <w:rsid w:val="00E93ACF"/>
    <w:rsid w:val="00EB0EF7"/>
    <w:rsid w:val="00EB6782"/>
    <w:rsid w:val="00EB7C0C"/>
    <w:rsid w:val="00EC0176"/>
    <w:rsid w:val="00EC4CDC"/>
    <w:rsid w:val="00EE4549"/>
    <w:rsid w:val="00EE6586"/>
    <w:rsid w:val="00EF4A19"/>
    <w:rsid w:val="00EF4A77"/>
    <w:rsid w:val="00EF4FCD"/>
    <w:rsid w:val="00EF73A3"/>
    <w:rsid w:val="00F02549"/>
    <w:rsid w:val="00F11456"/>
    <w:rsid w:val="00F116DC"/>
    <w:rsid w:val="00F11F7F"/>
    <w:rsid w:val="00F13DB8"/>
    <w:rsid w:val="00F15B30"/>
    <w:rsid w:val="00F1608A"/>
    <w:rsid w:val="00F17286"/>
    <w:rsid w:val="00F17834"/>
    <w:rsid w:val="00F2018F"/>
    <w:rsid w:val="00F20C4C"/>
    <w:rsid w:val="00F227B4"/>
    <w:rsid w:val="00F25385"/>
    <w:rsid w:val="00F25E42"/>
    <w:rsid w:val="00F351D6"/>
    <w:rsid w:val="00F357C3"/>
    <w:rsid w:val="00F40D25"/>
    <w:rsid w:val="00F436A4"/>
    <w:rsid w:val="00F445F2"/>
    <w:rsid w:val="00F45136"/>
    <w:rsid w:val="00F45919"/>
    <w:rsid w:val="00F50ACF"/>
    <w:rsid w:val="00F52D48"/>
    <w:rsid w:val="00F63B31"/>
    <w:rsid w:val="00F81069"/>
    <w:rsid w:val="00F81329"/>
    <w:rsid w:val="00F81439"/>
    <w:rsid w:val="00F8343E"/>
    <w:rsid w:val="00F84C8B"/>
    <w:rsid w:val="00F8616F"/>
    <w:rsid w:val="00F90451"/>
    <w:rsid w:val="00F914C6"/>
    <w:rsid w:val="00F9707D"/>
    <w:rsid w:val="00FA1780"/>
    <w:rsid w:val="00FA248C"/>
    <w:rsid w:val="00FA33B0"/>
    <w:rsid w:val="00FA3E58"/>
    <w:rsid w:val="00FB4F51"/>
    <w:rsid w:val="00FB6480"/>
    <w:rsid w:val="00FC1F2A"/>
    <w:rsid w:val="00FC4DC9"/>
    <w:rsid w:val="00FC6641"/>
    <w:rsid w:val="00FC72FF"/>
    <w:rsid w:val="00FD09C4"/>
    <w:rsid w:val="00FD47FB"/>
    <w:rsid w:val="00FE3B2C"/>
    <w:rsid w:val="00FE4683"/>
    <w:rsid w:val="00FE5827"/>
    <w:rsid w:val="00FF1B61"/>
    <w:rsid w:val="00FF41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3074" o:allowoverlap="f" fill="f" fillcolor="white" stroke="f">
      <v:fill color="white" on="f"/>
      <v:stroke on="f"/>
      <v:textbox style="mso-rotate-with-shape:t"/>
    </o:shapedefaults>
    <o:shapelayout v:ext="edit">
      <o:idmap v:ext="edit" data="1"/>
    </o:shapelayout>
  </w:shapeDefaults>
  <w:decimalSymbol w:val="."/>
  <w:listSeparator w:val=","/>
  <w14:docId w14:val="500A7C70"/>
  <w15:chartTrackingRefBased/>
  <w15:docId w15:val="{2392E6BC-D4DD-4D8A-9F14-6207FF44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B8E"/>
    <w:pPr>
      <w:spacing w:after="240"/>
    </w:pPr>
    <w:rPr>
      <w:rFonts w:ascii="Gill Sans" w:eastAsia="Times New Roman" w:hAnsi="Gill Sans"/>
      <w:sz w:val="26"/>
      <w:szCs w:val="24"/>
      <w:lang w:eastAsia="en-US"/>
    </w:rPr>
  </w:style>
  <w:style w:type="paragraph" w:styleId="Heading1">
    <w:name w:val="heading 1"/>
    <w:basedOn w:val="Normal"/>
    <w:next w:val="Normal"/>
    <w:link w:val="Heading1Char"/>
    <w:qFormat/>
    <w:rsid w:val="00C44C6A"/>
    <w:pPr>
      <w:keepNext/>
      <w:pBdr>
        <w:top w:val="single" w:sz="4" w:space="4" w:color="auto"/>
        <w:left w:val="single" w:sz="4" w:space="2" w:color="auto"/>
        <w:bottom w:val="single" w:sz="4" w:space="4" w:color="auto"/>
        <w:right w:val="single" w:sz="4" w:space="4" w:color="auto"/>
      </w:pBdr>
      <w:spacing w:before="360"/>
      <w:outlineLvl w:val="0"/>
    </w:pPr>
    <w:rPr>
      <w:rFonts w:cs="Arial"/>
      <w:b/>
      <w:bCs/>
      <w:kern w:val="32"/>
      <w:sz w:val="32"/>
      <w:szCs w:val="32"/>
    </w:rPr>
  </w:style>
  <w:style w:type="paragraph" w:styleId="Heading2">
    <w:name w:val="heading 2"/>
    <w:basedOn w:val="Normal"/>
    <w:next w:val="Normal"/>
    <w:link w:val="Heading2Char"/>
    <w:qFormat/>
    <w:rsid w:val="00357827"/>
    <w:pPr>
      <w:keepNext/>
      <w:spacing w:before="240" w:after="60"/>
      <w:outlineLvl w:val="1"/>
    </w:pPr>
    <w:rPr>
      <w:rFonts w:cs="Arial Bold"/>
      <w:b/>
      <w:bCs/>
      <w:iCs/>
      <w:sz w:val="28"/>
      <w:szCs w:val="28"/>
    </w:rPr>
  </w:style>
  <w:style w:type="paragraph" w:styleId="Heading3">
    <w:name w:val="heading 3"/>
    <w:basedOn w:val="Normal"/>
    <w:next w:val="Normal"/>
    <w:link w:val="Heading3Char"/>
    <w:qFormat/>
    <w:rsid w:val="003B10EC"/>
    <w:pPr>
      <w:keepNext/>
      <w:spacing w:after="0"/>
      <w:outlineLvl w:val="2"/>
    </w:pPr>
    <w:rPr>
      <w:rFonts w:cs="Arial Bold"/>
      <w:b/>
      <w:bCs/>
    </w:rPr>
  </w:style>
  <w:style w:type="paragraph" w:styleId="Heading4">
    <w:name w:val="heading 4"/>
    <w:basedOn w:val="Normal"/>
    <w:next w:val="Normal"/>
    <w:qFormat/>
    <w:rsid w:val="003B10EC"/>
    <w:pPr>
      <w:keepNext/>
      <w:spacing w:after="0"/>
      <w:outlineLvl w:val="3"/>
    </w:pPr>
    <w:rPr>
      <w:b/>
      <w:bCs/>
      <w:color w:val="333333"/>
    </w:rPr>
  </w:style>
  <w:style w:type="paragraph" w:styleId="Heading5">
    <w:name w:val="heading 5"/>
    <w:basedOn w:val="Normal"/>
    <w:next w:val="Normal"/>
    <w:qFormat/>
    <w:rsid w:val="003B10EC"/>
    <w:pPr>
      <w:spacing w:after="0"/>
      <w:outlineLvl w:val="4"/>
    </w:pPr>
    <w:rPr>
      <w:b/>
      <w:bCs/>
      <w:i/>
      <w:iCs/>
      <w:szCs w:val="26"/>
    </w:rPr>
  </w:style>
  <w:style w:type="paragraph" w:styleId="Heading6">
    <w:name w:val="heading 6"/>
    <w:basedOn w:val="Normal"/>
    <w:next w:val="Normal"/>
    <w:qFormat/>
    <w:rsid w:val="003B10EC"/>
    <w:pPr>
      <w:spacing w:after="0"/>
      <w:outlineLvl w:val="5"/>
    </w:pPr>
    <w:rPr>
      <w:b/>
      <w:bCs/>
      <w:i/>
      <w:sz w:val="22"/>
      <w:szCs w:val="22"/>
    </w:rPr>
  </w:style>
  <w:style w:type="paragraph" w:styleId="Heading7">
    <w:name w:val="heading 7"/>
    <w:basedOn w:val="Normal"/>
    <w:next w:val="Normal"/>
    <w:link w:val="Heading7Char"/>
    <w:qFormat/>
    <w:rsid w:val="003B10EC"/>
    <w:pPr>
      <w:keepNext/>
      <w:spacing w:after="0"/>
      <w:jc w:val="center"/>
      <w:outlineLvl w:val="6"/>
    </w:pPr>
    <w:rPr>
      <w:rFonts w:cs="Arial"/>
      <w:b/>
      <w:sz w:val="22"/>
      <w:szCs w:val="40"/>
    </w:rPr>
  </w:style>
  <w:style w:type="paragraph" w:styleId="Heading8">
    <w:name w:val="heading 8"/>
    <w:basedOn w:val="Normal"/>
    <w:next w:val="Normal"/>
    <w:qFormat/>
    <w:rsid w:val="003B10EC"/>
    <w:pPr>
      <w:keepNext/>
      <w:spacing w:after="0"/>
      <w:outlineLvl w:val="7"/>
    </w:pPr>
    <w:rPr>
      <w:b/>
      <w:i/>
      <w:sz w:val="22"/>
    </w:rPr>
  </w:style>
  <w:style w:type="paragraph" w:styleId="Heading9">
    <w:name w:val="heading 9"/>
    <w:basedOn w:val="Normal"/>
    <w:next w:val="Normal"/>
    <w:qFormat/>
    <w:rsid w:val="003B10EC"/>
    <w:pPr>
      <w:keepNext/>
      <w:spacing w:after="0"/>
      <w:outlineLvl w:val="8"/>
    </w:pPr>
    <w:rPr>
      <w:rFonts w:cs="Arial"/>
      <w:i/>
      <w:sz w:val="2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76547"/>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uiPriority w:val="39"/>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F351D6"/>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Pr>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rFonts w:ascii="Gill Sans MT" w:hAnsi="Gill Sans MT"/>
      <w:b/>
    </w:rPr>
  </w:style>
  <w:style w:type="paragraph" w:styleId="Header">
    <w:name w:val="header"/>
    <w:basedOn w:val="Normal"/>
    <w:link w:val="HeaderChar"/>
    <w:uiPriority w:val="99"/>
    <w:rsid w:val="00F351D6"/>
    <w:pPr>
      <w:tabs>
        <w:tab w:val="center" w:pos="4320"/>
        <w:tab w:val="right" w:pos="8640"/>
      </w:tabs>
      <w:spacing w:after="120"/>
    </w:pPr>
    <w:rPr>
      <w:color w:val="333333"/>
      <w:sz w:val="22"/>
      <w:szCs w:val="20"/>
    </w:rPr>
  </w:style>
  <w:style w:type="character" w:styleId="Hyperlink">
    <w:name w:val="Hyperlink"/>
    <w:uiPriority w:val="99"/>
    <w:rPr>
      <w:color w:val="0000FF"/>
      <w:u w:val="single"/>
    </w:rPr>
  </w:style>
  <w:style w:type="paragraph" w:styleId="ListBullet">
    <w:name w:val="List Bullet"/>
    <w:basedOn w:val="Normal"/>
    <w:link w:val="ListBulletChar"/>
    <w:rsid w:val="007B6238"/>
    <w:pPr>
      <w:numPr>
        <w:numId w:val="2"/>
      </w:numPr>
      <w:spacing w:after="120"/>
      <w:ind w:left="357" w:hanging="357"/>
    </w:pPr>
  </w:style>
  <w:style w:type="paragraph" w:styleId="ListBullet2">
    <w:name w:val="List Bullet 2"/>
    <w:basedOn w:val="Normal"/>
    <w:rsid w:val="005C292B"/>
    <w:pPr>
      <w:numPr>
        <w:numId w:val="4"/>
      </w:numPr>
      <w:tabs>
        <w:tab w:val="clear" w:pos="717"/>
        <w:tab w:val="left" w:pos="357"/>
      </w:tabs>
      <w:spacing w:before="60" w:after="60"/>
      <w:ind w:left="641" w:hanging="357"/>
    </w:pPr>
  </w:style>
  <w:style w:type="paragraph" w:styleId="ListBullet3">
    <w:name w:val="List Bullet 3"/>
    <w:basedOn w:val="Normal"/>
    <w:rsid w:val="001F0D22"/>
    <w:pPr>
      <w:numPr>
        <w:numId w:val="5"/>
      </w:numPr>
      <w:spacing w:before="60" w:after="60"/>
      <w:ind w:left="925" w:hanging="284"/>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6"/>
      </w:numPr>
      <w:tabs>
        <w:tab w:val="clear" w:pos="360"/>
      </w:tabs>
      <w:spacing w:after="120"/>
    </w:pPr>
  </w:style>
  <w:style w:type="paragraph" w:styleId="ListNumber2">
    <w:name w:val="List Number 2"/>
    <w:basedOn w:val="Normal"/>
    <w:pPr>
      <w:numPr>
        <w:numId w:val="7"/>
      </w:numPr>
      <w:tabs>
        <w:tab w:val="clear" w:pos="641"/>
        <w:tab w:val="num" w:pos="643"/>
      </w:tabs>
      <w:spacing w:before="60" w:after="60"/>
    </w:pPr>
  </w:style>
  <w:style w:type="paragraph" w:styleId="ListNumber3">
    <w:name w:val="List Number 3"/>
    <w:basedOn w:val="Normal"/>
    <w:rsid w:val="00055418"/>
    <w:pPr>
      <w:numPr>
        <w:numId w:val="8"/>
      </w:numPr>
      <w:tabs>
        <w:tab w:val="clear" w:pos="926"/>
        <w:tab w:val="num" w:pos="360"/>
      </w:tabs>
      <w:spacing w:before="60" w:after="60"/>
      <w:ind w:left="924"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link w:val="SubtitleChar"/>
    <w:qFormat/>
    <w:pPr>
      <w:jc w:val="center"/>
      <w:outlineLvl w:val="1"/>
    </w:pPr>
    <w:rPr>
      <w:sz w:val="28"/>
    </w:rPr>
  </w:style>
  <w:style w:type="paragraph" w:customStyle="1" w:styleId="TableCell">
    <w:name w:val="Table Cell"/>
    <w:basedOn w:val="Normal"/>
    <w:rsid w:val="00BD0DCA"/>
    <w:pPr>
      <w:spacing w:after="0"/>
      <w:jc w:val="right"/>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link w:val="TitleChar"/>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next w:val="ListBullet"/>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rsid w:val="006E0C75"/>
    <w:pPr>
      <w:jc w:val="left"/>
    </w:pPr>
  </w:style>
  <w:style w:type="paragraph" w:styleId="FootnoteText">
    <w:name w:val="footnote text"/>
    <w:basedOn w:val="Normal"/>
    <w:link w:val="FootnoteTextChar"/>
    <w:rsid w:val="009222D3"/>
    <w:pPr>
      <w:spacing w:after="80"/>
    </w:pPr>
    <w:rPr>
      <w:sz w:val="22"/>
      <w:szCs w:val="20"/>
    </w:rPr>
  </w:style>
  <w:style w:type="paragraph" w:styleId="TOC2">
    <w:name w:val="toc 2"/>
    <w:basedOn w:val="Normal"/>
    <w:next w:val="Normal"/>
    <w:autoRedefine/>
    <w:uiPriority w:val="39"/>
    <w:rsid w:val="00F351D6"/>
    <w:pPr>
      <w:keepLines/>
      <w:spacing w:after="60"/>
      <w:ind w:left="261"/>
    </w:pPr>
  </w:style>
  <w:style w:type="paragraph" w:customStyle="1" w:styleId="NormalAfterList">
    <w:name w:val="Normal (After List)"/>
    <w:basedOn w:val="Normal"/>
    <w:next w:val="Normal"/>
    <w:qFormat/>
    <w:rsid w:val="00C154AE"/>
    <w:pPr>
      <w:spacing w:before="120"/>
    </w:pPr>
  </w:style>
  <w:style w:type="character" w:styleId="FootnoteReference">
    <w:name w:val="footnote reference"/>
    <w:rsid w:val="00A1079C"/>
    <w:rPr>
      <w:rFonts w:ascii="Gill Sans" w:hAnsi="Gill Sans"/>
      <w:sz w:val="26"/>
      <w:vertAlign w:val="superscript"/>
    </w:rPr>
  </w:style>
  <w:style w:type="table" w:styleId="TableGrid">
    <w:name w:val="Table Grid"/>
    <w:basedOn w:val="TableNormal"/>
    <w:rsid w:val="001F55B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55B2"/>
    <w:rPr>
      <w:rFonts w:ascii="Tahoma" w:hAnsi="Tahoma" w:cs="Tahoma"/>
      <w:sz w:val="16"/>
      <w:szCs w:val="16"/>
    </w:rPr>
  </w:style>
  <w:style w:type="character" w:customStyle="1" w:styleId="Heading1Char">
    <w:name w:val="Heading 1 Char"/>
    <w:basedOn w:val="DefaultParagraphFont"/>
    <w:link w:val="Heading1"/>
    <w:rsid w:val="001F55B2"/>
    <w:rPr>
      <w:rFonts w:ascii="Gill Sans" w:hAnsi="Gill Sans" w:cs="Arial"/>
      <w:b/>
      <w:bCs/>
      <w:kern w:val="32"/>
      <w:sz w:val="32"/>
      <w:szCs w:val="32"/>
      <w:lang w:val="en-IE" w:eastAsia="en-US" w:bidi="ar-SA"/>
    </w:rPr>
  </w:style>
  <w:style w:type="paragraph" w:styleId="TOC3">
    <w:name w:val="toc 3"/>
    <w:basedOn w:val="Normal"/>
    <w:next w:val="Normal"/>
    <w:autoRedefine/>
    <w:uiPriority w:val="39"/>
    <w:rsid w:val="001F55B2"/>
    <w:pPr>
      <w:spacing w:after="0"/>
      <w:ind w:left="520"/>
    </w:pPr>
    <w:rPr>
      <w:rFonts w:ascii="Times New Roman" w:hAnsi="Times New Roman"/>
      <w:i/>
      <w:iCs/>
      <w:sz w:val="20"/>
      <w:szCs w:val="20"/>
    </w:rPr>
  </w:style>
  <w:style w:type="paragraph" w:styleId="NormalWeb">
    <w:name w:val="Normal (Web)"/>
    <w:basedOn w:val="Normal"/>
    <w:rsid w:val="001F55B2"/>
    <w:pPr>
      <w:spacing w:before="100" w:beforeAutospacing="1" w:after="100" w:afterAutospacing="1"/>
    </w:pPr>
    <w:rPr>
      <w:rFonts w:ascii="Times New Roman" w:hAnsi="Times New Roman"/>
      <w:sz w:val="24"/>
      <w:lang w:val="en-GB" w:eastAsia="en-GB"/>
    </w:rPr>
  </w:style>
  <w:style w:type="character" w:customStyle="1" w:styleId="pagetitle1">
    <w:name w:val="pagetitle1"/>
    <w:basedOn w:val="DefaultParagraphFont"/>
    <w:rsid w:val="001F55B2"/>
    <w:rPr>
      <w:rFonts w:ascii="Arial" w:hAnsi="Arial" w:cs="Arial" w:hint="default"/>
      <w:b/>
      <w:bCs/>
      <w:strike w:val="0"/>
      <w:dstrike w:val="0"/>
      <w:color w:val="1D4C96"/>
      <w:sz w:val="24"/>
      <w:szCs w:val="24"/>
      <w:u w:val="none"/>
      <w:effect w:val="none"/>
    </w:rPr>
  </w:style>
  <w:style w:type="paragraph" w:customStyle="1" w:styleId="Default">
    <w:name w:val="Default"/>
    <w:rsid w:val="001F55B2"/>
    <w:pPr>
      <w:autoSpaceDE w:val="0"/>
      <w:autoSpaceDN w:val="0"/>
      <w:adjustRightInd w:val="0"/>
    </w:pPr>
    <w:rPr>
      <w:rFonts w:ascii="Calibri" w:eastAsia="Times New Roman" w:hAnsi="Calibri" w:cs="Calibri"/>
      <w:color w:val="000000"/>
      <w:sz w:val="24"/>
      <w:szCs w:val="24"/>
      <w:lang w:val="en-NZ" w:eastAsia="en-NZ"/>
    </w:rPr>
  </w:style>
  <w:style w:type="character" w:customStyle="1" w:styleId="Heading2Char">
    <w:name w:val="Heading 2 Char"/>
    <w:basedOn w:val="DefaultParagraphFont"/>
    <w:link w:val="Heading2"/>
    <w:rsid w:val="00357827"/>
    <w:rPr>
      <w:rFonts w:ascii="Gill Sans" w:hAnsi="Gill Sans" w:cs="Arial Bold"/>
      <w:b/>
      <w:bCs/>
      <w:iCs/>
      <w:sz w:val="28"/>
      <w:szCs w:val="28"/>
      <w:lang w:val="en-IE" w:eastAsia="en-US" w:bidi="ar-SA"/>
    </w:rPr>
  </w:style>
  <w:style w:type="paragraph" w:styleId="BodyText">
    <w:name w:val="Body Text"/>
    <w:basedOn w:val="Normal"/>
    <w:link w:val="BodyTextChar"/>
    <w:rsid w:val="001F55B2"/>
    <w:pPr>
      <w:spacing w:after="120"/>
    </w:pPr>
  </w:style>
  <w:style w:type="paragraph" w:styleId="TOC4">
    <w:name w:val="toc 4"/>
    <w:basedOn w:val="Normal"/>
    <w:next w:val="Normal"/>
    <w:autoRedefine/>
    <w:uiPriority w:val="39"/>
    <w:rsid w:val="001F55B2"/>
    <w:pPr>
      <w:spacing w:after="0"/>
      <w:ind w:left="780"/>
    </w:pPr>
    <w:rPr>
      <w:rFonts w:ascii="Times New Roman" w:hAnsi="Times New Roman"/>
      <w:sz w:val="18"/>
      <w:szCs w:val="18"/>
    </w:rPr>
  </w:style>
  <w:style w:type="paragraph" w:styleId="TOC5">
    <w:name w:val="toc 5"/>
    <w:basedOn w:val="Normal"/>
    <w:next w:val="Normal"/>
    <w:autoRedefine/>
    <w:uiPriority w:val="39"/>
    <w:rsid w:val="001F55B2"/>
    <w:pPr>
      <w:spacing w:after="0"/>
      <w:ind w:left="1040"/>
    </w:pPr>
    <w:rPr>
      <w:rFonts w:ascii="Times New Roman" w:hAnsi="Times New Roman"/>
      <w:sz w:val="18"/>
      <w:szCs w:val="18"/>
    </w:rPr>
  </w:style>
  <w:style w:type="paragraph" w:styleId="TOC6">
    <w:name w:val="toc 6"/>
    <w:basedOn w:val="Normal"/>
    <w:next w:val="Normal"/>
    <w:autoRedefine/>
    <w:uiPriority w:val="39"/>
    <w:rsid w:val="001F55B2"/>
    <w:pPr>
      <w:spacing w:after="0"/>
      <w:ind w:left="1300"/>
    </w:pPr>
    <w:rPr>
      <w:rFonts w:ascii="Times New Roman" w:hAnsi="Times New Roman"/>
      <w:sz w:val="18"/>
      <w:szCs w:val="18"/>
    </w:rPr>
  </w:style>
  <w:style w:type="paragraph" w:styleId="TOC7">
    <w:name w:val="toc 7"/>
    <w:basedOn w:val="Normal"/>
    <w:next w:val="Normal"/>
    <w:autoRedefine/>
    <w:uiPriority w:val="39"/>
    <w:rsid w:val="001F55B2"/>
    <w:pPr>
      <w:spacing w:after="0"/>
      <w:ind w:left="1560"/>
    </w:pPr>
    <w:rPr>
      <w:rFonts w:ascii="Times New Roman" w:hAnsi="Times New Roman"/>
      <w:sz w:val="18"/>
      <w:szCs w:val="18"/>
    </w:rPr>
  </w:style>
  <w:style w:type="paragraph" w:styleId="TOC8">
    <w:name w:val="toc 8"/>
    <w:basedOn w:val="Normal"/>
    <w:next w:val="Normal"/>
    <w:autoRedefine/>
    <w:uiPriority w:val="39"/>
    <w:rsid w:val="001F55B2"/>
    <w:pPr>
      <w:spacing w:after="0"/>
      <w:ind w:left="1820"/>
    </w:pPr>
    <w:rPr>
      <w:rFonts w:ascii="Times New Roman" w:hAnsi="Times New Roman"/>
      <w:sz w:val="18"/>
      <w:szCs w:val="18"/>
    </w:rPr>
  </w:style>
  <w:style w:type="paragraph" w:styleId="TOC9">
    <w:name w:val="toc 9"/>
    <w:basedOn w:val="Normal"/>
    <w:next w:val="Normal"/>
    <w:autoRedefine/>
    <w:uiPriority w:val="39"/>
    <w:rsid w:val="001F55B2"/>
    <w:pPr>
      <w:spacing w:after="0"/>
      <w:ind w:left="2080"/>
    </w:pPr>
    <w:rPr>
      <w:rFonts w:ascii="Times New Roman" w:hAnsi="Times New Roman"/>
      <w:sz w:val="18"/>
      <w:szCs w:val="18"/>
    </w:rPr>
  </w:style>
  <w:style w:type="character" w:customStyle="1" w:styleId="FootnoteTextChar">
    <w:name w:val="Footnote Text Char"/>
    <w:basedOn w:val="DefaultParagraphFont"/>
    <w:link w:val="FootnoteText"/>
    <w:rsid w:val="001F55B2"/>
    <w:rPr>
      <w:rFonts w:ascii="Gill Sans" w:hAnsi="Gill Sans"/>
      <w:sz w:val="22"/>
      <w:lang w:val="en-IE" w:eastAsia="en-US" w:bidi="ar-SA"/>
    </w:rPr>
  </w:style>
  <w:style w:type="paragraph" w:customStyle="1" w:styleId="DAtextparagraph">
    <w:name w:val="DA text paragraph"/>
    <w:basedOn w:val="Normal"/>
    <w:link w:val="DAtextparagraphChar"/>
    <w:rsid w:val="001F55B2"/>
    <w:pPr>
      <w:spacing w:before="160" w:after="160"/>
    </w:pPr>
    <w:rPr>
      <w:rFonts w:ascii="Arial" w:hAnsi="Arial" w:cs="Arial"/>
      <w:color w:val="000000"/>
      <w:sz w:val="22"/>
      <w:lang w:val="en-US"/>
    </w:rPr>
  </w:style>
  <w:style w:type="character" w:customStyle="1" w:styleId="DAtextparagraphChar">
    <w:name w:val="DA text paragraph Char"/>
    <w:basedOn w:val="DefaultParagraphFont"/>
    <w:link w:val="DAtextparagraph"/>
    <w:rsid w:val="001F55B2"/>
    <w:rPr>
      <w:rFonts w:ascii="Arial" w:hAnsi="Arial" w:cs="Arial"/>
      <w:color w:val="000000"/>
      <w:sz w:val="22"/>
      <w:szCs w:val="24"/>
      <w:lang w:val="en-US" w:eastAsia="en-US" w:bidi="ar-SA"/>
    </w:rPr>
  </w:style>
  <w:style w:type="character" w:customStyle="1" w:styleId="ListBulletChar">
    <w:name w:val="List Bullet Char"/>
    <w:basedOn w:val="DefaultParagraphFont"/>
    <w:link w:val="ListBullet"/>
    <w:rsid w:val="001F55B2"/>
    <w:rPr>
      <w:rFonts w:ascii="Gill Sans" w:eastAsia="Times New Roman" w:hAnsi="Gill Sans"/>
      <w:sz w:val="26"/>
      <w:szCs w:val="24"/>
      <w:lang w:eastAsia="en-US"/>
    </w:rPr>
  </w:style>
  <w:style w:type="paragraph" w:styleId="List2">
    <w:name w:val="List 2"/>
    <w:basedOn w:val="Normal"/>
    <w:rsid w:val="001F55B2"/>
    <w:pPr>
      <w:spacing w:after="0"/>
      <w:ind w:left="566" w:hanging="283"/>
    </w:pPr>
    <w:rPr>
      <w:rFonts w:ascii="Times New Roman" w:hAnsi="Times New Roman"/>
      <w:sz w:val="24"/>
      <w:lang w:val="en-GB" w:eastAsia="en-GB"/>
    </w:rPr>
  </w:style>
  <w:style w:type="paragraph" w:customStyle="1" w:styleId="ReportHeading">
    <w:name w:val="Report Heading"/>
    <w:basedOn w:val="Normal"/>
    <w:link w:val="ReportHeadingChar"/>
    <w:rsid w:val="001F55B2"/>
    <w:pPr>
      <w:spacing w:after="0" w:line="360" w:lineRule="auto"/>
    </w:pPr>
    <w:rPr>
      <w:rFonts w:ascii="Arial" w:eastAsia="Calibri" w:hAnsi="Arial" w:cs="Arial"/>
      <w:b/>
      <w:color w:val="002C76"/>
      <w:sz w:val="22"/>
      <w:szCs w:val="28"/>
      <w:lang w:val="en-GB" w:eastAsia="en-GB"/>
    </w:rPr>
  </w:style>
  <w:style w:type="character" w:customStyle="1" w:styleId="ReportHeadingChar">
    <w:name w:val="Report Heading Char"/>
    <w:basedOn w:val="DefaultParagraphFont"/>
    <w:link w:val="ReportHeading"/>
    <w:locked/>
    <w:rsid w:val="001F55B2"/>
    <w:rPr>
      <w:rFonts w:ascii="Arial" w:eastAsia="Calibri" w:hAnsi="Arial" w:cs="Arial"/>
      <w:b/>
      <w:color w:val="002C76"/>
      <w:sz w:val="22"/>
      <w:szCs w:val="28"/>
      <w:lang w:val="en-GB" w:eastAsia="en-GB" w:bidi="ar-SA"/>
    </w:rPr>
  </w:style>
  <w:style w:type="character" w:customStyle="1" w:styleId="ms-rtecustom-articleheadline1">
    <w:name w:val="ms-rtecustom-articleheadline1"/>
    <w:basedOn w:val="DefaultParagraphFont"/>
    <w:rsid w:val="001F55B2"/>
    <w:rPr>
      <w:rFonts w:ascii="Trebuchet MS" w:hAnsi="Trebuchet MS" w:cs="Times New Roman"/>
      <w:b/>
      <w:bCs/>
      <w:i/>
      <w:iCs/>
      <w:color w:val="004687"/>
    </w:rPr>
  </w:style>
  <w:style w:type="paragraph" w:styleId="ListParagraph">
    <w:name w:val="List Paragraph"/>
    <w:basedOn w:val="Normal"/>
    <w:uiPriority w:val="34"/>
    <w:qFormat/>
    <w:rsid w:val="001F55B2"/>
    <w:pPr>
      <w:spacing w:after="200" w:line="276" w:lineRule="auto"/>
      <w:ind w:left="720"/>
      <w:contextualSpacing/>
    </w:pPr>
    <w:rPr>
      <w:rFonts w:ascii="Arial" w:hAnsi="Arial"/>
      <w:sz w:val="22"/>
      <w:szCs w:val="22"/>
    </w:rPr>
  </w:style>
  <w:style w:type="character" w:styleId="CommentReference">
    <w:name w:val="annotation reference"/>
    <w:basedOn w:val="DefaultParagraphFont"/>
    <w:rsid w:val="001F55B2"/>
    <w:rPr>
      <w:sz w:val="16"/>
      <w:szCs w:val="16"/>
    </w:rPr>
  </w:style>
  <w:style w:type="paragraph" w:styleId="CommentSubject">
    <w:name w:val="annotation subject"/>
    <w:basedOn w:val="CommentText"/>
    <w:next w:val="CommentText"/>
    <w:link w:val="CommentSubjectChar"/>
    <w:rsid w:val="001F55B2"/>
    <w:rPr>
      <w:rFonts w:ascii="Gill Sans" w:hAnsi="Gill Sans"/>
      <w:b/>
      <w:bCs/>
      <w:szCs w:val="20"/>
      <w:lang w:val="en-IE"/>
    </w:rPr>
  </w:style>
  <w:style w:type="character" w:customStyle="1" w:styleId="highlightselected">
    <w:name w:val="highlight selected"/>
    <w:basedOn w:val="DefaultParagraphFont"/>
    <w:rsid w:val="001F55B2"/>
  </w:style>
  <w:style w:type="table" w:styleId="TableGrid1">
    <w:name w:val="Table Grid 1"/>
    <w:basedOn w:val="TableNormal"/>
    <w:rsid w:val="001F55B2"/>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3Char">
    <w:name w:val="Heading 3 Char"/>
    <w:basedOn w:val="DefaultParagraphFont"/>
    <w:link w:val="Heading3"/>
    <w:rsid w:val="001F55B2"/>
    <w:rPr>
      <w:rFonts w:ascii="Gill Sans" w:hAnsi="Gill Sans" w:cs="Arial Bold"/>
      <w:b/>
      <w:bCs/>
      <w:sz w:val="26"/>
      <w:szCs w:val="24"/>
      <w:lang w:val="en-IE" w:eastAsia="en-US" w:bidi="ar-SA"/>
    </w:rPr>
  </w:style>
  <w:style w:type="character" w:customStyle="1" w:styleId="CharChar6">
    <w:name w:val=" Char Char6"/>
    <w:rsid w:val="001F55B2"/>
    <w:rPr>
      <w:rFonts w:ascii="Gill Sans" w:hAnsi="Gill Sans" w:cs="Arial Bold"/>
      <w:b/>
      <w:bCs/>
      <w:iCs/>
      <w:sz w:val="28"/>
      <w:szCs w:val="28"/>
      <w:lang w:val="en-IE" w:eastAsia="en-US" w:bidi="ar-SA"/>
    </w:rPr>
  </w:style>
  <w:style w:type="character" w:customStyle="1" w:styleId="CharChar3">
    <w:name w:val=" Char Char3"/>
    <w:rsid w:val="001F55B2"/>
    <w:rPr>
      <w:rFonts w:ascii="Gill Sans" w:hAnsi="Gill Sans"/>
      <w:sz w:val="22"/>
      <w:lang w:val="en-IE" w:eastAsia="en-US" w:bidi="ar-SA"/>
    </w:rPr>
  </w:style>
  <w:style w:type="character" w:customStyle="1" w:styleId="CharChar4">
    <w:name w:val=" Char Char4"/>
    <w:rsid w:val="001F55B2"/>
    <w:rPr>
      <w:rFonts w:ascii="Gill Sans" w:hAnsi="Gill Sans"/>
      <w:sz w:val="26"/>
      <w:szCs w:val="24"/>
      <w:lang w:val="en-IE" w:eastAsia="en-US" w:bidi="ar-SA"/>
    </w:rPr>
  </w:style>
  <w:style w:type="character" w:customStyle="1" w:styleId="CharChar5">
    <w:name w:val=" Char Char5"/>
    <w:rsid w:val="001F55B2"/>
    <w:rPr>
      <w:rFonts w:ascii="Gill Sans" w:hAnsi="Gill Sans" w:cs="Arial Bold"/>
      <w:b/>
      <w:bCs/>
      <w:sz w:val="26"/>
      <w:szCs w:val="24"/>
      <w:lang w:val="en-IE" w:eastAsia="en-US" w:bidi="ar-SA"/>
    </w:rPr>
  </w:style>
  <w:style w:type="character" w:customStyle="1" w:styleId="CharChar2">
    <w:name w:val=" Char Char2"/>
    <w:rsid w:val="001F55B2"/>
    <w:rPr>
      <w:rFonts w:ascii="Gill Sans" w:hAnsi="Gill Sans"/>
      <w:lang w:eastAsia="en-US"/>
    </w:rPr>
  </w:style>
  <w:style w:type="paragraph" w:styleId="TableofFigures">
    <w:name w:val="table of figures"/>
    <w:basedOn w:val="Normal"/>
    <w:next w:val="Normal"/>
    <w:uiPriority w:val="99"/>
    <w:rsid w:val="001F55B2"/>
  </w:style>
  <w:style w:type="character" w:customStyle="1" w:styleId="Heading7Char">
    <w:name w:val="Heading 7 Char"/>
    <w:basedOn w:val="DefaultParagraphFont"/>
    <w:link w:val="Heading7"/>
    <w:rsid w:val="001F55B2"/>
    <w:rPr>
      <w:rFonts w:ascii="Gill Sans" w:hAnsi="Gill Sans" w:cs="Arial"/>
      <w:b/>
      <w:sz w:val="22"/>
      <w:szCs w:val="40"/>
      <w:lang w:val="en-IE" w:eastAsia="en-US" w:bidi="ar-SA"/>
    </w:rPr>
  </w:style>
  <w:style w:type="numbering" w:styleId="111111">
    <w:name w:val="Outline List 2"/>
    <w:basedOn w:val="NoList"/>
    <w:rsid w:val="001F55B2"/>
  </w:style>
  <w:style w:type="character" w:customStyle="1" w:styleId="HeaderChar">
    <w:name w:val="Header Char"/>
    <w:basedOn w:val="DefaultParagraphFont"/>
    <w:link w:val="Header"/>
    <w:uiPriority w:val="99"/>
    <w:rsid w:val="00184473"/>
    <w:rPr>
      <w:rFonts w:ascii="Gill Sans" w:eastAsia="Times New Roman" w:hAnsi="Gill Sans"/>
      <w:color w:val="333333"/>
      <w:sz w:val="22"/>
      <w:lang w:eastAsia="en-US"/>
    </w:rPr>
  </w:style>
  <w:style w:type="character" w:customStyle="1" w:styleId="BalloonTextChar">
    <w:name w:val="Balloon Text Char"/>
    <w:basedOn w:val="DefaultParagraphFont"/>
    <w:link w:val="BalloonText"/>
    <w:rsid w:val="00184473"/>
    <w:rPr>
      <w:rFonts w:ascii="Tahoma" w:eastAsia="Times New Roman" w:hAnsi="Tahoma" w:cs="Tahoma"/>
      <w:sz w:val="16"/>
      <w:szCs w:val="16"/>
      <w:lang w:eastAsia="en-US"/>
    </w:rPr>
  </w:style>
  <w:style w:type="character" w:customStyle="1" w:styleId="BodyTextChar">
    <w:name w:val="Body Text Char"/>
    <w:basedOn w:val="DefaultParagraphFont"/>
    <w:link w:val="BodyText"/>
    <w:rsid w:val="00C2179B"/>
    <w:rPr>
      <w:rFonts w:ascii="Gill Sans" w:eastAsia="Times New Roman" w:hAnsi="Gill Sans"/>
      <w:sz w:val="26"/>
      <w:szCs w:val="24"/>
      <w:lang w:eastAsia="en-US"/>
    </w:rPr>
  </w:style>
  <w:style w:type="character" w:customStyle="1" w:styleId="CommentSubjectChar">
    <w:name w:val="Comment Subject Char"/>
    <w:basedOn w:val="CommentTextChar"/>
    <w:link w:val="CommentSubject"/>
    <w:rsid w:val="00C2179B"/>
    <w:rPr>
      <w:rFonts w:ascii="Gill Sans" w:eastAsia="Times New Roman" w:hAnsi="Gill Sans"/>
      <w:b/>
      <w:bCs/>
      <w:szCs w:val="24"/>
      <w:lang w:eastAsia="en-US"/>
    </w:rPr>
  </w:style>
  <w:style w:type="character" w:customStyle="1" w:styleId="CharChar60">
    <w:name w:val="Char Char6"/>
    <w:rsid w:val="00C2179B"/>
    <w:rPr>
      <w:rFonts w:ascii="Gill Sans" w:hAnsi="Gill Sans" w:cs="Arial Bold"/>
      <w:b/>
      <w:bCs/>
      <w:iCs/>
      <w:sz w:val="28"/>
      <w:szCs w:val="28"/>
      <w:lang w:val="en-IE" w:eastAsia="en-US" w:bidi="ar-SA"/>
    </w:rPr>
  </w:style>
  <w:style w:type="character" w:customStyle="1" w:styleId="CharChar30">
    <w:name w:val="Char Char3"/>
    <w:rsid w:val="00C2179B"/>
    <w:rPr>
      <w:rFonts w:ascii="Gill Sans" w:hAnsi="Gill Sans"/>
      <w:sz w:val="22"/>
      <w:lang w:val="en-IE" w:eastAsia="en-US" w:bidi="ar-SA"/>
    </w:rPr>
  </w:style>
  <w:style w:type="character" w:customStyle="1" w:styleId="CharChar40">
    <w:name w:val="Char Char4"/>
    <w:rsid w:val="00C2179B"/>
    <w:rPr>
      <w:rFonts w:ascii="Gill Sans" w:hAnsi="Gill Sans"/>
      <w:sz w:val="26"/>
      <w:szCs w:val="24"/>
      <w:lang w:val="en-IE" w:eastAsia="en-US" w:bidi="ar-SA"/>
    </w:rPr>
  </w:style>
  <w:style w:type="character" w:customStyle="1" w:styleId="CharChar50">
    <w:name w:val="Char Char5"/>
    <w:rsid w:val="00C2179B"/>
    <w:rPr>
      <w:rFonts w:ascii="Gill Sans" w:hAnsi="Gill Sans" w:cs="Arial Bold"/>
      <w:b/>
      <w:bCs/>
      <w:sz w:val="26"/>
      <w:szCs w:val="24"/>
      <w:lang w:val="en-IE" w:eastAsia="en-US" w:bidi="ar-SA"/>
    </w:rPr>
  </w:style>
  <w:style w:type="character" w:customStyle="1" w:styleId="CharChar20">
    <w:name w:val="Char Char2"/>
    <w:rsid w:val="00C2179B"/>
    <w:rPr>
      <w:rFonts w:ascii="Gill Sans" w:hAnsi="Gill Sans"/>
      <w:lang w:eastAsia="en-US"/>
    </w:rPr>
  </w:style>
  <w:style w:type="character" w:customStyle="1" w:styleId="highlight">
    <w:name w:val="highlight"/>
    <w:basedOn w:val="DefaultParagraphFont"/>
    <w:rsid w:val="00C2179B"/>
  </w:style>
  <w:style w:type="paragraph" w:styleId="NoSpacing">
    <w:name w:val="No Spacing"/>
    <w:link w:val="NoSpacingChar"/>
    <w:uiPriority w:val="1"/>
    <w:qFormat/>
    <w:rsid w:val="004035FE"/>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4035FE"/>
    <w:rPr>
      <w:rFonts w:ascii="Calibri" w:eastAsia="Times New Roman" w:hAnsi="Calibri"/>
      <w:sz w:val="22"/>
      <w:szCs w:val="22"/>
      <w:lang w:val="en-US" w:eastAsia="en-US" w:bidi="ar-SA"/>
    </w:rPr>
  </w:style>
  <w:style w:type="character" w:customStyle="1" w:styleId="SubtitleChar">
    <w:name w:val="Subtitle Char"/>
    <w:basedOn w:val="DefaultParagraphFont"/>
    <w:link w:val="Subtitle"/>
    <w:rsid w:val="004035FE"/>
    <w:rPr>
      <w:rFonts w:ascii="Gill Sans" w:eastAsia="Times New Roman" w:hAnsi="Gill Sans"/>
      <w:sz w:val="28"/>
      <w:szCs w:val="24"/>
      <w:lang w:eastAsia="en-US"/>
    </w:rPr>
  </w:style>
  <w:style w:type="character" w:customStyle="1" w:styleId="TitleChar">
    <w:name w:val="Title Char"/>
    <w:basedOn w:val="DefaultParagraphFont"/>
    <w:link w:val="Title"/>
    <w:rsid w:val="004035FE"/>
    <w:rPr>
      <w:rFonts w:ascii="Gill Sans" w:eastAsia="Times New Roman" w:hAnsi="Gill Sans" w:cs="Arial"/>
      <w:b/>
      <w:bCs/>
      <w:kern w:val="28"/>
      <w:sz w:val="36"/>
      <w:szCs w:val="32"/>
      <w:lang w:eastAsia="en-US"/>
    </w:rPr>
  </w:style>
  <w:style w:type="character" w:styleId="PlaceholderText">
    <w:name w:val="Placeholder Text"/>
    <w:basedOn w:val="DefaultParagraphFont"/>
    <w:uiPriority w:val="99"/>
    <w:semiHidden/>
    <w:rsid w:val="004035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fippcase.org/casemakers/casemakers_vol1_no6.pdf" TargetMode="External"/><Relationship Id="rId3" Type="http://schemas.openxmlformats.org/officeDocument/2006/relationships/styles" Target="styles.xml"/><Relationship Id="rId21" Type="http://schemas.openxmlformats.org/officeDocument/2006/relationships/hyperlink" Target="http://www.scotland.gov.uk/Resource/Doc/313416/0099357.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asha.org/nctecd/treatment_outcomes.htm" TargetMode="External"/><Relationship Id="rId2" Type="http://schemas.openxmlformats.org/officeDocument/2006/relationships/numbering" Target="numbering.xml"/><Relationship Id="rId16" Type="http://schemas.openxmlformats.org/officeDocument/2006/relationships/hyperlink" Target="http://www.asha.org/docs/html/GL2002-00066.html" TargetMode="External"/><Relationship Id="rId20" Type="http://schemas.openxmlformats.org/officeDocument/2006/relationships/hyperlink" Target="http://dera.ioe.ac.uk/2190/1/011413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so.ie/en/media/csoie/releasespublications/documents/population/2013/poplabfor2016_2046.pdf" TargetMode="External"/><Relationship Id="rId23" Type="http://schemas.openxmlformats.org/officeDocument/2006/relationships/theme" Target="theme/theme1.xml"/><Relationship Id="rId10" Type="http://schemas.openxmlformats.org/officeDocument/2006/relationships/hyperlink" Target="http://www.hse.ie/eng/staff/Resources/hrstrategiesreports/Workforce_planning_for_future_healthcare_needs.pdf" TargetMode="External"/><Relationship Id="rId19" Type="http://schemas.openxmlformats.org/officeDocument/2006/relationships/hyperlink" Target="http://www.hse.ie/eng/about/Who/ONMSD/NMPDU/NMPDDN/PHITfulldoc.pdf" TargetMode="External"/><Relationship Id="rId4" Type="http://schemas.openxmlformats.org/officeDocument/2006/relationships/settings" Target="settings.xml"/><Relationship Id="rId9" Type="http://schemas.openxmlformats.org/officeDocument/2006/relationships/hyperlink" Target="http://www.nda.ie" TargetMode="External"/><Relationship Id="rId14" Type="http://schemas.openxmlformats.org/officeDocument/2006/relationships/hyperlink" Target="http://www.cso.ie/en/media/csoie/releasespublications/documents/population/2013/poplabfor2016_2046.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fippcase.org/casemakers/casemakers_vol1_no4.pdf" TargetMode="External"/><Relationship Id="rId3" Type="http://schemas.openxmlformats.org/officeDocument/2006/relationships/hyperlink" Target="http://www.asha.org/policy" TargetMode="External"/><Relationship Id="rId7" Type="http://schemas.openxmlformats.org/officeDocument/2006/relationships/hyperlink" Target="http://www.scopevic.org.au/mychild.pdf" TargetMode="External"/><Relationship Id="rId2" Type="http://schemas.openxmlformats.org/officeDocument/2006/relationships/hyperlink" Target="http://www.pediatricsdigest.mobi/content/131/1/38.short" TargetMode="External"/><Relationship Id="rId1" Type="http://schemas.openxmlformats.org/officeDocument/2006/relationships/hyperlink" Target="http://trutzhaase.eu/deprivation-index/overview/" TargetMode="External"/><Relationship Id="rId6" Type="http://schemas.openxmlformats.org/officeDocument/2006/relationships/hyperlink" Target="http://www.pinpoint-cambs.org.uk/sites/default/files/Shaping%20Health%20services%20final.pdf" TargetMode="External"/><Relationship Id="rId5" Type="http://schemas.openxmlformats.org/officeDocument/2006/relationships/hyperlink" Target="http://www.asha.org/NR/rdonlyres/A700FE99-C454-44EF-959884B195E8D87F/" TargetMode="External"/><Relationship Id="rId10" Type="http://schemas.openxmlformats.org/officeDocument/2006/relationships/hyperlink" Target="URL:http://www.gp.unimelb.edu.au/research/ripe/RIPEWONCApaperFinal.doc" TargetMode="External"/><Relationship Id="rId4" Type="http://schemas.openxmlformats.org/officeDocument/2006/relationships/hyperlink" Target="http://physiotherapy.ca" TargetMode="External"/><Relationship Id="rId9" Type="http://schemas.openxmlformats.org/officeDocument/2006/relationships/hyperlink" Target="http://www.ahrq.gov/research/findings/final-reports/medteam/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F231B-38F7-4AB4-824D-46A7A9DEE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2011.dot</Template>
  <TotalTime>16</TotalTime>
  <Pages>142</Pages>
  <Words>33819</Words>
  <Characters>204227</Characters>
  <Application>Microsoft Office Word</Application>
  <DocSecurity>0</DocSecurity>
  <Lines>3191</Lines>
  <Paragraphs>572</Paragraphs>
  <ScaleCrop>false</ScaleCrop>
  <HeadingPairs>
    <vt:vector size="2" baseType="variant">
      <vt:variant>
        <vt:lpstr>Title</vt:lpstr>
      </vt:variant>
      <vt:variant>
        <vt:i4>1</vt:i4>
      </vt:variant>
    </vt:vector>
  </HeadingPairs>
  <TitlesOfParts>
    <vt:vector size="1" baseType="lpstr">
      <vt:lpstr>Developing children’s disability services in Ireland</vt:lpstr>
    </vt:vector>
  </TitlesOfParts>
  <Company>National Disability Authority</Company>
  <LinksUpToDate>false</LinksUpToDate>
  <CharactersWithSpaces>237474</CharactersWithSpaces>
  <SharedDoc>false</SharedDoc>
  <HLinks>
    <vt:vector size="720" baseType="variant">
      <vt:variant>
        <vt:i4>6357115</vt:i4>
      </vt:variant>
      <vt:variant>
        <vt:i4>633</vt:i4>
      </vt:variant>
      <vt:variant>
        <vt:i4>0</vt:i4>
      </vt:variant>
      <vt:variant>
        <vt:i4>5</vt:i4>
      </vt:variant>
      <vt:variant>
        <vt:lpwstr>http://www.scotland.gov.uk/Resource/Doc/313416/0099357.pdf</vt:lpwstr>
      </vt:variant>
      <vt:variant>
        <vt:lpwstr/>
      </vt:variant>
      <vt:variant>
        <vt:i4>4718674</vt:i4>
      </vt:variant>
      <vt:variant>
        <vt:i4>630</vt:i4>
      </vt:variant>
      <vt:variant>
        <vt:i4>0</vt:i4>
      </vt:variant>
      <vt:variant>
        <vt:i4>5</vt:i4>
      </vt:variant>
      <vt:variant>
        <vt:lpwstr>http://dera.ioe.ac.uk/2190/1/0114135.pdf</vt:lpwstr>
      </vt:variant>
      <vt:variant>
        <vt:lpwstr/>
      </vt:variant>
      <vt:variant>
        <vt:i4>3080304</vt:i4>
      </vt:variant>
      <vt:variant>
        <vt:i4>627</vt:i4>
      </vt:variant>
      <vt:variant>
        <vt:i4>0</vt:i4>
      </vt:variant>
      <vt:variant>
        <vt:i4>5</vt:i4>
      </vt:variant>
      <vt:variant>
        <vt:lpwstr>http://www.hse.ie/eng/about/Who/ONMSD/NMPDU/NMPDDN/PHITfulldoc.pdf</vt:lpwstr>
      </vt:variant>
      <vt:variant>
        <vt:lpwstr/>
      </vt:variant>
      <vt:variant>
        <vt:i4>393245</vt:i4>
      </vt:variant>
      <vt:variant>
        <vt:i4>624</vt:i4>
      </vt:variant>
      <vt:variant>
        <vt:i4>0</vt:i4>
      </vt:variant>
      <vt:variant>
        <vt:i4>5</vt:i4>
      </vt:variant>
      <vt:variant>
        <vt:lpwstr>http://www.fippcase.org/casemakers/casemakers_vol1_no6.pdf</vt:lpwstr>
      </vt:variant>
      <vt:variant>
        <vt:lpwstr/>
      </vt:variant>
      <vt:variant>
        <vt:i4>786483</vt:i4>
      </vt:variant>
      <vt:variant>
        <vt:i4>621</vt:i4>
      </vt:variant>
      <vt:variant>
        <vt:i4>0</vt:i4>
      </vt:variant>
      <vt:variant>
        <vt:i4>5</vt:i4>
      </vt:variant>
      <vt:variant>
        <vt:lpwstr>http://www.asha.org/nctecd/treatment_outcomes.htm</vt:lpwstr>
      </vt:variant>
      <vt:variant>
        <vt:lpwstr/>
      </vt:variant>
      <vt:variant>
        <vt:i4>3801198</vt:i4>
      </vt:variant>
      <vt:variant>
        <vt:i4>618</vt:i4>
      </vt:variant>
      <vt:variant>
        <vt:i4>0</vt:i4>
      </vt:variant>
      <vt:variant>
        <vt:i4>5</vt:i4>
      </vt:variant>
      <vt:variant>
        <vt:lpwstr>http://www.asha.org/docs/html/GL2002-00066.html</vt:lpwstr>
      </vt:variant>
      <vt:variant>
        <vt:lpwstr/>
      </vt:variant>
      <vt:variant>
        <vt:i4>1048629</vt:i4>
      </vt:variant>
      <vt:variant>
        <vt:i4>615</vt:i4>
      </vt:variant>
      <vt:variant>
        <vt:i4>0</vt:i4>
      </vt:variant>
      <vt:variant>
        <vt:i4>5</vt:i4>
      </vt:variant>
      <vt:variant>
        <vt:lpwstr>http://www.cso.ie/en/media/csoie/releasespublications/documents/population/2013/poplabfor2016_2046.pdf</vt:lpwstr>
      </vt:variant>
      <vt:variant>
        <vt:lpwstr/>
      </vt:variant>
      <vt:variant>
        <vt:i4>1048629</vt:i4>
      </vt:variant>
      <vt:variant>
        <vt:i4>612</vt:i4>
      </vt:variant>
      <vt:variant>
        <vt:i4>0</vt:i4>
      </vt:variant>
      <vt:variant>
        <vt:i4>5</vt:i4>
      </vt:variant>
      <vt:variant>
        <vt:lpwstr>http://www.cso.ie/en/media/csoie/releasespublications/documents/population/2013/poplabfor2016_2046.pdf</vt:lpwstr>
      </vt:variant>
      <vt:variant>
        <vt:lpwstr/>
      </vt:variant>
      <vt:variant>
        <vt:i4>1835121</vt:i4>
      </vt:variant>
      <vt:variant>
        <vt:i4>609</vt:i4>
      </vt:variant>
      <vt:variant>
        <vt:i4>0</vt:i4>
      </vt:variant>
      <vt:variant>
        <vt:i4>5</vt:i4>
      </vt:variant>
      <vt:variant>
        <vt:lpwstr>http://www.hse.ie/eng/staff/Resources/hrstrategiesreports/Workforce_planning_for_future_healthcare_needs.pdf</vt:lpwstr>
      </vt:variant>
      <vt:variant>
        <vt:lpwstr/>
      </vt:variant>
      <vt:variant>
        <vt:i4>1310782</vt:i4>
      </vt:variant>
      <vt:variant>
        <vt:i4>602</vt:i4>
      </vt:variant>
      <vt:variant>
        <vt:i4>0</vt:i4>
      </vt:variant>
      <vt:variant>
        <vt:i4>5</vt:i4>
      </vt:variant>
      <vt:variant>
        <vt:lpwstr/>
      </vt:variant>
      <vt:variant>
        <vt:lpwstr>_Toc419879437</vt:lpwstr>
      </vt:variant>
      <vt:variant>
        <vt:i4>1310782</vt:i4>
      </vt:variant>
      <vt:variant>
        <vt:i4>596</vt:i4>
      </vt:variant>
      <vt:variant>
        <vt:i4>0</vt:i4>
      </vt:variant>
      <vt:variant>
        <vt:i4>5</vt:i4>
      </vt:variant>
      <vt:variant>
        <vt:lpwstr/>
      </vt:variant>
      <vt:variant>
        <vt:lpwstr>_Toc419879436</vt:lpwstr>
      </vt:variant>
      <vt:variant>
        <vt:i4>1310782</vt:i4>
      </vt:variant>
      <vt:variant>
        <vt:i4>590</vt:i4>
      </vt:variant>
      <vt:variant>
        <vt:i4>0</vt:i4>
      </vt:variant>
      <vt:variant>
        <vt:i4>5</vt:i4>
      </vt:variant>
      <vt:variant>
        <vt:lpwstr/>
      </vt:variant>
      <vt:variant>
        <vt:lpwstr>_Toc419879435</vt:lpwstr>
      </vt:variant>
      <vt:variant>
        <vt:i4>1310782</vt:i4>
      </vt:variant>
      <vt:variant>
        <vt:i4>584</vt:i4>
      </vt:variant>
      <vt:variant>
        <vt:i4>0</vt:i4>
      </vt:variant>
      <vt:variant>
        <vt:i4>5</vt:i4>
      </vt:variant>
      <vt:variant>
        <vt:lpwstr/>
      </vt:variant>
      <vt:variant>
        <vt:lpwstr>_Toc419879434</vt:lpwstr>
      </vt:variant>
      <vt:variant>
        <vt:i4>1310782</vt:i4>
      </vt:variant>
      <vt:variant>
        <vt:i4>578</vt:i4>
      </vt:variant>
      <vt:variant>
        <vt:i4>0</vt:i4>
      </vt:variant>
      <vt:variant>
        <vt:i4>5</vt:i4>
      </vt:variant>
      <vt:variant>
        <vt:lpwstr/>
      </vt:variant>
      <vt:variant>
        <vt:lpwstr>_Toc419879433</vt:lpwstr>
      </vt:variant>
      <vt:variant>
        <vt:i4>1310782</vt:i4>
      </vt:variant>
      <vt:variant>
        <vt:i4>572</vt:i4>
      </vt:variant>
      <vt:variant>
        <vt:i4>0</vt:i4>
      </vt:variant>
      <vt:variant>
        <vt:i4>5</vt:i4>
      </vt:variant>
      <vt:variant>
        <vt:lpwstr/>
      </vt:variant>
      <vt:variant>
        <vt:lpwstr>_Toc419879432</vt:lpwstr>
      </vt:variant>
      <vt:variant>
        <vt:i4>1310782</vt:i4>
      </vt:variant>
      <vt:variant>
        <vt:i4>566</vt:i4>
      </vt:variant>
      <vt:variant>
        <vt:i4>0</vt:i4>
      </vt:variant>
      <vt:variant>
        <vt:i4>5</vt:i4>
      </vt:variant>
      <vt:variant>
        <vt:lpwstr/>
      </vt:variant>
      <vt:variant>
        <vt:lpwstr>_Toc419879431</vt:lpwstr>
      </vt:variant>
      <vt:variant>
        <vt:i4>1310782</vt:i4>
      </vt:variant>
      <vt:variant>
        <vt:i4>560</vt:i4>
      </vt:variant>
      <vt:variant>
        <vt:i4>0</vt:i4>
      </vt:variant>
      <vt:variant>
        <vt:i4>5</vt:i4>
      </vt:variant>
      <vt:variant>
        <vt:lpwstr/>
      </vt:variant>
      <vt:variant>
        <vt:lpwstr>_Toc419879430</vt:lpwstr>
      </vt:variant>
      <vt:variant>
        <vt:i4>1376318</vt:i4>
      </vt:variant>
      <vt:variant>
        <vt:i4>554</vt:i4>
      </vt:variant>
      <vt:variant>
        <vt:i4>0</vt:i4>
      </vt:variant>
      <vt:variant>
        <vt:i4>5</vt:i4>
      </vt:variant>
      <vt:variant>
        <vt:lpwstr/>
      </vt:variant>
      <vt:variant>
        <vt:lpwstr>_Toc419879429</vt:lpwstr>
      </vt:variant>
      <vt:variant>
        <vt:i4>1376318</vt:i4>
      </vt:variant>
      <vt:variant>
        <vt:i4>548</vt:i4>
      </vt:variant>
      <vt:variant>
        <vt:i4>0</vt:i4>
      </vt:variant>
      <vt:variant>
        <vt:i4>5</vt:i4>
      </vt:variant>
      <vt:variant>
        <vt:lpwstr/>
      </vt:variant>
      <vt:variant>
        <vt:lpwstr>_Toc419879428</vt:lpwstr>
      </vt:variant>
      <vt:variant>
        <vt:i4>1376318</vt:i4>
      </vt:variant>
      <vt:variant>
        <vt:i4>542</vt:i4>
      </vt:variant>
      <vt:variant>
        <vt:i4>0</vt:i4>
      </vt:variant>
      <vt:variant>
        <vt:i4>5</vt:i4>
      </vt:variant>
      <vt:variant>
        <vt:lpwstr/>
      </vt:variant>
      <vt:variant>
        <vt:lpwstr>_Toc419879427</vt:lpwstr>
      </vt:variant>
      <vt:variant>
        <vt:i4>1376318</vt:i4>
      </vt:variant>
      <vt:variant>
        <vt:i4>536</vt:i4>
      </vt:variant>
      <vt:variant>
        <vt:i4>0</vt:i4>
      </vt:variant>
      <vt:variant>
        <vt:i4>5</vt:i4>
      </vt:variant>
      <vt:variant>
        <vt:lpwstr/>
      </vt:variant>
      <vt:variant>
        <vt:lpwstr>_Toc419879426</vt:lpwstr>
      </vt:variant>
      <vt:variant>
        <vt:i4>1376318</vt:i4>
      </vt:variant>
      <vt:variant>
        <vt:i4>530</vt:i4>
      </vt:variant>
      <vt:variant>
        <vt:i4>0</vt:i4>
      </vt:variant>
      <vt:variant>
        <vt:i4>5</vt:i4>
      </vt:variant>
      <vt:variant>
        <vt:lpwstr/>
      </vt:variant>
      <vt:variant>
        <vt:lpwstr>_Toc419879425</vt:lpwstr>
      </vt:variant>
      <vt:variant>
        <vt:i4>1376318</vt:i4>
      </vt:variant>
      <vt:variant>
        <vt:i4>524</vt:i4>
      </vt:variant>
      <vt:variant>
        <vt:i4>0</vt:i4>
      </vt:variant>
      <vt:variant>
        <vt:i4>5</vt:i4>
      </vt:variant>
      <vt:variant>
        <vt:lpwstr/>
      </vt:variant>
      <vt:variant>
        <vt:lpwstr>_Toc419879424</vt:lpwstr>
      </vt:variant>
      <vt:variant>
        <vt:i4>1376318</vt:i4>
      </vt:variant>
      <vt:variant>
        <vt:i4>518</vt:i4>
      </vt:variant>
      <vt:variant>
        <vt:i4>0</vt:i4>
      </vt:variant>
      <vt:variant>
        <vt:i4>5</vt:i4>
      </vt:variant>
      <vt:variant>
        <vt:lpwstr/>
      </vt:variant>
      <vt:variant>
        <vt:lpwstr>_Toc419879423</vt:lpwstr>
      </vt:variant>
      <vt:variant>
        <vt:i4>1376318</vt:i4>
      </vt:variant>
      <vt:variant>
        <vt:i4>512</vt:i4>
      </vt:variant>
      <vt:variant>
        <vt:i4>0</vt:i4>
      </vt:variant>
      <vt:variant>
        <vt:i4>5</vt:i4>
      </vt:variant>
      <vt:variant>
        <vt:lpwstr/>
      </vt:variant>
      <vt:variant>
        <vt:lpwstr>_Toc419879422</vt:lpwstr>
      </vt:variant>
      <vt:variant>
        <vt:i4>1376318</vt:i4>
      </vt:variant>
      <vt:variant>
        <vt:i4>506</vt:i4>
      </vt:variant>
      <vt:variant>
        <vt:i4>0</vt:i4>
      </vt:variant>
      <vt:variant>
        <vt:i4>5</vt:i4>
      </vt:variant>
      <vt:variant>
        <vt:lpwstr/>
      </vt:variant>
      <vt:variant>
        <vt:lpwstr>_Toc419879421</vt:lpwstr>
      </vt:variant>
      <vt:variant>
        <vt:i4>1376318</vt:i4>
      </vt:variant>
      <vt:variant>
        <vt:i4>500</vt:i4>
      </vt:variant>
      <vt:variant>
        <vt:i4>0</vt:i4>
      </vt:variant>
      <vt:variant>
        <vt:i4>5</vt:i4>
      </vt:variant>
      <vt:variant>
        <vt:lpwstr/>
      </vt:variant>
      <vt:variant>
        <vt:lpwstr>_Toc419879420</vt:lpwstr>
      </vt:variant>
      <vt:variant>
        <vt:i4>1441854</vt:i4>
      </vt:variant>
      <vt:variant>
        <vt:i4>494</vt:i4>
      </vt:variant>
      <vt:variant>
        <vt:i4>0</vt:i4>
      </vt:variant>
      <vt:variant>
        <vt:i4>5</vt:i4>
      </vt:variant>
      <vt:variant>
        <vt:lpwstr/>
      </vt:variant>
      <vt:variant>
        <vt:lpwstr>_Toc419879419</vt:lpwstr>
      </vt:variant>
      <vt:variant>
        <vt:i4>1441854</vt:i4>
      </vt:variant>
      <vt:variant>
        <vt:i4>488</vt:i4>
      </vt:variant>
      <vt:variant>
        <vt:i4>0</vt:i4>
      </vt:variant>
      <vt:variant>
        <vt:i4>5</vt:i4>
      </vt:variant>
      <vt:variant>
        <vt:lpwstr/>
      </vt:variant>
      <vt:variant>
        <vt:lpwstr>_Toc419879418</vt:lpwstr>
      </vt:variant>
      <vt:variant>
        <vt:i4>1441854</vt:i4>
      </vt:variant>
      <vt:variant>
        <vt:i4>482</vt:i4>
      </vt:variant>
      <vt:variant>
        <vt:i4>0</vt:i4>
      </vt:variant>
      <vt:variant>
        <vt:i4>5</vt:i4>
      </vt:variant>
      <vt:variant>
        <vt:lpwstr/>
      </vt:variant>
      <vt:variant>
        <vt:lpwstr>_Toc419879417</vt:lpwstr>
      </vt:variant>
      <vt:variant>
        <vt:i4>1441854</vt:i4>
      </vt:variant>
      <vt:variant>
        <vt:i4>476</vt:i4>
      </vt:variant>
      <vt:variant>
        <vt:i4>0</vt:i4>
      </vt:variant>
      <vt:variant>
        <vt:i4>5</vt:i4>
      </vt:variant>
      <vt:variant>
        <vt:lpwstr/>
      </vt:variant>
      <vt:variant>
        <vt:lpwstr>_Toc419879416</vt:lpwstr>
      </vt:variant>
      <vt:variant>
        <vt:i4>1441854</vt:i4>
      </vt:variant>
      <vt:variant>
        <vt:i4>470</vt:i4>
      </vt:variant>
      <vt:variant>
        <vt:i4>0</vt:i4>
      </vt:variant>
      <vt:variant>
        <vt:i4>5</vt:i4>
      </vt:variant>
      <vt:variant>
        <vt:lpwstr/>
      </vt:variant>
      <vt:variant>
        <vt:lpwstr>_Toc419879415</vt:lpwstr>
      </vt:variant>
      <vt:variant>
        <vt:i4>1441854</vt:i4>
      </vt:variant>
      <vt:variant>
        <vt:i4>464</vt:i4>
      </vt:variant>
      <vt:variant>
        <vt:i4>0</vt:i4>
      </vt:variant>
      <vt:variant>
        <vt:i4>5</vt:i4>
      </vt:variant>
      <vt:variant>
        <vt:lpwstr/>
      </vt:variant>
      <vt:variant>
        <vt:lpwstr>_Toc419879414</vt:lpwstr>
      </vt:variant>
      <vt:variant>
        <vt:i4>1441854</vt:i4>
      </vt:variant>
      <vt:variant>
        <vt:i4>458</vt:i4>
      </vt:variant>
      <vt:variant>
        <vt:i4>0</vt:i4>
      </vt:variant>
      <vt:variant>
        <vt:i4>5</vt:i4>
      </vt:variant>
      <vt:variant>
        <vt:lpwstr/>
      </vt:variant>
      <vt:variant>
        <vt:lpwstr>_Toc419879413</vt:lpwstr>
      </vt:variant>
      <vt:variant>
        <vt:i4>1441854</vt:i4>
      </vt:variant>
      <vt:variant>
        <vt:i4>452</vt:i4>
      </vt:variant>
      <vt:variant>
        <vt:i4>0</vt:i4>
      </vt:variant>
      <vt:variant>
        <vt:i4>5</vt:i4>
      </vt:variant>
      <vt:variant>
        <vt:lpwstr/>
      </vt:variant>
      <vt:variant>
        <vt:lpwstr>_Toc419879412</vt:lpwstr>
      </vt:variant>
      <vt:variant>
        <vt:i4>1441854</vt:i4>
      </vt:variant>
      <vt:variant>
        <vt:i4>446</vt:i4>
      </vt:variant>
      <vt:variant>
        <vt:i4>0</vt:i4>
      </vt:variant>
      <vt:variant>
        <vt:i4>5</vt:i4>
      </vt:variant>
      <vt:variant>
        <vt:lpwstr/>
      </vt:variant>
      <vt:variant>
        <vt:lpwstr>_Toc419879411</vt:lpwstr>
      </vt:variant>
      <vt:variant>
        <vt:i4>1441854</vt:i4>
      </vt:variant>
      <vt:variant>
        <vt:i4>440</vt:i4>
      </vt:variant>
      <vt:variant>
        <vt:i4>0</vt:i4>
      </vt:variant>
      <vt:variant>
        <vt:i4>5</vt:i4>
      </vt:variant>
      <vt:variant>
        <vt:lpwstr/>
      </vt:variant>
      <vt:variant>
        <vt:lpwstr>_Toc419879410</vt:lpwstr>
      </vt:variant>
      <vt:variant>
        <vt:i4>1507390</vt:i4>
      </vt:variant>
      <vt:variant>
        <vt:i4>434</vt:i4>
      </vt:variant>
      <vt:variant>
        <vt:i4>0</vt:i4>
      </vt:variant>
      <vt:variant>
        <vt:i4>5</vt:i4>
      </vt:variant>
      <vt:variant>
        <vt:lpwstr/>
      </vt:variant>
      <vt:variant>
        <vt:lpwstr>_Toc419879409</vt:lpwstr>
      </vt:variant>
      <vt:variant>
        <vt:i4>1507390</vt:i4>
      </vt:variant>
      <vt:variant>
        <vt:i4>428</vt:i4>
      </vt:variant>
      <vt:variant>
        <vt:i4>0</vt:i4>
      </vt:variant>
      <vt:variant>
        <vt:i4>5</vt:i4>
      </vt:variant>
      <vt:variant>
        <vt:lpwstr/>
      </vt:variant>
      <vt:variant>
        <vt:lpwstr>_Toc419879408</vt:lpwstr>
      </vt:variant>
      <vt:variant>
        <vt:i4>1507390</vt:i4>
      </vt:variant>
      <vt:variant>
        <vt:i4>422</vt:i4>
      </vt:variant>
      <vt:variant>
        <vt:i4>0</vt:i4>
      </vt:variant>
      <vt:variant>
        <vt:i4>5</vt:i4>
      </vt:variant>
      <vt:variant>
        <vt:lpwstr/>
      </vt:variant>
      <vt:variant>
        <vt:lpwstr>_Toc419879407</vt:lpwstr>
      </vt:variant>
      <vt:variant>
        <vt:i4>1507390</vt:i4>
      </vt:variant>
      <vt:variant>
        <vt:i4>416</vt:i4>
      </vt:variant>
      <vt:variant>
        <vt:i4>0</vt:i4>
      </vt:variant>
      <vt:variant>
        <vt:i4>5</vt:i4>
      </vt:variant>
      <vt:variant>
        <vt:lpwstr/>
      </vt:variant>
      <vt:variant>
        <vt:lpwstr>_Toc419879406</vt:lpwstr>
      </vt:variant>
      <vt:variant>
        <vt:i4>1507390</vt:i4>
      </vt:variant>
      <vt:variant>
        <vt:i4>410</vt:i4>
      </vt:variant>
      <vt:variant>
        <vt:i4>0</vt:i4>
      </vt:variant>
      <vt:variant>
        <vt:i4>5</vt:i4>
      </vt:variant>
      <vt:variant>
        <vt:lpwstr/>
      </vt:variant>
      <vt:variant>
        <vt:lpwstr>_Toc419879405</vt:lpwstr>
      </vt:variant>
      <vt:variant>
        <vt:i4>1507390</vt:i4>
      </vt:variant>
      <vt:variant>
        <vt:i4>404</vt:i4>
      </vt:variant>
      <vt:variant>
        <vt:i4>0</vt:i4>
      </vt:variant>
      <vt:variant>
        <vt:i4>5</vt:i4>
      </vt:variant>
      <vt:variant>
        <vt:lpwstr/>
      </vt:variant>
      <vt:variant>
        <vt:lpwstr>_Toc419879404</vt:lpwstr>
      </vt:variant>
      <vt:variant>
        <vt:i4>1703989</vt:i4>
      </vt:variant>
      <vt:variant>
        <vt:i4>395</vt:i4>
      </vt:variant>
      <vt:variant>
        <vt:i4>0</vt:i4>
      </vt:variant>
      <vt:variant>
        <vt:i4>5</vt:i4>
      </vt:variant>
      <vt:variant>
        <vt:lpwstr/>
      </vt:variant>
      <vt:variant>
        <vt:lpwstr>_Toc415733781</vt:lpwstr>
      </vt:variant>
      <vt:variant>
        <vt:i4>1703989</vt:i4>
      </vt:variant>
      <vt:variant>
        <vt:i4>389</vt:i4>
      </vt:variant>
      <vt:variant>
        <vt:i4>0</vt:i4>
      </vt:variant>
      <vt:variant>
        <vt:i4>5</vt:i4>
      </vt:variant>
      <vt:variant>
        <vt:lpwstr/>
      </vt:variant>
      <vt:variant>
        <vt:lpwstr>_Toc415733780</vt:lpwstr>
      </vt:variant>
      <vt:variant>
        <vt:i4>1376309</vt:i4>
      </vt:variant>
      <vt:variant>
        <vt:i4>383</vt:i4>
      </vt:variant>
      <vt:variant>
        <vt:i4>0</vt:i4>
      </vt:variant>
      <vt:variant>
        <vt:i4>5</vt:i4>
      </vt:variant>
      <vt:variant>
        <vt:lpwstr/>
      </vt:variant>
      <vt:variant>
        <vt:lpwstr>_Toc415733779</vt:lpwstr>
      </vt:variant>
      <vt:variant>
        <vt:i4>1376309</vt:i4>
      </vt:variant>
      <vt:variant>
        <vt:i4>377</vt:i4>
      </vt:variant>
      <vt:variant>
        <vt:i4>0</vt:i4>
      </vt:variant>
      <vt:variant>
        <vt:i4>5</vt:i4>
      </vt:variant>
      <vt:variant>
        <vt:lpwstr/>
      </vt:variant>
      <vt:variant>
        <vt:lpwstr>_Toc415733778</vt:lpwstr>
      </vt:variant>
      <vt:variant>
        <vt:i4>1376309</vt:i4>
      </vt:variant>
      <vt:variant>
        <vt:i4>371</vt:i4>
      </vt:variant>
      <vt:variant>
        <vt:i4>0</vt:i4>
      </vt:variant>
      <vt:variant>
        <vt:i4>5</vt:i4>
      </vt:variant>
      <vt:variant>
        <vt:lpwstr/>
      </vt:variant>
      <vt:variant>
        <vt:lpwstr>_Toc415733777</vt:lpwstr>
      </vt:variant>
      <vt:variant>
        <vt:i4>1376309</vt:i4>
      </vt:variant>
      <vt:variant>
        <vt:i4>365</vt:i4>
      </vt:variant>
      <vt:variant>
        <vt:i4>0</vt:i4>
      </vt:variant>
      <vt:variant>
        <vt:i4>5</vt:i4>
      </vt:variant>
      <vt:variant>
        <vt:lpwstr/>
      </vt:variant>
      <vt:variant>
        <vt:lpwstr>_Toc415733776</vt:lpwstr>
      </vt:variant>
      <vt:variant>
        <vt:i4>1376309</vt:i4>
      </vt:variant>
      <vt:variant>
        <vt:i4>359</vt:i4>
      </vt:variant>
      <vt:variant>
        <vt:i4>0</vt:i4>
      </vt:variant>
      <vt:variant>
        <vt:i4>5</vt:i4>
      </vt:variant>
      <vt:variant>
        <vt:lpwstr/>
      </vt:variant>
      <vt:variant>
        <vt:lpwstr>_Toc415733775</vt:lpwstr>
      </vt:variant>
      <vt:variant>
        <vt:i4>1376309</vt:i4>
      </vt:variant>
      <vt:variant>
        <vt:i4>353</vt:i4>
      </vt:variant>
      <vt:variant>
        <vt:i4>0</vt:i4>
      </vt:variant>
      <vt:variant>
        <vt:i4>5</vt:i4>
      </vt:variant>
      <vt:variant>
        <vt:lpwstr/>
      </vt:variant>
      <vt:variant>
        <vt:lpwstr>_Toc415733774</vt:lpwstr>
      </vt:variant>
      <vt:variant>
        <vt:i4>1376309</vt:i4>
      </vt:variant>
      <vt:variant>
        <vt:i4>347</vt:i4>
      </vt:variant>
      <vt:variant>
        <vt:i4>0</vt:i4>
      </vt:variant>
      <vt:variant>
        <vt:i4>5</vt:i4>
      </vt:variant>
      <vt:variant>
        <vt:lpwstr/>
      </vt:variant>
      <vt:variant>
        <vt:lpwstr>_Toc415733773</vt:lpwstr>
      </vt:variant>
      <vt:variant>
        <vt:i4>1376309</vt:i4>
      </vt:variant>
      <vt:variant>
        <vt:i4>341</vt:i4>
      </vt:variant>
      <vt:variant>
        <vt:i4>0</vt:i4>
      </vt:variant>
      <vt:variant>
        <vt:i4>5</vt:i4>
      </vt:variant>
      <vt:variant>
        <vt:lpwstr/>
      </vt:variant>
      <vt:variant>
        <vt:lpwstr>_Toc415733772</vt:lpwstr>
      </vt:variant>
      <vt:variant>
        <vt:i4>1376309</vt:i4>
      </vt:variant>
      <vt:variant>
        <vt:i4>335</vt:i4>
      </vt:variant>
      <vt:variant>
        <vt:i4>0</vt:i4>
      </vt:variant>
      <vt:variant>
        <vt:i4>5</vt:i4>
      </vt:variant>
      <vt:variant>
        <vt:lpwstr/>
      </vt:variant>
      <vt:variant>
        <vt:lpwstr>_Toc415733771</vt:lpwstr>
      </vt:variant>
      <vt:variant>
        <vt:i4>1310773</vt:i4>
      </vt:variant>
      <vt:variant>
        <vt:i4>329</vt:i4>
      </vt:variant>
      <vt:variant>
        <vt:i4>0</vt:i4>
      </vt:variant>
      <vt:variant>
        <vt:i4>5</vt:i4>
      </vt:variant>
      <vt:variant>
        <vt:lpwstr/>
      </vt:variant>
      <vt:variant>
        <vt:lpwstr>_Toc415733768</vt:lpwstr>
      </vt:variant>
      <vt:variant>
        <vt:i4>1310773</vt:i4>
      </vt:variant>
      <vt:variant>
        <vt:i4>323</vt:i4>
      </vt:variant>
      <vt:variant>
        <vt:i4>0</vt:i4>
      </vt:variant>
      <vt:variant>
        <vt:i4>5</vt:i4>
      </vt:variant>
      <vt:variant>
        <vt:lpwstr/>
      </vt:variant>
      <vt:variant>
        <vt:lpwstr>_Toc415733765</vt:lpwstr>
      </vt:variant>
      <vt:variant>
        <vt:i4>1310773</vt:i4>
      </vt:variant>
      <vt:variant>
        <vt:i4>317</vt:i4>
      </vt:variant>
      <vt:variant>
        <vt:i4>0</vt:i4>
      </vt:variant>
      <vt:variant>
        <vt:i4>5</vt:i4>
      </vt:variant>
      <vt:variant>
        <vt:lpwstr/>
      </vt:variant>
      <vt:variant>
        <vt:lpwstr>_Toc415733762</vt:lpwstr>
      </vt:variant>
      <vt:variant>
        <vt:i4>1507381</vt:i4>
      </vt:variant>
      <vt:variant>
        <vt:i4>311</vt:i4>
      </vt:variant>
      <vt:variant>
        <vt:i4>0</vt:i4>
      </vt:variant>
      <vt:variant>
        <vt:i4>5</vt:i4>
      </vt:variant>
      <vt:variant>
        <vt:lpwstr/>
      </vt:variant>
      <vt:variant>
        <vt:lpwstr>_Toc415733759</vt:lpwstr>
      </vt:variant>
      <vt:variant>
        <vt:i4>1507381</vt:i4>
      </vt:variant>
      <vt:variant>
        <vt:i4>305</vt:i4>
      </vt:variant>
      <vt:variant>
        <vt:i4>0</vt:i4>
      </vt:variant>
      <vt:variant>
        <vt:i4>5</vt:i4>
      </vt:variant>
      <vt:variant>
        <vt:lpwstr/>
      </vt:variant>
      <vt:variant>
        <vt:lpwstr>_Toc415733756</vt:lpwstr>
      </vt:variant>
      <vt:variant>
        <vt:i4>1507381</vt:i4>
      </vt:variant>
      <vt:variant>
        <vt:i4>299</vt:i4>
      </vt:variant>
      <vt:variant>
        <vt:i4>0</vt:i4>
      </vt:variant>
      <vt:variant>
        <vt:i4>5</vt:i4>
      </vt:variant>
      <vt:variant>
        <vt:lpwstr/>
      </vt:variant>
      <vt:variant>
        <vt:lpwstr>_Toc415733755</vt:lpwstr>
      </vt:variant>
      <vt:variant>
        <vt:i4>1507381</vt:i4>
      </vt:variant>
      <vt:variant>
        <vt:i4>293</vt:i4>
      </vt:variant>
      <vt:variant>
        <vt:i4>0</vt:i4>
      </vt:variant>
      <vt:variant>
        <vt:i4>5</vt:i4>
      </vt:variant>
      <vt:variant>
        <vt:lpwstr/>
      </vt:variant>
      <vt:variant>
        <vt:lpwstr>_Toc415733754</vt:lpwstr>
      </vt:variant>
      <vt:variant>
        <vt:i4>1507381</vt:i4>
      </vt:variant>
      <vt:variant>
        <vt:i4>287</vt:i4>
      </vt:variant>
      <vt:variant>
        <vt:i4>0</vt:i4>
      </vt:variant>
      <vt:variant>
        <vt:i4>5</vt:i4>
      </vt:variant>
      <vt:variant>
        <vt:lpwstr/>
      </vt:variant>
      <vt:variant>
        <vt:lpwstr>_Toc415733752</vt:lpwstr>
      </vt:variant>
      <vt:variant>
        <vt:i4>1507381</vt:i4>
      </vt:variant>
      <vt:variant>
        <vt:i4>281</vt:i4>
      </vt:variant>
      <vt:variant>
        <vt:i4>0</vt:i4>
      </vt:variant>
      <vt:variant>
        <vt:i4>5</vt:i4>
      </vt:variant>
      <vt:variant>
        <vt:lpwstr/>
      </vt:variant>
      <vt:variant>
        <vt:lpwstr>_Toc415733751</vt:lpwstr>
      </vt:variant>
      <vt:variant>
        <vt:i4>1507381</vt:i4>
      </vt:variant>
      <vt:variant>
        <vt:i4>275</vt:i4>
      </vt:variant>
      <vt:variant>
        <vt:i4>0</vt:i4>
      </vt:variant>
      <vt:variant>
        <vt:i4>5</vt:i4>
      </vt:variant>
      <vt:variant>
        <vt:lpwstr/>
      </vt:variant>
      <vt:variant>
        <vt:lpwstr>_Toc415733750</vt:lpwstr>
      </vt:variant>
      <vt:variant>
        <vt:i4>1441845</vt:i4>
      </vt:variant>
      <vt:variant>
        <vt:i4>269</vt:i4>
      </vt:variant>
      <vt:variant>
        <vt:i4>0</vt:i4>
      </vt:variant>
      <vt:variant>
        <vt:i4>5</vt:i4>
      </vt:variant>
      <vt:variant>
        <vt:lpwstr/>
      </vt:variant>
      <vt:variant>
        <vt:lpwstr>_Toc415733749</vt:lpwstr>
      </vt:variant>
      <vt:variant>
        <vt:i4>1441845</vt:i4>
      </vt:variant>
      <vt:variant>
        <vt:i4>263</vt:i4>
      </vt:variant>
      <vt:variant>
        <vt:i4>0</vt:i4>
      </vt:variant>
      <vt:variant>
        <vt:i4>5</vt:i4>
      </vt:variant>
      <vt:variant>
        <vt:lpwstr/>
      </vt:variant>
      <vt:variant>
        <vt:lpwstr>_Toc415733743</vt:lpwstr>
      </vt:variant>
      <vt:variant>
        <vt:i4>1441845</vt:i4>
      </vt:variant>
      <vt:variant>
        <vt:i4>257</vt:i4>
      </vt:variant>
      <vt:variant>
        <vt:i4>0</vt:i4>
      </vt:variant>
      <vt:variant>
        <vt:i4>5</vt:i4>
      </vt:variant>
      <vt:variant>
        <vt:lpwstr/>
      </vt:variant>
      <vt:variant>
        <vt:lpwstr>_Toc415733742</vt:lpwstr>
      </vt:variant>
      <vt:variant>
        <vt:i4>1441845</vt:i4>
      </vt:variant>
      <vt:variant>
        <vt:i4>251</vt:i4>
      </vt:variant>
      <vt:variant>
        <vt:i4>0</vt:i4>
      </vt:variant>
      <vt:variant>
        <vt:i4>5</vt:i4>
      </vt:variant>
      <vt:variant>
        <vt:lpwstr/>
      </vt:variant>
      <vt:variant>
        <vt:lpwstr>_Toc415733741</vt:lpwstr>
      </vt:variant>
      <vt:variant>
        <vt:i4>1441845</vt:i4>
      </vt:variant>
      <vt:variant>
        <vt:i4>245</vt:i4>
      </vt:variant>
      <vt:variant>
        <vt:i4>0</vt:i4>
      </vt:variant>
      <vt:variant>
        <vt:i4>5</vt:i4>
      </vt:variant>
      <vt:variant>
        <vt:lpwstr/>
      </vt:variant>
      <vt:variant>
        <vt:lpwstr>_Toc415733740</vt:lpwstr>
      </vt:variant>
      <vt:variant>
        <vt:i4>1114165</vt:i4>
      </vt:variant>
      <vt:variant>
        <vt:i4>239</vt:i4>
      </vt:variant>
      <vt:variant>
        <vt:i4>0</vt:i4>
      </vt:variant>
      <vt:variant>
        <vt:i4>5</vt:i4>
      </vt:variant>
      <vt:variant>
        <vt:lpwstr/>
      </vt:variant>
      <vt:variant>
        <vt:lpwstr>_Toc415733739</vt:lpwstr>
      </vt:variant>
      <vt:variant>
        <vt:i4>1114165</vt:i4>
      </vt:variant>
      <vt:variant>
        <vt:i4>233</vt:i4>
      </vt:variant>
      <vt:variant>
        <vt:i4>0</vt:i4>
      </vt:variant>
      <vt:variant>
        <vt:i4>5</vt:i4>
      </vt:variant>
      <vt:variant>
        <vt:lpwstr/>
      </vt:variant>
      <vt:variant>
        <vt:lpwstr>_Toc415733738</vt:lpwstr>
      </vt:variant>
      <vt:variant>
        <vt:i4>1114165</vt:i4>
      </vt:variant>
      <vt:variant>
        <vt:i4>227</vt:i4>
      </vt:variant>
      <vt:variant>
        <vt:i4>0</vt:i4>
      </vt:variant>
      <vt:variant>
        <vt:i4>5</vt:i4>
      </vt:variant>
      <vt:variant>
        <vt:lpwstr/>
      </vt:variant>
      <vt:variant>
        <vt:lpwstr>_Toc415733737</vt:lpwstr>
      </vt:variant>
      <vt:variant>
        <vt:i4>1114165</vt:i4>
      </vt:variant>
      <vt:variant>
        <vt:i4>221</vt:i4>
      </vt:variant>
      <vt:variant>
        <vt:i4>0</vt:i4>
      </vt:variant>
      <vt:variant>
        <vt:i4>5</vt:i4>
      </vt:variant>
      <vt:variant>
        <vt:lpwstr/>
      </vt:variant>
      <vt:variant>
        <vt:lpwstr>_Toc415733736</vt:lpwstr>
      </vt:variant>
      <vt:variant>
        <vt:i4>1114165</vt:i4>
      </vt:variant>
      <vt:variant>
        <vt:i4>215</vt:i4>
      </vt:variant>
      <vt:variant>
        <vt:i4>0</vt:i4>
      </vt:variant>
      <vt:variant>
        <vt:i4>5</vt:i4>
      </vt:variant>
      <vt:variant>
        <vt:lpwstr/>
      </vt:variant>
      <vt:variant>
        <vt:lpwstr>_Toc415733735</vt:lpwstr>
      </vt:variant>
      <vt:variant>
        <vt:i4>1114165</vt:i4>
      </vt:variant>
      <vt:variant>
        <vt:i4>209</vt:i4>
      </vt:variant>
      <vt:variant>
        <vt:i4>0</vt:i4>
      </vt:variant>
      <vt:variant>
        <vt:i4>5</vt:i4>
      </vt:variant>
      <vt:variant>
        <vt:lpwstr/>
      </vt:variant>
      <vt:variant>
        <vt:lpwstr>_Toc415733734</vt:lpwstr>
      </vt:variant>
      <vt:variant>
        <vt:i4>1114165</vt:i4>
      </vt:variant>
      <vt:variant>
        <vt:i4>203</vt:i4>
      </vt:variant>
      <vt:variant>
        <vt:i4>0</vt:i4>
      </vt:variant>
      <vt:variant>
        <vt:i4>5</vt:i4>
      </vt:variant>
      <vt:variant>
        <vt:lpwstr/>
      </vt:variant>
      <vt:variant>
        <vt:lpwstr>_Toc415733733</vt:lpwstr>
      </vt:variant>
      <vt:variant>
        <vt:i4>1114165</vt:i4>
      </vt:variant>
      <vt:variant>
        <vt:i4>197</vt:i4>
      </vt:variant>
      <vt:variant>
        <vt:i4>0</vt:i4>
      </vt:variant>
      <vt:variant>
        <vt:i4>5</vt:i4>
      </vt:variant>
      <vt:variant>
        <vt:lpwstr/>
      </vt:variant>
      <vt:variant>
        <vt:lpwstr>_Toc415733732</vt:lpwstr>
      </vt:variant>
      <vt:variant>
        <vt:i4>1114165</vt:i4>
      </vt:variant>
      <vt:variant>
        <vt:i4>191</vt:i4>
      </vt:variant>
      <vt:variant>
        <vt:i4>0</vt:i4>
      </vt:variant>
      <vt:variant>
        <vt:i4>5</vt:i4>
      </vt:variant>
      <vt:variant>
        <vt:lpwstr/>
      </vt:variant>
      <vt:variant>
        <vt:lpwstr>_Toc415733731</vt:lpwstr>
      </vt:variant>
      <vt:variant>
        <vt:i4>1114165</vt:i4>
      </vt:variant>
      <vt:variant>
        <vt:i4>185</vt:i4>
      </vt:variant>
      <vt:variant>
        <vt:i4>0</vt:i4>
      </vt:variant>
      <vt:variant>
        <vt:i4>5</vt:i4>
      </vt:variant>
      <vt:variant>
        <vt:lpwstr/>
      </vt:variant>
      <vt:variant>
        <vt:lpwstr>_Toc415733730</vt:lpwstr>
      </vt:variant>
      <vt:variant>
        <vt:i4>1048629</vt:i4>
      </vt:variant>
      <vt:variant>
        <vt:i4>179</vt:i4>
      </vt:variant>
      <vt:variant>
        <vt:i4>0</vt:i4>
      </vt:variant>
      <vt:variant>
        <vt:i4>5</vt:i4>
      </vt:variant>
      <vt:variant>
        <vt:lpwstr/>
      </vt:variant>
      <vt:variant>
        <vt:lpwstr>_Toc415733729</vt:lpwstr>
      </vt:variant>
      <vt:variant>
        <vt:i4>1048629</vt:i4>
      </vt:variant>
      <vt:variant>
        <vt:i4>173</vt:i4>
      </vt:variant>
      <vt:variant>
        <vt:i4>0</vt:i4>
      </vt:variant>
      <vt:variant>
        <vt:i4>5</vt:i4>
      </vt:variant>
      <vt:variant>
        <vt:lpwstr/>
      </vt:variant>
      <vt:variant>
        <vt:lpwstr>_Toc415733728</vt:lpwstr>
      </vt:variant>
      <vt:variant>
        <vt:i4>1245237</vt:i4>
      </vt:variant>
      <vt:variant>
        <vt:i4>167</vt:i4>
      </vt:variant>
      <vt:variant>
        <vt:i4>0</vt:i4>
      </vt:variant>
      <vt:variant>
        <vt:i4>5</vt:i4>
      </vt:variant>
      <vt:variant>
        <vt:lpwstr/>
      </vt:variant>
      <vt:variant>
        <vt:lpwstr>_Toc415733719</vt:lpwstr>
      </vt:variant>
      <vt:variant>
        <vt:i4>1245237</vt:i4>
      </vt:variant>
      <vt:variant>
        <vt:i4>161</vt:i4>
      </vt:variant>
      <vt:variant>
        <vt:i4>0</vt:i4>
      </vt:variant>
      <vt:variant>
        <vt:i4>5</vt:i4>
      </vt:variant>
      <vt:variant>
        <vt:lpwstr/>
      </vt:variant>
      <vt:variant>
        <vt:lpwstr>_Toc415733718</vt:lpwstr>
      </vt:variant>
      <vt:variant>
        <vt:i4>1245237</vt:i4>
      </vt:variant>
      <vt:variant>
        <vt:i4>155</vt:i4>
      </vt:variant>
      <vt:variant>
        <vt:i4>0</vt:i4>
      </vt:variant>
      <vt:variant>
        <vt:i4>5</vt:i4>
      </vt:variant>
      <vt:variant>
        <vt:lpwstr/>
      </vt:variant>
      <vt:variant>
        <vt:lpwstr>_Toc415733717</vt:lpwstr>
      </vt:variant>
      <vt:variant>
        <vt:i4>1245237</vt:i4>
      </vt:variant>
      <vt:variant>
        <vt:i4>149</vt:i4>
      </vt:variant>
      <vt:variant>
        <vt:i4>0</vt:i4>
      </vt:variant>
      <vt:variant>
        <vt:i4>5</vt:i4>
      </vt:variant>
      <vt:variant>
        <vt:lpwstr/>
      </vt:variant>
      <vt:variant>
        <vt:lpwstr>_Toc415733713</vt:lpwstr>
      </vt:variant>
      <vt:variant>
        <vt:i4>1245237</vt:i4>
      </vt:variant>
      <vt:variant>
        <vt:i4>143</vt:i4>
      </vt:variant>
      <vt:variant>
        <vt:i4>0</vt:i4>
      </vt:variant>
      <vt:variant>
        <vt:i4>5</vt:i4>
      </vt:variant>
      <vt:variant>
        <vt:lpwstr/>
      </vt:variant>
      <vt:variant>
        <vt:lpwstr>_Toc415733710</vt:lpwstr>
      </vt:variant>
      <vt:variant>
        <vt:i4>1179701</vt:i4>
      </vt:variant>
      <vt:variant>
        <vt:i4>137</vt:i4>
      </vt:variant>
      <vt:variant>
        <vt:i4>0</vt:i4>
      </vt:variant>
      <vt:variant>
        <vt:i4>5</vt:i4>
      </vt:variant>
      <vt:variant>
        <vt:lpwstr/>
      </vt:variant>
      <vt:variant>
        <vt:lpwstr>_Toc415733709</vt:lpwstr>
      </vt:variant>
      <vt:variant>
        <vt:i4>1179701</vt:i4>
      </vt:variant>
      <vt:variant>
        <vt:i4>131</vt:i4>
      </vt:variant>
      <vt:variant>
        <vt:i4>0</vt:i4>
      </vt:variant>
      <vt:variant>
        <vt:i4>5</vt:i4>
      </vt:variant>
      <vt:variant>
        <vt:lpwstr/>
      </vt:variant>
      <vt:variant>
        <vt:lpwstr>_Toc415733708</vt:lpwstr>
      </vt:variant>
      <vt:variant>
        <vt:i4>1179701</vt:i4>
      </vt:variant>
      <vt:variant>
        <vt:i4>125</vt:i4>
      </vt:variant>
      <vt:variant>
        <vt:i4>0</vt:i4>
      </vt:variant>
      <vt:variant>
        <vt:i4>5</vt:i4>
      </vt:variant>
      <vt:variant>
        <vt:lpwstr/>
      </vt:variant>
      <vt:variant>
        <vt:lpwstr>_Toc415733707</vt:lpwstr>
      </vt:variant>
      <vt:variant>
        <vt:i4>1179701</vt:i4>
      </vt:variant>
      <vt:variant>
        <vt:i4>119</vt:i4>
      </vt:variant>
      <vt:variant>
        <vt:i4>0</vt:i4>
      </vt:variant>
      <vt:variant>
        <vt:i4>5</vt:i4>
      </vt:variant>
      <vt:variant>
        <vt:lpwstr/>
      </vt:variant>
      <vt:variant>
        <vt:lpwstr>_Toc415733706</vt:lpwstr>
      </vt:variant>
      <vt:variant>
        <vt:i4>1179701</vt:i4>
      </vt:variant>
      <vt:variant>
        <vt:i4>113</vt:i4>
      </vt:variant>
      <vt:variant>
        <vt:i4>0</vt:i4>
      </vt:variant>
      <vt:variant>
        <vt:i4>5</vt:i4>
      </vt:variant>
      <vt:variant>
        <vt:lpwstr/>
      </vt:variant>
      <vt:variant>
        <vt:lpwstr>_Toc415733705</vt:lpwstr>
      </vt:variant>
      <vt:variant>
        <vt:i4>1179701</vt:i4>
      </vt:variant>
      <vt:variant>
        <vt:i4>107</vt:i4>
      </vt:variant>
      <vt:variant>
        <vt:i4>0</vt:i4>
      </vt:variant>
      <vt:variant>
        <vt:i4>5</vt:i4>
      </vt:variant>
      <vt:variant>
        <vt:lpwstr/>
      </vt:variant>
      <vt:variant>
        <vt:lpwstr>_Toc415733702</vt:lpwstr>
      </vt:variant>
      <vt:variant>
        <vt:i4>1769524</vt:i4>
      </vt:variant>
      <vt:variant>
        <vt:i4>101</vt:i4>
      </vt:variant>
      <vt:variant>
        <vt:i4>0</vt:i4>
      </vt:variant>
      <vt:variant>
        <vt:i4>5</vt:i4>
      </vt:variant>
      <vt:variant>
        <vt:lpwstr/>
      </vt:variant>
      <vt:variant>
        <vt:lpwstr>_Toc415733692</vt:lpwstr>
      </vt:variant>
      <vt:variant>
        <vt:i4>1769524</vt:i4>
      </vt:variant>
      <vt:variant>
        <vt:i4>95</vt:i4>
      </vt:variant>
      <vt:variant>
        <vt:i4>0</vt:i4>
      </vt:variant>
      <vt:variant>
        <vt:i4>5</vt:i4>
      </vt:variant>
      <vt:variant>
        <vt:lpwstr/>
      </vt:variant>
      <vt:variant>
        <vt:lpwstr>_Toc415733691</vt:lpwstr>
      </vt:variant>
      <vt:variant>
        <vt:i4>1769524</vt:i4>
      </vt:variant>
      <vt:variant>
        <vt:i4>89</vt:i4>
      </vt:variant>
      <vt:variant>
        <vt:i4>0</vt:i4>
      </vt:variant>
      <vt:variant>
        <vt:i4>5</vt:i4>
      </vt:variant>
      <vt:variant>
        <vt:lpwstr/>
      </vt:variant>
      <vt:variant>
        <vt:lpwstr>_Toc415733690</vt:lpwstr>
      </vt:variant>
      <vt:variant>
        <vt:i4>1703988</vt:i4>
      </vt:variant>
      <vt:variant>
        <vt:i4>83</vt:i4>
      </vt:variant>
      <vt:variant>
        <vt:i4>0</vt:i4>
      </vt:variant>
      <vt:variant>
        <vt:i4>5</vt:i4>
      </vt:variant>
      <vt:variant>
        <vt:lpwstr/>
      </vt:variant>
      <vt:variant>
        <vt:lpwstr>_Toc415733689</vt:lpwstr>
      </vt:variant>
      <vt:variant>
        <vt:i4>1703988</vt:i4>
      </vt:variant>
      <vt:variant>
        <vt:i4>77</vt:i4>
      </vt:variant>
      <vt:variant>
        <vt:i4>0</vt:i4>
      </vt:variant>
      <vt:variant>
        <vt:i4>5</vt:i4>
      </vt:variant>
      <vt:variant>
        <vt:lpwstr/>
      </vt:variant>
      <vt:variant>
        <vt:lpwstr>_Toc415733688</vt:lpwstr>
      </vt:variant>
      <vt:variant>
        <vt:i4>1703988</vt:i4>
      </vt:variant>
      <vt:variant>
        <vt:i4>71</vt:i4>
      </vt:variant>
      <vt:variant>
        <vt:i4>0</vt:i4>
      </vt:variant>
      <vt:variant>
        <vt:i4>5</vt:i4>
      </vt:variant>
      <vt:variant>
        <vt:lpwstr/>
      </vt:variant>
      <vt:variant>
        <vt:lpwstr>_Toc415733687</vt:lpwstr>
      </vt:variant>
      <vt:variant>
        <vt:i4>1703988</vt:i4>
      </vt:variant>
      <vt:variant>
        <vt:i4>65</vt:i4>
      </vt:variant>
      <vt:variant>
        <vt:i4>0</vt:i4>
      </vt:variant>
      <vt:variant>
        <vt:i4>5</vt:i4>
      </vt:variant>
      <vt:variant>
        <vt:lpwstr/>
      </vt:variant>
      <vt:variant>
        <vt:lpwstr>_Toc415733683</vt:lpwstr>
      </vt:variant>
      <vt:variant>
        <vt:i4>1703988</vt:i4>
      </vt:variant>
      <vt:variant>
        <vt:i4>59</vt:i4>
      </vt:variant>
      <vt:variant>
        <vt:i4>0</vt:i4>
      </vt:variant>
      <vt:variant>
        <vt:i4>5</vt:i4>
      </vt:variant>
      <vt:variant>
        <vt:lpwstr/>
      </vt:variant>
      <vt:variant>
        <vt:lpwstr>_Toc415733682</vt:lpwstr>
      </vt:variant>
      <vt:variant>
        <vt:i4>1703988</vt:i4>
      </vt:variant>
      <vt:variant>
        <vt:i4>53</vt:i4>
      </vt:variant>
      <vt:variant>
        <vt:i4>0</vt:i4>
      </vt:variant>
      <vt:variant>
        <vt:i4>5</vt:i4>
      </vt:variant>
      <vt:variant>
        <vt:lpwstr/>
      </vt:variant>
      <vt:variant>
        <vt:lpwstr>_Toc415733681</vt:lpwstr>
      </vt:variant>
      <vt:variant>
        <vt:i4>1703988</vt:i4>
      </vt:variant>
      <vt:variant>
        <vt:i4>47</vt:i4>
      </vt:variant>
      <vt:variant>
        <vt:i4>0</vt:i4>
      </vt:variant>
      <vt:variant>
        <vt:i4>5</vt:i4>
      </vt:variant>
      <vt:variant>
        <vt:lpwstr/>
      </vt:variant>
      <vt:variant>
        <vt:lpwstr>_Toc415733680</vt:lpwstr>
      </vt:variant>
      <vt:variant>
        <vt:i4>1376308</vt:i4>
      </vt:variant>
      <vt:variant>
        <vt:i4>41</vt:i4>
      </vt:variant>
      <vt:variant>
        <vt:i4>0</vt:i4>
      </vt:variant>
      <vt:variant>
        <vt:i4>5</vt:i4>
      </vt:variant>
      <vt:variant>
        <vt:lpwstr/>
      </vt:variant>
      <vt:variant>
        <vt:lpwstr>_Toc415733679</vt:lpwstr>
      </vt:variant>
      <vt:variant>
        <vt:i4>1376308</vt:i4>
      </vt:variant>
      <vt:variant>
        <vt:i4>35</vt:i4>
      </vt:variant>
      <vt:variant>
        <vt:i4>0</vt:i4>
      </vt:variant>
      <vt:variant>
        <vt:i4>5</vt:i4>
      </vt:variant>
      <vt:variant>
        <vt:lpwstr/>
      </vt:variant>
      <vt:variant>
        <vt:lpwstr>_Toc415733678</vt:lpwstr>
      </vt:variant>
      <vt:variant>
        <vt:i4>1376308</vt:i4>
      </vt:variant>
      <vt:variant>
        <vt:i4>29</vt:i4>
      </vt:variant>
      <vt:variant>
        <vt:i4>0</vt:i4>
      </vt:variant>
      <vt:variant>
        <vt:i4>5</vt:i4>
      </vt:variant>
      <vt:variant>
        <vt:lpwstr/>
      </vt:variant>
      <vt:variant>
        <vt:lpwstr>_Toc415733677</vt:lpwstr>
      </vt:variant>
      <vt:variant>
        <vt:i4>1376308</vt:i4>
      </vt:variant>
      <vt:variant>
        <vt:i4>23</vt:i4>
      </vt:variant>
      <vt:variant>
        <vt:i4>0</vt:i4>
      </vt:variant>
      <vt:variant>
        <vt:i4>5</vt:i4>
      </vt:variant>
      <vt:variant>
        <vt:lpwstr/>
      </vt:variant>
      <vt:variant>
        <vt:lpwstr>_Toc415733672</vt:lpwstr>
      </vt:variant>
      <vt:variant>
        <vt:i4>1376308</vt:i4>
      </vt:variant>
      <vt:variant>
        <vt:i4>17</vt:i4>
      </vt:variant>
      <vt:variant>
        <vt:i4>0</vt:i4>
      </vt:variant>
      <vt:variant>
        <vt:i4>5</vt:i4>
      </vt:variant>
      <vt:variant>
        <vt:lpwstr/>
      </vt:variant>
      <vt:variant>
        <vt:lpwstr>_Toc415733671</vt:lpwstr>
      </vt:variant>
      <vt:variant>
        <vt:i4>1376308</vt:i4>
      </vt:variant>
      <vt:variant>
        <vt:i4>11</vt:i4>
      </vt:variant>
      <vt:variant>
        <vt:i4>0</vt:i4>
      </vt:variant>
      <vt:variant>
        <vt:i4>5</vt:i4>
      </vt:variant>
      <vt:variant>
        <vt:lpwstr/>
      </vt:variant>
      <vt:variant>
        <vt:lpwstr>_Toc415733670</vt:lpwstr>
      </vt:variant>
      <vt:variant>
        <vt:i4>1310772</vt:i4>
      </vt:variant>
      <vt:variant>
        <vt:i4>5</vt:i4>
      </vt:variant>
      <vt:variant>
        <vt:i4>0</vt:i4>
      </vt:variant>
      <vt:variant>
        <vt:i4>5</vt:i4>
      </vt:variant>
      <vt:variant>
        <vt:lpwstr/>
      </vt:variant>
      <vt:variant>
        <vt:lpwstr>_Toc415733669</vt:lpwstr>
      </vt:variant>
      <vt:variant>
        <vt:i4>6422655</vt:i4>
      </vt:variant>
      <vt:variant>
        <vt:i4>0</vt:i4>
      </vt:variant>
      <vt:variant>
        <vt:i4>0</vt:i4>
      </vt:variant>
      <vt:variant>
        <vt:i4>5</vt:i4>
      </vt:variant>
      <vt:variant>
        <vt:lpwstr>http://www.nda.ie/</vt:lpwstr>
      </vt:variant>
      <vt:variant>
        <vt:lpwstr/>
      </vt:variant>
      <vt:variant>
        <vt:i4>2162793</vt:i4>
      </vt:variant>
      <vt:variant>
        <vt:i4>27</vt:i4>
      </vt:variant>
      <vt:variant>
        <vt:i4>0</vt:i4>
      </vt:variant>
      <vt:variant>
        <vt:i4>5</vt:i4>
      </vt:variant>
      <vt:variant>
        <vt:lpwstr>http://www.gp.unimelb.edu.au/research/ripe/RIPEWONCApaperFinal.doc</vt:lpwstr>
      </vt:variant>
      <vt:variant>
        <vt:lpwstr/>
      </vt:variant>
      <vt:variant>
        <vt:i4>7536754</vt:i4>
      </vt:variant>
      <vt:variant>
        <vt:i4>24</vt:i4>
      </vt:variant>
      <vt:variant>
        <vt:i4>0</vt:i4>
      </vt:variant>
      <vt:variant>
        <vt:i4>5</vt:i4>
      </vt:variant>
      <vt:variant>
        <vt:lpwstr>http://www.ahrq.gov/research/findings/final-reports/medteam/index.html</vt:lpwstr>
      </vt:variant>
      <vt:variant>
        <vt:lpwstr/>
      </vt:variant>
      <vt:variant>
        <vt:i4>262173</vt:i4>
      </vt:variant>
      <vt:variant>
        <vt:i4>21</vt:i4>
      </vt:variant>
      <vt:variant>
        <vt:i4>0</vt:i4>
      </vt:variant>
      <vt:variant>
        <vt:i4>5</vt:i4>
      </vt:variant>
      <vt:variant>
        <vt:lpwstr>http://www.fippcase.org/casemakers/casemakers_vol1_no4.pdf</vt:lpwstr>
      </vt:variant>
      <vt:variant>
        <vt:lpwstr/>
      </vt:variant>
      <vt:variant>
        <vt:i4>2687015</vt:i4>
      </vt:variant>
      <vt:variant>
        <vt:i4>18</vt:i4>
      </vt:variant>
      <vt:variant>
        <vt:i4>0</vt:i4>
      </vt:variant>
      <vt:variant>
        <vt:i4>5</vt:i4>
      </vt:variant>
      <vt:variant>
        <vt:lpwstr>http://www.scopevic.org.au/mychild.pdf</vt:lpwstr>
      </vt:variant>
      <vt:variant>
        <vt:lpwstr/>
      </vt:variant>
      <vt:variant>
        <vt:i4>3997796</vt:i4>
      </vt:variant>
      <vt:variant>
        <vt:i4>15</vt:i4>
      </vt:variant>
      <vt:variant>
        <vt:i4>0</vt:i4>
      </vt:variant>
      <vt:variant>
        <vt:i4>5</vt:i4>
      </vt:variant>
      <vt:variant>
        <vt:lpwstr>http://www.pinpoint-cambs.org.uk/sites/default/files/Shaping Health services final.pdf</vt:lpwstr>
      </vt:variant>
      <vt:variant>
        <vt:lpwstr/>
      </vt:variant>
      <vt:variant>
        <vt:i4>5701653</vt:i4>
      </vt:variant>
      <vt:variant>
        <vt:i4>12</vt:i4>
      </vt:variant>
      <vt:variant>
        <vt:i4>0</vt:i4>
      </vt:variant>
      <vt:variant>
        <vt:i4>5</vt:i4>
      </vt:variant>
      <vt:variant>
        <vt:lpwstr>http://www.asha.org/NR/rdonlyres/A700FE99-C454-44EF-959884B195E8D87F/</vt:lpwstr>
      </vt:variant>
      <vt:variant>
        <vt:lpwstr/>
      </vt:variant>
      <vt:variant>
        <vt:i4>917592</vt:i4>
      </vt:variant>
      <vt:variant>
        <vt:i4>9</vt:i4>
      </vt:variant>
      <vt:variant>
        <vt:i4>0</vt:i4>
      </vt:variant>
      <vt:variant>
        <vt:i4>5</vt:i4>
      </vt:variant>
      <vt:variant>
        <vt:lpwstr>http://physiotherapy.ca/</vt:lpwstr>
      </vt:variant>
      <vt:variant>
        <vt:lpwstr/>
      </vt:variant>
      <vt:variant>
        <vt:i4>3014709</vt:i4>
      </vt:variant>
      <vt:variant>
        <vt:i4>6</vt:i4>
      </vt:variant>
      <vt:variant>
        <vt:i4>0</vt:i4>
      </vt:variant>
      <vt:variant>
        <vt:i4>5</vt:i4>
      </vt:variant>
      <vt:variant>
        <vt:lpwstr>http://www.asha.org/policy</vt:lpwstr>
      </vt:variant>
      <vt:variant>
        <vt:lpwstr/>
      </vt:variant>
      <vt:variant>
        <vt:i4>3997735</vt:i4>
      </vt:variant>
      <vt:variant>
        <vt:i4>3</vt:i4>
      </vt:variant>
      <vt:variant>
        <vt:i4>0</vt:i4>
      </vt:variant>
      <vt:variant>
        <vt:i4>5</vt:i4>
      </vt:variant>
      <vt:variant>
        <vt:lpwstr>http://www.pediatricsdigest.mobi/content/131/1/38.short</vt:lpwstr>
      </vt:variant>
      <vt:variant>
        <vt:lpwstr/>
      </vt:variant>
      <vt:variant>
        <vt:i4>4259904</vt:i4>
      </vt:variant>
      <vt:variant>
        <vt:i4>0</vt:i4>
      </vt:variant>
      <vt:variant>
        <vt:i4>0</vt:i4>
      </vt:variant>
      <vt:variant>
        <vt:i4>5</vt:i4>
      </vt:variant>
      <vt:variant>
        <vt:lpwstr>http://trutzhaase.eu/deprivation-index/overview/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children’s disability services in Ireland</dc:title>
  <dc:subject/>
  <dc:creator>collinsgm</dc:creator>
  <cp:keywords/>
  <cp:lastModifiedBy>Damhnait M. O' Malley</cp:lastModifiedBy>
  <cp:revision>5</cp:revision>
  <cp:lastPrinted>2015-06-17T14:40:00Z</cp:lastPrinted>
  <dcterms:created xsi:type="dcterms:W3CDTF">2022-06-08T11:35:00Z</dcterms:created>
  <dcterms:modified xsi:type="dcterms:W3CDTF">2022-06-08T12:03:00Z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awcVerifyStyleSequence">
    <vt:lpwstr>wdStyleTitle, %</vt:lpwstr>
  </property>
</Properties>
</file>